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E1C87">
      <w:pPr>
        <w:pStyle w:val="18"/>
        <w:tabs>
          <w:tab w:val="center" w:pos="4536"/>
          <w:tab w:val="right" w:pos="9072"/>
        </w:tabs>
        <w:jc w:val="left"/>
        <w:rPr>
          <w:rFonts w:hAnsi="宋体" w:cs="宋体"/>
          <w:b/>
          <w:color w:val="auto"/>
          <w:sz w:val="36"/>
          <w:szCs w:val="36"/>
          <w:highlight w:val="none"/>
        </w:rPr>
      </w:pPr>
    </w:p>
    <w:p w14:paraId="2CA58F22">
      <w:pPr>
        <w:snapToGrid w:val="0"/>
        <w:spacing w:before="156" w:beforeLines="50" w:line="360" w:lineRule="auto"/>
        <w:jc w:val="center"/>
        <w:rPr>
          <w:rFonts w:hint="eastAsia" w:ascii="宋体" w:hAnsi="宋体" w:cs="宋体"/>
          <w:color w:val="auto"/>
          <w:sz w:val="72"/>
          <w:szCs w:val="72"/>
          <w:highlight w:val="none"/>
        </w:rPr>
      </w:pPr>
    </w:p>
    <w:p w14:paraId="7E29848D">
      <w:pPr>
        <w:snapToGrid w:val="0"/>
        <w:spacing w:before="156" w:beforeLines="50" w:line="360" w:lineRule="auto"/>
        <w:jc w:val="center"/>
        <w:rPr>
          <w:rFonts w:hint="eastAsia" w:ascii="宋体" w:hAnsi="宋体" w:cs="宋体"/>
          <w:color w:val="auto"/>
          <w:sz w:val="60"/>
          <w:szCs w:val="60"/>
          <w:highlight w:val="none"/>
        </w:rPr>
      </w:pPr>
    </w:p>
    <w:p w14:paraId="06D95172">
      <w:pPr>
        <w:snapToGrid w:val="0"/>
        <w:spacing w:before="156" w:beforeLines="50" w:line="360" w:lineRule="auto"/>
        <w:jc w:val="center"/>
        <w:rPr>
          <w:rFonts w:ascii="宋体" w:hAnsi="宋体" w:cs="宋体"/>
          <w:color w:val="auto"/>
          <w:sz w:val="120"/>
          <w:szCs w:val="120"/>
          <w:highlight w:val="none"/>
        </w:rPr>
      </w:pPr>
      <w:r>
        <w:rPr>
          <w:rFonts w:hint="eastAsia" w:ascii="宋体" w:hAnsi="宋体" w:cs="宋体"/>
          <w:color w:val="auto"/>
          <w:sz w:val="96"/>
          <w:szCs w:val="96"/>
          <w:highlight w:val="none"/>
        </w:rPr>
        <w:t>竞争性磋商文件</w:t>
      </w:r>
    </w:p>
    <w:p w14:paraId="30A3EC28">
      <w:pPr>
        <w:snapToGrid/>
        <w:spacing w:before="312" w:beforeLines="100" w:after="156" w:afterLines="50" w:line="360" w:lineRule="auto"/>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（全流程电子化采购）</w:t>
      </w:r>
    </w:p>
    <w:p w14:paraId="5A163331">
      <w:pPr>
        <w:snapToGrid w:val="0"/>
        <w:spacing w:line="360" w:lineRule="auto"/>
        <w:rPr>
          <w:rFonts w:ascii="宋体" w:hAnsi="宋体" w:cs="宋体"/>
          <w:b/>
          <w:color w:val="auto"/>
          <w:sz w:val="48"/>
          <w:szCs w:val="48"/>
          <w:highlight w:val="none"/>
        </w:rPr>
      </w:pPr>
    </w:p>
    <w:p w14:paraId="67F4D4EF">
      <w:pPr>
        <w:snapToGrid w:val="0"/>
        <w:spacing w:line="360" w:lineRule="auto"/>
        <w:rPr>
          <w:rFonts w:ascii="宋体" w:hAnsi="宋体" w:cs="宋体"/>
          <w:b/>
          <w:color w:val="auto"/>
          <w:sz w:val="48"/>
          <w:szCs w:val="48"/>
          <w:highlight w:val="none"/>
        </w:rPr>
      </w:pPr>
    </w:p>
    <w:p w14:paraId="20B6C228">
      <w:pPr>
        <w:pStyle w:val="18"/>
        <w:snapToGrid w:val="0"/>
        <w:spacing w:line="360" w:lineRule="auto"/>
        <w:jc w:val="center"/>
        <w:rPr>
          <w:rFonts w:hAnsi="宋体" w:cs="宋体"/>
          <w:b/>
          <w:bCs/>
          <w:color w:val="auto"/>
          <w:sz w:val="30"/>
          <w:szCs w:val="30"/>
          <w:highlight w:val="none"/>
        </w:rPr>
      </w:pPr>
    </w:p>
    <w:p w14:paraId="37ED331A">
      <w:pPr>
        <w:spacing w:line="360" w:lineRule="auto"/>
        <w:ind w:left="0" w:leftChars="0" w:firstLine="0" w:firstLineChars="0"/>
        <w:jc w:val="left"/>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项目名称：桂林理工大学“雁山智慧谷・桂工科创之窗”展示中心展陈服务项目采购</w:t>
      </w:r>
    </w:p>
    <w:p w14:paraId="33D457E5">
      <w:pPr>
        <w:spacing w:line="360" w:lineRule="auto"/>
        <w:ind w:left="0" w:leftChars="0" w:firstLine="0" w:firstLineChars="0"/>
        <w:jc w:val="left"/>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lang w:eastAsia="zh-CN"/>
        </w:rPr>
        <w:t>项目编号：GXZC2026-C3-002558-JDZB</w:t>
      </w:r>
    </w:p>
    <w:p w14:paraId="47BC9A4C">
      <w:pPr>
        <w:spacing w:line="360" w:lineRule="auto"/>
        <w:ind w:firstLine="0" w:firstLineChars="0"/>
        <w:jc w:val="left"/>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采购人：</w:t>
      </w:r>
      <w:r>
        <w:rPr>
          <w:rFonts w:hint="eastAsia" w:ascii="宋体" w:hAnsi="宋体" w:cs="宋体"/>
          <w:b/>
          <w:color w:val="auto"/>
          <w:sz w:val="32"/>
          <w:szCs w:val="32"/>
          <w:highlight w:val="none"/>
          <w:lang w:eastAsia="zh-CN"/>
        </w:rPr>
        <w:t>桂林理工大学</w:t>
      </w:r>
    </w:p>
    <w:p w14:paraId="0F80044A">
      <w:pPr>
        <w:spacing w:line="360" w:lineRule="auto"/>
        <w:ind w:firstLine="0" w:firstLineChars="0"/>
        <w:jc w:val="left"/>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rPr>
        <w:t>采购代理机构：</w:t>
      </w:r>
      <w:r>
        <w:rPr>
          <w:rFonts w:hint="eastAsia" w:ascii="宋体" w:hAnsi="宋体" w:cs="宋体"/>
          <w:b/>
          <w:color w:val="auto"/>
          <w:sz w:val="32"/>
          <w:szCs w:val="32"/>
          <w:highlight w:val="none"/>
          <w:lang w:val="en-US" w:eastAsia="zh-CN"/>
        </w:rPr>
        <w:t>广西机电设备招标有限公司</w:t>
      </w:r>
    </w:p>
    <w:p w14:paraId="4FD943E4">
      <w:pPr>
        <w:pStyle w:val="18"/>
        <w:snapToGrid w:val="0"/>
        <w:spacing w:line="360" w:lineRule="auto"/>
        <w:jc w:val="center"/>
        <w:rPr>
          <w:rFonts w:hAnsi="宋体" w:cs="宋体"/>
          <w:b/>
          <w:bCs/>
          <w:color w:val="auto"/>
          <w:w w:val="95"/>
          <w:sz w:val="30"/>
          <w:szCs w:val="30"/>
          <w:highlight w:val="none"/>
        </w:rPr>
      </w:pPr>
    </w:p>
    <w:p w14:paraId="0AD9C10E">
      <w:pPr>
        <w:pStyle w:val="18"/>
        <w:snapToGrid w:val="0"/>
        <w:spacing w:line="360" w:lineRule="auto"/>
        <w:ind w:left="420"/>
        <w:jc w:val="center"/>
        <w:rPr>
          <w:rFonts w:hAnsi="宋体" w:cs="宋体"/>
          <w:b/>
          <w:bCs/>
          <w:color w:val="auto"/>
          <w:w w:val="95"/>
          <w:sz w:val="30"/>
          <w:szCs w:val="30"/>
          <w:highlight w:val="none"/>
        </w:rPr>
      </w:pPr>
      <w:r>
        <w:rPr>
          <w:rFonts w:hint="eastAsia" w:hAnsi="宋体" w:cs="宋体"/>
          <w:b/>
          <w:bCs/>
          <w:color w:val="auto"/>
          <w:w w:val="95"/>
          <w:sz w:val="30"/>
          <w:szCs w:val="30"/>
          <w:highlight w:val="none"/>
          <w:lang w:val="en-US" w:eastAsia="zh-CN"/>
        </w:rPr>
        <w:t>2026</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 xml:space="preserve"> 8 </w:t>
      </w:r>
      <w:r>
        <w:rPr>
          <w:rFonts w:hint="eastAsia" w:hAnsi="宋体" w:cs="宋体"/>
          <w:b/>
          <w:bCs/>
          <w:color w:val="auto"/>
          <w:w w:val="95"/>
          <w:sz w:val="30"/>
          <w:szCs w:val="30"/>
          <w:highlight w:val="none"/>
        </w:rPr>
        <w:t>月</w:t>
      </w:r>
    </w:p>
    <w:p w14:paraId="10628C8E">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17" w:right="1417" w:bottom="1417" w:left="1417" w:header="851" w:footer="567" w:gutter="0"/>
          <w:pgNumType w:start="0"/>
          <w:cols w:space="720" w:num="1"/>
          <w:titlePg/>
          <w:docGrid w:type="lines" w:linePitch="312" w:charSpace="0"/>
        </w:sectPr>
      </w:pPr>
    </w:p>
    <w:p w14:paraId="258D4391">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3765E080">
      <w:pPr>
        <w:spacing w:line="400" w:lineRule="exact"/>
        <w:jc w:val="center"/>
        <w:rPr>
          <w:rFonts w:ascii="宋体" w:hAnsi="宋体" w:cs="宋体"/>
          <w:b/>
          <w:color w:val="auto"/>
          <w:sz w:val="44"/>
          <w:szCs w:val="44"/>
          <w:highlight w:val="none"/>
        </w:rPr>
      </w:pPr>
    </w:p>
    <w:p w14:paraId="614D8D6E">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aps/>
          <w:color w:val="auto"/>
          <w:sz w:val="24"/>
          <w:highlight w:val="none"/>
        </w:rPr>
        <w:fldChar w:fldCharType="begin"/>
      </w:r>
      <w:r>
        <w:rPr>
          <w:rFonts w:hint="eastAsia" w:ascii="宋体" w:hAnsi="宋体" w:eastAsia="宋体" w:cs="宋体"/>
          <w:b/>
          <w:bCs/>
          <w:caps/>
          <w:color w:val="auto"/>
          <w:sz w:val="24"/>
          <w:highlight w:val="none"/>
        </w:rPr>
        <w:instrText xml:space="preserve"> TOC \o "1-3" \h \z \u </w:instrText>
      </w:r>
      <w:r>
        <w:rPr>
          <w:rFonts w:hint="eastAsia" w:ascii="宋体" w:hAnsi="宋体" w:eastAsia="宋体" w:cs="宋体"/>
          <w:b/>
          <w:bCs/>
          <w:caps/>
          <w:color w:val="auto"/>
          <w:sz w:val="24"/>
          <w:highlight w:val="none"/>
        </w:rPr>
        <w:fldChar w:fldCharType="separate"/>
      </w: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_Toc26065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第一章 竞争性磋商公告</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_Toc26065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61EF05C5">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_Toc32607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第二章 供应商须知</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_Toc32607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5</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6B41F23B">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_Toc13362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第三章 采购需求</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_Toc13362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26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386B3244">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_Toc25718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第四章 评审程序、评审方法和评审标准</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_Toc25718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61</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3EA94814">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_Toc11741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第五章 响应文件格式</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_Toc11741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74</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45B5614D">
      <w:pPr>
        <w:pStyle w:val="25"/>
        <w:keepNext w:val="0"/>
        <w:keepLines w:val="0"/>
        <w:pageBreakBefore w:val="0"/>
        <w:widowControl w:val="0"/>
        <w:tabs>
          <w:tab w:val="right" w:leader="dot" w:pos="9072"/>
        </w:tabs>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rPr>
      </w:pPr>
      <w:r>
        <w:rPr>
          <w:rFonts w:hint="eastAsia" w:ascii="宋体" w:hAnsi="宋体" w:eastAsia="宋体" w:cs="宋体"/>
          <w:b/>
          <w:bCs/>
          <w:caps/>
          <w:color w:val="auto"/>
          <w:sz w:val="24"/>
          <w:szCs w:val="24"/>
          <w:highlight w:val="none"/>
        </w:rPr>
        <w:fldChar w:fldCharType="begin"/>
      </w:r>
      <w:r>
        <w:rPr>
          <w:rFonts w:hint="eastAsia" w:ascii="宋体" w:hAnsi="宋体" w:eastAsia="宋体" w:cs="宋体"/>
          <w:b/>
          <w:bCs/>
          <w:caps/>
          <w:color w:val="auto"/>
          <w:sz w:val="24"/>
          <w:szCs w:val="24"/>
          <w:highlight w:val="none"/>
        </w:rPr>
        <w:instrText xml:space="preserve"> HYPERLINK \l _Toc12223 </w:instrText>
      </w:r>
      <w:r>
        <w:rPr>
          <w:rFonts w:hint="eastAsia" w:ascii="宋体" w:hAnsi="宋体" w:eastAsia="宋体" w:cs="宋体"/>
          <w:b/>
          <w:bCs/>
          <w:caps/>
          <w:color w:val="auto"/>
          <w:sz w:val="24"/>
          <w:szCs w:val="24"/>
          <w:highlight w:val="none"/>
        </w:rPr>
        <w:fldChar w:fldCharType="separate"/>
      </w:r>
      <w:r>
        <w:rPr>
          <w:rFonts w:hint="eastAsia" w:ascii="宋体" w:hAnsi="宋体" w:eastAsia="宋体" w:cs="宋体"/>
          <w:b/>
          <w:bCs/>
          <w:color w:val="auto"/>
          <w:sz w:val="24"/>
          <w:szCs w:val="24"/>
          <w:highlight w:val="none"/>
        </w:rPr>
        <w:t>第六章 拟签订的合同文本</w:t>
      </w:r>
      <w:r>
        <w:rPr>
          <w:rFonts w:hint="eastAsia" w:ascii="宋体" w:hAnsi="宋体" w:eastAsia="宋体" w:cs="宋体"/>
          <w:b/>
          <w:bCs/>
          <w:color w:val="auto"/>
          <w:sz w:val="24"/>
          <w:szCs w:val="24"/>
          <w:highlight w:val="none"/>
        </w:rPr>
        <w:tab/>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color w:val="auto"/>
          <w:sz w:val="24"/>
          <w:szCs w:val="24"/>
          <w:highlight w:val="none"/>
        </w:rPr>
        <w:instrText xml:space="preserve"> PAGEREF _Toc12223 \h </w:instrText>
      </w:r>
      <w:r>
        <w:rPr>
          <w:rFonts w:hint="eastAsia" w:ascii="宋体" w:hAnsi="宋体" w:eastAsia="宋体" w:cs="宋体"/>
          <w:b/>
          <w:bCs/>
          <w:color w:val="auto"/>
          <w:sz w:val="24"/>
          <w:szCs w:val="24"/>
          <w:highlight w:val="none"/>
        </w:rPr>
        <w:fldChar w:fldCharType="separate"/>
      </w:r>
      <w:r>
        <w:rPr>
          <w:rFonts w:hint="eastAsia" w:ascii="宋体" w:hAnsi="宋体" w:eastAsia="宋体" w:cs="宋体"/>
          <w:b/>
          <w:bCs/>
          <w:color w:val="auto"/>
          <w:sz w:val="24"/>
          <w:szCs w:val="24"/>
          <w:highlight w:val="none"/>
        </w:rPr>
        <w:t>106</w:t>
      </w:r>
      <w:r>
        <w:rPr>
          <w:rFonts w:hint="eastAsia" w:ascii="宋体" w:hAnsi="宋体" w:eastAsia="宋体" w:cs="宋体"/>
          <w:b/>
          <w:bCs/>
          <w:color w:val="auto"/>
          <w:sz w:val="24"/>
          <w:szCs w:val="24"/>
          <w:highlight w:val="none"/>
        </w:rPr>
        <w:fldChar w:fldCharType="end"/>
      </w:r>
      <w:r>
        <w:rPr>
          <w:rFonts w:hint="eastAsia" w:ascii="宋体" w:hAnsi="宋体" w:eastAsia="宋体" w:cs="宋体"/>
          <w:b/>
          <w:bCs/>
          <w:caps/>
          <w:color w:val="auto"/>
          <w:sz w:val="24"/>
          <w:szCs w:val="24"/>
          <w:highlight w:val="none"/>
        </w:rPr>
        <w:fldChar w:fldCharType="end"/>
      </w:r>
    </w:p>
    <w:p w14:paraId="24F9EF8A">
      <w:pPr>
        <w:pStyle w:val="25"/>
        <w:keepNext w:val="0"/>
        <w:keepLines w:val="0"/>
        <w:pageBreakBefore w:val="0"/>
        <w:widowControl w:val="0"/>
        <w:tabs>
          <w:tab w:val="right" w:leader="dot" w:pos="8730"/>
        </w:tabs>
        <w:kinsoku/>
        <w:wordWrap/>
        <w:overflowPunct/>
        <w:topLinePunct w:val="0"/>
        <w:autoSpaceDE/>
        <w:autoSpaceDN/>
        <w:bidi w:val="0"/>
        <w:adjustRightInd/>
        <w:snapToGrid/>
        <w:spacing w:before="120" w:after="120" w:line="360" w:lineRule="auto"/>
        <w:ind w:firstLine="211" w:firstLineChars="100"/>
        <w:jc w:val="left"/>
        <w:textAlignment w:val="auto"/>
        <w:rPr>
          <w:rFonts w:hint="eastAsia" w:ascii="宋体" w:hAnsi="宋体" w:eastAsia="宋体" w:cs="宋体"/>
          <w:b/>
          <w:bCs/>
          <w:color w:val="auto"/>
          <w:sz w:val="24"/>
          <w:highlight w:val="none"/>
        </w:rPr>
      </w:pPr>
      <w:r>
        <w:rPr>
          <w:rFonts w:hint="eastAsia" w:ascii="宋体" w:hAnsi="宋体" w:eastAsia="宋体" w:cs="宋体"/>
          <w:b/>
          <w:bCs/>
          <w:caps/>
          <w:color w:val="auto"/>
          <w:highlight w:val="none"/>
        </w:rPr>
        <w:fldChar w:fldCharType="end"/>
      </w:r>
    </w:p>
    <w:p w14:paraId="23674E29">
      <w:pPr>
        <w:spacing w:line="400" w:lineRule="exact"/>
        <w:jc w:val="left"/>
        <w:rPr>
          <w:rFonts w:ascii="宋体" w:hAnsi="宋体" w:cs="宋体"/>
          <w:b/>
          <w:color w:val="auto"/>
          <w:sz w:val="32"/>
          <w:szCs w:val="32"/>
          <w:highlight w:val="none"/>
        </w:rPr>
      </w:pPr>
    </w:p>
    <w:p w14:paraId="4D2E4A3E">
      <w:pPr>
        <w:spacing w:line="400" w:lineRule="exact"/>
        <w:jc w:val="center"/>
        <w:rPr>
          <w:rFonts w:ascii="宋体" w:hAnsi="宋体" w:cs="宋体"/>
          <w:b/>
          <w:color w:val="auto"/>
          <w:sz w:val="32"/>
          <w:szCs w:val="32"/>
          <w:highlight w:val="none"/>
        </w:rPr>
      </w:pPr>
    </w:p>
    <w:p w14:paraId="03E31414">
      <w:pPr>
        <w:spacing w:line="400" w:lineRule="exact"/>
        <w:jc w:val="center"/>
        <w:rPr>
          <w:rFonts w:ascii="宋体" w:hAnsi="宋体" w:cs="宋体"/>
          <w:b/>
          <w:color w:val="auto"/>
          <w:sz w:val="32"/>
          <w:szCs w:val="32"/>
          <w:highlight w:val="none"/>
        </w:rPr>
      </w:pPr>
    </w:p>
    <w:p w14:paraId="3985F7CB">
      <w:pPr>
        <w:spacing w:line="400" w:lineRule="exact"/>
        <w:jc w:val="center"/>
        <w:rPr>
          <w:rFonts w:ascii="宋体" w:hAnsi="宋体" w:cs="宋体"/>
          <w:b/>
          <w:color w:val="auto"/>
          <w:sz w:val="32"/>
          <w:szCs w:val="32"/>
          <w:highlight w:val="none"/>
        </w:rPr>
      </w:pPr>
    </w:p>
    <w:p w14:paraId="637FE6E2">
      <w:pPr>
        <w:pStyle w:val="28"/>
        <w:tabs>
          <w:tab w:val="clear" w:pos="8296"/>
        </w:tabs>
        <w:snapToGrid w:val="0"/>
        <w:spacing w:line="500" w:lineRule="atLeast"/>
        <w:ind w:left="0" w:leftChars="0"/>
        <w:rPr>
          <w:rFonts w:ascii="宋体" w:hAnsi="宋体" w:cs="宋体"/>
          <w:b/>
          <w:color w:val="auto"/>
          <w:sz w:val="24"/>
          <w:highlight w:val="none"/>
        </w:rPr>
      </w:pPr>
    </w:p>
    <w:p w14:paraId="3CC95886">
      <w:pPr>
        <w:spacing w:line="400" w:lineRule="exact"/>
        <w:jc w:val="left"/>
        <w:rPr>
          <w:rFonts w:ascii="宋体" w:hAnsi="宋体" w:cs="宋体"/>
          <w:b/>
          <w:color w:val="auto"/>
          <w:sz w:val="32"/>
          <w:szCs w:val="32"/>
          <w:highlight w:val="none"/>
        </w:rPr>
      </w:pPr>
    </w:p>
    <w:p w14:paraId="1355E027">
      <w:pPr>
        <w:spacing w:line="400" w:lineRule="exact"/>
        <w:jc w:val="center"/>
        <w:rPr>
          <w:rFonts w:ascii="宋体" w:hAnsi="宋体" w:cs="宋体"/>
          <w:b/>
          <w:color w:val="auto"/>
          <w:sz w:val="32"/>
          <w:szCs w:val="32"/>
          <w:highlight w:val="none"/>
        </w:rPr>
      </w:pPr>
    </w:p>
    <w:p w14:paraId="6084F8FB">
      <w:pPr>
        <w:spacing w:line="400" w:lineRule="exact"/>
        <w:jc w:val="center"/>
        <w:rPr>
          <w:rFonts w:ascii="宋体" w:hAnsi="宋体" w:cs="宋体"/>
          <w:b/>
          <w:color w:val="auto"/>
          <w:sz w:val="32"/>
          <w:szCs w:val="32"/>
          <w:highlight w:val="none"/>
        </w:rPr>
      </w:pPr>
    </w:p>
    <w:p w14:paraId="68509397">
      <w:pPr>
        <w:spacing w:line="400" w:lineRule="exact"/>
        <w:jc w:val="center"/>
        <w:rPr>
          <w:rFonts w:ascii="宋体" w:hAnsi="宋体" w:cs="宋体"/>
          <w:b/>
          <w:color w:val="auto"/>
          <w:sz w:val="32"/>
          <w:szCs w:val="32"/>
          <w:highlight w:val="none"/>
        </w:rPr>
      </w:pPr>
    </w:p>
    <w:p w14:paraId="763B02F6">
      <w:pPr>
        <w:spacing w:line="400" w:lineRule="exact"/>
        <w:jc w:val="center"/>
        <w:rPr>
          <w:rFonts w:ascii="宋体" w:hAnsi="宋体" w:cs="宋体"/>
          <w:b/>
          <w:color w:val="auto"/>
          <w:sz w:val="32"/>
          <w:szCs w:val="32"/>
          <w:highlight w:val="none"/>
        </w:rPr>
      </w:pPr>
    </w:p>
    <w:p w14:paraId="50ED81EA">
      <w:pPr>
        <w:spacing w:line="400" w:lineRule="exact"/>
        <w:rPr>
          <w:rFonts w:ascii="宋体" w:hAnsi="宋体" w:cs="宋体"/>
          <w:b/>
          <w:color w:val="auto"/>
          <w:sz w:val="32"/>
          <w:szCs w:val="32"/>
          <w:highlight w:val="none"/>
        </w:rPr>
        <w:sectPr>
          <w:footerReference r:id="rId8" w:type="first"/>
          <w:footerReference r:id="rId7" w:type="default"/>
          <w:pgSz w:w="11906" w:h="16838"/>
          <w:pgMar w:top="1417" w:right="1417" w:bottom="1417" w:left="1417" w:header="851" w:footer="567" w:gutter="0"/>
          <w:pgNumType w:start="0"/>
          <w:cols w:space="720" w:num="1"/>
          <w:titlePg/>
          <w:docGrid w:type="lines" w:linePitch="312" w:charSpace="0"/>
        </w:sectPr>
      </w:pPr>
    </w:p>
    <w:p w14:paraId="429DD33C">
      <w:pPr>
        <w:pStyle w:val="2"/>
        <w:spacing w:line="360" w:lineRule="auto"/>
        <w:jc w:val="center"/>
        <w:rPr>
          <w:rFonts w:ascii="宋体" w:hAnsi="宋体" w:cs="宋体"/>
          <w:color w:val="auto"/>
          <w:highlight w:val="none"/>
        </w:rPr>
      </w:pPr>
      <w:bookmarkStart w:id="0" w:name="_Toc26065"/>
      <w:r>
        <w:rPr>
          <w:rFonts w:hint="eastAsia" w:ascii="宋体" w:hAnsi="宋体" w:cs="宋体"/>
          <w:color w:val="auto"/>
          <w:highlight w:val="none"/>
        </w:rPr>
        <w:t>第一章</w:t>
      </w:r>
      <w:r>
        <w:rPr>
          <w:rFonts w:hint="eastAsia" w:ascii="宋体" w:hAnsi="宋体" w:cs="宋体"/>
          <w:color w:val="auto"/>
          <w:highlight w:val="none"/>
          <w:lang w:val="en-US" w:eastAsia="zh-CN"/>
        </w:rPr>
        <w:t>、</w:t>
      </w:r>
      <w:r>
        <w:rPr>
          <w:rFonts w:hint="eastAsia" w:ascii="宋体" w:hAnsi="宋体" w:cs="宋体"/>
          <w:color w:val="auto"/>
          <w:highlight w:val="none"/>
        </w:rPr>
        <w:t>竞争性磋商公告</w:t>
      </w:r>
      <w:bookmarkEnd w:id="0"/>
    </w:p>
    <w:p w14:paraId="53670EAD">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b/>
          <w:bCs/>
          <w:color w:val="auto"/>
          <w:sz w:val="21"/>
          <w:szCs w:val="21"/>
          <w:highlight w:val="none"/>
        </w:rPr>
      </w:pPr>
      <w:bookmarkStart w:id="1" w:name="_Hlk37430271"/>
      <w:r>
        <w:rPr>
          <w:rFonts w:hint="eastAsia" w:ascii="宋体" w:hAnsi="宋体" w:eastAsia="宋体" w:cs="宋体"/>
          <w:b/>
          <w:bCs/>
          <w:color w:val="auto"/>
          <w:sz w:val="21"/>
          <w:szCs w:val="21"/>
          <w:highlight w:val="none"/>
        </w:rPr>
        <w:t>项目概况：</w:t>
      </w:r>
    </w:p>
    <w:p w14:paraId="33AAF3EA">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桂林理工大学“雁山智慧谷・桂工科创之窗”展示中心展陈服务项目采购项目的潜在供应商应在广西政府采购云平台（https://www.gcy.zfcg.gxzf.gov.cn/）获取</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文件，并于</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09:30</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2C7DFD2B">
      <w:pPr>
        <w:widowControl/>
        <w:spacing w:line="360" w:lineRule="auto"/>
        <w:ind w:firstLine="422" w:firstLineChars="200"/>
        <w:rPr>
          <w:rFonts w:hint="eastAsia" w:ascii="宋体" w:hAnsi="宋体" w:eastAsia="宋体" w:cs="宋体"/>
          <w:b/>
          <w:color w:val="auto"/>
          <w:sz w:val="21"/>
          <w:szCs w:val="21"/>
          <w:highlight w:val="none"/>
        </w:rPr>
      </w:pPr>
      <w:bookmarkStart w:id="2" w:name="_Hlk37429674"/>
      <w:bookmarkStart w:id="3" w:name="_Toc35393805"/>
      <w:bookmarkStart w:id="4" w:name="_Toc44229885"/>
      <w:bookmarkStart w:id="5" w:name="_Toc28359018"/>
      <w:bookmarkStart w:id="6" w:name="_Toc28359095"/>
      <w:bookmarkStart w:id="7" w:name="_Toc35393636"/>
      <w:r>
        <w:rPr>
          <w:rFonts w:hint="eastAsia" w:ascii="宋体" w:hAnsi="宋体" w:eastAsia="宋体" w:cs="宋体"/>
          <w:b/>
          <w:color w:val="auto"/>
          <w:sz w:val="21"/>
          <w:szCs w:val="21"/>
          <w:highlight w:val="none"/>
        </w:rPr>
        <w:t>一、项目基本情况</w:t>
      </w:r>
    </w:p>
    <w:p w14:paraId="3B394CD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项目编号：GXZC2026-C3-002558-JDZB</w:t>
      </w:r>
    </w:p>
    <w:p w14:paraId="5340EBDC">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项目名称：桂林理工大学“雁山智慧谷・桂工科创之窗”展示中心展陈服务项目采购</w:t>
      </w:r>
    </w:p>
    <w:p w14:paraId="08DE99B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采购方式：竞争性磋商</w:t>
      </w:r>
    </w:p>
    <w:p w14:paraId="7D65252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预算总金额（元）：2366622.30</w:t>
      </w:r>
    </w:p>
    <w:p w14:paraId="2720C11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p>
    <w:p w14:paraId="5A99570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标项名称：桂林理工大学“雁山智慧谷・桂工科创之窗”展示中心展陈服务项目采购</w:t>
      </w:r>
    </w:p>
    <w:p w14:paraId="25DFACB4">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数量</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p>
    <w:p w14:paraId="386DDDC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预算金额（元）：2366622.30</w:t>
      </w:r>
    </w:p>
    <w:p w14:paraId="16274CE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简要规格描述或项目基本概况介绍、用途：</w:t>
      </w:r>
      <w:r>
        <w:rPr>
          <w:rFonts w:hint="eastAsia" w:ascii="宋体" w:hAnsi="宋体" w:cs="宋体"/>
          <w:szCs w:val="21"/>
          <w:highlight w:val="none"/>
        </w:rPr>
        <w:t>具体详见采购文件</w:t>
      </w:r>
      <w:r>
        <w:rPr>
          <w:rFonts w:hint="eastAsia" w:ascii="宋体" w:hAnsi="宋体" w:eastAsia="宋体" w:cs="宋体"/>
          <w:color w:val="auto"/>
          <w:sz w:val="21"/>
          <w:szCs w:val="21"/>
          <w:highlight w:val="none"/>
        </w:rPr>
        <w:t>。</w:t>
      </w:r>
    </w:p>
    <w:p w14:paraId="23EBDC1B">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最高限价（元）</w:t>
      </w:r>
      <w:r>
        <w:rPr>
          <w:rFonts w:hint="eastAsia" w:ascii="宋体" w:hAnsi="宋体" w:eastAsia="宋体" w:cs="宋体"/>
          <w:color w:val="auto"/>
          <w:sz w:val="21"/>
          <w:szCs w:val="21"/>
          <w:highlight w:val="none"/>
          <w:lang w:eastAsia="zh-CN"/>
        </w:rPr>
        <w:t>：2366622.30</w:t>
      </w:r>
    </w:p>
    <w:p w14:paraId="7E45A999">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合同履约期限：</w:t>
      </w:r>
      <w:r>
        <w:rPr>
          <w:rFonts w:hint="eastAsia" w:ascii="宋体" w:hAnsi="宋体" w:eastAsia="宋体" w:cs="宋体"/>
          <w:sz w:val="21"/>
          <w:szCs w:val="21"/>
          <w:highlight w:val="none"/>
        </w:rPr>
        <w:t>自合同签订之日起</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rPr>
        <w:t>0日历天内完成全部设计、</w:t>
      </w:r>
      <w:r>
        <w:rPr>
          <w:rFonts w:hint="eastAsia" w:ascii="宋体" w:hAnsi="宋体" w:cs="宋体"/>
          <w:bCs/>
          <w:kern w:val="0"/>
          <w:szCs w:val="21"/>
          <w:highlight w:val="none"/>
          <w:lang w:val="en-US" w:eastAsia="zh-CN"/>
        </w:rPr>
        <w:t>服务</w:t>
      </w:r>
      <w:r>
        <w:rPr>
          <w:rFonts w:hint="eastAsia" w:ascii="宋体" w:hAnsi="宋体" w:eastAsia="宋体" w:cs="宋体"/>
          <w:sz w:val="21"/>
          <w:szCs w:val="21"/>
          <w:highlight w:val="none"/>
        </w:rPr>
        <w:t>、供货、安装、调试并通过验收；</w:t>
      </w:r>
    </w:p>
    <w:p w14:paraId="0D32AB53">
      <w:pPr>
        <w:widowControl/>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本标项（否）接受联合体投标</w:t>
      </w:r>
    </w:p>
    <w:p w14:paraId="7CF20320">
      <w:pPr>
        <w:widowControl/>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备注：</w:t>
      </w:r>
      <w:r>
        <w:rPr>
          <w:rFonts w:hint="eastAsia" w:ascii="宋体" w:hAnsi="宋体" w:eastAsia="宋体" w:cs="宋体"/>
          <w:b w:val="0"/>
          <w:bCs/>
          <w:color w:val="auto"/>
          <w:sz w:val="21"/>
          <w:szCs w:val="21"/>
          <w:highlight w:val="none"/>
          <w:lang w:val="en-US" w:eastAsia="zh-CN"/>
        </w:rPr>
        <w:t>/</w:t>
      </w:r>
    </w:p>
    <w:p w14:paraId="20EFAEFD">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二、申请人的资格条件：</w:t>
      </w:r>
    </w:p>
    <w:p w14:paraId="2618E21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1.满足《中华人民共和国政府采购法》第二十二条规定；</w:t>
      </w:r>
    </w:p>
    <w:p w14:paraId="23A5B5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2.落实政府采购政策需满足的资格要求：是否专门面向中小企业采购（</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是</w:t>
      </w: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否）；</w:t>
      </w:r>
    </w:p>
    <w:p w14:paraId="28E007DC">
      <w:pPr>
        <w:spacing w:line="360" w:lineRule="auto"/>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3.本项目的特定资格要求：</w:t>
      </w:r>
      <w:r>
        <w:rPr>
          <w:rFonts w:hint="eastAsia" w:ascii="宋体" w:hAnsi="宋体" w:cs="宋体"/>
          <w:color w:val="auto"/>
          <w:sz w:val="21"/>
          <w:szCs w:val="21"/>
          <w:highlight w:val="none"/>
          <w:lang w:val="en-US" w:eastAsia="zh-CN"/>
        </w:rPr>
        <w:t>无</w:t>
      </w:r>
    </w:p>
    <w:p w14:paraId="5ED51C46">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三、获取采购文件</w:t>
      </w:r>
    </w:p>
    <w:p w14:paraId="30AA9BD9">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kern w:val="0"/>
          <w:sz w:val="21"/>
          <w:szCs w:val="21"/>
          <w:highlight w:val="none"/>
          <w:lang w:eastAsia="zh-CN"/>
        </w:rPr>
        <w:t>：</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8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5 </w:t>
      </w:r>
      <w:r>
        <w:rPr>
          <w:rFonts w:hint="eastAsia" w:ascii="宋体" w:hAnsi="宋体" w:eastAsia="宋体" w:cs="宋体"/>
          <w:color w:val="auto"/>
          <w:sz w:val="21"/>
          <w:szCs w:val="21"/>
          <w:highlight w:val="none"/>
        </w:rPr>
        <w:t>日至</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12 </w:t>
      </w:r>
      <w:r>
        <w:rPr>
          <w:rFonts w:hint="eastAsia" w:ascii="宋体" w:hAnsi="宋体" w:eastAsia="宋体" w:cs="宋体"/>
          <w:color w:val="auto"/>
          <w:sz w:val="21"/>
          <w:szCs w:val="21"/>
          <w:highlight w:val="none"/>
        </w:rPr>
        <w:t>日，每天上午00:00-12:00，下午12:00-23:59（北京时间，法定节假日除外）</w:t>
      </w:r>
      <w:r>
        <w:rPr>
          <w:rFonts w:hint="eastAsia" w:ascii="宋体" w:hAnsi="宋体" w:eastAsia="宋体" w:cs="宋体"/>
          <w:bCs/>
          <w:color w:val="auto"/>
          <w:kern w:val="0"/>
          <w:sz w:val="21"/>
          <w:szCs w:val="21"/>
          <w:highlight w:val="none"/>
        </w:rPr>
        <w:t>。</w:t>
      </w:r>
    </w:p>
    <w:p w14:paraId="1C299552">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地点（网址）：广西政府采购云平台（https://www.gcy.zfcg.gxzf.gov.cn/）</w:t>
      </w:r>
    </w:p>
    <w:p w14:paraId="02523B31">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方式：网上下载。本项目不发放纸质文件，供应商应自行在</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HYPERLINK</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fldChar w:fldCharType="end"/>
      </w:r>
      <w:r>
        <w:rPr>
          <w:rFonts w:hint="eastAsia" w:ascii="宋体" w:hAnsi="宋体" w:eastAsia="宋体" w:cs="宋体"/>
          <w:bCs/>
          <w:color w:val="auto"/>
          <w:kern w:val="0"/>
          <w:sz w:val="21"/>
          <w:szCs w:val="21"/>
          <w:highlight w:val="none"/>
        </w:rPr>
        <w:t>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通过其他方式获取竞争性磋商文件的，将有可能导致供应商无法在广西政府采购云平台编制及上传响应文件。</w:t>
      </w:r>
    </w:p>
    <w:p w14:paraId="27B5767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售价（元）：0</w:t>
      </w:r>
    </w:p>
    <w:p w14:paraId="778E2E0F">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四、响应文件提交</w:t>
      </w:r>
    </w:p>
    <w:p w14:paraId="2489F833">
      <w:pPr>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eastAsia="宋体" w:cs="宋体"/>
          <w:bCs/>
          <w:color w:val="auto"/>
          <w:kern w:val="0"/>
          <w:sz w:val="21"/>
          <w:szCs w:val="21"/>
          <w:highlight w:val="none"/>
          <w:lang w:val="en-US" w:eastAsia="zh-CN"/>
        </w:rPr>
        <w:t>2026</w:t>
      </w:r>
      <w:r>
        <w:rPr>
          <w:rFonts w:hint="eastAsia" w:ascii="宋体" w:hAnsi="宋体" w:eastAsia="宋体" w:cs="宋体"/>
          <w:bCs/>
          <w:color w:val="auto"/>
          <w:kern w:val="0"/>
          <w:sz w:val="21"/>
          <w:szCs w:val="21"/>
          <w:highlight w:val="none"/>
        </w:rPr>
        <w:t>年</w:t>
      </w:r>
      <w:r>
        <w:rPr>
          <w:rFonts w:hint="eastAsia" w:ascii="宋体" w:hAnsi="宋体" w:cs="宋体"/>
          <w:bCs/>
          <w:color w:val="auto"/>
          <w:kern w:val="0"/>
          <w:sz w:val="21"/>
          <w:szCs w:val="21"/>
          <w:highlight w:val="none"/>
          <w:lang w:val="en-US" w:eastAsia="zh-CN"/>
        </w:rPr>
        <w:t xml:space="preserve">8 </w:t>
      </w:r>
      <w:r>
        <w:rPr>
          <w:rFonts w:hint="eastAsia" w:ascii="宋体" w:hAnsi="宋体" w:eastAsia="宋体" w:cs="宋体"/>
          <w:bCs/>
          <w:color w:val="auto"/>
          <w:kern w:val="0"/>
          <w:sz w:val="21"/>
          <w:szCs w:val="21"/>
          <w:highlight w:val="none"/>
        </w:rPr>
        <w:t>月</w:t>
      </w:r>
      <w:r>
        <w:rPr>
          <w:rFonts w:hint="eastAsia" w:ascii="宋体" w:hAnsi="宋体" w:cs="宋体"/>
          <w:bCs/>
          <w:color w:val="auto"/>
          <w:kern w:val="0"/>
          <w:sz w:val="21"/>
          <w:szCs w:val="21"/>
          <w:highlight w:val="none"/>
          <w:lang w:val="en-US" w:eastAsia="zh-CN"/>
        </w:rPr>
        <w:t xml:space="preserve">17 </w:t>
      </w:r>
      <w:r>
        <w:rPr>
          <w:rFonts w:hint="eastAsia" w:ascii="宋体" w:hAnsi="宋体" w:eastAsia="宋体" w:cs="宋体"/>
          <w:bCs/>
          <w:color w:val="auto"/>
          <w:kern w:val="0"/>
          <w:sz w:val="21"/>
          <w:szCs w:val="21"/>
          <w:highlight w:val="none"/>
        </w:rPr>
        <w:t>日09:30（北京时间）</w:t>
      </w:r>
    </w:p>
    <w:p w14:paraId="5C03950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地点（网址）：通过广西政府采购云平台在线提交。</w:t>
      </w:r>
    </w:p>
    <w:p w14:paraId="1078A827">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五、响应文件开启</w:t>
      </w:r>
    </w:p>
    <w:p w14:paraId="7FD790A5">
      <w:pPr>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开启时间：</w:t>
      </w:r>
      <w:r>
        <w:rPr>
          <w:rFonts w:hint="eastAsia" w:ascii="宋体" w:hAnsi="宋体" w:eastAsia="宋体" w:cs="宋体"/>
          <w:bCs/>
          <w:color w:val="auto"/>
          <w:kern w:val="0"/>
          <w:sz w:val="21"/>
          <w:szCs w:val="21"/>
          <w:highlight w:val="none"/>
          <w:lang w:val="en-US" w:eastAsia="zh-CN"/>
        </w:rPr>
        <w:t>2026</w:t>
      </w:r>
      <w:r>
        <w:rPr>
          <w:rFonts w:hint="eastAsia" w:ascii="宋体" w:hAnsi="宋体" w:eastAsia="宋体" w:cs="宋体"/>
          <w:bCs/>
          <w:color w:val="auto"/>
          <w:kern w:val="0"/>
          <w:sz w:val="21"/>
          <w:szCs w:val="21"/>
          <w:highlight w:val="none"/>
        </w:rPr>
        <w:t>年</w:t>
      </w:r>
      <w:r>
        <w:rPr>
          <w:rFonts w:hint="eastAsia" w:ascii="宋体" w:hAnsi="宋体" w:cs="宋体"/>
          <w:bCs/>
          <w:color w:val="auto"/>
          <w:kern w:val="0"/>
          <w:sz w:val="21"/>
          <w:szCs w:val="21"/>
          <w:highlight w:val="none"/>
          <w:lang w:val="en-US" w:eastAsia="zh-CN"/>
        </w:rPr>
        <w:t xml:space="preserve">8 </w:t>
      </w:r>
      <w:r>
        <w:rPr>
          <w:rFonts w:hint="eastAsia" w:ascii="宋体" w:hAnsi="宋体" w:eastAsia="宋体" w:cs="宋体"/>
          <w:bCs/>
          <w:color w:val="auto"/>
          <w:kern w:val="0"/>
          <w:sz w:val="21"/>
          <w:szCs w:val="21"/>
          <w:highlight w:val="none"/>
        </w:rPr>
        <w:t>月</w:t>
      </w:r>
      <w:r>
        <w:rPr>
          <w:rFonts w:hint="eastAsia" w:ascii="宋体" w:hAnsi="宋体" w:cs="宋体"/>
          <w:bCs/>
          <w:color w:val="auto"/>
          <w:kern w:val="0"/>
          <w:sz w:val="21"/>
          <w:szCs w:val="21"/>
          <w:highlight w:val="none"/>
          <w:lang w:val="en-US" w:eastAsia="zh-CN"/>
        </w:rPr>
        <w:t xml:space="preserve">17 </w:t>
      </w:r>
      <w:r>
        <w:rPr>
          <w:rFonts w:hint="eastAsia" w:ascii="宋体" w:hAnsi="宋体" w:eastAsia="宋体" w:cs="宋体"/>
          <w:bCs/>
          <w:color w:val="auto"/>
          <w:kern w:val="0"/>
          <w:sz w:val="21"/>
          <w:szCs w:val="21"/>
          <w:highlight w:val="none"/>
        </w:rPr>
        <w:t>日</w:t>
      </w:r>
      <w:r>
        <w:rPr>
          <w:rFonts w:hint="eastAsia" w:ascii="宋体" w:hAnsi="宋体" w:eastAsia="宋体" w:cs="宋体"/>
          <w:bCs/>
          <w:i w:val="0"/>
          <w:iCs w:val="0"/>
          <w:caps w:val="0"/>
          <w:color w:val="auto"/>
          <w:spacing w:val="0"/>
          <w:kern w:val="0"/>
          <w:sz w:val="21"/>
          <w:szCs w:val="21"/>
          <w:highlight w:val="none"/>
        </w:rPr>
        <w:t>09:30</w:t>
      </w:r>
      <w:r>
        <w:rPr>
          <w:rFonts w:hint="eastAsia" w:ascii="宋体" w:hAnsi="宋体" w:eastAsia="宋体" w:cs="宋体"/>
          <w:bCs/>
          <w:color w:val="auto"/>
          <w:kern w:val="0"/>
          <w:sz w:val="21"/>
          <w:szCs w:val="21"/>
          <w:highlight w:val="none"/>
        </w:rPr>
        <w:t>（北京时间）</w:t>
      </w:r>
    </w:p>
    <w:p w14:paraId="0BD4F7C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地点：本项目将在广西政府采购云平台电子开标大厅解密、开启。</w:t>
      </w:r>
    </w:p>
    <w:p w14:paraId="0432BEF4">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六、公告期限</w:t>
      </w:r>
    </w:p>
    <w:p w14:paraId="29D43D75">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个工作日。</w:t>
      </w:r>
    </w:p>
    <w:p w14:paraId="1E326BCF">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七、</w:t>
      </w:r>
      <w:r>
        <w:rPr>
          <w:rFonts w:hint="eastAsia" w:ascii="宋体" w:hAnsi="宋体" w:eastAsia="宋体" w:cs="宋体"/>
          <w:b/>
          <w:color w:val="auto"/>
          <w:sz w:val="21"/>
          <w:szCs w:val="21"/>
          <w:highlight w:val="none"/>
        </w:rPr>
        <w:t>其他补充事宜</w:t>
      </w:r>
      <w:r>
        <w:rPr>
          <w:rFonts w:hint="eastAsia" w:ascii="宋体" w:hAnsi="宋体" w:eastAsia="宋体" w:cs="宋体"/>
          <w:color w:val="auto"/>
          <w:sz w:val="21"/>
          <w:szCs w:val="21"/>
          <w:highlight w:val="none"/>
        </w:rPr>
        <w:t>：</w:t>
      </w:r>
    </w:p>
    <w:p w14:paraId="0F5EA89D">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D773C4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2.根据财政部《关于在政府采购活动中查询及使用信用记录有关问题的通知》（财库〔2016〕125号）的规定，对在“信用中国”网站(www.creditchina.gov.cn)、中国政府采购网(www.ccgp.gov.cn)</w:t>
      </w:r>
      <w:r>
        <w:rPr>
          <w:rFonts w:hint="eastAsia" w:ascii="宋体" w:hAnsi="宋体" w:eastAsia="宋体" w:cs="宋体"/>
          <w:color w:val="auto"/>
          <w:sz w:val="21"/>
          <w:szCs w:val="21"/>
          <w:highlight w:val="none"/>
          <w:lang w:eastAsia="zh-CN"/>
        </w:rPr>
        <w:t>、中国执行信息公开网（https://zxgk.court.gov.cn/）</w:t>
      </w:r>
      <w:r>
        <w:rPr>
          <w:rFonts w:hint="eastAsia" w:ascii="宋体" w:hAnsi="宋体" w:eastAsia="宋体" w:cs="宋体"/>
          <w:color w:val="auto"/>
          <w:sz w:val="21"/>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3E067A71">
      <w:pPr>
        <w:spacing w:line="360" w:lineRule="auto"/>
        <w:ind w:firstLine="420"/>
        <w:rPr>
          <w:rFonts w:hint="eastAsia" w:ascii="宋体" w:hAnsi="宋体" w:eastAsia="宋体" w:cs="宋体"/>
          <w:color w:val="auto"/>
          <w:kern w:val="0"/>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bookmarkStart w:id="8" w:name="_Toc16083"/>
      <w:bookmarkStart w:id="9" w:name="_Toc25066"/>
      <w:bookmarkStart w:id="10" w:name="_Toc19227"/>
      <w:bookmarkStart w:id="11" w:name="_Toc13843"/>
      <w:bookmarkStart w:id="12" w:name="_Toc28272"/>
      <w:r>
        <w:rPr>
          <w:rFonts w:hint="eastAsia" w:ascii="宋体" w:hAnsi="宋体" w:eastAsia="宋体" w:cs="宋体"/>
          <w:color w:val="auto"/>
          <w:kern w:val="0"/>
          <w:szCs w:val="21"/>
          <w:highlight w:val="none"/>
        </w:rPr>
        <w:t>磋商保证金（人民币）：</w:t>
      </w:r>
      <w:bookmarkEnd w:id="8"/>
      <w:bookmarkEnd w:id="9"/>
      <w:bookmarkEnd w:id="10"/>
      <w:bookmarkStart w:id="13" w:name="OLE_LINK12"/>
      <w:r>
        <w:rPr>
          <w:rFonts w:hint="eastAsia" w:ascii="宋体" w:hAnsi="宋体" w:eastAsia="宋体" w:cs="宋体"/>
          <w:color w:val="auto"/>
          <w:sz w:val="21"/>
          <w:szCs w:val="21"/>
          <w:highlight w:val="none"/>
        </w:rPr>
        <w:t>23666</w:t>
      </w:r>
      <w:r>
        <w:rPr>
          <w:rFonts w:hint="eastAsia" w:ascii="宋体" w:hAnsi="宋体" w:eastAsia="宋体" w:cs="宋体"/>
          <w:color w:val="auto"/>
          <w:kern w:val="0"/>
          <w:szCs w:val="21"/>
          <w:highlight w:val="none"/>
          <w:lang w:eastAsia="zh-CN"/>
        </w:rPr>
        <w:t>.00</w:t>
      </w:r>
      <w:bookmarkEnd w:id="13"/>
      <w:r>
        <w:rPr>
          <w:rFonts w:hint="eastAsia" w:ascii="宋体" w:hAnsi="宋体" w:eastAsia="宋体" w:cs="宋体"/>
          <w:color w:val="auto"/>
          <w:kern w:val="0"/>
          <w:szCs w:val="21"/>
          <w:highlight w:val="none"/>
        </w:rPr>
        <w:t>元</w:t>
      </w:r>
      <w:bookmarkEnd w:id="11"/>
      <w:bookmarkEnd w:id="12"/>
    </w:p>
    <w:p w14:paraId="42D35013">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Cs w:val="21"/>
          <w:highlight w:val="none"/>
        </w:rPr>
        <w:t>磋商</w:t>
      </w:r>
      <w:r>
        <w:rPr>
          <w:rFonts w:hint="eastAsia" w:ascii="宋体" w:hAnsi="宋体" w:eastAsia="宋体" w:cs="宋体"/>
          <w:color w:val="auto"/>
          <w:kern w:val="0"/>
          <w:sz w:val="21"/>
          <w:szCs w:val="21"/>
          <w:highlight w:val="none"/>
          <w:lang w:bidi="ar"/>
        </w:rPr>
        <w:t>保证金的交纳方式：银行转账、支票、汇票、本票或者金融、担保机构出具的保函，禁止</w:t>
      </w:r>
      <w:r>
        <w:rPr>
          <w:rFonts w:hint="eastAsia" w:ascii="宋体" w:hAnsi="宋体" w:eastAsia="宋体" w:cs="宋体"/>
          <w:color w:val="auto"/>
          <w:kern w:val="0"/>
          <w:sz w:val="21"/>
          <w:szCs w:val="21"/>
          <w:highlight w:val="none"/>
        </w:rPr>
        <w:t>采用现钞方式。采用银行转账方式的，在响应文件提交截止时间前交至采购代理机构指定账户并且到账（开户银行：平安银行南宁分行营业部</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rPr>
        <w:t>，开户名称：广西机电设备招标有限公司</w:t>
      </w:r>
      <w:r>
        <w:rPr>
          <w:rFonts w:hint="eastAsia" w:ascii="宋体" w:hAnsi="宋体" w:eastAsia="宋体" w:cs="宋体"/>
          <w:b w:val="0"/>
          <w:bCs w:val="0"/>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rPr>
        <w:t>，银行账号：30210485101710</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rPr>
        <w:t>）</w:t>
      </w:r>
      <w:r>
        <w:rPr>
          <w:rFonts w:hint="eastAsia" w:ascii="宋体" w:hAnsi="宋体" w:eastAsia="宋体" w:cs="宋体"/>
          <w:color w:val="auto"/>
          <w:kern w:val="0"/>
          <w:sz w:val="21"/>
          <w:szCs w:val="21"/>
          <w:highlight w:val="none"/>
        </w:rPr>
        <w:t>；采用支票、汇票、本票或者保函等方式的，在首次响应文件提交截止时间前，供应商必须提交单独密封的支票、汇票、本票或者保函原件。否则视为无效</w:t>
      </w:r>
      <w:r>
        <w:rPr>
          <w:rFonts w:hint="eastAsia" w:ascii="宋体" w:hAnsi="宋体" w:eastAsia="宋体" w:cs="宋体"/>
          <w:color w:val="auto"/>
          <w:kern w:val="0"/>
          <w:szCs w:val="21"/>
          <w:highlight w:val="none"/>
        </w:rPr>
        <w:t>磋商</w:t>
      </w:r>
      <w:r>
        <w:rPr>
          <w:rFonts w:hint="eastAsia" w:ascii="宋体" w:hAnsi="宋体" w:eastAsia="宋体" w:cs="宋体"/>
          <w:color w:val="auto"/>
          <w:kern w:val="0"/>
          <w:sz w:val="21"/>
          <w:szCs w:val="21"/>
          <w:highlight w:val="none"/>
        </w:rPr>
        <w:t>保证金。</w:t>
      </w:r>
    </w:p>
    <w:p w14:paraId="2EF80F5B">
      <w:pPr>
        <w:spacing w:line="360" w:lineRule="auto"/>
        <w:ind w:left="420" w:left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网上查询地址</w:t>
      </w:r>
      <w:r>
        <w:rPr>
          <w:rFonts w:hint="eastAsia" w:ascii="宋体" w:hAnsi="宋体" w:eastAsia="宋体" w:cs="宋体"/>
          <w:color w:val="auto"/>
          <w:sz w:val="21"/>
          <w:szCs w:val="21"/>
          <w:highlight w:val="none"/>
          <w:lang w:eastAsia="zh-CN"/>
        </w:rPr>
        <w:t>：</w:t>
      </w:r>
    </w:p>
    <w:p w14:paraId="2A5BCAA7">
      <w:p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"http://www.ccgp.gov.cn（中国政府采购网）、zfcg.gxzf.gov.cn（广西壮族自治区政府采购网）。"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中国政府采购网（www.ccgp.gov.cn）</w:t>
      </w:r>
    </w:p>
    <w:p w14:paraId="4FD404E6">
      <w:pPr>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广西壮族自治区政府采购网（www.ccgp-guangxi.gov.cn）</w:t>
      </w:r>
    </w:p>
    <w:p w14:paraId="3DEE2E6F">
      <w:pPr>
        <w:spacing w:line="360" w:lineRule="auto"/>
        <w:ind w:left="420" w:left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fldChar w:fldCharType="end"/>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采购意向公开链接：https://zfcg.gxzf.gov.cn/site/detail?parentId=66485&amp;articleId=YE4KcSJ3Cgr0BCB9m/AfEA==</w:t>
      </w:r>
    </w:p>
    <w:p w14:paraId="021B8FBC">
      <w:pPr>
        <w:widowControl/>
        <w:spacing w:line="360" w:lineRule="auto"/>
        <w:ind w:left="420" w:leftChars="200" w:firstLine="0" w:firstLineChars="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.本项目需要落实的政府采购政策：</w:t>
      </w:r>
    </w:p>
    <w:p w14:paraId="19B2DF55">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p>
    <w:p w14:paraId="7E2E7D04">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（2）政府采购支持采用本国产品的政策。</w:t>
      </w:r>
    </w:p>
    <w:p w14:paraId="587F0B0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（3）强制采购节能产品；优先采购节能产品、环境标志产品。</w:t>
      </w:r>
    </w:p>
    <w:p w14:paraId="1CD7AA4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（4）政府采购促进残疾人就业政策。</w:t>
      </w:r>
    </w:p>
    <w:p w14:paraId="18ACDE68">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（5）政府采购支持监狱企业发展。</w:t>
      </w:r>
    </w:p>
    <w:p w14:paraId="3ADD097C">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（6）扶持不发达地区和少数民族地区政策</w:t>
      </w:r>
    </w:p>
    <w:p w14:paraId="4CC19B62">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.磋商注意事项：</w:t>
      </w:r>
    </w:p>
    <w:p w14:paraId="3A72E76D">
      <w:pPr>
        <w:widowControl/>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响应文件提交方式：本项目为全流程电子化政府采购项目，通过广西政府采购云平台（https://www.gcy.zfcg.gxzf.gov.cn/）实行在线电子磋商采购，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eastAsia="宋体" w:cs="宋体"/>
          <w:b/>
          <w:color w:val="auto"/>
          <w:sz w:val="21"/>
          <w:szCs w:val="21"/>
          <w:highlight w:val="none"/>
        </w:rPr>
        <w:t>供应商在广西政府采购云平台提交电子版响应文件时，请填写参加远程开标活动经办人联系方式。</w:t>
      </w:r>
    </w:p>
    <w:p w14:paraId="65251EDB">
      <w:pPr>
        <w:widowControl/>
        <w:wordWrap w:val="0"/>
        <w:topLinePunct/>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及时熟悉掌握电子标系统操作指南（见广西政府采购云平台电子卖场首页右上角—服务中心—帮助文档—项目采购）：https://helpcenter.zcygov.cn/document/#/document/dashboard?siteCode=gx；及时完成CA申领和绑定（见广西壮族自治区政府采购网—办事服务—下载专区-广西政府采购云平台CA证书办理操作指南）。</w:t>
      </w:r>
    </w:p>
    <w:p w14:paraId="5C1DA4BA">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7845665B">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（4）为确保网上操作合法、有效和安全，请供应商确保在电子竞争性磋商过程中能够对相关数据电文进行加密和使用电子签章，妥善保管CA数字证书并使用有效的CA数字证书参与整个采购活动。</w:t>
      </w:r>
    </w:p>
    <w:p w14:paraId="1974BBC1">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注：供应商应当在首次响应文件提交截止时间前完成电子响应文件的上传、提交，</w:t>
      </w:r>
      <w:r>
        <w:rPr>
          <w:rFonts w:hint="eastAsia" w:ascii="宋体" w:hAnsi="宋体" w:eastAsia="宋体" w:cs="宋体"/>
          <w:b/>
          <w:color w:val="auto"/>
          <w:sz w:val="21"/>
          <w:szCs w:val="21"/>
          <w:highlight w:val="none"/>
        </w:rPr>
        <w:t>首次响应文件提交截止时间</w:t>
      </w:r>
      <w:r>
        <w:rPr>
          <w:rFonts w:hint="eastAsia" w:ascii="宋体" w:hAnsi="宋体" w:eastAsia="宋体" w:cs="宋体"/>
          <w:b/>
          <w:bCs/>
          <w:color w:val="auto"/>
          <w:sz w:val="21"/>
          <w:szCs w:val="21"/>
          <w:highlight w:val="none"/>
        </w:rPr>
        <w:t>前可以补充、修改或者撤回响应文件。补充或者修改响应文件的，应当先行撤回原文件，补充、修改后重新上传、提交。</w:t>
      </w:r>
      <w:r>
        <w:rPr>
          <w:rFonts w:hint="eastAsia" w:ascii="宋体" w:hAnsi="宋体" w:eastAsia="宋体" w:cs="宋体"/>
          <w:b/>
          <w:color w:val="auto"/>
          <w:sz w:val="21"/>
          <w:szCs w:val="21"/>
          <w:highlight w:val="none"/>
        </w:rPr>
        <w:t>首次响应文件提交截止时间</w:t>
      </w:r>
      <w:r>
        <w:rPr>
          <w:rFonts w:hint="eastAsia" w:ascii="宋体" w:hAnsi="宋体" w:eastAsia="宋体" w:cs="宋体"/>
          <w:b/>
          <w:bCs/>
          <w:color w:val="auto"/>
          <w:sz w:val="21"/>
          <w:szCs w:val="21"/>
          <w:highlight w:val="none"/>
        </w:rPr>
        <w:t>前未完成上传、提交的，视为撤回响应文件。</w:t>
      </w:r>
      <w:r>
        <w:rPr>
          <w:rFonts w:hint="eastAsia" w:ascii="宋体" w:hAnsi="宋体" w:eastAsia="宋体" w:cs="宋体"/>
          <w:b/>
          <w:color w:val="auto"/>
          <w:sz w:val="21"/>
          <w:szCs w:val="21"/>
          <w:highlight w:val="none"/>
        </w:rPr>
        <w:t>首次响应文件提交截止时间</w:t>
      </w:r>
      <w:r>
        <w:rPr>
          <w:rFonts w:hint="eastAsia" w:ascii="宋体" w:hAnsi="宋体" w:eastAsia="宋体" w:cs="宋体"/>
          <w:b/>
          <w:bCs/>
          <w:color w:val="auto"/>
          <w:sz w:val="21"/>
          <w:szCs w:val="21"/>
          <w:highlight w:val="none"/>
        </w:rPr>
        <w:t>以后上传递交的响应文件，广西政府采购云平台将予以拒收。</w:t>
      </w:r>
    </w:p>
    <w:p w14:paraId="2E5396FB">
      <w:pPr>
        <w:widowControl/>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CA证书在线解密：首次响应文件开启时，须要供应商携带制作响应文件时用来加密的有效数字证书（CA认证）登录广西政府采购云平台电子开标大厅现场按规定时间对加密的响应文件进行解密，否则后果自负。</w:t>
      </w:r>
    </w:p>
    <w:p w14:paraId="57D3FA0B">
      <w:pPr>
        <w:widowControl/>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.供应商需要在具备有摄像头及语音功能且互联网网络状况良好的电脑登录广西政府采购云平台远程开标大厅参与本次磋商，否则后果自负。</w:t>
      </w:r>
    </w:p>
    <w:p w14:paraId="7A2C502F">
      <w:pPr>
        <w:widowControl/>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4B9890D8">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11.监督部门：</w:t>
      </w:r>
      <w:r>
        <w:rPr>
          <w:rFonts w:hint="eastAsia" w:ascii="宋体" w:hAnsi="宋体" w:cs="宋体"/>
          <w:color w:val="auto"/>
          <w:szCs w:val="21"/>
          <w:highlight w:val="none"/>
        </w:rPr>
        <w:t>广西壮族自治区财政厅政府采购监督管理处</w:t>
      </w:r>
      <w:r>
        <w:rPr>
          <w:rFonts w:hint="eastAsia" w:ascii="宋体" w:hAnsi="宋体" w:eastAsia="宋体" w:cs="宋体"/>
          <w:i w:val="0"/>
          <w:iCs w:val="0"/>
          <w:caps w:val="0"/>
          <w:color w:val="auto"/>
          <w:spacing w:val="0"/>
          <w:sz w:val="21"/>
          <w:szCs w:val="21"/>
          <w:highlight w:val="none"/>
          <w:lang w:eastAsia="zh-CN"/>
        </w:rPr>
        <w:t>；</w:t>
      </w:r>
      <w:r>
        <w:rPr>
          <w:rFonts w:hint="eastAsia" w:ascii="宋体" w:hAnsi="宋体" w:eastAsia="宋体" w:cs="宋体"/>
          <w:i w:val="0"/>
          <w:iCs w:val="0"/>
          <w:caps w:val="0"/>
          <w:color w:val="auto"/>
          <w:spacing w:val="0"/>
          <w:sz w:val="21"/>
          <w:szCs w:val="21"/>
          <w:highlight w:val="none"/>
          <w:lang w:val="en-US" w:eastAsia="zh-CN"/>
        </w:rPr>
        <w:t>联系电话：</w:t>
      </w:r>
      <w:r>
        <w:rPr>
          <w:rFonts w:hint="eastAsia" w:ascii="宋体" w:hAnsi="宋体" w:cs="宋体"/>
          <w:color w:val="auto"/>
          <w:szCs w:val="21"/>
          <w:highlight w:val="none"/>
        </w:rPr>
        <w:t>0771-5331544</w:t>
      </w:r>
      <w:r>
        <w:rPr>
          <w:rFonts w:hint="eastAsia" w:ascii="宋体" w:hAnsi="宋体" w:eastAsia="宋体" w:cs="宋体"/>
          <w:i w:val="0"/>
          <w:iCs w:val="0"/>
          <w:caps w:val="0"/>
          <w:color w:val="auto"/>
          <w:spacing w:val="0"/>
          <w:sz w:val="21"/>
          <w:szCs w:val="21"/>
          <w:highlight w:val="none"/>
          <w:lang w:eastAsia="zh-CN"/>
        </w:rPr>
        <w:t>。</w:t>
      </w:r>
    </w:p>
    <w:bookmarkEnd w:id="2"/>
    <w:p w14:paraId="110D1343">
      <w:pPr>
        <w:widowControl/>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八、凡对本次采购提出询问，请按以下方式联系。</w:t>
      </w:r>
      <w:bookmarkEnd w:id="3"/>
      <w:bookmarkEnd w:id="4"/>
      <w:bookmarkEnd w:id="5"/>
      <w:bookmarkEnd w:id="6"/>
      <w:bookmarkEnd w:id="7"/>
    </w:p>
    <w:p w14:paraId="3DA8B24E">
      <w:pPr>
        <w:spacing w:line="360" w:lineRule="auto"/>
        <w:ind w:firstLine="567" w:firstLineChars="270"/>
        <w:jc w:val="left"/>
        <w:rPr>
          <w:rFonts w:hint="eastAsia" w:ascii="宋体" w:hAnsi="宋体" w:eastAsia="宋体" w:cs="宋体"/>
          <w:color w:val="auto"/>
          <w:sz w:val="21"/>
          <w:szCs w:val="21"/>
          <w:highlight w:val="none"/>
        </w:rPr>
      </w:pPr>
      <w:bookmarkStart w:id="14" w:name="_Toc35393806"/>
      <w:bookmarkStart w:id="15" w:name="_Toc28359096"/>
      <w:bookmarkStart w:id="16" w:name="_Toc35393637"/>
      <w:bookmarkStart w:id="17" w:name="_Toc28359019"/>
      <w:r>
        <w:rPr>
          <w:rFonts w:hint="eastAsia" w:ascii="宋体" w:hAnsi="宋体" w:eastAsia="宋体" w:cs="宋体"/>
          <w:color w:val="auto"/>
          <w:sz w:val="21"/>
          <w:szCs w:val="21"/>
          <w:highlight w:val="none"/>
        </w:rPr>
        <w:t>1.采购人信息</w:t>
      </w:r>
    </w:p>
    <w:p w14:paraId="0BCD2053">
      <w:pPr>
        <w:spacing w:line="360" w:lineRule="auto"/>
        <w:ind w:firstLine="567" w:firstLineChars="27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 称：</w:t>
      </w:r>
      <w:r>
        <w:rPr>
          <w:rFonts w:hint="eastAsia" w:ascii="宋体" w:hAnsi="宋体" w:cs="宋体"/>
          <w:color w:val="auto"/>
          <w:sz w:val="21"/>
          <w:szCs w:val="21"/>
          <w:highlight w:val="none"/>
          <w:lang w:eastAsia="zh-CN"/>
        </w:rPr>
        <w:t>桂林理工大学</w:t>
      </w:r>
    </w:p>
    <w:p w14:paraId="575DB64A">
      <w:pPr>
        <w:spacing w:line="360" w:lineRule="auto"/>
        <w:ind w:firstLine="567" w:firstLineChars="270"/>
        <w:jc w:val="left"/>
        <w:rPr>
          <w:rFonts w:hint="eastAsia" w:ascii="宋体" w:hAnsi="宋体" w:eastAsia="宋体" w:cs="宋体"/>
          <w:color w:val="auto"/>
          <w:sz w:val="21"/>
          <w:szCs w:val="21"/>
          <w:highlight w:val="none"/>
        </w:rPr>
      </w:pPr>
      <w:bookmarkStart w:id="18" w:name="_Toc28359086"/>
      <w:bookmarkStart w:id="19" w:name="_Toc28359009"/>
      <w:r>
        <w:rPr>
          <w:rFonts w:hint="eastAsia" w:ascii="宋体" w:hAnsi="宋体" w:eastAsia="宋体" w:cs="宋体"/>
          <w:color w:val="auto"/>
          <w:sz w:val="21"/>
          <w:szCs w:val="21"/>
          <w:highlight w:val="none"/>
        </w:rPr>
        <w:t>地址：</w:t>
      </w:r>
      <w:r>
        <w:rPr>
          <w:rFonts w:hint="eastAsia" w:ascii="宋体" w:hAnsi="宋体" w:cs="宋体"/>
          <w:szCs w:val="21"/>
          <w:highlight w:val="none"/>
        </w:rPr>
        <w:t>桂林市七星区建干路12号</w:t>
      </w:r>
    </w:p>
    <w:p w14:paraId="64D47155">
      <w:pPr>
        <w:spacing w:line="360" w:lineRule="auto"/>
        <w:ind w:firstLine="567" w:firstLineChars="270"/>
        <w:jc w:val="left"/>
        <w:rPr>
          <w:rFonts w:hint="eastAsia" w:ascii="宋体" w:hAnsi="宋体" w:eastAsia="宋体" w:cs="宋体"/>
          <w:color w:val="auto"/>
          <w:sz w:val="21"/>
          <w:szCs w:val="21"/>
          <w:highlight w:val="none"/>
          <w:lang w:eastAsia="zh-CN"/>
        </w:rPr>
      </w:pPr>
      <w:r>
        <w:rPr>
          <w:rFonts w:hint="eastAsia" w:ascii="宋体" w:hAnsi="宋体" w:eastAsia="宋体" w:cs="宋体"/>
          <w:i w:val="0"/>
          <w:iCs w:val="0"/>
          <w:caps w:val="0"/>
          <w:color w:val="auto"/>
          <w:spacing w:val="0"/>
          <w:sz w:val="21"/>
          <w:szCs w:val="21"/>
          <w:highlight w:val="none"/>
        </w:rPr>
        <w:t>项目</w:t>
      </w:r>
      <w:r>
        <w:rPr>
          <w:rFonts w:hint="eastAsia" w:ascii="宋体" w:hAnsi="宋体" w:eastAsia="宋体" w:cs="宋体"/>
          <w:color w:val="auto"/>
          <w:sz w:val="21"/>
          <w:szCs w:val="21"/>
          <w:highlight w:val="none"/>
        </w:rPr>
        <w:t>联系人：</w:t>
      </w:r>
      <w:r>
        <w:rPr>
          <w:rFonts w:hint="eastAsia" w:ascii="宋体" w:hAnsi="宋体" w:cs="宋体"/>
          <w:color w:val="auto"/>
          <w:sz w:val="21"/>
          <w:szCs w:val="21"/>
          <w:highlight w:val="none"/>
          <w:lang w:val="en-US" w:eastAsia="zh-CN"/>
        </w:rPr>
        <w:t>邓老师</w:t>
      </w:r>
    </w:p>
    <w:p w14:paraId="4127202E">
      <w:pPr>
        <w:spacing w:line="360" w:lineRule="auto"/>
        <w:ind w:firstLine="567" w:firstLineChars="270"/>
        <w:jc w:val="left"/>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rPr>
        <w:t>项目</w:t>
      </w:r>
      <w:r>
        <w:rPr>
          <w:rFonts w:hint="eastAsia" w:ascii="宋体" w:hAnsi="宋体" w:eastAsia="宋体" w:cs="宋体"/>
          <w:color w:val="auto"/>
          <w:sz w:val="21"/>
          <w:szCs w:val="21"/>
          <w:highlight w:val="none"/>
        </w:rPr>
        <w:t>联系方式：</w:t>
      </w:r>
      <w:r>
        <w:rPr>
          <w:rFonts w:hint="eastAsia" w:ascii="宋体" w:hAnsi="宋体" w:cs="宋体"/>
          <w:szCs w:val="21"/>
          <w:highlight w:val="none"/>
        </w:rPr>
        <w:t>0773-5895090</w:t>
      </w:r>
    </w:p>
    <w:p w14:paraId="1646BE3E">
      <w:pPr>
        <w:spacing w:line="360" w:lineRule="auto"/>
        <w:ind w:firstLine="567" w:firstLineChars="27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2.采购代理机构信息</w:t>
      </w:r>
    </w:p>
    <w:p w14:paraId="24010655">
      <w:pPr>
        <w:spacing w:line="360" w:lineRule="auto"/>
        <w:ind w:firstLine="567" w:firstLineChars="2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w:t>
      </w:r>
      <w:r>
        <w:rPr>
          <w:rFonts w:hint="eastAsia" w:ascii="Arial" w:hAnsi="Arial" w:cs="Arial"/>
          <w:color w:val="000000" w:themeColor="text1"/>
          <w:szCs w:val="21"/>
          <w:lang w:val="en-US" w:eastAsia="zh-CN"/>
          <w14:textFill>
            <w14:solidFill>
              <w14:schemeClr w14:val="tx1"/>
            </w14:solidFill>
          </w14:textFill>
        </w:rPr>
        <w:t>广西机电设备招标有限公司</w:t>
      </w:r>
    </w:p>
    <w:p w14:paraId="4B160105">
      <w:pPr>
        <w:spacing w:line="360" w:lineRule="auto"/>
        <w:ind w:firstLine="567" w:firstLineChars="27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Arial" w:hAnsi="Arial" w:eastAsia="宋体" w:cs="Arial"/>
          <w:color w:val="auto"/>
          <w:highlight w:val="none"/>
        </w:rPr>
        <w:t>桂林市骖鸾路31号湘商大厦6楼603</w:t>
      </w:r>
      <w:r>
        <w:rPr>
          <w:rFonts w:ascii="Arial" w:hAnsi="Arial" w:cs="Arial"/>
          <w:color w:val="000000" w:themeColor="text1"/>
          <w:szCs w:val="21"/>
          <w14:textFill>
            <w14:solidFill>
              <w14:schemeClr w14:val="tx1"/>
            </w14:solidFill>
          </w14:textFill>
        </w:rPr>
        <w:t>（桂林分公司）</w:t>
      </w:r>
    </w:p>
    <w:p w14:paraId="723F898B">
      <w:pPr>
        <w:spacing w:line="360" w:lineRule="auto"/>
        <w:ind w:firstLine="567" w:firstLineChars="27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项目联系人：曾昭卉</w:t>
      </w:r>
    </w:p>
    <w:p w14:paraId="0BF1FCB0">
      <w:pPr>
        <w:spacing w:line="360" w:lineRule="auto"/>
        <w:ind w:firstLine="567" w:firstLineChars="270"/>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项目联系方式：0773-3696789转2</w:t>
      </w:r>
    </w:p>
    <w:bookmarkEnd w:id="1"/>
    <w:bookmarkEnd w:id="14"/>
    <w:bookmarkEnd w:id="15"/>
    <w:bookmarkEnd w:id="16"/>
    <w:bookmarkEnd w:id="17"/>
    <w:bookmarkEnd w:id="18"/>
    <w:bookmarkEnd w:id="19"/>
    <w:p w14:paraId="0DE545AB">
      <w:pPr>
        <w:spacing w:line="360" w:lineRule="auto"/>
        <w:ind w:firstLine="567" w:firstLineChars="270"/>
        <w:jc w:val="right"/>
        <w:rPr>
          <w:rFonts w:hint="eastAsia" w:ascii="宋体" w:hAnsi="宋体" w:eastAsia="宋体" w:cs="宋体"/>
          <w:color w:val="auto"/>
          <w:sz w:val="21"/>
          <w:szCs w:val="21"/>
          <w:highlight w:val="none"/>
        </w:rPr>
      </w:pPr>
    </w:p>
    <w:p w14:paraId="2FAE77C8">
      <w:pPr>
        <w:spacing w:line="360" w:lineRule="auto"/>
        <w:ind w:firstLine="567" w:firstLineChars="27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lang w:val="en-US" w:eastAsia="zh-CN"/>
        </w:rPr>
        <w:t>026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8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5 </w:t>
      </w:r>
      <w:r>
        <w:rPr>
          <w:rFonts w:hint="eastAsia" w:ascii="宋体" w:hAnsi="宋体" w:eastAsia="宋体" w:cs="宋体"/>
          <w:color w:val="auto"/>
          <w:sz w:val="21"/>
          <w:szCs w:val="21"/>
          <w:highlight w:val="none"/>
        </w:rPr>
        <w:t>日</w:t>
      </w:r>
    </w:p>
    <w:p w14:paraId="5335F225">
      <w:pPr>
        <w:pStyle w:val="2"/>
        <w:jc w:val="center"/>
        <w:rPr>
          <w:rFonts w:ascii="宋体" w:hAnsi="宋体" w:cs="宋体"/>
          <w:color w:val="auto"/>
          <w:highlight w:val="none"/>
        </w:rPr>
      </w:pPr>
      <w:bookmarkStart w:id="20" w:name="_Toc32607"/>
      <w:r>
        <w:rPr>
          <w:rFonts w:hint="eastAsia" w:ascii="宋体" w:hAnsi="宋体" w:cs="宋体"/>
          <w:color w:val="auto"/>
          <w:highlight w:val="none"/>
        </w:rPr>
        <w:t>第二章</w:t>
      </w:r>
      <w:r>
        <w:rPr>
          <w:rStyle w:val="91"/>
          <w:rFonts w:hint="eastAsia"/>
          <w:b/>
          <w:color w:val="auto"/>
          <w:sz w:val="32"/>
          <w:szCs w:val="40"/>
          <w:highlight w:val="none"/>
          <w:lang w:eastAsia="zh-CN"/>
        </w:rPr>
        <w:t>、</w:t>
      </w:r>
      <w:r>
        <w:rPr>
          <w:rFonts w:hint="eastAsia" w:ascii="宋体" w:hAnsi="宋体" w:cs="宋体"/>
          <w:color w:val="auto"/>
          <w:highlight w:val="none"/>
        </w:rPr>
        <w:t>供应商须知</w:t>
      </w:r>
      <w:bookmarkEnd w:id="20"/>
    </w:p>
    <w:p w14:paraId="57976203">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lang w:eastAsia="zh-CN"/>
        </w:rPr>
        <w:t>第一节、</w:t>
      </w:r>
      <w:r>
        <w:rPr>
          <w:rFonts w:hint="eastAsia" w:ascii="宋体" w:hAnsi="宋体" w:cs="宋体"/>
          <w:b/>
          <w:color w:val="auto"/>
          <w:sz w:val="32"/>
          <w:szCs w:val="32"/>
          <w:highlight w:val="none"/>
        </w:rPr>
        <w:t>供应商须知前附表</w:t>
      </w:r>
    </w:p>
    <w:p w14:paraId="6597EE7F">
      <w:pPr>
        <w:spacing w:line="400" w:lineRule="exact"/>
        <w:jc w:val="center"/>
        <w:rPr>
          <w:rFonts w:ascii="宋体" w:hAnsi="宋体" w:cs="宋体"/>
          <w:b/>
          <w:color w:val="auto"/>
          <w:sz w:val="32"/>
          <w:szCs w:val="32"/>
          <w:highlight w:val="none"/>
        </w:rPr>
      </w:pPr>
    </w:p>
    <w:tbl>
      <w:tblPr>
        <w:tblStyle w:val="33"/>
        <w:tblW w:w="96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8627"/>
      </w:tblGrid>
      <w:tr w14:paraId="49D45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10A55D1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8627" w:type="dxa"/>
          </w:tcPr>
          <w:p w14:paraId="32F05AB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    容</w:t>
            </w:r>
          </w:p>
        </w:tc>
      </w:tr>
      <w:tr w14:paraId="341FC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176914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627" w:type="dxa"/>
            <w:vAlign w:val="center"/>
          </w:tcPr>
          <w:p w14:paraId="6CAFECE4">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供应商的资格条件</w:t>
            </w:r>
            <w:r>
              <w:rPr>
                <w:rFonts w:hint="eastAsia" w:ascii="宋体" w:hAnsi="宋体" w:eastAsia="宋体" w:cs="宋体"/>
                <w:color w:val="auto"/>
                <w:sz w:val="21"/>
                <w:szCs w:val="21"/>
                <w:highlight w:val="none"/>
              </w:rPr>
              <w:t>：详见竞争性磋商公告</w:t>
            </w:r>
          </w:p>
        </w:tc>
      </w:tr>
      <w:tr w14:paraId="2E6BC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DBAA1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8627" w:type="dxa"/>
            <w:vAlign w:val="center"/>
          </w:tcPr>
          <w:p w14:paraId="2319C373">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是否接受联合体参加竞争性磋商：详见竞争性磋商公告</w:t>
            </w:r>
          </w:p>
        </w:tc>
      </w:tr>
      <w:tr w14:paraId="74BC4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A431A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8627" w:type="dxa"/>
            <w:vAlign w:val="center"/>
          </w:tcPr>
          <w:p w14:paraId="4E116D11">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如接受联合体参加竞争性磋商，要求如下：</w:t>
            </w:r>
            <w:r>
              <w:rPr>
                <w:rFonts w:hint="eastAsia" w:ascii="宋体" w:hAnsi="宋体" w:eastAsia="宋体" w:cs="宋体"/>
                <w:color w:val="auto"/>
                <w:szCs w:val="21"/>
                <w:highlight w:val="none"/>
              </w:rPr>
              <w:t>无</w:t>
            </w:r>
            <w:r>
              <w:rPr>
                <w:rFonts w:hint="eastAsia" w:ascii="宋体" w:hAnsi="宋体" w:eastAsia="宋体" w:cs="宋体"/>
                <w:color w:val="auto"/>
                <w:szCs w:val="21"/>
                <w:highlight w:val="none"/>
                <w:lang w:eastAsia="zh-CN"/>
              </w:rPr>
              <w:t>。</w:t>
            </w:r>
          </w:p>
        </w:tc>
      </w:tr>
      <w:tr w14:paraId="2880A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5D53A1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8627" w:type="dxa"/>
            <w:vAlign w:val="center"/>
          </w:tcPr>
          <w:p w14:paraId="1022A66E">
            <w:pPr>
              <w:pStyle w:val="12"/>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sym w:font="Wingdings" w:char="00A8"/>
            </w:r>
            <w:r>
              <w:rPr>
                <w:rFonts w:hint="eastAsia" w:ascii="宋体" w:hAnsi="宋体" w:eastAsia="宋体" w:cs="宋体"/>
                <w:b w:val="0"/>
                <w:bCs/>
                <w:color w:val="auto"/>
                <w:sz w:val="21"/>
                <w:szCs w:val="21"/>
                <w:highlight w:val="none"/>
              </w:rPr>
              <w:t>本项目不允许分包。</w:t>
            </w:r>
          </w:p>
          <w:p w14:paraId="1C57793E">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FE"/>
            </w:r>
            <w:r>
              <w:rPr>
                <w:rFonts w:hint="eastAsia" w:ascii="宋体" w:hAnsi="宋体" w:eastAsia="宋体" w:cs="宋体"/>
                <w:color w:val="auto"/>
                <w:sz w:val="21"/>
                <w:szCs w:val="21"/>
                <w:highlight w:val="none"/>
              </w:rPr>
              <w:t>本项目允许分包：</w:t>
            </w:r>
          </w:p>
          <w:p w14:paraId="62D30A9A">
            <w:pPr>
              <w:pStyle w:val="12"/>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分包内容：</w:t>
            </w:r>
            <w:r>
              <w:rPr>
                <w:rFonts w:hint="eastAsia" w:ascii="宋体" w:hAnsi="宋体" w:eastAsia="宋体" w:cs="宋体"/>
                <w:color w:val="auto"/>
                <w:sz w:val="21"/>
                <w:szCs w:val="21"/>
                <w:highlight w:val="none"/>
                <w:u w:val="single"/>
              </w:rPr>
              <w:t>本项目主体展陈深化、现场安装、中控集成不得分包；数字动画、素材制作等非主体辅助内容可分包，但供应商需承担全部连带责任。</w:t>
            </w:r>
          </w:p>
          <w:p w14:paraId="554A8FEF">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分包金额或者比例：</w:t>
            </w:r>
            <w:r>
              <w:rPr>
                <w:rFonts w:hint="eastAsia" w:ascii="宋体" w:hAnsi="宋体" w:eastAsia="宋体" w:cs="宋体"/>
                <w:color w:val="auto"/>
                <w:sz w:val="21"/>
                <w:szCs w:val="21"/>
                <w:highlight w:val="none"/>
                <w:u w:val="single"/>
              </w:rPr>
              <w:t xml:space="preserve">                                     。</w:t>
            </w:r>
          </w:p>
        </w:tc>
      </w:tr>
      <w:tr w14:paraId="27290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A0AAA7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8627" w:type="dxa"/>
            <w:vAlign w:val="center"/>
          </w:tcPr>
          <w:p w14:paraId="7B8063D0">
            <w:pPr>
              <w:pStyle w:val="12"/>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7892905E">
            <w:pPr>
              <w:pStyle w:val="12"/>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1.供应商为法人或者其他组织的，证明文件为其营业执照（如营业执照或者事业单位法人证书或者执业许可证等）；供应商为自然人的，证明文件为其身份证</w:t>
            </w:r>
            <w:r>
              <w:rPr>
                <w:rFonts w:hint="eastAsia" w:ascii="宋体" w:hAnsi="宋体" w:cs="宋体"/>
                <w:color w:val="auto"/>
                <w:sz w:val="21"/>
                <w:szCs w:val="21"/>
                <w:highlight w:val="none"/>
                <w:lang w:val="en-US" w:eastAsia="zh-CN"/>
              </w:rPr>
              <w:t>正反面</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2676B05">
            <w:pPr>
              <w:pStyle w:val="12"/>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2.供应商依法缴纳税收的相关材料</w:t>
            </w:r>
            <w:r>
              <w:rPr>
                <w:rFonts w:hint="eastAsia" w:ascii="宋体" w:hAnsi="宋体" w:cs="宋体"/>
                <w:color w:val="auto"/>
                <w:highlight w:val="none"/>
                <w:lang w:eastAsia="zh-CN"/>
              </w:rPr>
              <w:t>【①</w:t>
            </w:r>
            <w:r>
              <w:rPr>
                <w:rFonts w:hint="eastAsia" w:ascii="宋体" w:hAnsi="宋体" w:eastAsia="宋体" w:cs="宋体"/>
                <w:color w:val="auto"/>
                <w:sz w:val="21"/>
                <w:szCs w:val="21"/>
                <w:highlight w:val="none"/>
              </w:rPr>
              <w:t>截至</w:t>
            </w:r>
            <w:r>
              <w:rPr>
                <w:rFonts w:hint="eastAsia" w:ascii="宋体" w:hAnsi="宋体" w:eastAsia="宋体" w:cs="宋体"/>
                <w:color w:val="auto"/>
                <w:sz w:val="21"/>
                <w:szCs w:val="21"/>
                <w:highlight w:val="none"/>
                <w:u w:val="single"/>
              </w:rPr>
              <w:t>首次响应文件提交截止之日</w:t>
            </w:r>
            <w:r>
              <w:rPr>
                <w:rFonts w:hint="eastAsia" w:ascii="宋体" w:hAnsi="宋体" w:eastAsia="宋体" w:cs="宋体"/>
                <w:color w:val="auto"/>
                <w:sz w:val="21"/>
                <w:szCs w:val="21"/>
                <w:highlight w:val="none"/>
                <w:u w:val="single"/>
                <w:lang w:val="en-US" w:eastAsia="zh-CN"/>
              </w:rPr>
              <w:t>前</w:t>
            </w:r>
            <w:r>
              <w:rPr>
                <w:rFonts w:hint="eastAsia" w:ascii="宋体" w:hAnsi="宋体" w:eastAsia="宋体" w:cs="宋体"/>
                <w:color w:val="auto"/>
                <w:sz w:val="21"/>
                <w:szCs w:val="21"/>
                <w:highlight w:val="none"/>
                <w:u w:val="single"/>
              </w:rPr>
              <w:t>半年内</w:t>
            </w:r>
            <w:r>
              <w:rPr>
                <w:rFonts w:hint="eastAsia" w:ascii="宋体" w:hAnsi="宋体" w:eastAsia="宋体" w:cs="宋体"/>
                <w:color w:val="auto"/>
                <w:sz w:val="21"/>
                <w:szCs w:val="21"/>
                <w:highlight w:val="none"/>
                <w:u w:val="single"/>
                <w:lang w:val="en-US" w:eastAsia="zh-CN"/>
              </w:rPr>
              <w:t>任意1</w:t>
            </w:r>
            <w:r>
              <w:rPr>
                <w:rFonts w:hint="eastAsia" w:ascii="宋体" w:hAnsi="宋体" w:eastAsia="宋体" w:cs="宋体"/>
                <w:color w:val="auto"/>
                <w:sz w:val="21"/>
                <w:szCs w:val="21"/>
                <w:highlight w:val="none"/>
                <w:u w:val="single"/>
              </w:rPr>
              <w:t>个月</w:t>
            </w:r>
            <w:r>
              <w:rPr>
                <w:rFonts w:hint="eastAsia" w:ascii="宋体" w:hAnsi="宋体" w:eastAsia="宋体" w:cs="宋体"/>
                <w:color w:val="auto"/>
                <w:sz w:val="21"/>
                <w:szCs w:val="21"/>
                <w:highlight w:val="none"/>
              </w:rPr>
              <w:t>的依法缴纳税收的凭据；</w:t>
            </w:r>
            <w:r>
              <w:rPr>
                <w:rFonts w:hint="eastAsia" w:ascii="宋体" w:hAnsi="宋体" w:cs="宋体"/>
                <w:color w:val="auto"/>
                <w:highlight w:val="none"/>
                <w:lang w:eastAsia="zh-CN"/>
              </w:rPr>
              <w:t>②</w:t>
            </w:r>
            <w:r>
              <w:rPr>
                <w:rFonts w:hint="eastAsia" w:ascii="宋体" w:hAnsi="宋体" w:eastAsia="宋体" w:cs="宋体"/>
                <w:color w:val="auto"/>
                <w:highlight w:val="none"/>
              </w:rPr>
              <w:t>依法免税的供应商，</w:t>
            </w:r>
            <w:r>
              <w:rPr>
                <w:rFonts w:hint="eastAsia" w:ascii="宋体" w:hAnsi="宋体" w:eastAsia="宋体" w:cs="宋体"/>
                <w:color w:val="auto"/>
                <w:szCs w:val="21"/>
                <w:highlight w:val="none"/>
              </w:rPr>
              <w:t>必须提供相应文件证明其依法免税或零申报</w:t>
            </w:r>
            <w:r>
              <w:rPr>
                <w:rFonts w:hint="eastAsia" w:ascii="宋体" w:hAnsi="宋体" w:eastAsia="宋体" w:cs="宋体"/>
                <w:color w:val="auto"/>
                <w:szCs w:val="21"/>
                <w:highlight w:val="none"/>
                <w:lang w:val="en-US" w:eastAsia="zh-CN"/>
              </w:rPr>
              <w:t>证明资料</w:t>
            </w:r>
            <w:r>
              <w:rPr>
                <w:rFonts w:hint="eastAsia" w:ascii="宋体" w:hAnsi="宋体" w:cs="宋体"/>
                <w:color w:val="auto"/>
                <w:szCs w:val="21"/>
                <w:highlight w:val="none"/>
                <w:lang w:eastAsia="zh-CN"/>
              </w:rPr>
              <w:t>；③</w:t>
            </w:r>
            <w:r>
              <w:rPr>
                <w:rFonts w:hint="eastAsia" w:ascii="宋体" w:hAnsi="宋体" w:eastAsia="宋体" w:cs="宋体"/>
                <w:color w:val="auto"/>
                <w:szCs w:val="21"/>
                <w:highlight w:val="none"/>
              </w:rPr>
              <w:t>从成立之日起到响应文件提交截止时间止不足要求月数的，只需提供从成立之日起的依法缴纳税收相应证明文件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格式自拟</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752095C">
            <w:pPr>
              <w:pStyle w:val="12"/>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3.供应商依法缴纳社会保障资金的相关材料</w:t>
            </w:r>
            <w:r>
              <w:rPr>
                <w:rFonts w:hint="eastAsia" w:ascii="宋体" w:hAnsi="宋体" w:cs="宋体"/>
                <w:color w:val="auto"/>
                <w:highlight w:val="none"/>
                <w:lang w:eastAsia="zh-CN"/>
              </w:rPr>
              <w:t>【①</w:t>
            </w:r>
            <w:r>
              <w:rPr>
                <w:rFonts w:hint="eastAsia" w:ascii="宋体" w:hAnsi="宋体" w:eastAsia="宋体" w:cs="宋体"/>
                <w:color w:val="auto"/>
                <w:sz w:val="21"/>
                <w:szCs w:val="21"/>
                <w:highlight w:val="none"/>
              </w:rPr>
              <w:t>截至</w:t>
            </w:r>
            <w:r>
              <w:rPr>
                <w:rFonts w:hint="eastAsia" w:ascii="宋体" w:hAnsi="宋体" w:eastAsia="宋体" w:cs="宋体"/>
                <w:color w:val="auto"/>
                <w:sz w:val="21"/>
                <w:szCs w:val="21"/>
                <w:highlight w:val="none"/>
                <w:u w:val="single"/>
              </w:rPr>
              <w:t>首次响应文件提交截止之日</w:t>
            </w:r>
            <w:r>
              <w:rPr>
                <w:rFonts w:hint="eastAsia" w:ascii="宋体" w:hAnsi="宋体" w:eastAsia="宋体" w:cs="宋体"/>
                <w:color w:val="auto"/>
                <w:sz w:val="21"/>
                <w:szCs w:val="21"/>
                <w:highlight w:val="none"/>
                <w:u w:val="single"/>
                <w:lang w:val="en-US" w:eastAsia="zh-CN"/>
              </w:rPr>
              <w:t>前</w:t>
            </w:r>
            <w:r>
              <w:rPr>
                <w:rFonts w:hint="eastAsia" w:ascii="宋体" w:hAnsi="宋体" w:eastAsia="宋体" w:cs="宋体"/>
                <w:color w:val="auto"/>
                <w:sz w:val="21"/>
                <w:szCs w:val="21"/>
                <w:highlight w:val="none"/>
                <w:u w:val="single"/>
              </w:rPr>
              <w:t>半年内</w:t>
            </w:r>
            <w:r>
              <w:rPr>
                <w:rFonts w:hint="eastAsia" w:ascii="宋体" w:hAnsi="宋体" w:eastAsia="宋体" w:cs="宋体"/>
                <w:color w:val="auto"/>
                <w:sz w:val="21"/>
                <w:szCs w:val="21"/>
                <w:highlight w:val="none"/>
                <w:u w:val="single"/>
                <w:lang w:val="en-US" w:eastAsia="zh-CN"/>
              </w:rPr>
              <w:t>任意1</w:t>
            </w:r>
            <w:r>
              <w:rPr>
                <w:rFonts w:hint="eastAsia" w:ascii="宋体" w:hAnsi="宋体" w:eastAsia="宋体" w:cs="宋体"/>
                <w:color w:val="auto"/>
                <w:sz w:val="21"/>
                <w:szCs w:val="21"/>
                <w:highlight w:val="none"/>
                <w:u w:val="single"/>
              </w:rPr>
              <w:t>个月</w:t>
            </w:r>
            <w:r>
              <w:rPr>
                <w:rFonts w:hint="eastAsia" w:ascii="宋体" w:hAnsi="宋体" w:eastAsia="宋体" w:cs="宋体"/>
                <w:color w:val="auto"/>
                <w:sz w:val="21"/>
                <w:szCs w:val="21"/>
                <w:highlight w:val="none"/>
              </w:rPr>
              <w:t>的依法缴纳社会保障资金的缴费凭证；</w:t>
            </w:r>
            <w:r>
              <w:rPr>
                <w:rFonts w:hint="eastAsia" w:ascii="宋体" w:hAnsi="宋体" w:cs="宋体"/>
                <w:color w:val="auto"/>
                <w:szCs w:val="21"/>
                <w:highlight w:val="none"/>
                <w:lang w:eastAsia="zh-CN"/>
              </w:rPr>
              <w:t>②</w:t>
            </w:r>
            <w:r>
              <w:rPr>
                <w:rFonts w:hint="eastAsia" w:ascii="宋体" w:hAnsi="宋体" w:eastAsia="宋体" w:cs="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lang w:eastAsia="zh-CN"/>
              </w:rPr>
              <w:t>；③</w:t>
            </w:r>
            <w:r>
              <w:rPr>
                <w:rFonts w:hint="eastAsia" w:ascii="宋体" w:hAnsi="宋体" w:eastAsia="宋体" w:cs="宋体"/>
                <w:color w:val="auto"/>
                <w:szCs w:val="21"/>
                <w:highlight w:val="none"/>
              </w:rPr>
              <w:t>从取得营业执照时间起到响应文件提交截止时间为止不足要求月数的只需提供从取得营业执照起的依法缴纳社会保障资金的相应证明文件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格式自拟</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C48084F">
            <w:pPr>
              <w:pStyle w:val="12"/>
              <w:spacing w:line="360" w:lineRule="auto"/>
              <w:ind w:firstLine="422"/>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4.供应商财务状况报告</w:t>
            </w:r>
            <w:r>
              <w:rPr>
                <w:rFonts w:hint="eastAsia" w:ascii="宋体" w:hAnsi="宋体" w:cs="宋体"/>
                <w:color w:val="auto"/>
                <w:highlight w:val="none"/>
                <w:lang w:val="en-US" w:eastAsia="zh-CN"/>
              </w:rPr>
              <w:t>【</w:t>
            </w:r>
            <w:r>
              <w:rPr>
                <w:rFonts w:hint="eastAsia" w:ascii="宋体" w:hAnsi="宋体" w:cs="宋体"/>
                <w:color w:val="auto"/>
                <w:sz w:val="21"/>
                <w:szCs w:val="21"/>
                <w:highlight w:val="none"/>
              </w:rPr>
              <w:t>①提供2025年财务状况报告复印件、或提供供应商开户行出具的银行资信证明文件（格式自拟）、或者中国人民银行征信中心出具的信用报告；②供应商成立不满一年的应提供截标之日当月的前一个月的财务状况报告</w:t>
            </w:r>
            <w:r>
              <w:rPr>
                <w:rFonts w:hint="eastAsia" w:ascii="宋体" w:hAnsi="宋体" w:cs="宋体"/>
                <w:color w:val="auto"/>
                <w:szCs w:val="21"/>
                <w:highlight w:val="none"/>
                <w:lang w:eastAsia="zh-CN"/>
              </w:rPr>
              <w:t>。</w:t>
            </w:r>
            <w:r>
              <w:rPr>
                <w:rFonts w:hint="eastAsia" w:ascii="宋体" w:hAnsi="宋体" w:cs="宋体"/>
                <w:color w:val="auto"/>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w:t>
            </w:r>
            <w:r>
              <w:rPr>
                <w:rFonts w:hint="eastAsia" w:ascii="宋体" w:hAnsi="宋体" w:eastAsia="宋体" w:cs="宋体"/>
                <w:b/>
                <w:color w:val="auto"/>
                <w:sz w:val="21"/>
                <w:szCs w:val="21"/>
                <w:highlight w:val="none"/>
              </w:rPr>
              <w:t>除自然人外必须提供，否则响应文件按无效响应处理</w:t>
            </w:r>
            <w:r>
              <w:rPr>
                <w:rFonts w:hint="eastAsia" w:ascii="宋体" w:hAnsi="宋体" w:eastAsia="宋体" w:cs="宋体"/>
                <w:bCs/>
                <w:color w:val="auto"/>
                <w:sz w:val="21"/>
                <w:szCs w:val="21"/>
                <w:highlight w:val="none"/>
              </w:rPr>
              <w:t>）</w:t>
            </w:r>
          </w:p>
          <w:p w14:paraId="1A6C0621">
            <w:pPr>
              <w:pStyle w:val="12"/>
              <w:spacing w:line="360" w:lineRule="auto"/>
              <w:ind w:firstLine="422"/>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注：</w:t>
            </w:r>
            <w:r>
              <w:rPr>
                <w:rFonts w:hint="eastAsia" w:ascii="宋体" w:hAnsi="宋体" w:eastAsia="宋体" w:cs="宋体"/>
                <w:color w:val="auto"/>
                <w:szCs w:val="21"/>
                <w:highlight w:val="none"/>
              </w:rPr>
              <w:t>上述财务状况报告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或财务报告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①</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执行《企业会计准则》的，提供资产负债表、利润表、现金流量表、所有者权益变动表及其附注（以下称“四表一注”）；</w:t>
            </w:r>
            <w:r>
              <w:rPr>
                <w:rFonts w:hint="eastAsia" w:ascii="宋体" w:hAnsi="宋体" w:cs="宋体"/>
                <w:color w:val="auto"/>
                <w:szCs w:val="21"/>
                <w:highlight w:val="none"/>
                <w:lang w:eastAsia="zh-CN"/>
              </w:rPr>
              <w:t>②</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执行《小企业会计准则》的，提供资产负债表、利润表、现金流量表及其附注（以下称“三表一注”）；</w:t>
            </w:r>
            <w:r>
              <w:rPr>
                <w:rFonts w:hint="eastAsia" w:ascii="宋体" w:hAnsi="宋体" w:cs="宋体"/>
                <w:color w:val="auto"/>
                <w:szCs w:val="21"/>
                <w:highlight w:val="none"/>
                <w:lang w:eastAsia="zh-CN"/>
              </w:rPr>
              <w:t>③</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执行《政府会计制度》的，提供资产负债表、收入费用表和净资产变动表及其附注</w:t>
            </w:r>
            <w:r>
              <w:rPr>
                <w:rFonts w:hint="eastAsia" w:ascii="宋体" w:hAnsi="宋体" w:cs="宋体"/>
                <w:color w:val="auto"/>
                <w:szCs w:val="21"/>
                <w:highlight w:val="none"/>
                <w:lang w:eastAsia="zh-CN"/>
              </w:rPr>
              <w:t>。</w:t>
            </w:r>
          </w:p>
          <w:p w14:paraId="625E5066">
            <w:pPr>
              <w:pStyle w:val="12"/>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26623DC">
            <w:pPr>
              <w:pStyle w:val="12"/>
              <w:spacing w:line="360" w:lineRule="auto"/>
              <w:ind w:firstLine="4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color w:val="auto"/>
                <w:highlight w:val="none"/>
                <w:lang w:val="en-US" w:eastAsia="zh-CN"/>
              </w:rPr>
              <w:t>磋商保证金提交凭证；</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rPr>
              <w:t>公告如有要求提交保证金则必须提供</w:t>
            </w:r>
            <w:r>
              <w:rPr>
                <w:rFonts w:hint="eastAsia" w:ascii="宋体" w:hAnsi="宋体" w:eastAsia="宋体" w:cs="宋体"/>
                <w:b/>
                <w:color w:val="auto"/>
                <w:sz w:val="21"/>
                <w:szCs w:val="21"/>
                <w:highlight w:val="none"/>
              </w:rPr>
              <w:t>，否则响应文件按无效响应处理</w:t>
            </w:r>
            <w:r>
              <w:rPr>
                <w:rFonts w:hint="eastAsia" w:ascii="宋体" w:hAnsi="宋体" w:eastAsia="宋体" w:cs="宋体"/>
                <w:color w:val="auto"/>
                <w:sz w:val="21"/>
                <w:szCs w:val="21"/>
                <w:highlight w:val="none"/>
              </w:rPr>
              <w:t>）</w:t>
            </w:r>
          </w:p>
          <w:p w14:paraId="4EC3C68D">
            <w:pPr>
              <w:pStyle w:val="12"/>
              <w:spacing w:line="360" w:lineRule="auto"/>
              <w:ind w:firstLine="422"/>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参与竞争性磋商声明（格式后附）；（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B5FBF56">
            <w:pPr>
              <w:pStyle w:val="12"/>
              <w:spacing w:line="360" w:lineRule="auto"/>
              <w:ind w:firstLine="422"/>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.竞争性磋商公告对应的特定资格要求的资格证明材料；</w:t>
            </w:r>
            <w:r>
              <w:rPr>
                <w:rFonts w:hint="eastAsia" w:ascii="宋体" w:hAnsi="宋体" w:eastAsia="宋体" w:cs="宋体"/>
                <w:b/>
                <w:bCs/>
                <w:color w:val="auto"/>
                <w:sz w:val="21"/>
                <w:szCs w:val="21"/>
                <w:highlight w:val="none"/>
              </w:rPr>
              <w:t>（公告如有</w:t>
            </w:r>
            <w:r>
              <w:rPr>
                <w:rFonts w:hint="eastAsia" w:ascii="宋体" w:hAnsi="宋体" w:eastAsia="宋体" w:cs="宋体"/>
                <w:b/>
                <w:bCs/>
                <w:color w:val="auto"/>
                <w:sz w:val="21"/>
                <w:szCs w:val="21"/>
                <w:highlight w:val="none"/>
                <w:lang w:val="en-US" w:eastAsia="zh-CN"/>
              </w:rPr>
              <w:t>要求</w:t>
            </w:r>
            <w:r>
              <w:rPr>
                <w:rFonts w:hint="eastAsia" w:ascii="宋体" w:hAnsi="宋体" w:eastAsia="宋体" w:cs="宋体"/>
                <w:b/>
                <w:bCs/>
                <w:color w:val="auto"/>
                <w:sz w:val="21"/>
                <w:szCs w:val="21"/>
                <w:highlight w:val="none"/>
              </w:rPr>
              <w:t>则必须提供，否则响应文件按无效响应处理</w:t>
            </w:r>
            <w:r>
              <w:rPr>
                <w:rFonts w:hint="eastAsia" w:ascii="宋体" w:hAnsi="宋体" w:eastAsia="宋体" w:cs="宋体"/>
                <w:color w:val="auto"/>
                <w:sz w:val="21"/>
                <w:szCs w:val="21"/>
                <w:highlight w:val="none"/>
              </w:rPr>
              <w:t>）</w:t>
            </w:r>
          </w:p>
          <w:p w14:paraId="4304D843">
            <w:pPr>
              <w:pStyle w:val="12"/>
              <w:spacing w:line="360" w:lineRule="auto"/>
              <w:ind w:firstLine="422"/>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中小企业声明函（或残疾人福利性单位声明函或监狱企业声明函，残疾人福利性单位或监狱企业视同小微企业）（格式后附）；</w:t>
            </w:r>
            <w:r>
              <w:rPr>
                <w:rFonts w:hint="eastAsia" w:ascii="宋体" w:hAnsi="宋体" w:eastAsia="宋体" w:cs="宋体"/>
                <w:b/>
                <w:bCs/>
                <w:color w:val="auto"/>
                <w:sz w:val="21"/>
                <w:szCs w:val="21"/>
                <w:highlight w:val="none"/>
              </w:rPr>
              <w:t>（公告如有</w:t>
            </w:r>
            <w:r>
              <w:rPr>
                <w:rFonts w:hint="eastAsia" w:ascii="宋体" w:hAnsi="宋体" w:eastAsia="宋体" w:cs="宋体"/>
                <w:b/>
                <w:bCs/>
                <w:color w:val="auto"/>
                <w:sz w:val="21"/>
                <w:szCs w:val="21"/>
                <w:highlight w:val="none"/>
                <w:lang w:val="en-US" w:eastAsia="zh-CN"/>
              </w:rPr>
              <w:t>要求</w:t>
            </w:r>
            <w:r>
              <w:rPr>
                <w:rFonts w:hint="eastAsia" w:ascii="宋体" w:hAnsi="宋体" w:eastAsia="宋体" w:cs="宋体"/>
                <w:b/>
                <w:bCs/>
                <w:color w:val="auto"/>
                <w:sz w:val="21"/>
                <w:szCs w:val="21"/>
                <w:highlight w:val="none"/>
              </w:rPr>
              <w:t>专门面向中小企业采购</w:t>
            </w:r>
            <w:r>
              <w:rPr>
                <w:rFonts w:hint="eastAsia" w:ascii="宋体" w:hAnsi="宋体" w:eastAsia="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rPr>
              <w:t>则必须提供，否则响应文件按无效响应处理</w:t>
            </w:r>
            <w:r>
              <w:rPr>
                <w:rFonts w:hint="eastAsia" w:ascii="宋体" w:hAnsi="宋体" w:eastAsia="宋体" w:cs="宋体"/>
                <w:color w:val="auto"/>
                <w:sz w:val="21"/>
                <w:szCs w:val="21"/>
                <w:highlight w:val="none"/>
              </w:rPr>
              <w:t>）</w:t>
            </w:r>
          </w:p>
          <w:p w14:paraId="52C2A837">
            <w:pPr>
              <w:pStyle w:val="12"/>
              <w:spacing w:line="360" w:lineRule="auto"/>
              <w:ind w:firstLine="422"/>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.联合体参与竞争性磋商协议书（格式后附）；（</w:t>
            </w:r>
            <w:r>
              <w:rPr>
                <w:rFonts w:hint="eastAsia" w:ascii="宋体" w:hAnsi="宋体" w:eastAsia="宋体" w:cs="宋体"/>
                <w:b/>
                <w:color w:val="auto"/>
                <w:sz w:val="21"/>
                <w:szCs w:val="21"/>
                <w:highlight w:val="none"/>
              </w:rPr>
              <w:t>联合体</w:t>
            </w:r>
            <w:r>
              <w:rPr>
                <w:rFonts w:hint="eastAsia" w:ascii="宋体" w:hAnsi="宋体" w:eastAsia="宋体" w:cs="宋体"/>
                <w:b/>
                <w:bCs/>
                <w:color w:val="auto"/>
                <w:sz w:val="21"/>
                <w:szCs w:val="21"/>
                <w:highlight w:val="none"/>
              </w:rPr>
              <w:t>参与竞争性磋商</w:t>
            </w:r>
            <w:r>
              <w:rPr>
                <w:rFonts w:hint="eastAsia" w:ascii="宋体" w:hAnsi="宋体" w:eastAsia="宋体" w:cs="宋体"/>
                <w:b/>
                <w:color w:val="auto"/>
                <w:sz w:val="21"/>
                <w:szCs w:val="21"/>
                <w:highlight w:val="none"/>
              </w:rPr>
              <w:t>时必须提供，否则响应文件按无效响应处理</w:t>
            </w:r>
            <w:r>
              <w:rPr>
                <w:rFonts w:hint="eastAsia" w:ascii="宋体" w:hAnsi="宋体" w:eastAsia="宋体" w:cs="宋体"/>
                <w:color w:val="auto"/>
                <w:sz w:val="21"/>
                <w:szCs w:val="21"/>
                <w:highlight w:val="none"/>
              </w:rPr>
              <w:t>）</w:t>
            </w:r>
          </w:p>
          <w:p w14:paraId="03A36815">
            <w:pPr>
              <w:pStyle w:val="12"/>
              <w:spacing w:line="360" w:lineRule="auto"/>
              <w:ind w:firstLine="422"/>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val="en-US" w:eastAsia="zh-CN"/>
              </w:rPr>
              <w:t>11</w:t>
            </w:r>
            <w:r>
              <w:rPr>
                <w:rFonts w:hint="eastAsia" w:ascii="宋体" w:hAnsi="宋体" w:eastAsia="宋体" w:cs="宋体"/>
                <w:color w:val="auto"/>
                <w:sz w:val="21"/>
                <w:szCs w:val="21"/>
                <w:highlight w:val="none"/>
              </w:rPr>
              <w:t>.除磋商文件规定必须提供以外，供应商认为需要提供的其他证明材料；</w:t>
            </w:r>
          </w:p>
          <w:p w14:paraId="4F5E2F5E">
            <w:pPr>
              <w:pStyle w:val="12"/>
              <w:snapToGri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color w:val="auto"/>
                <w:sz w:val="21"/>
                <w:szCs w:val="21"/>
                <w:highlight w:val="none"/>
              </w:rPr>
              <w:t>1.以上标明“必须提供”的材料必须加盖供应商公章</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或CA签章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，否则响应文件按无效响应处理。</w:t>
            </w:r>
          </w:p>
          <w:p w14:paraId="22621EB8">
            <w:pPr>
              <w:pStyle w:val="12"/>
              <w:snapToGri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2.参与竞争性磋商声明必须由法定代表人在规定签章处签字</w:t>
            </w:r>
            <w:r>
              <w:rPr>
                <w:rFonts w:hint="eastAsia" w:ascii="宋体" w:hAnsi="宋体"/>
                <w:b/>
                <w:bCs/>
                <w:color w:val="auto"/>
                <w:szCs w:val="21"/>
                <w:highlight w:val="none"/>
                <w:lang w:eastAsia="zh-CN"/>
              </w:rPr>
              <w:t>（</w:t>
            </w:r>
            <w:r>
              <w:rPr>
                <w:rFonts w:hint="eastAsia" w:ascii="宋体" w:hAnsi="宋体" w:eastAsia="宋体" w:cs="宋体"/>
                <w:b/>
                <w:color w:val="auto"/>
                <w:szCs w:val="21"/>
                <w:highlight w:val="none"/>
                <w:lang w:val="en-US" w:eastAsia="zh-CN"/>
              </w:rPr>
              <w:t>或个人CA签章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并加盖供应商公章</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或CA签章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，否则响应文件按无效响应处理。</w:t>
            </w:r>
          </w:p>
          <w:p w14:paraId="7F1573D5">
            <w:pPr>
              <w:pStyle w:val="12"/>
              <w:snapToGri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3.供应商直接控股、管理关系信息表必须由法定代表人或者委托代理人在规定签章处签字</w:t>
            </w:r>
            <w:r>
              <w:rPr>
                <w:rFonts w:hint="eastAsia" w:ascii="宋体" w:hAnsi="宋体"/>
                <w:b/>
                <w:bCs/>
                <w:color w:val="auto"/>
                <w:szCs w:val="21"/>
                <w:highlight w:val="none"/>
                <w:lang w:eastAsia="zh-CN"/>
              </w:rPr>
              <w:t>（</w:t>
            </w:r>
            <w:r>
              <w:rPr>
                <w:rFonts w:hint="eastAsia" w:ascii="宋体" w:hAnsi="宋体" w:eastAsia="宋体" w:cs="宋体"/>
                <w:b/>
                <w:color w:val="auto"/>
                <w:szCs w:val="21"/>
                <w:highlight w:val="none"/>
                <w:lang w:val="en-US" w:eastAsia="zh-CN"/>
              </w:rPr>
              <w:t>或个人CA签章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并加盖供应商公章</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或CA签章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，否则响应文件按无效响应处理。</w:t>
            </w:r>
          </w:p>
          <w:p w14:paraId="07822744">
            <w:pPr>
              <w:pStyle w:val="12"/>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4.联合体参加竞争性磋商时，第1-</w:t>
            </w:r>
            <w:r>
              <w:rPr>
                <w:rFonts w:hint="eastAsia" w:ascii="宋体" w:hAnsi="宋体" w:cs="宋体"/>
                <w:b/>
                <w:color w:val="auto"/>
                <w:sz w:val="21"/>
                <w:szCs w:val="21"/>
                <w:highlight w:val="none"/>
                <w:lang w:val="en-US" w:eastAsia="zh-CN"/>
              </w:rPr>
              <w:t>9</w:t>
            </w:r>
            <w:r>
              <w:rPr>
                <w:rFonts w:hint="eastAsia" w:ascii="宋体" w:hAnsi="宋体" w:eastAsia="宋体" w:cs="宋体"/>
                <w:b/>
                <w:color w:val="auto"/>
                <w:sz w:val="21"/>
                <w:szCs w:val="21"/>
                <w:highlight w:val="none"/>
              </w:rPr>
              <w:t>项资格证明文件联合体各方均必须分别提供，联合体各方分别盖章，否则响应文件按无效响应处理。</w:t>
            </w:r>
          </w:p>
        </w:tc>
      </w:tr>
      <w:tr w14:paraId="4DD26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148A0B2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8627" w:type="dxa"/>
            <w:vAlign w:val="center"/>
          </w:tcPr>
          <w:p w14:paraId="32963F7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报价文件</w:t>
            </w:r>
          </w:p>
          <w:p w14:paraId="490E572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1.无串通参与竞争性磋商行为的承诺函（格式后附）；（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6317A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2.竞争性磋商报价表（格式后附）；（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32563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3.中小企业声明函（或残疾人福利性单位声明函或监狱企业声明函，残疾人福利性单位或监狱企业视同小微企业）（格式后附）；（</w:t>
            </w:r>
            <w:r>
              <w:rPr>
                <w:rFonts w:hint="eastAsia" w:ascii="宋体" w:hAnsi="宋体" w:eastAsia="宋体" w:cs="宋体"/>
                <w:b/>
                <w:bCs/>
                <w:color w:val="auto"/>
                <w:sz w:val="21"/>
                <w:szCs w:val="21"/>
                <w:highlight w:val="none"/>
              </w:rPr>
              <w:t>如有则必须提供</w:t>
            </w:r>
            <w:r>
              <w:rPr>
                <w:rFonts w:hint="eastAsia" w:ascii="宋体" w:hAnsi="宋体" w:eastAsia="宋体" w:cs="宋体"/>
                <w:b/>
                <w:color w:val="auto"/>
                <w:sz w:val="21"/>
                <w:szCs w:val="21"/>
                <w:highlight w:val="none"/>
              </w:rPr>
              <w:t>，否则响应文件按无效响应处理</w:t>
            </w:r>
            <w:r>
              <w:rPr>
                <w:rFonts w:hint="eastAsia" w:ascii="宋体" w:hAnsi="宋体" w:eastAsia="宋体" w:cs="宋体"/>
                <w:color w:val="auto"/>
                <w:sz w:val="21"/>
                <w:szCs w:val="21"/>
                <w:highlight w:val="none"/>
              </w:rPr>
              <w:t>）</w:t>
            </w:r>
          </w:p>
          <w:p w14:paraId="7C651B39">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注：以上标明“必须提供”的材料必须加盖供应商公章</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或CA签章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，否则响应文件按无效响应处理。</w:t>
            </w:r>
          </w:p>
        </w:tc>
      </w:tr>
      <w:tr w14:paraId="022D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1B06836D">
            <w:pPr>
              <w:spacing w:line="360" w:lineRule="auto"/>
              <w:jc w:val="center"/>
              <w:rPr>
                <w:rFonts w:hint="eastAsia" w:ascii="宋体" w:hAnsi="宋体" w:eastAsia="宋体" w:cs="宋体"/>
                <w:color w:val="auto"/>
                <w:sz w:val="21"/>
                <w:szCs w:val="21"/>
                <w:highlight w:val="none"/>
              </w:rPr>
            </w:pPr>
          </w:p>
        </w:tc>
        <w:tc>
          <w:tcPr>
            <w:tcW w:w="8627" w:type="dxa"/>
            <w:vAlign w:val="center"/>
          </w:tcPr>
          <w:p w14:paraId="63ECB5E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商务服务文件</w:t>
            </w:r>
          </w:p>
          <w:p w14:paraId="0B0A44F2">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1.法定代表人身份证明及法定代表人有效身份证正反面（格式后附）；（</w:t>
            </w:r>
            <w:r>
              <w:rPr>
                <w:rFonts w:hint="eastAsia" w:ascii="宋体" w:hAnsi="宋体" w:eastAsia="宋体" w:cs="宋体"/>
                <w:b/>
                <w:bCs/>
                <w:color w:val="auto"/>
                <w:sz w:val="21"/>
                <w:szCs w:val="21"/>
                <w:highlight w:val="none"/>
              </w:rPr>
              <w:t>除自然人参加竞争性磋商外</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403A0FA">
            <w:pPr>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2.授权委托书及委托代理人有效身份证正反面（格式后附）；（</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459F73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.商务要求偏离表（格式后附）；（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122285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.服务要求偏离表（格式后附）；（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673870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.服务方案（格式自拟）；（</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910BC9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.项目实施人员一览表（格式自拟）；（</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21FAF8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.对应采购需求的技术要求、商务要求提供的其他文件资料（格式自拟）；</w:t>
            </w:r>
          </w:p>
          <w:p w14:paraId="649E347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.供应商认为需要提供的其他有关资料。</w:t>
            </w:r>
          </w:p>
          <w:p w14:paraId="244EE829">
            <w:pPr>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注：以上标明“必须提供”的材料必须加盖供应商公章</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或CA签章</w:t>
            </w:r>
            <w:r>
              <w:rPr>
                <w:rFonts w:hint="eastAsia" w:ascii="宋体" w:hAnsi="宋体"/>
                <w:b/>
                <w:bCs/>
                <w:color w:val="auto"/>
                <w:szCs w:val="21"/>
                <w:highlight w:val="none"/>
                <w:lang w:eastAsia="zh-CN"/>
              </w:rPr>
              <w:t>）</w:t>
            </w:r>
            <w:r>
              <w:rPr>
                <w:rFonts w:hint="eastAsia" w:ascii="宋体" w:hAnsi="宋体" w:eastAsia="宋体" w:cs="宋体"/>
                <w:b/>
                <w:color w:val="auto"/>
                <w:sz w:val="21"/>
                <w:szCs w:val="21"/>
                <w:highlight w:val="none"/>
              </w:rPr>
              <w:t>，否则响应文件按无效响应处理。</w:t>
            </w:r>
          </w:p>
        </w:tc>
      </w:tr>
      <w:tr w14:paraId="5598B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AEBCF6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8627" w:type="dxa"/>
            <w:vAlign w:val="center"/>
          </w:tcPr>
          <w:p w14:paraId="63808C71">
            <w:pPr>
              <w:snapToGrid w:val="0"/>
              <w:spacing w:line="36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竞争性磋商报价应为全费用固定总价包干报价，须充分预判合同履约周期内人工、材料、辅材、运输、市场波动、政策性调整、校园施工管控、风险兜底</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招标代理服务费</w:t>
            </w:r>
            <w:r>
              <w:rPr>
                <w:rFonts w:hint="eastAsia" w:ascii="宋体" w:hAnsi="宋体" w:eastAsia="宋体" w:cs="宋体"/>
                <w:b/>
                <w:bCs/>
                <w:color w:val="auto"/>
                <w:sz w:val="21"/>
                <w:szCs w:val="21"/>
                <w:highlight w:val="none"/>
              </w:rPr>
              <w:t>等全部潜在成本及风险因素，并统一计入磋商报价。除采购文件及合同明确约定的法定变更情形外，履约全过程不接受任何调价、补差、增项申请。须全面覆盖本项目展陈服务全部工作内容，包含但不限于：展陈深化设计、内容策划、素材制作、数字化内容开发、软硬件集成、材料及配套物资采购、现场布设安装、水电耗材、成品保护、文明作业、垃圾清运、系统调试、试运行、预验收、竣工验收、专项检测（含CMA环保检测、安全检测等全部检测费用）、资料归档、技术培训、运维指导、项目管理、规费、税金、保险、合理利润、合同风险、质保期内免费维保、终身维修成本、智能化多媒体集成开发等完成本项目交付标准所需全部工作及费用，</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rPr>
              <w:t>履约期内不另行支付任何其他费用。</w:t>
            </w:r>
            <w:r>
              <w:rPr>
                <w:rFonts w:hint="eastAsia" w:ascii="宋体" w:hAnsi="宋体" w:eastAsia="宋体" w:cs="宋体"/>
                <w:color w:val="auto"/>
                <w:sz w:val="21"/>
                <w:szCs w:val="21"/>
                <w:highlight w:val="none"/>
              </w:rPr>
              <w:t>（采购需求另有约定的，从其约定）</w:t>
            </w:r>
          </w:p>
        </w:tc>
      </w:tr>
      <w:tr w14:paraId="73B23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8CA75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8627" w:type="dxa"/>
            <w:vAlign w:val="center"/>
          </w:tcPr>
          <w:p w14:paraId="31FDE1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竞争性磋商有效期：首次响应文件提交截止之日起60天内。</w:t>
            </w:r>
          </w:p>
        </w:tc>
      </w:tr>
      <w:tr w14:paraId="6E553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696302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8627" w:type="dxa"/>
            <w:vAlign w:val="center"/>
          </w:tcPr>
          <w:p w14:paraId="7D7F2E19">
            <w:pPr>
              <w:autoSpaceDE w:val="0"/>
              <w:autoSpaceDN w:val="0"/>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本项目不收取</w:t>
            </w:r>
            <w:r>
              <w:rPr>
                <w:rFonts w:hint="eastAsia" w:ascii="宋体" w:hAnsi="宋体" w:eastAsia="宋体" w:cs="宋体"/>
                <w:color w:val="auto"/>
                <w:sz w:val="21"/>
                <w:szCs w:val="21"/>
                <w:highlight w:val="none"/>
              </w:rPr>
              <w:t>磋商</w:t>
            </w:r>
            <w:r>
              <w:rPr>
                <w:rFonts w:hint="eastAsia" w:asciiTheme="minorEastAsia" w:hAnsiTheme="minorEastAsia" w:eastAsiaTheme="minorEastAsia" w:cstheme="minorEastAsia"/>
                <w:sz w:val="21"/>
                <w:szCs w:val="21"/>
                <w:highlight w:val="none"/>
              </w:rPr>
              <w:t>保证金。</w:t>
            </w:r>
          </w:p>
          <w:p w14:paraId="1AC32869">
            <w:pPr>
              <w:autoSpaceDE w:val="0"/>
              <w:autoSpaceDN w:val="0"/>
              <w:snapToGrid/>
              <w:spacing w:line="360" w:lineRule="auto"/>
              <w:ind w:firstLine="420" w:firstLineChars="200"/>
              <w:rPr>
                <w:rFonts w:hint="eastAsia" w:ascii="宋体" w:hAnsi="宋体" w:eastAsia="宋体" w:cs="宋体"/>
                <w:color w:val="auto"/>
                <w:sz w:val="21"/>
                <w:szCs w:val="21"/>
                <w:highlight w:val="none"/>
                <w:lang w:eastAsia="zh-CN"/>
              </w:rPr>
            </w:pPr>
            <w:r>
              <w:rPr>
                <w:rFonts w:hint="eastAsia" w:asciiTheme="minorEastAsia" w:hAnsiTheme="minorEastAsia" w:eastAsiaTheme="minorEastAsia" w:cstheme="minorEastAsia"/>
                <w:sz w:val="21"/>
                <w:szCs w:val="21"/>
                <w:highlight w:val="none"/>
                <w:lang w:eastAsia="zh-CN"/>
              </w:rPr>
              <w:t>☑</w:t>
            </w:r>
            <w:r>
              <w:rPr>
                <w:rFonts w:hint="eastAsia" w:ascii="宋体" w:hAnsi="宋体" w:eastAsia="宋体" w:cs="宋体"/>
                <w:color w:val="auto"/>
                <w:sz w:val="21"/>
                <w:szCs w:val="21"/>
                <w:highlight w:val="none"/>
              </w:rPr>
              <w:t>本项目收取磋商保证金</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具体详见竞争性</w:t>
            </w:r>
            <w:r>
              <w:rPr>
                <w:rFonts w:hint="eastAsia" w:ascii="宋体" w:hAnsi="宋体" w:eastAsia="宋体" w:cs="宋体"/>
                <w:color w:val="auto"/>
                <w:sz w:val="21"/>
                <w:szCs w:val="21"/>
                <w:highlight w:val="none"/>
              </w:rPr>
              <w:t>磋商</w:t>
            </w:r>
            <w:r>
              <w:rPr>
                <w:rFonts w:hint="eastAsia" w:asciiTheme="minorEastAsia" w:hAnsiTheme="minorEastAsia" w:eastAsiaTheme="minorEastAsia" w:cstheme="minorEastAsia"/>
                <w:sz w:val="21"/>
                <w:szCs w:val="21"/>
                <w:highlight w:val="none"/>
                <w:lang w:val="en-US" w:eastAsia="zh-CN"/>
              </w:rPr>
              <w:t>公告。</w:t>
            </w:r>
          </w:p>
        </w:tc>
      </w:tr>
      <w:tr w14:paraId="2222E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vAlign w:val="center"/>
          </w:tcPr>
          <w:p w14:paraId="561DBBF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18.2</w:t>
            </w:r>
          </w:p>
        </w:tc>
        <w:tc>
          <w:tcPr>
            <w:tcW w:w="8627" w:type="dxa"/>
            <w:vAlign w:val="center"/>
          </w:tcPr>
          <w:p w14:paraId="4DC1E2B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响应文件应按资格证明文件、报价文件、商务技术文件分别编制，并按广西政府采购云平台的要求编制、加密、上传。</w:t>
            </w:r>
          </w:p>
        </w:tc>
      </w:tr>
      <w:tr w14:paraId="4F567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atLeast"/>
          <w:jc w:val="center"/>
        </w:trPr>
        <w:tc>
          <w:tcPr>
            <w:tcW w:w="992" w:type="dxa"/>
            <w:vAlign w:val="center"/>
          </w:tcPr>
          <w:p w14:paraId="7C288E1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w:t>
            </w:r>
          </w:p>
        </w:tc>
        <w:tc>
          <w:tcPr>
            <w:tcW w:w="8627" w:type="dxa"/>
            <w:vAlign w:val="center"/>
          </w:tcPr>
          <w:p w14:paraId="3AE070D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本项目不接受电子备份响应文件</w:t>
            </w:r>
          </w:p>
        </w:tc>
      </w:tr>
      <w:tr w14:paraId="571AB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12A5FA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8627" w:type="dxa"/>
            <w:vAlign w:val="center"/>
          </w:tcPr>
          <w:p w14:paraId="41A43B1F">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首次响应文件提交截止时间：详见竞争性磋商公告。</w:t>
            </w:r>
          </w:p>
          <w:p w14:paraId="547CE99B">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首次响应文件提交地点：详见竞争性磋商公告。</w:t>
            </w:r>
          </w:p>
        </w:tc>
      </w:tr>
      <w:tr w14:paraId="10ACA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699DFD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w:t>
            </w:r>
          </w:p>
        </w:tc>
        <w:tc>
          <w:tcPr>
            <w:tcW w:w="8627" w:type="dxa"/>
            <w:vAlign w:val="center"/>
          </w:tcPr>
          <w:p w14:paraId="2CD74E88">
            <w:pPr>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 w:val="21"/>
                <w:szCs w:val="21"/>
                <w:highlight w:val="none"/>
              </w:rPr>
              <w:t>磋商小组的人数：3人</w:t>
            </w:r>
            <w:r>
              <w:rPr>
                <w:rFonts w:hint="eastAsia" w:ascii="宋体" w:hAnsi="宋体" w:eastAsia="宋体" w:cs="宋体"/>
                <w:color w:val="auto"/>
                <w:highlight w:val="none"/>
              </w:rPr>
              <w:t>，其中</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代表</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人，专家</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人。</w:t>
            </w:r>
          </w:p>
          <w:p w14:paraId="482D65F1">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Cs w:val="21"/>
                <w:highlight w:val="none"/>
              </w:rPr>
              <w:t>专家确定方式：评审前由</w:t>
            </w:r>
            <w:r>
              <w:rPr>
                <w:rFonts w:hint="eastAsia" w:ascii="宋体" w:hAnsi="宋体" w:eastAsia="宋体" w:cs="宋体"/>
                <w:color w:val="auto"/>
                <w:szCs w:val="21"/>
                <w:highlight w:val="none"/>
                <w:lang w:eastAsia="zh-CN"/>
              </w:rPr>
              <w:t>采购</w:t>
            </w:r>
            <w:r>
              <w:rPr>
                <w:rFonts w:hint="eastAsia" w:ascii="宋体" w:hAnsi="宋体" w:eastAsia="宋体" w:cs="宋体"/>
                <w:color w:val="auto"/>
                <w:szCs w:val="21"/>
                <w:highlight w:val="none"/>
              </w:rPr>
              <w:t>代理机构从</w:t>
            </w:r>
            <w:r>
              <w:rPr>
                <w:rFonts w:hint="eastAsia" w:ascii="宋体" w:hAnsi="宋体" w:eastAsia="宋体" w:cs="宋体"/>
                <w:color w:val="auto"/>
                <w:szCs w:val="21"/>
                <w:highlight w:val="none"/>
                <w:lang w:val="en-US" w:eastAsia="zh-CN"/>
              </w:rPr>
              <w:t>广西政府采购云平台的</w:t>
            </w:r>
            <w:r>
              <w:rPr>
                <w:rFonts w:hint="eastAsia" w:ascii="宋体" w:hAnsi="宋体" w:eastAsia="宋体" w:cs="宋体"/>
                <w:color w:val="auto"/>
                <w:szCs w:val="21"/>
                <w:highlight w:val="none"/>
              </w:rPr>
              <w:t>广西壮族自治区政府采购评审专家库系统设立的专家库中通过电脑随机抽取。</w:t>
            </w:r>
          </w:p>
        </w:tc>
      </w:tr>
      <w:tr w14:paraId="74FD3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B93CCB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25.2</w:t>
            </w:r>
          </w:p>
        </w:tc>
        <w:tc>
          <w:tcPr>
            <w:tcW w:w="8627" w:type="dxa"/>
            <w:vAlign w:val="center"/>
          </w:tcPr>
          <w:p w14:paraId="00205F8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采购代理机构将依托电子交易平台发起开始解密指令，</w:t>
            </w:r>
            <w:r>
              <w:rPr>
                <w:rFonts w:hint="eastAsia" w:ascii="宋体" w:hAnsi="宋体" w:eastAsia="宋体" w:cs="宋体"/>
                <w:b/>
                <w:color w:val="auto"/>
                <w:sz w:val="21"/>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宋体"/>
                <w:b/>
                <w:bCs/>
                <w:color w:val="auto"/>
                <w:sz w:val="21"/>
                <w:szCs w:val="21"/>
                <w:highlight w:val="none"/>
              </w:rPr>
              <w:t>响应文件未按时解密的，</w:t>
            </w:r>
            <w:r>
              <w:rPr>
                <w:rFonts w:hint="eastAsia" w:ascii="宋体" w:hAnsi="宋体" w:eastAsia="宋体" w:cs="宋体"/>
                <w:b/>
                <w:color w:val="auto"/>
                <w:sz w:val="21"/>
                <w:szCs w:val="21"/>
                <w:highlight w:val="none"/>
              </w:rPr>
              <w:t>视为响应</w:t>
            </w:r>
            <w:r>
              <w:rPr>
                <w:rFonts w:hint="eastAsia" w:ascii="宋体" w:hAnsi="宋体" w:eastAsia="宋体" w:cs="宋体"/>
                <w:b/>
                <w:bCs/>
                <w:color w:val="auto"/>
                <w:sz w:val="21"/>
                <w:szCs w:val="21"/>
                <w:highlight w:val="none"/>
              </w:rPr>
              <w:t>文件无效。</w:t>
            </w:r>
          </w:p>
        </w:tc>
      </w:tr>
      <w:tr w14:paraId="16222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30C696E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w:t>
            </w:r>
          </w:p>
        </w:tc>
        <w:tc>
          <w:tcPr>
            <w:tcW w:w="8627" w:type="dxa"/>
            <w:vAlign w:val="center"/>
          </w:tcPr>
          <w:p w14:paraId="4D98294F">
            <w:pPr>
              <w:pStyle w:val="12"/>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磋商的顺序：按“广西政府采购云平台”系统的编号顺序。</w:t>
            </w:r>
          </w:p>
          <w:p w14:paraId="61758C2C">
            <w:pPr>
              <w:pStyle w:val="12"/>
              <w:spacing w:line="360" w:lineRule="auto"/>
              <w:ind w:firstLine="422" w:firstLineChars="20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符合磋商资格的供应商必须在接到磋商通知后规定时间内参加磋商，未在规定时间内参加磋商的视同放弃参加磋商权利，其响应文件按无效响应处理。</w:t>
            </w:r>
          </w:p>
          <w:p w14:paraId="758F50F8">
            <w:pPr>
              <w:snapToGrid/>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注：参与磋商前，供应商法定代表人或者委托代理人向磋商小组出示本人有效证件原件（有效证件可以是身份证（含临时身份证明）或者护照的其中一项）。</w:t>
            </w:r>
          </w:p>
        </w:tc>
      </w:tr>
      <w:tr w14:paraId="495EE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Merge w:val="continue"/>
            <w:vAlign w:val="center"/>
          </w:tcPr>
          <w:p w14:paraId="36C7CDF3">
            <w:pPr>
              <w:spacing w:line="360" w:lineRule="auto"/>
              <w:jc w:val="center"/>
              <w:rPr>
                <w:rFonts w:hint="eastAsia" w:ascii="宋体" w:hAnsi="宋体" w:eastAsia="宋体" w:cs="宋体"/>
                <w:color w:val="auto"/>
                <w:sz w:val="21"/>
                <w:szCs w:val="21"/>
                <w:highlight w:val="none"/>
              </w:rPr>
            </w:pPr>
          </w:p>
        </w:tc>
        <w:tc>
          <w:tcPr>
            <w:tcW w:w="8627" w:type="dxa"/>
            <w:vAlign w:val="center"/>
          </w:tcPr>
          <w:p w14:paraId="2A34C13D">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商务要求评审中允许负偏离的条款数为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0项</w:t>
            </w:r>
          </w:p>
          <w:p w14:paraId="44E61275">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服务要求评审中允许负偏离的条款数为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项</w:t>
            </w:r>
          </w:p>
        </w:tc>
      </w:tr>
      <w:tr w14:paraId="5DA33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13985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w:t>
            </w:r>
          </w:p>
        </w:tc>
        <w:tc>
          <w:tcPr>
            <w:tcW w:w="8627" w:type="dxa"/>
            <w:vAlign w:val="center"/>
          </w:tcPr>
          <w:p w14:paraId="66A92BD9">
            <w:pPr>
              <w:pStyle w:val="12"/>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本项目收取履约保证金</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具体规定如下：</w:t>
            </w:r>
          </w:p>
          <w:p w14:paraId="5135218F">
            <w:pPr>
              <w:snapToGrid/>
              <w:spacing w:line="360" w:lineRule="auto"/>
              <w:ind w:firstLine="420" w:firstLineChars="200"/>
              <w:rPr>
                <w:rFonts w:ascii="宋体" w:hAnsi="宋体" w:cs="宋体"/>
                <w:color w:val="auto"/>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履约保证金金额</w:t>
            </w:r>
            <w:r>
              <w:rPr>
                <w:rFonts w:hint="eastAsia" w:ascii="宋体" w:hAnsi="宋体" w:cs="宋体"/>
                <w:color w:val="auto"/>
                <w:highlight w:val="none"/>
              </w:rPr>
              <w:t>：</w:t>
            </w:r>
            <w:r>
              <w:rPr>
                <w:rFonts w:hint="eastAsia" w:ascii="宋体" w:hAnsi="宋体" w:cs="宋体"/>
                <w:color w:val="auto"/>
                <w:highlight w:val="none"/>
                <w:lang w:val="en-US" w:eastAsia="zh-CN"/>
              </w:rPr>
              <w:t>按</w:t>
            </w:r>
            <w:r>
              <w:rPr>
                <w:rFonts w:hint="eastAsia" w:ascii="宋体" w:hAnsi="宋体"/>
                <w:color w:val="auto"/>
                <w:szCs w:val="21"/>
                <w:highlight w:val="none"/>
              </w:rPr>
              <w:t>成交金额的5%</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供应商为中小微企业的，按成交金额的2%</w:t>
            </w:r>
            <w:r>
              <w:rPr>
                <w:rFonts w:hint="eastAsia" w:ascii="宋体" w:hAnsi="宋体"/>
                <w:color w:val="auto"/>
                <w:szCs w:val="21"/>
                <w:highlight w:val="none"/>
                <w:lang w:eastAsia="zh-CN"/>
              </w:rPr>
              <w:t>】</w:t>
            </w:r>
            <w:r>
              <w:rPr>
                <w:rFonts w:hint="eastAsia" w:ascii="宋体" w:hAnsi="宋体" w:cs="宋体"/>
                <w:color w:val="auto"/>
                <w:highlight w:val="none"/>
              </w:rPr>
              <w:t>。</w:t>
            </w:r>
          </w:p>
          <w:p w14:paraId="33A6FA76">
            <w:pPr>
              <w:snapToGrid/>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rPr>
              <w:t>履约保证金递交方式</w:t>
            </w:r>
            <w:r>
              <w:rPr>
                <w:rFonts w:hint="eastAsia" w:hAnsi="宋体"/>
                <w:color w:val="auto"/>
                <w:highlight w:val="none"/>
              </w:rPr>
              <w:t>：</w:t>
            </w:r>
            <w:r>
              <w:rPr>
                <w:rFonts w:hint="eastAsia" w:ascii="宋体" w:hAnsi="宋体" w:eastAsia="宋体" w:cs="宋体"/>
                <w:b w:val="0"/>
                <w:sz w:val="21"/>
                <w:szCs w:val="21"/>
                <w:highlight w:val="none"/>
              </w:rPr>
              <w:t>转账、电汇、银行保函、保险保函等非现金形式</w:t>
            </w:r>
            <w:r>
              <w:rPr>
                <w:rFonts w:hint="eastAsia" w:ascii="宋体" w:hAnsi="宋体" w:cs="宋体"/>
                <w:color w:val="auto"/>
                <w:szCs w:val="21"/>
                <w:highlight w:val="none"/>
              </w:rPr>
              <w:t>。</w:t>
            </w:r>
          </w:p>
          <w:p w14:paraId="647511D3">
            <w:pPr>
              <w:snapToGrid/>
              <w:spacing w:line="360" w:lineRule="auto"/>
              <w:ind w:firstLine="420" w:firstLineChars="200"/>
              <w:rPr>
                <w:rFonts w:ascii="宋体" w:hAnsi="宋体" w:cs="宋体"/>
                <w:color w:val="auto"/>
                <w:kern w:val="0"/>
                <w:highlight w:val="none"/>
              </w:rPr>
            </w:pP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rPr>
              <w:t>履约保证金递交方式及相关要求</w:t>
            </w:r>
          </w:p>
          <w:p w14:paraId="359D362C">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1</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履约保证金采用银行转账交纳方式的</w:t>
            </w:r>
            <w:r>
              <w:rPr>
                <w:rFonts w:hint="eastAsia" w:ascii="宋体" w:hAnsi="宋体"/>
                <w:color w:val="auto"/>
                <w:highlight w:val="none"/>
              </w:rPr>
              <w:t>，乙方在签订合同前交至甲方指定账户并且到账。</w:t>
            </w:r>
          </w:p>
          <w:p w14:paraId="16D60C11">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履约保证金采用支票</w:t>
            </w:r>
            <w:r>
              <w:rPr>
                <w:rFonts w:hint="eastAsia" w:ascii="宋体" w:hAnsi="宋体"/>
                <w:color w:val="auto"/>
                <w:highlight w:val="none"/>
              </w:rPr>
              <w:t>、汇票或本票交纳方式的，乙方在签订合同前，向甲方提交支票、汇票或本票原件。</w:t>
            </w:r>
          </w:p>
          <w:p w14:paraId="4041E4C8">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履约保证金采用银行</w:t>
            </w:r>
            <w:r>
              <w:rPr>
                <w:rFonts w:hint="eastAsia" w:ascii="宋体" w:hAnsi="宋体"/>
                <w:color w:val="auto"/>
                <w:highlight w:val="none"/>
              </w:rPr>
              <w:t>、保险机构出具的保函交纳方式的，乙方在签订合同前，向甲方提交保函原件。</w:t>
            </w:r>
          </w:p>
          <w:p w14:paraId="22CABE0D">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4</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履约保证金指定账户</w:t>
            </w:r>
          </w:p>
          <w:p w14:paraId="4F344D5F">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开户名称</w:t>
            </w:r>
            <w:r>
              <w:rPr>
                <w:rFonts w:hint="eastAsia" w:ascii="宋体" w:hAnsi="宋体"/>
                <w:color w:val="auto"/>
                <w:highlight w:val="none"/>
              </w:rPr>
              <w:t>：</w:t>
            </w:r>
            <w:r>
              <w:rPr>
                <w:rFonts w:hint="eastAsia" w:ascii="宋体" w:hAnsi="宋体"/>
                <w:color w:val="auto"/>
                <w:kern w:val="0"/>
                <w:szCs w:val="21"/>
                <w:highlight w:val="none"/>
                <w:u w:val="single"/>
              </w:rPr>
              <w:t>桂林理工大学</w:t>
            </w:r>
            <w:r>
              <w:rPr>
                <w:rFonts w:hint="eastAsia" w:ascii="宋体" w:hAnsi="宋体" w:cs="Arial"/>
                <w:color w:val="auto"/>
                <w:szCs w:val="21"/>
                <w:highlight w:val="none"/>
              </w:rPr>
              <w:t>；</w:t>
            </w:r>
          </w:p>
          <w:p w14:paraId="6F3E2F1A">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开户银行</w:t>
            </w:r>
            <w:r>
              <w:rPr>
                <w:rFonts w:hint="eastAsia" w:ascii="宋体" w:hAnsi="宋体"/>
                <w:color w:val="auto"/>
                <w:highlight w:val="none"/>
              </w:rPr>
              <w:t>：</w:t>
            </w:r>
            <w:r>
              <w:rPr>
                <w:rFonts w:hint="eastAsia" w:ascii="宋体" w:hAnsi="宋体"/>
                <w:color w:val="auto"/>
                <w:kern w:val="0"/>
                <w:szCs w:val="21"/>
                <w:highlight w:val="none"/>
                <w:u w:val="single"/>
              </w:rPr>
              <w:t>中国银行桂林分行</w:t>
            </w:r>
            <w:r>
              <w:rPr>
                <w:rFonts w:hint="eastAsia" w:ascii="宋体" w:hAnsi="宋体" w:cs="Arial"/>
                <w:color w:val="auto"/>
                <w:szCs w:val="21"/>
                <w:highlight w:val="none"/>
              </w:rPr>
              <w:t>；</w:t>
            </w:r>
          </w:p>
          <w:p w14:paraId="094230EE">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银行账号</w:t>
            </w:r>
            <w:r>
              <w:rPr>
                <w:rFonts w:hint="eastAsia" w:ascii="宋体" w:hAnsi="宋体"/>
                <w:color w:val="auto"/>
                <w:highlight w:val="none"/>
              </w:rPr>
              <w:t>：</w:t>
            </w:r>
            <w:r>
              <w:rPr>
                <w:rFonts w:hint="eastAsia" w:ascii="宋体" w:hAnsi="宋体"/>
                <w:color w:val="auto"/>
                <w:kern w:val="0"/>
                <w:szCs w:val="21"/>
                <w:highlight w:val="none"/>
                <w:u w:val="single"/>
              </w:rPr>
              <w:t>613257488744</w:t>
            </w:r>
            <w:r>
              <w:rPr>
                <w:rFonts w:hint="eastAsia" w:ascii="宋体" w:hAnsi="宋体" w:cs="Arial"/>
                <w:color w:val="auto"/>
                <w:szCs w:val="21"/>
                <w:highlight w:val="none"/>
              </w:rPr>
              <w:t>。</w:t>
            </w:r>
          </w:p>
          <w:p w14:paraId="441C65E1">
            <w:pPr>
              <w:snapToGrid/>
              <w:spacing w:line="360" w:lineRule="auto"/>
              <w:ind w:firstLine="420" w:firstLineChars="200"/>
              <w:rPr>
                <w:rFonts w:ascii="宋体" w:hAnsi="宋体" w:cs="宋体"/>
                <w:color w:val="auto"/>
                <w:kern w:val="0"/>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履约保证金退付方式</w:t>
            </w:r>
            <w:r>
              <w:rPr>
                <w:rFonts w:hint="eastAsia" w:ascii="宋体" w:hAnsi="宋体"/>
                <w:color w:val="auto"/>
                <w:highlight w:val="none"/>
              </w:rPr>
              <w:t>、时间及条件</w:t>
            </w:r>
            <w:r>
              <w:rPr>
                <w:rFonts w:ascii="宋体" w:hAnsi="宋体" w:cs="宋体"/>
                <w:color w:val="auto"/>
                <w:kern w:val="0"/>
                <w:highlight w:val="none"/>
              </w:rPr>
              <w:t>：</w:t>
            </w:r>
          </w:p>
          <w:p w14:paraId="02ACE48E">
            <w:pPr>
              <w:snapToGrid/>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1</w:t>
            </w:r>
            <w:r>
              <w:rPr>
                <w:rFonts w:hint="eastAsia" w:ascii="宋体" w:hAnsi="宋体" w:cs="宋体"/>
                <w:color w:val="auto"/>
                <w:kern w:val="0"/>
                <w:highlight w:val="none"/>
                <w:lang w:eastAsia="zh-CN"/>
              </w:rPr>
              <w:t>）</w:t>
            </w:r>
            <w:r>
              <w:rPr>
                <w:rFonts w:hint="eastAsia"/>
                <w:color w:val="auto"/>
                <w:highlight w:val="none"/>
              </w:rPr>
              <w:t>履约保证金在</w:t>
            </w:r>
            <w:r>
              <w:rPr>
                <w:rFonts w:hint="eastAsia"/>
                <w:color w:val="auto"/>
                <w:highlight w:val="none"/>
                <w:lang w:val="en-US" w:eastAsia="zh-CN"/>
              </w:rPr>
              <w:t>成交供应商</w:t>
            </w:r>
            <w:r>
              <w:rPr>
                <w:rFonts w:hint="eastAsia" w:ascii="宋体" w:hAnsi="宋体" w:eastAsia="宋体" w:cs="宋体"/>
                <w:color w:val="auto"/>
                <w:sz w:val="21"/>
                <w:szCs w:val="21"/>
                <w:highlight w:val="none"/>
              </w:rPr>
              <w:t>履行完合同约定的权利义务（包括免费保修服务等）事项后7个工作日内，由</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供应商凭履约保证金的申请表及合同向采购人申请办理履约保证金退还手续，采购人在收到合格材料后5个工作日内以银行转账方式如数退还（不计利息）</w:t>
            </w:r>
            <w:r>
              <w:rPr>
                <w:rFonts w:hint="eastAsia"/>
                <w:color w:val="auto"/>
                <w:highlight w:val="none"/>
              </w:rPr>
              <w:t>。</w:t>
            </w:r>
          </w:p>
          <w:p w14:paraId="71C9ABD4">
            <w:pPr>
              <w:snapToGrid/>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2</w:t>
            </w:r>
            <w:r>
              <w:rPr>
                <w:rFonts w:hint="eastAsia" w:ascii="宋体" w:hAnsi="宋体" w:cs="宋体"/>
                <w:color w:val="auto"/>
                <w:kern w:val="0"/>
                <w:highlight w:val="none"/>
                <w:lang w:eastAsia="zh-CN"/>
              </w:rPr>
              <w:t>）</w:t>
            </w:r>
            <w:r>
              <w:rPr>
                <w:rFonts w:hint="eastAsia"/>
                <w:color w:val="auto"/>
                <w:highlight w:val="none"/>
                <w:lang w:val="en-US" w:eastAsia="zh-CN"/>
              </w:rPr>
              <w:t>成交供应商</w:t>
            </w:r>
            <w:r>
              <w:rPr>
                <w:rFonts w:ascii="宋体" w:hAnsi="宋体" w:cs="Courier New"/>
                <w:color w:val="auto"/>
                <w:szCs w:val="21"/>
                <w:highlight w:val="none"/>
              </w:rPr>
              <w:t>在签订合同后存在违约情形的</w:t>
            </w:r>
            <w:r>
              <w:rPr>
                <w:rFonts w:ascii="宋体" w:hAnsi="宋体" w:cs="宋体"/>
                <w:color w:val="auto"/>
                <w:kern w:val="0"/>
                <w:highlight w:val="none"/>
              </w:rPr>
              <w:t>，</w:t>
            </w:r>
            <w:r>
              <w:rPr>
                <w:rFonts w:hint="eastAsia" w:ascii="宋体" w:hAnsi="宋体" w:cs="宋体"/>
                <w:color w:val="auto"/>
                <w:kern w:val="0"/>
                <w:highlight w:val="none"/>
              </w:rPr>
              <w:t>履约保证金或</w:t>
            </w:r>
            <w:r>
              <w:rPr>
                <w:rFonts w:ascii="宋体" w:hAnsi="宋体" w:cs="宋体"/>
                <w:color w:val="auto"/>
                <w:kern w:val="0"/>
                <w:highlight w:val="none"/>
              </w:rPr>
              <w:t>保函原件不予退还</w:t>
            </w:r>
            <w:r>
              <w:rPr>
                <w:rFonts w:hint="eastAsia" w:ascii="宋体" w:hAnsi="宋体" w:cs="宋体"/>
                <w:color w:val="auto"/>
                <w:kern w:val="0"/>
                <w:highlight w:val="none"/>
              </w:rPr>
              <w:t>。</w:t>
            </w:r>
            <w:r>
              <w:rPr>
                <w:rFonts w:hint="eastAsia" w:ascii="宋体" w:hAnsi="宋体"/>
                <w:color w:val="auto"/>
                <w:szCs w:val="21"/>
                <w:highlight w:val="none"/>
              </w:rPr>
              <w:t>保函形式的</w:t>
            </w:r>
            <w:r>
              <w:rPr>
                <w:rFonts w:hint="eastAsia" w:ascii="宋体" w:hAnsi="宋体" w:eastAsia="宋体" w:cs="宋体"/>
                <w:color w:val="auto"/>
                <w:sz w:val="21"/>
                <w:szCs w:val="21"/>
                <w:highlight w:val="none"/>
              </w:rPr>
              <w:t>采购人</w:t>
            </w:r>
            <w:r>
              <w:rPr>
                <w:rFonts w:ascii="宋体" w:hAnsi="宋体"/>
                <w:color w:val="auto"/>
                <w:szCs w:val="21"/>
                <w:highlight w:val="none"/>
              </w:rPr>
              <w:t>按相关规定由出具保函的</w:t>
            </w:r>
            <w:r>
              <w:rPr>
                <w:rFonts w:hint="eastAsia" w:ascii="宋体" w:hAnsi="宋体"/>
                <w:color w:val="auto"/>
                <w:szCs w:val="21"/>
                <w:highlight w:val="none"/>
              </w:rPr>
              <w:t>银行</w:t>
            </w:r>
            <w:r>
              <w:rPr>
                <w:rFonts w:ascii="宋体" w:hAnsi="宋体" w:cs="宋体"/>
                <w:color w:val="auto"/>
                <w:kern w:val="0"/>
                <w:highlight w:val="none"/>
              </w:rPr>
              <w:t>、</w:t>
            </w:r>
            <w:r>
              <w:rPr>
                <w:rFonts w:hint="eastAsia" w:ascii="宋体" w:hAnsi="宋体" w:cs="宋体"/>
                <w:color w:val="auto"/>
                <w:kern w:val="0"/>
                <w:highlight w:val="none"/>
              </w:rPr>
              <w:t>保险</w:t>
            </w:r>
            <w:r>
              <w:rPr>
                <w:rFonts w:ascii="宋体" w:hAnsi="宋体" w:cs="宋体"/>
                <w:color w:val="auto"/>
                <w:kern w:val="0"/>
                <w:highlight w:val="none"/>
              </w:rPr>
              <w:t>机构承担供应商违约赔付责任，履约保证金不足以赔偿损失的，按实际损失赔偿。</w:t>
            </w:r>
          </w:p>
          <w:p w14:paraId="423F6863">
            <w:pPr>
              <w:snapToGrid/>
              <w:spacing w:line="360" w:lineRule="auto"/>
              <w:ind w:firstLine="420" w:firstLineChars="200"/>
              <w:rPr>
                <w:rFonts w:ascii="宋体" w:hAnsi="宋体"/>
                <w:color w:val="auto"/>
                <w:highlight w:val="none"/>
                <w:u w:val="single"/>
              </w:rPr>
            </w:pP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3</w:t>
            </w:r>
            <w:r>
              <w:rPr>
                <w:rFonts w:hint="eastAsia" w:ascii="宋体" w:hAnsi="宋体" w:cs="宋体"/>
                <w:color w:val="auto"/>
                <w:kern w:val="0"/>
                <w:highlight w:val="none"/>
                <w:lang w:eastAsia="zh-CN"/>
              </w:rPr>
              <w:t>）</w:t>
            </w:r>
            <w:r>
              <w:rPr>
                <w:rFonts w:hint="eastAsia" w:ascii="宋体" w:hAnsi="宋体"/>
                <w:color w:val="auto"/>
                <w:szCs w:val="21"/>
                <w:highlight w:val="none"/>
              </w:rPr>
              <w:t>在履约保证金退还日期前</w:t>
            </w:r>
            <w:r>
              <w:rPr>
                <w:rFonts w:hint="eastAsia" w:hAnsi="宋体"/>
                <w:color w:val="auto"/>
                <w:highlight w:val="none"/>
              </w:rPr>
              <w:t>，若</w:t>
            </w:r>
            <w:r>
              <w:rPr>
                <w:rFonts w:hint="eastAsia"/>
                <w:color w:val="auto"/>
                <w:highlight w:val="none"/>
                <w:lang w:val="en-US" w:eastAsia="zh-CN"/>
              </w:rPr>
              <w:t>成交供应商</w:t>
            </w:r>
            <w:r>
              <w:rPr>
                <w:rFonts w:hint="eastAsia" w:hAnsi="宋体"/>
                <w:color w:val="auto"/>
                <w:highlight w:val="none"/>
              </w:rPr>
              <w:t>的开户名称、开户银行、账号有变动的，请以书面形式通知履约保证金收取单位，否则由此产生的后果由</w:t>
            </w:r>
            <w:r>
              <w:rPr>
                <w:rFonts w:hint="eastAsia"/>
                <w:color w:val="auto"/>
                <w:highlight w:val="none"/>
                <w:lang w:val="en-US" w:eastAsia="zh-CN"/>
              </w:rPr>
              <w:t>成交供应商</w:t>
            </w:r>
            <w:r>
              <w:rPr>
                <w:rFonts w:hint="eastAsia" w:hAnsi="宋体"/>
                <w:color w:val="auto"/>
                <w:highlight w:val="none"/>
              </w:rPr>
              <w:t>自负。</w:t>
            </w:r>
          </w:p>
          <w:p w14:paraId="02A72C61">
            <w:pPr>
              <w:snapToGrid/>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5.</w:t>
            </w:r>
            <w:r>
              <w:rPr>
                <w:rFonts w:ascii="宋体" w:hAnsi="宋体"/>
                <w:color w:val="auto"/>
                <w:highlight w:val="none"/>
              </w:rPr>
              <w:t>履约保证金不足额缴纳的，或银行、保险机构出具的保函额度不足的或者保函有效期低于合同履行期限（即签订采购合同之日起至履行完合同约定的权利及义务之日止）的，不予签订合同。采用银行、保险机构出具的保函的，必须为无条件保函，否则不予签订合同。</w:t>
            </w:r>
          </w:p>
          <w:p w14:paraId="2962FC72">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备注：1.</w:t>
            </w:r>
            <w:r>
              <w:rPr>
                <w:rFonts w:hint="eastAsia" w:ascii="宋体" w:hAnsi="宋体" w:cs="宋体"/>
                <w:b/>
                <w:szCs w:val="21"/>
                <w:highlight w:val="none"/>
              </w:rPr>
              <w:t>根据《广西壮族自治区财政厅关于持续优化政府采购营商环境推动高质量发展的通知》（桂财采〔2024〕55号）规定，（二）降低履约保证金。采购文件要求中标或者成交供应商提交履约保证金的，履约保证金数额不得超过政府采购合同金额的5%，对中小企业收取的履约保证金数额不得超过政府采购合同金额的2%。预算单位（采购人）可根据供应商的资信等情况减免履约保证金。政府采购工程以及与工程建设有关的货物、服务采用招标方式采购的，履约保证金减免从其规定。</w:t>
            </w:r>
          </w:p>
          <w:p w14:paraId="6BDF8854">
            <w:pPr>
              <w:spacing w:line="360" w:lineRule="auto"/>
              <w:ind w:firstLine="422" w:firstLineChars="200"/>
              <w:rPr>
                <w:rFonts w:hint="eastAsia" w:ascii="宋体" w:hAnsi="宋体" w:cs="宋体"/>
                <w:b/>
                <w:bCs/>
                <w:szCs w:val="21"/>
                <w:highlight w:val="none"/>
              </w:rPr>
            </w:pPr>
            <w:r>
              <w:rPr>
                <w:rFonts w:hint="eastAsia" w:ascii="宋体" w:hAnsi="宋体" w:cs="宋体"/>
                <w:b/>
                <w:bCs/>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BCC3272">
            <w:pPr>
              <w:pStyle w:val="12"/>
              <w:spacing w:line="360" w:lineRule="auto"/>
              <w:ind w:firstLine="420"/>
              <w:rPr>
                <w:rFonts w:hint="eastAsia" w:ascii="宋体" w:hAnsi="宋体" w:cs="宋体"/>
                <w:b/>
                <w:bCs/>
                <w:szCs w:val="21"/>
                <w:highlight w:val="none"/>
              </w:rPr>
            </w:pPr>
            <w:r>
              <w:rPr>
                <w:rFonts w:hint="eastAsia" w:ascii="宋体" w:hAnsi="宋体" w:cs="宋体"/>
                <w:b/>
                <w:bCs/>
                <w:szCs w:val="21"/>
                <w:highlight w:val="none"/>
              </w:rPr>
              <w:t>3.采用银行、保险机构出具的保函的，必须为无条件保函，否则不予签订合同。</w:t>
            </w:r>
          </w:p>
          <w:p w14:paraId="68BAB449">
            <w:pPr>
              <w:autoSpaceDE w:val="0"/>
              <w:autoSpaceDN w:val="0"/>
              <w:snapToGrid w:val="0"/>
              <w:spacing w:line="360" w:lineRule="auto"/>
              <w:ind w:firstLine="422"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b/>
                <w:bCs/>
                <w:szCs w:val="21"/>
                <w:highlight w:val="none"/>
              </w:rPr>
              <w:t>4.供应商为联合体的，由联合体其中一方按规定提交的履约保证金，视为有效履约保证金（采购文件载明不接受联合体竞标或供应商非联合体的，请忽略）。</w:t>
            </w:r>
          </w:p>
        </w:tc>
      </w:tr>
      <w:tr w14:paraId="16BBE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9B1C00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8627" w:type="dxa"/>
            <w:vAlign w:val="center"/>
          </w:tcPr>
          <w:p w14:paraId="132078AE">
            <w:pPr>
              <w:autoSpaceDE w:val="0"/>
              <w:autoSpaceDN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签订合同携带的证明材料：</w:t>
            </w:r>
          </w:p>
          <w:p w14:paraId="5FC25E29">
            <w:pPr>
              <w:autoSpaceDE w:val="0"/>
              <w:autoSpaceDN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1.委托代理人负责签订合同的，须携带授权委托书及委托代理人身份证原件等其他资格证件。</w:t>
            </w:r>
          </w:p>
          <w:p w14:paraId="3EA3388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2.法定代表人负责签订合同的，须携带法定代表人身份证明原件及身份证原件等其他证明材料。</w:t>
            </w:r>
          </w:p>
        </w:tc>
      </w:tr>
      <w:tr w14:paraId="613D7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EC639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8627" w:type="dxa"/>
            <w:vAlign w:val="center"/>
          </w:tcPr>
          <w:p w14:paraId="01B688CE">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w:t>
            </w:r>
          </w:p>
          <w:p w14:paraId="52AB0999">
            <w:pPr>
              <w:pStyle w:val="18"/>
              <w:snapToGrid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质疑联系部门及联系方式：广西机电设备招标有限公司</w:t>
            </w:r>
            <w:r>
              <w:rPr>
                <w:rFonts w:hint="eastAsia" w:hAnsi="宋体" w:cs="宋体"/>
                <w:color w:val="auto"/>
                <w:sz w:val="21"/>
                <w:szCs w:val="21"/>
                <w:highlight w:val="none"/>
                <w:lang w:val="en-US" w:eastAsia="zh-CN"/>
              </w:rPr>
              <w:t>桂林分公司</w:t>
            </w:r>
          </w:p>
          <w:p w14:paraId="069C065C">
            <w:pPr>
              <w:pStyle w:val="18"/>
              <w:snapToGrid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质疑联系人：</w:t>
            </w:r>
            <w:r>
              <w:rPr>
                <w:rFonts w:hint="eastAsia" w:hAnsi="宋体" w:cs="宋体"/>
                <w:color w:val="auto"/>
                <w:sz w:val="21"/>
                <w:szCs w:val="21"/>
                <w:highlight w:val="none"/>
                <w:lang w:val="en-US" w:eastAsia="zh-CN"/>
              </w:rPr>
              <w:t xml:space="preserve">曾昭卉   </w:t>
            </w:r>
            <w:r>
              <w:rPr>
                <w:rFonts w:hint="eastAsia" w:ascii="宋体" w:hAnsi="宋体" w:eastAsia="宋体" w:cs="宋体"/>
                <w:color w:val="auto"/>
                <w:sz w:val="21"/>
                <w:szCs w:val="21"/>
                <w:highlight w:val="none"/>
              </w:rPr>
              <w:t xml:space="preserve">  联系电话：</w:t>
            </w:r>
            <w:r>
              <w:rPr>
                <w:rFonts w:hint="eastAsia" w:hAnsi="宋体" w:cs="宋体"/>
                <w:color w:val="auto"/>
                <w:sz w:val="21"/>
                <w:szCs w:val="21"/>
                <w:highlight w:val="none"/>
                <w:lang w:val="en-US" w:eastAsia="zh-CN"/>
              </w:rPr>
              <w:t>0773-3696789转2</w:t>
            </w:r>
            <w:r>
              <w:rPr>
                <w:rFonts w:hint="eastAsia" w:hAnsi="宋体" w:cs="宋体"/>
                <w:color w:val="auto"/>
                <w:kern w:val="2"/>
                <w:sz w:val="21"/>
                <w:highlight w:val="none"/>
                <w:u w:val="none"/>
                <w:lang w:val="en-US" w:eastAsia="zh-CN"/>
              </w:rPr>
              <w:t xml:space="preserve">  </w:t>
            </w:r>
          </w:p>
          <w:p w14:paraId="2AAC9E63">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w:t>
            </w:r>
            <w:r>
              <w:rPr>
                <w:rFonts w:hint="eastAsia" w:hAnsi="宋体" w:cs="宋体"/>
                <w:color w:val="auto"/>
                <w:sz w:val="21"/>
                <w:szCs w:val="21"/>
                <w:highlight w:val="none"/>
                <w:lang w:val="en-US" w:eastAsia="zh-CN"/>
              </w:rPr>
              <w:t xml:space="preserve"> 桂林市骖鸾路31号湘商大厦6楼603（桂林分公司）</w:t>
            </w:r>
          </w:p>
          <w:p w14:paraId="3B4500D3">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业务时间：工作日，上午</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:00-12:00；下午15:00-18:00（北京时间）</w:t>
            </w:r>
          </w:p>
        </w:tc>
      </w:tr>
      <w:tr w14:paraId="7C842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47263B0">
            <w:pPr>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31.6</w:t>
            </w:r>
          </w:p>
        </w:tc>
        <w:tc>
          <w:tcPr>
            <w:tcW w:w="8627" w:type="dxa"/>
            <w:vAlign w:val="center"/>
          </w:tcPr>
          <w:p w14:paraId="4164B45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受理投诉方式：</w:t>
            </w:r>
            <w:r>
              <w:rPr>
                <w:rFonts w:hint="eastAsia" w:ascii="宋体" w:hAnsi="宋体" w:cs="宋体"/>
                <w:color w:val="auto"/>
                <w:szCs w:val="21"/>
                <w:highlight w:val="none"/>
                <w:lang w:val="en-US" w:eastAsia="zh-CN"/>
              </w:rPr>
              <w:t>书面</w:t>
            </w:r>
            <w:r>
              <w:rPr>
                <w:rFonts w:hint="eastAsia" w:ascii="宋体" w:hAnsi="宋体" w:eastAsia="宋体" w:cs="宋体"/>
                <w:color w:val="auto"/>
                <w:kern w:val="0"/>
                <w:sz w:val="21"/>
                <w:szCs w:val="21"/>
                <w:highlight w:val="none"/>
              </w:rPr>
              <w:t>方式受理，投诉书正、副本（经过质疑的事项才可投诉）。</w:t>
            </w:r>
          </w:p>
          <w:p w14:paraId="4EF76BE0">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监督部门：</w:t>
            </w:r>
          </w:p>
          <w:p w14:paraId="6AA55262">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r>
              <w:rPr>
                <w:rFonts w:hint="eastAsia" w:ascii="宋体" w:hAnsi="宋体" w:cs="宋体"/>
                <w:color w:val="auto"/>
                <w:szCs w:val="21"/>
                <w:highlight w:val="none"/>
              </w:rPr>
              <w:t>广西壮族自治区财政厅政府采购监督管理处</w:t>
            </w:r>
          </w:p>
          <w:p w14:paraId="3E39CF6C">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电话：</w:t>
            </w:r>
            <w:r>
              <w:rPr>
                <w:rFonts w:hint="eastAsia" w:ascii="宋体" w:hAnsi="宋体" w:cs="宋体"/>
                <w:color w:val="auto"/>
                <w:szCs w:val="21"/>
                <w:highlight w:val="none"/>
              </w:rPr>
              <w:t>0771-5331544</w:t>
            </w:r>
          </w:p>
        </w:tc>
      </w:tr>
      <w:tr w14:paraId="43BB4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92" w:type="dxa"/>
            <w:vAlign w:val="center"/>
          </w:tcPr>
          <w:p w14:paraId="0DD9F03C">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w:t>
            </w:r>
          </w:p>
        </w:tc>
        <w:tc>
          <w:tcPr>
            <w:tcW w:w="8627" w:type="dxa"/>
            <w:vAlign w:val="center"/>
          </w:tcPr>
          <w:p w14:paraId="7CE1DFD8">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highlight w:val="none"/>
              </w:rPr>
              <w:t>.</w:t>
            </w:r>
            <w:r>
              <w:rPr>
                <w:rFonts w:hint="eastAsia" w:ascii="宋体" w:hAnsi="宋体" w:eastAsia="宋体" w:cs="宋体"/>
                <w:color w:val="auto"/>
                <w:sz w:val="21"/>
                <w:szCs w:val="21"/>
                <w:highlight w:val="none"/>
              </w:rPr>
              <w:t>采购代理服务费支付方式：</w:t>
            </w:r>
            <w:r>
              <w:rPr>
                <w:rFonts w:hint="eastAsia" w:asciiTheme="minorEastAsia" w:hAnsiTheme="minorEastAsia" w:eastAsiaTheme="minorEastAsia" w:cstheme="minorEastAsia"/>
                <w:sz w:val="21"/>
                <w:szCs w:val="21"/>
                <w:highlight w:val="none"/>
              </w:rPr>
              <w:t>本项目的采购代理服务费按以下收费标准向成交供应商收取，领取成交通知书前，成交供应商应向采购代理机构一次付清采购代理服务费，否则采购代理机构有权不予以办理。</w:t>
            </w:r>
          </w:p>
          <w:p w14:paraId="00556E90">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highlight w:val="none"/>
              </w:rPr>
              <w:t>.</w:t>
            </w:r>
            <w:r>
              <w:rPr>
                <w:rFonts w:hint="eastAsia" w:ascii="宋体" w:hAnsi="宋体" w:eastAsia="宋体" w:cs="宋体"/>
                <w:color w:val="auto"/>
                <w:sz w:val="21"/>
                <w:szCs w:val="21"/>
                <w:highlight w:val="none"/>
              </w:rPr>
              <w:t>采购代理服务费收取标准：</w:t>
            </w:r>
            <w:r>
              <w:rPr>
                <w:rFonts w:hint="eastAsia" w:asciiTheme="minorEastAsia" w:hAnsiTheme="minorEastAsia" w:eastAsiaTheme="minorEastAsia" w:cstheme="minorEastAsia"/>
                <w:sz w:val="21"/>
                <w:szCs w:val="21"/>
                <w:highlight w:val="none"/>
              </w:rPr>
              <w:t>按照计价格[2002]1980号《招标代理服务收费管理暂行办法》收费标准下浮</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0%向成交供应商收取，领取成交通知书前，成交供应商应向采购代理机构一次性付清采购代理服务费。</w:t>
            </w:r>
          </w:p>
          <w:p w14:paraId="74A03DFC">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highlight w:val="none"/>
              </w:rPr>
              <w:t>.</w:t>
            </w:r>
            <w:r>
              <w:rPr>
                <w:rFonts w:hint="eastAsia" w:ascii="宋体" w:hAnsi="宋体" w:eastAsia="宋体" w:cs="宋体"/>
                <w:color w:val="auto"/>
                <w:sz w:val="21"/>
                <w:szCs w:val="21"/>
                <w:highlight w:val="none"/>
              </w:rPr>
              <w:t>采购代理服务费收取银行账号：</w:t>
            </w:r>
          </w:p>
          <w:p w14:paraId="63AE2766">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公司名称：广西机电设备招标有限公司</w:t>
            </w:r>
          </w:p>
          <w:p w14:paraId="2FE55BD9">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开户银行：交通银行桂林高新支行</w:t>
            </w:r>
          </w:p>
          <w:p w14:paraId="67E4D297">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银行账号：453060811013000380456</w:t>
            </w:r>
          </w:p>
          <w:p w14:paraId="4F31C765">
            <w:pPr>
              <w:pStyle w:val="18"/>
              <w:snapToGrid w:val="0"/>
              <w:spacing w:line="360" w:lineRule="auto"/>
              <w:ind w:firstLine="422" w:firstLineChars="200"/>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b/>
                <w:bCs/>
                <w:sz w:val="21"/>
                <w:szCs w:val="21"/>
                <w:highlight w:val="none"/>
              </w:rPr>
              <w:t>备注信息：项目编号+采购代理费</w:t>
            </w:r>
          </w:p>
        </w:tc>
      </w:tr>
      <w:tr w14:paraId="1131C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1A00A7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w:t>
            </w:r>
          </w:p>
        </w:tc>
        <w:tc>
          <w:tcPr>
            <w:tcW w:w="8627" w:type="dxa"/>
            <w:vAlign w:val="center"/>
          </w:tcPr>
          <w:p w14:paraId="73BF6926">
            <w:pPr>
              <w:pStyle w:val="18"/>
              <w:snapToGrid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解释：构成本磋商文件的各个组成文件应互为解释，互为说明；除磋商文件中有特别规定外，仅适用于竞争性磋商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7153F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EB0B4D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w:t>
            </w:r>
          </w:p>
        </w:tc>
        <w:tc>
          <w:tcPr>
            <w:tcW w:w="8627" w:type="dxa"/>
            <w:vAlign w:val="center"/>
          </w:tcPr>
          <w:p w14:paraId="642B40E0">
            <w:pPr>
              <w:pStyle w:val="18"/>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1.本磋商文件中描述</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的“公章”是指根据我国对公章的管理规定</w:t>
            </w:r>
            <w:r>
              <w:rPr>
                <w:rFonts w:hint="eastAsia" w:ascii="宋体" w:hAnsi="宋体" w:eastAsia="宋体" w:cs="宋体"/>
                <w:bCs/>
                <w:color w:val="auto"/>
                <w:sz w:val="21"/>
                <w:szCs w:val="21"/>
                <w:highlight w:val="none"/>
                <w:lang w:eastAsia="zh-CN"/>
              </w:rPr>
              <w:t>，使</w:t>
            </w:r>
            <w:r>
              <w:rPr>
                <w:rFonts w:hint="eastAsia" w:ascii="宋体" w:hAnsi="宋体" w:eastAsia="宋体" w:cs="宋体"/>
                <w:bCs/>
                <w:color w:val="auto"/>
                <w:sz w:val="21"/>
                <w:szCs w:val="21"/>
                <w:highlight w:val="none"/>
              </w:rPr>
              <w:t>用供应商法定主体名称制作的印章</w:t>
            </w:r>
            <w:r>
              <w:rPr>
                <w:rFonts w:hint="eastAsia" w:ascii="宋体" w:hAnsi="宋体" w:eastAsia="宋体" w:cs="宋体"/>
                <w:color w:val="auto"/>
                <w:sz w:val="21"/>
                <w:szCs w:val="21"/>
                <w:highlight w:val="none"/>
              </w:rPr>
              <w:t>或供应商通过指定电子化政府采购平台办理数字证书（CA认证）获得的以法定主体名称制作的电子印章。</w:t>
            </w:r>
            <w:r>
              <w:rPr>
                <w:rFonts w:hint="eastAsia" w:ascii="宋体" w:hAnsi="宋体" w:eastAsia="宋体" w:cs="宋体"/>
                <w:bCs/>
                <w:color w:val="auto"/>
                <w:sz w:val="21"/>
                <w:szCs w:val="21"/>
                <w:highlight w:val="none"/>
              </w:rPr>
              <w:t>除本磋商文件有特殊规定外，供应商的财务章、部门章、分公司章、工会章、合同章、投标专用章、业务专用章及银行的转账章、现金收讫章、现金付讫章等其他形式印章均不能代替公章。</w:t>
            </w:r>
          </w:p>
          <w:p w14:paraId="6A64BCF8">
            <w:pPr>
              <w:pStyle w:val="18"/>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2.供应商为其他组织或者自然人时，本磋商文件规定的法定代表人指负责人或者自然人。本磋商文件所称负责人是指参加</w:t>
            </w:r>
            <w:r>
              <w:rPr>
                <w:rFonts w:hint="eastAsia" w:ascii="宋体" w:hAnsi="宋体" w:eastAsia="宋体" w:cs="宋体"/>
                <w:color w:val="auto"/>
                <w:sz w:val="21"/>
                <w:szCs w:val="21"/>
                <w:highlight w:val="none"/>
              </w:rPr>
              <w:t>竞争性磋商</w:t>
            </w:r>
            <w:r>
              <w:rPr>
                <w:rFonts w:hint="eastAsia" w:ascii="宋体" w:hAnsi="宋体" w:eastAsia="宋体" w:cs="宋体"/>
                <w:bCs/>
                <w:color w:val="auto"/>
                <w:sz w:val="21"/>
                <w:szCs w:val="21"/>
                <w:highlight w:val="none"/>
              </w:rPr>
              <w:t>的其他组织营业执照或者执业许可证等证照上的负责人，本磋商文件所称自然人指参与</w:t>
            </w:r>
            <w:r>
              <w:rPr>
                <w:rFonts w:hint="eastAsia" w:ascii="宋体" w:hAnsi="宋体" w:eastAsia="宋体" w:cs="宋体"/>
                <w:color w:val="auto"/>
                <w:sz w:val="21"/>
                <w:szCs w:val="21"/>
                <w:highlight w:val="none"/>
              </w:rPr>
              <w:t>竞争性磋商</w:t>
            </w:r>
            <w:r>
              <w:rPr>
                <w:rFonts w:hint="eastAsia" w:ascii="宋体" w:hAnsi="宋体" w:eastAsia="宋体" w:cs="宋体"/>
                <w:bCs/>
                <w:color w:val="auto"/>
                <w:sz w:val="21"/>
                <w:szCs w:val="21"/>
                <w:highlight w:val="none"/>
              </w:rPr>
              <w:t>的自然人本人，且应具备独立承担民事责任能力，自然人应当为年满18岁以上成年人（十六周岁以上的未成年人，以自己的劳动收入为主要生活来源的，视为完全民事行为能力人）。</w:t>
            </w:r>
          </w:p>
          <w:p w14:paraId="35B27001">
            <w:pPr>
              <w:pStyle w:val="18"/>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3.本磋商文件中描述</w:t>
            </w:r>
            <w:r>
              <w:rPr>
                <w:rFonts w:hint="eastAsia" w:ascii="宋体" w:hAnsi="宋体" w:eastAsia="宋体" w:cs="宋体"/>
                <w:bCs/>
                <w:color w:val="auto"/>
                <w:sz w:val="21"/>
                <w:szCs w:val="21"/>
                <w:highlight w:val="none"/>
                <w:lang w:eastAsia="zh-CN"/>
              </w:rPr>
              <w:t>供应商</w:t>
            </w:r>
            <w:r>
              <w:rPr>
                <w:rFonts w:hint="eastAsia" w:ascii="宋体" w:hAnsi="宋体" w:eastAsia="宋体" w:cs="宋体"/>
                <w:bCs/>
                <w:color w:val="auto"/>
                <w:sz w:val="21"/>
                <w:szCs w:val="21"/>
                <w:highlight w:val="none"/>
              </w:rPr>
              <w:t>的“签字”是指供应商的法定代表人或者委托代理人</w:t>
            </w:r>
            <w:r>
              <w:rPr>
                <w:rFonts w:hint="eastAsia" w:ascii="宋体" w:hAnsi="宋体" w:eastAsia="宋体" w:cs="宋体"/>
                <w:color w:val="auto"/>
                <w:sz w:val="21"/>
                <w:szCs w:val="21"/>
                <w:highlight w:val="none"/>
              </w:rPr>
              <w:t>在文件规定签署处签名或者指供应商通过指定电子化政府采购平台办理数字证书（CA认证）获得的以供应商法定代表人或者委托代理人姓名制作的电子印章签名的行为，私章、印鉴等其他形式均不能代替签字</w:t>
            </w:r>
            <w:r>
              <w:rPr>
                <w:rFonts w:hint="eastAsia" w:ascii="宋体" w:hAnsi="宋体" w:eastAsia="宋体" w:cs="宋体"/>
                <w:bCs/>
                <w:color w:val="auto"/>
                <w:sz w:val="21"/>
                <w:szCs w:val="21"/>
                <w:highlight w:val="none"/>
              </w:rPr>
              <w:t>。</w:t>
            </w:r>
          </w:p>
          <w:p w14:paraId="197F9E26">
            <w:pPr>
              <w:pStyle w:val="18"/>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4FE2CBBB">
            <w:pPr>
              <w:pStyle w:val="18"/>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5.自然人参加</w:t>
            </w:r>
            <w:r>
              <w:rPr>
                <w:rFonts w:hint="eastAsia" w:ascii="宋体" w:hAnsi="宋体" w:eastAsia="宋体" w:cs="宋体"/>
                <w:color w:val="auto"/>
                <w:sz w:val="21"/>
                <w:szCs w:val="21"/>
                <w:highlight w:val="none"/>
              </w:rPr>
              <w:t>竞争性磋商</w:t>
            </w:r>
            <w:r>
              <w:rPr>
                <w:rFonts w:hint="eastAsia" w:ascii="宋体" w:hAnsi="宋体" w:eastAsia="宋体" w:cs="宋体"/>
                <w:bCs/>
                <w:color w:val="auto"/>
                <w:sz w:val="21"/>
                <w:szCs w:val="21"/>
                <w:highlight w:val="none"/>
              </w:rPr>
              <w:t>的，磋商文件规定盖公章处由自然人摁手指指印。</w:t>
            </w:r>
          </w:p>
          <w:p w14:paraId="0EF8940A">
            <w:pPr>
              <w:pStyle w:val="18"/>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highlight w:val="none"/>
              </w:rPr>
              <w:t>6.本磋商文件所称的“以上”“以下”“以内”“届满”，包括本数；所称的“不满”“超过”“以外”，不包括本数。</w:t>
            </w:r>
          </w:p>
        </w:tc>
      </w:tr>
    </w:tbl>
    <w:p w14:paraId="3C4A49B5">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lang w:eastAsia="zh-CN"/>
        </w:rPr>
        <w:t>第二节、</w:t>
      </w:r>
      <w:r>
        <w:rPr>
          <w:rFonts w:hint="eastAsia" w:ascii="宋体" w:hAnsi="宋体" w:cs="宋体"/>
          <w:b/>
          <w:color w:val="auto"/>
          <w:sz w:val="32"/>
          <w:szCs w:val="32"/>
          <w:highlight w:val="none"/>
        </w:rPr>
        <w:t>供应商须知正文</w:t>
      </w:r>
    </w:p>
    <w:p w14:paraId="08FA7F32">
      <w:pPr>
        <w:spacing w:line="400" w:lineRule="exact"/>
        <w:jc w:val="center"/>
        <w:rPr>
          <w:rFonts w:ascii="宋体" w:hAnsi="宋体" w:cs="宋体"/>
          <w:b/>
          <w:color w:val="auto"/>
          <w:sz w:val="32"/>
          <w:szCs w:val="32"/>
          <w:highlight w:val="none"/>
        </w:rPr>
      </w:pPr>
    </w:p>
    <w:p w14:paraId="0CEE5DDC">
      <w:pPr>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一、总则</w:t>
      </w:r>
    </w:p>
    <w:p w14:paraId="2F937958">
      <w:pPr>
        <w:spacing w:line="400" w:lineRule="exact"/>
        <w:rPr>
          <w:rFonts w:ascii="宋体" w:hAnsi="宋体" w:cs="宋体"/>
          <w:color w:val="auto"/>
          <w:szCs w:val="21"/>
          <w:highlight w:val="none"/>
        </w:rPr>
      </w:pPr>
    </w:p>
    <w:p w14:paraId="47A2F631">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1.适用范围</w:t>
      </w:r>
    </w:p>
    <w:p w14:paraId="51CB8BB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关于政府采购有关规定的约束和保护。</w:t>
      </w:r>
    </w:p>
    <w:p w14:paraId="08BCDEF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w:t>
      </w:r>
      <w:r>
        <w:rPr>
          <w:rFonts w:hint="eastAsia" w:ascii="宋体" w:hAnsi="宋体" w:cs="宋体"/>
          <w:color w:val="auto"/>
          <w:spacing w:val="-6"/>
          <w:sz w:val="21"/>
          <w:szCs w:val="21"/>
          <w:highlight w:val="none"/>
        </w:rPr>
        <w:t>本竞争性磋商文件（以下简称磋商文件）适用于本项目的所有采购程序和环节（法律、法规另有规定的，从其规定）。</w:t>
      </w:r>
    </w:p>
    <w:p w14:paraId="50C2E653">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2.定义</w:t>
      </w:r>
    </w:p>
    <w:p w14:paraId="600ADF4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2.1“采购人”是指依法进行政府采购的国家机关、事业单位、团体组织。</w:t>
      </w:r>
    </w:p>
    <w:p w14:paraId="1C23D067">
      <w:pPr>
        <w:spacing w:line="360" w:lineRule="auto"/>
        <w:ind w:firstLine="420" w:firstLineChars="200"/>
        <w:rPr>
          <w:rFonts w:ascii="宋体" w:hAnsi="宋体" w:cs="宋体"/>
          <w:color w:val="auto"/>
          <w:sz w:val="21"/>
          <w:szCs w:val="21"/>
          <w:highlight w:val="none"/>
          <w:u w:val="single"/>
        </w:rPr>
      </w:pPr>
      <w:r>
        <w:rPr>
          <w:rFonts w:hint="eastAsia" w:ascii="宋体" w:hAnsi="宋体" w:cs="宋体"/>
          <w:color w:val="auto"/>
          <w:sz w:val="21"/>
          <w:szCs w:val="21"/>
          <w:highlight w:val="none"/>
        </w:rPr>
        <w:t>2.2“采购代理机构”是指政府采购集中采购机构和集中采购机构以外的采购代理机构。</w:t>
      </w:r>
    </w:p>
    <w:p w14:paraId="24FEC8B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2.3“供应商”是指向采购人提供货物、工程或者服务的法人、其他组织或者自然人。</w:t>
      </w:r>
    </w:p>
    <w:p w14:paraId="5D66473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2.4“服务”是指除货物和工程以外的其他政府采购对象。</w:t>
      </w:r>
    </w:p>
    <w:p w14:paraId="37C771D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w:t>
      </w:r>
      <w:r>
        <w:rPr>
          <w:rFonts w:hint="eastAsia" w:hAnsi="宋体" w:cs="宋体"/>
          <w:color w:val="auto"/>
          <w:sz w:val="21"/>
          <w:szCs w:val="21"/>
          <w:highlight w:val="none"/>
        </w:rPr>
        <w:t>竞争性磋商</w:t>
      </w:r>
      <w:r>
        <w:rPr>
          <w:rFonts w:hint="eastAsia" w:ascii="宋体" w:hAnsi="宋体" w:cs="宋体"/>
          <w:color w:val="auto"/>
          <w:sz w:val="21"/>
          <w:szCs w:val="21"/>
          <w:highlight w:val="none"/>
        </w:rPr>
        <w:t>”是指供应商按照本项目竞争性磋商公告或者邀请函规定的方式获取磋商文件、提交响应文件并希望获得标的的行为。</w:t>
      </w:r>
    </w:p>
    <w:p w14:paraId="7967CD13">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2.6“书面形式”是指合同书、信件和数据电文（包括电报、电传、传真、电子数据交换和电子邮件）等可以有形地表现所载内容的形式。</w:t>
      </w:r>
    </w:p>
    <w:p w14:paraId="1E334F09">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2.7“响应文件”</w:t>
      </w:r>
      <w:r>
        <w:rPr>
          <w:rFonts w:hint="eastAsia" w:ascii="宋体" w:hAnsi="宋体" w:cs="宋体"/>
          <w:color w:val="auto"/>
          <w:spacing w:val="-6"/>
          <w:sz w:val="21"/>
          <w:szCs w:val="21"/>
          <w:highlight w:val="none"/>
        </w:rPr>
        <w:t>是指：供应商根据本磋商文件要求，编制包含资格证明、报价商务技术等所有内容的文件。</w:t>
      </w:r>
    </w:p>
    <w:p w14:paraId="316BCCEF">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2.8“实质性要求”是指磋商文件中已经指明不满足则响应文件按无效响应处理的条款，或者不能负偏离的条款，或者采购需求中带“▲”的条款。</w:t>
      </w:r>
    </w:p>
    <w:p w14:paraId="0FA1BD4D">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2.9“正偏离”，是指响应文件对磋商文件“采购需求”中有关条款作出的响应优于条款要求并有利于采购人的情形。</w:t>
      </w:r>
    </w:p>
    <w:p w14:paraId="4AE7E998">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2.10“负偏离”，是指响应文件对磋商文件“采购需求”中有关条款作出的响应不满足条款要求，导致采购人要求不能得到满足的情形。</w:t>
      </w:r>
    </w:p>
    <w:p w14:paraId="3DF95605">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2.11“允许负偏离的条款”是指采购需求中的不属于“实质性要求”的条款。</w:t>
      </w:r>
    </w:p>
    <w:p w14:paraId="2165C394">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2.12“首次报价”是指供应商提交的首次响应文件中的报价。</w:t>
      </w:r>
    </w:p>
    <w:p w14:paraId="580CBC5C">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3.供应商的资格条件</w:t>
      </w:r>
    </w:p>
    <w:p w14:paraId="7BA30D1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供应商的资格条件详见“供应商须知前附表”。</w:t>
      </w:r>
    </w:p>
    <w:p w14:paraId="3939BB8A">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4.</w:t>
      </w:r>
      <w:r>
        <w:rPr>
          <w:rFonts w:hint="eastAsia" w:hAnsi="宋体" w:cs="宋体"/>
          <w:b/>
          <w:color w:val="auto"/>
          <w:sz w:val="21"/>
          <w:szCs w:val="21"/>
          <w:highlight w:val="none"/>
        </w:rPr>
        <w:t>竞争性磋商</w:t>
      </w:r>
      <w:r>
        <w:rPr>
          <w:rFonts w:hint="eastAsia" w:ascii="宋体" w:hAnsi="宋体" w:cs="宋体"/>
          <w:b/>
          <w:bCs/>
          <w:color w:val="auto"/>
          <w:sz w:val="21"/>
          <w:szCs w:val="21"/>
          <w:highlight w:val="none"/>
        </w:rPr>
        <w:t>费用</w:t>
      </w:r>
    </w:p>
    <w:p w14:paraId="76DC7FF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供应商应承担参与本次采购活动有关的所有费用，包括但不限于获取磋商文件、勘查现场、编制和提交响应文件、参加磋商与应答、签订合同等，不论</w:t>
      </w:r>
      <w:r>
        <w:rPr>
          <w:rFonts w:hint="eastAsia" w:hAnsi="宋体" w:cs="宋体"/>
          <w:color w:val="auto"/>
          <w:sz w:val="21"/>
          <w:szCs w:val="21"/>
          <w:highlight w:val="none"/>
        </w:rPr>
        <w:t>竞争性磋商</w:t>
      </w:r>
      <w:r>
        <w:rPr>
          <w:rFonts w:hint="eastAsia" w:ascii="宋体" w:hAnsi="宋体" w:cs="宋体"/>
          <w:color w:val="auto"/>
          <w:sz w:val="21"/>
          <w:szCs w:val="21"/>
          <w:highlight w:val="none"/>
        </w:rPr>
        <w:t>结果如何，均应自行承担。</w:t>
      </w:r>
    </w:p>
    <w:p w14:paraId="0425F09D">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5.联合体参加竞争性磋商</w:t>
      </w:r>
    </w:p>
    <w:p w14:paraId="3E8C6E6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5.1本项目是否接受联合体参加竞争性磋商，详见“供应商须知前附表”。</w:t>
      </w:r>
    </w:p>
    <w:p w14:paraId="2C746E8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5.2如接受联合体参加</w:t>
      </w:r>
      <w:r>
        <w:rPr>
          <w:rFonts w:hint="eastAsia" w:hAnsi="宋体" w:cs="宋体"/>
          <w:color w:val="auto"/>
          <w:sz w:val="21"/>
          <w:szCs w:val="21"/>
          <w:highlight w:val="none"/>
        </w:rPr>
        <w:t>竞争性磋商</w:t>
      </w:r>
      <w:r>
        <w:rPr>
          <w:rFonts w:hint="eastAsia" w:ascii="宋体" w:hAnsi="宋体" w:cs="宋体"/>
          <w:color w:val="auto"/>
          <w:sz w:val="21"/>
          <w:szCs w:val="21"/>
          <w:highlight w:val="none"/>
        </w:rPr>
        <w:t>，相关要求详见“供应商须知前附表”。</w:t>
      </w:r>
    </w:p>
    <w:p w14:paraId="09C1670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5.3</w:t>
      </w:r>
      <w:bookmarkStart w:id="21" w:name="_Hlk66782192"/>
      <w:r>
        <w:rPr>
          <w:rFonts w:hint="eastAsia" w:ascii="宋体" w:hAnsi="宋体" w:cs="宋体"/>
          <w:color w:val="auto"/>
          <w:sz w:val="21"/>
          <w:szCs w:val="21"/>
          <w:highlight w:val="none"/>
        </w:rPr>
        <w:t>根据《政府采购促进中小企业发展管理办法》（财库[2020]46号）</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《广西壮族自治区财政厅关于进一步发挥政府采购政策功能促进企业发展的通知》（桂财采〔2022〕3</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号）</w:t>
      </w:r>
      <w:r>
        <w:rPr>
          <w:rFonts w:hint="eastAsia" w:ascii="宋体" w:hAnsi="宋体" w:cs="宋体"/>
          <w:color w:val="auto"/>
          <w:sz w:val="21"/>
          <w:szCs w:val="21"/>
          <w:highlight w:val="none"/>
          <w:lang w:val="en-US" w:eastAsia="zh-CN"/>
        </w:rPr>
        <w:t>及《广西壮族自治区财政厅关于持续优化政府采购营商环境推动高质量发展的通知》</w:t>
      </w:r>
      <w:r>
        <w:rPr>
          <w:rFonts w:hint="eastAsia" w:ascii="宋体" w:hAnsi="宋体" w:cs="宋体"/>
          <w:color w:val="auto"/>
          <w:sz w:val="21"/>
          <w:szCs w:val="21"/>
          <w:highlight w:val="none"/>
        </w:rPr>
        <w:t>（桂财采〔202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cs="宋体"/>
          <w:color w:val="auto"/>
          <w:sz w:val="21"/>
          <w:szCs w:val="21"/>
          <w:highlight w:val="none"/>
        </w:rPr>
        <w:t>号）规定，接受大中型企业与小微企业组成联合体的采购项目，对于联合协议约定小微企业的合同份额占到合同总金额30%以上的，</w:t>
      </w:r>
      <w:r>
        <w:rPr>
          <w:rFonts w:hint="eastAsia" w:ascii="宋体" w:hAnsi="宋体" w:cs="宋体"/>
          <w:color w:val="auto"/>
          <w:sz w:val="21"/>
          <w:szCs w:val="21"/>
          <w:highlight w:val="none"/>
          <w:lang w:eastAsia="zh-CN"/>
        </w:rPr>
        <w:t>采购人</w:t>
      </w:r>
      <w:r>
        <w:rPr>
          <w:rFonts w:hint="eastAsia" w:ascii="宋体" w:hAnsi="宋体" w:cs="宋体"/>
          <w:color w:val="auto"/>
          <w:sz w:val="21"/>
          <w:szCs w:val="21"/>
          <w:highlight w:val="none"/>
        </w:rPr>
        <w:t>、采购代理机构应当对联合体的报价给予4%-6%（工程项目为1%-2%）的扣除，用扣除后的价格参加评审。组成联合体的小微企业与联合体内其他企业、分包企业之间存在直接控股、管理关系的，不享受价格扣除优惠政策。</w:t>
      </w:r>
      <w:bookmarkEnd w:id="21"/>
    </w:p>
    <w:p w14:paraId="5B9AF2B4">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 xml:space="preserve">6.转包与分包             </w:t>
      </w:r>
    </w:p>
    <w:p w14:paraId="625DB7D5">
      <w:pPr>
        <w:keepNext w:val="0"/>
        <w:keepLines w:val="0"/>
        <w:spacing w:before="0" w:after="0" w:line="360" w:lineRule="auto"/>
        <w:ind w:left="420" w:leftChars="0" w:firstLine="0" w:firstLineChars="0"/>
        <w:rPr>
          <w:rFonts w:ascii="宋体" w:hAnsi="宋体" w:cs="宋体"/>
          <w:b w:val="0"/>
          <w:color w:val="auto"/>
          <w:sz w:val="21"/>
          <w:szCs w:val="21"/>
          <w:highlight w:val="none"/>
        </w:rPr>
      </w:pPr>
      <w:bookmarkStart w:id="22" w:name="_Toc254970673"/>
      <w:bookmarkStart w:id="23" w:name="_Toc254970532"/>
      <w:r>
        <w:rPr>
          <w:rFonts w:hint="eastAsia" w:ascii="宋体" w:hAnsi="宋体" w:cs="宋体"/>
          <w:b w:val="0"/>
          <w:color w:val="auto"/>
          <w:sz w:val="21"/>
          <w:szCs w:val="21"/>
          <w:highlight w:val="none"/>
        </w:rPr>
        <w:t>6.1本项目不允许转包。</w:t>
      </w:r>
    </w:p>
    <w:p w14:paraId="40625B6B">
      <w:pPr>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859E713">
      <w:pPr>
        <w:keepNext w:val="0"/>
        <w:keepLines w:val="0"/>
        <w:spacing w:before="0" w:after="0" w:line="360" w:lineRule="auto"/>
        <w:ind w:firstLine="420" w:firstLineChars="200"/>
        <w:rPr>
          <w:rFonts w:ascii="宋体" w:hAnsi="宋体" w:cs="宋体"/>
          <w:b w:val="0"/>
          <w:color w:val="auto"/>
          <w:sz w:val="21"/>
          <w:szCs w:val="21"/>
          <w:highlight w:val="none"/>
        </w:rPr>
      </w:pPr>
      <w:r>
        <w:rPr>
          <w:rFonts w:hint="eastAsia" w:ascii="宋体" w:hAnsi="宋体" w:cs="宋体"/>
          <w:b w:val="0"/>
          <w:color w:val="auto"/>
          <w:sz w:val="21"/>
          <w:szCs w:val="21"/>
          <w:highlight w:val="none"/>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4C027727">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7.特别说明</w:t>
      </w:r>
      <w:bookmarkEnd w:id="22"/>
      <w:bookmarkEnd w:id="23"/>
    </w:p>
    <w:p w14:paraId="15A1F64D">
      <w:pPr>
        <w:spacing w:line="360" w:lineRule="auto"/>
        <w:ind w:firstLine="420" w:firstLineChars="200"/>
        <w:rPr>
          <w:rFonts w:ascii="宋体" w:hAnsi="宋体" w:cs="宋体"/>
          <w:color w:val="auto"/>
          <w:sz w:val="21"/>
          <w:szCs w:val="21"/>
          <w:highlight w:val="none"/>
        </w:rPr>
      </w:pPr>
      <w:bookmarkStart w:id="24" w:name="_8.1提供相同品牌产品且通过资格审查、符合性审查的不同投标人参加同一合"/>
      <w:bookmarkEnd w:id="24"/>
      <w:r>
        <w:rPr>
          <w:rFonts w:hint="eastAsia" w:ascii="宋体" w:hAnsi="宋体" w:cs="宋体"/>
          <w:color w:val="auto"/>
          <w:sz w:val="21"/>
          <w:szCs w:val="21"/>
          <w:highlight w:val="none"/>
        </w:rPr>
        <w:t>7.1</w:t>
      </w:r>
      <w:bookmarkStart w:id="25" w:name="_Hlk65832145"/>
      <w:r>
        <w:rPr>
          <w:rFonts w:hint="eastAsia" w:ascii="宋体" w:hAnsi="宋体" w:cs="宋体"/>
          <w:color w:val="auto"/>
          <w:sz w:val="21"/>
          <w:szCs w:val="21"/>
          <w:highlight w:val="none"/>
        </w:rPr>
        <w:t>如果本磋商文件要求提供供应商或制造商的资格、信誉、荣誉、业绩与企业认证等材料的，资格、信誉、荣誉、业绩与企业认证等必须为供应商或者制造商所拥有或自身获得。</w:t>
      </w:r>
    </w:p>
    <w:bookmarkEnd w:id="25"/>
    <w:p w14:paraId="0172A75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7.2供应商应仔细阅读磋商文件的所有内容，按照磋商文件的要求提交响应文件，并对所提供的全部资料的真实性承担法律责任。</w:t>
      </w:r>
    </w:p>
    <w:p w14:paraId="268B67E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7.3供应商在参与</w:t>
      </w:r>
      <w:r>
        <w:rPr>
          <w:rFonts w:hint="eastAsia" w:hAnsi="宋体" w:cs="宋体"/>
          <w:color w:val="auto"/>
          <w:sz w:val="21"/>
          <w:szCs w:val="21"/>
          <w:highlight w:val="none"/>
        </w:rPr>
        <w:t>竞争性磋商</w:t>
      </w:r>
      <w:r>
        <w:rPr>
          <w:rFonts w:hint="eastAsia" w:ascii="宋体" w:hAnsi="宋体" w:cs="宋体"/>
          <w:color w:val="auto"/>
          <w:sz w:val="21"/>
          <w:szCs w:val="21"/>
          <w:highlight w:val="none"/>
        </w:rPr>
        <w:t>活动中提供任何疑似虚假材料，将报监管部门查处；签订合同后发现的，成交供应商须依法赔偿采购人，且民事赔偿并不免除违法供应商的行政与刑事责任。</w:t>
      </w:r>
    </w:p>
    <w:p w14:paraId="4D1D45C8">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7.4在政府采购活动中，采购人员及相关人员与供应商有下列利害关系之一的，应当回避：</w:t>
      </w:r>
    </w:p>
    <w:p w14:paraId="770AF89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（1）参加采购活动前3年内与供应商存在劳动关系；</w:t>
      </w:r>
    </w:p>
    <w:p w14:paraId="7AEF7C7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（2）参加采购活动前3年内担任供应商的董事、监事；</w:t>
      </w:r>
    </w:p>
    <w:p w14:paraId="5085CEE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（3）参加采购活动前3年内是供应商的控股股东或者实际控制人；</w:t>
      </w:r>
    </w:p>
    <w:p w14:paraId="385F0AE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（4）与供应商的法定代表人或者负责人有夫妻、直系血亲、三代以内旁系血亲或者近姻亲关系；</w:t>
      </w:r>
    </w:p>
    <w:p w14:paraId="3132D08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（5）与供应商有其他可能影响政府采购活动公平、公正进行的关系。</w:t>
      </w:r>
    </w:p>
    <w:p w14:paraId="0575DDB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5C7DB86">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7.5有下列情形之一的视为供应商相互串通参与</w:t>
      </w:r>
      <w:r>
        <w:rPr>
          <w:rFonts w:hint="eastAsia" w:hAnsi="宋体" w:cs="宋体"/>
          <w:b/>
          <w:bCs/>
          <w:color w:val="auto"/>
          <w:sz w:val="21"/>
          <w:szCs w:val="21"/>
          <w:highlight w:val="none"/>
        </w:rPr>
        <w:t>竞争性磋商</w:t>
      </w:r>
      <w:r>
        <w:rPr>
          <w:rFonts w:hint="eastAsia" w:ascii="宋体" w:hAnsi="宋体" w:cs="宋体"/>
          <w:b/>
          <w:bCs/>
          <w:color w:val="auto"/>
          <w:sz w:val="21"/>
          <w:szCs w:val="21"/>
          <w:highlight w:val="none"/>
        </w:rPr>
        <w:t>，响应文件将被视为无效：</w:t>
      </w:r>
    </w:p>
    <w:p w14:paraId="2F3D6AF0">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（1）不同供应商的响应文件由同一单位或者个人编制；或不同供应商报名的IP地址一致的</w:t>
      </w:r>
      <w:r>
        <w:rPr>
          <w:rFonts w:hint="eastAsia" w:ascii="宋体" w:hAnsi="宋体" w:cs="宋体"/>
          <w:color w:val="auto"/>
          <w:sz w:val="21"/>
          <w:szCs w:val="21"/>
          <w:highlight w:val="none"/>
          <w:lang w:eastAsia="zh-CN"/>
        </w:rPr>
        <w:t>；或者编制响应文件硬件设备CPU编号、硬盘编号、网卡地址一致的情况；</w:t>
      </w:r>
    </w:p>
    <w:p w14:paraId="623C490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（2）不同供应商委托同一单位或者个人办理</w:t>
      </w:r>
      <w:r>
        <w:rPr>
          <w:rFonts w:hint="eastAsia" w:hAnsi="宋体" w:cs="宋体"/>
          <w:color w:val="auto"/>
          <w:sz w:val="21"/>
          <w:szCs w:val="21"/>
          <w:highlight w:val="none"/>
        </w:rPr>
        <w:t>竞争性磋商</w:t>
      </w:r>
      <w:r>
        <w:rPr>
          <w:rFonts w:hint="eastAsia" w:ascii="宋体" w:hAnsi="宋体" w:cs="宋体"/>
          <w:color w:val="auto"/>
          <w:sz w:val="21"/>
          <w:szCs w:val="21"/>
          <w:highlight w:val="none"/>
        </w:rPr>
        <w:t>事宜；</w:t>
      </w:r>
    </w:p>
    <w:p w14:paraId="3DCBB66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（3）不同的供应商的响应文件载明的项目管理员为同一个人；</w:t>
      </w:r>
    </w:p>
    <w:p w14:paraId="4B21E4E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（4）不同供应商的响应文件异常一致或者报价呈规律性差异；</w:t>
      </w:r>
    </w:p>
    <w:p w14:paraId="6E57A7C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（5）不同供应商的响应文件相互混装；</w:t>
      </w:r>
    </w:p>
    <w:p w14:paraId="33CC0456">
      <w:pPr>
        <w:tabs>
          <w:tab w:val="left" w:pos="6931"/>
        </w:tabs>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（6）不同供应商的磋商保证金从同一单位或者个人账户转出。</w:t>
      </w:r>
      <w:r>
        <w:rPr>
          <w:rFonts w:hint="eastAsia" w:ascii="宋体" w:hAnsi="宋体" w:cs="宋体"/>
          <w:color w:val="auto"/>
          <w:sz w:val="21"/>
          <w:szCs w:val="21"/>
          <w:highlight w:val="none"/>
        </w:rPr>
        <w:tab/>
      </w:r>
    </w:p>
    <w:p w14:paraId="6268F1D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（7）供应商之间协商报价等响应文件的实质性内容；</w:t>
      </w:r>
    </w:p>
    <w:p w14:paraId="6F1286E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（8）供应商之间约定成交供应商；</w:t>
      </w:r>
    </w:p>
    <w:p w14:paraId="34CDC51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（9）供应商之间约定部分供应商放弃参与竞争性磋商或者成交；</w:t>
      </w:r>
    </w:p>
    <w:p w14:paraId="550F3C0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（10）属于同一集团、协会、商会等组织成员的供应商按照该组织要求协同参与竞争性磋商；</w:t>
      </w:r>
    </w:p>
    <w:p w14:paraId="2DD78802">
      <w:pPr>
        <w:pStyle w:val="16"/>
        <w:ind w:firstLine="420" w:firstLineChars="200"/>
        <w:rPr>
          <w:color w:val="auto"/>
          <w:szCs w:val="21"/>
          <w:highlight w:val="none"/>
        </w:rPr>
      </w:pPr>
      <w:r>
        <w:rPr>
          <w:rFonts w:hint="eastAsia" w:ascii="宋体" w:hAnsi="宋体" w:cs="宋体"/>
          <w:color w:val="auto"/>
          <w:sz w:val="21"/>
          <w:szCs w:val="21"/>
          <w:highlight w:val="none"/>
        </w:rPr>
        <w:t>（11）供应商之间为谋取成交或者排斥特定供应商而采取的其他联合行动。</w:t>
      </w:r>
    </w:p>
    <w:p w14:paraId="34CF3414">
      <w:pPr>
        <w:spacing w:line="360" w:lineRule="auto"/>
        <w:ind w:firstLine="422" w:firstLineChars="200"/>
        <w:rPr>
          <w:rFonts w:ascii="宋体" w:hAnsi="宋体" w:cs="宋体"/>
          <w:color w:val="auto"/>
          <w:sz w:val="21"/>
          <w:szCs w:val="21"/>
          <w:highlight w:val="none"/>
        </w:rPr>
      </w:pPr>
      <w:r>
        <w:rPr>
          <w:rFonts w:hint="eastAsia" w:ascii="宋体" w:hAnsi="宋体" w:cs="宋体"/>
          <w:b/>
          <w:bCs/>
          <w:color w:val="auto"/>
          <w:sz w:val="21"/>
          <w:szCs w:val="21"/>
          <w:highlight w:val="none"/>
        </w:rPr>
        <w:t>7.6供应商有下列情形之一的，属于恶意串通行为，将报同级监督管理部门：</w:t>
      </w:r>
    </w:p>
    <w:p w14:paraId="0C0DBF2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（1）供应商直接或者间接从采购人或者采购代理机构处获得其他供应商的相关信息并修改其响应文件；</w:t>
      </w:r>
    </w:p>
    <w:p w14:paraId="066A22F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（2）供应商按照采购人或者采购代理机构的授意撤换、修改响应文件；</w:t>
      </w:r>
    </w:p>
    <w:p w14:paraId="30CD211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（3）供应商之间协商报价、技术方案等响应文件或者响应文件的实质性内容；</w:t>
      </w:r>
    </w:p>
    <w:p w14:paraId="487C7A9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（4）属于同一集团、协会、商会等组织成员的供应商按照该组织要求协同参加政府采购活动；</w:t>
      </w:r>
    </w:p>
    <w:p w14:paraId="6A7845B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（5）供应商之间事先约定一致抬高或者压低报价，或者在政府采购活动中事先约定轮流以高价位或者低价位成交，或者事先约定由某一特定供应商成交，然后再参加竞争性磋商；</w:t>
      </w:r>
    </w:p>
    <w:p w14:paraId="2316E97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（6）供应商之间商定部分供应商放弃参加政府采购活动或者放弃成交；</w:t>
      </w:r>
    </w:p>
    <w:p w14:paraId="4107B40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（7）供应商与采购人或者采购代理机构之间、供应商相互之间，为谋求特定供应商成交或者排斥其他供应商的其他串通行为。</w:t>
      </w:r>
    </w:p>
    <w:p w14:paraId="6E892C1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7.7竞争性磋商委托</w:t>
      </w:r>
    </w:p>
    <w:p w14:paraId="1F6C810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供应商代表参加竞争性磋商活动过程中必须携带个人有效身份证件。如供应商代表不是法定代表人，须持有授权委托书（按第五章要求格式填写）。</w:t>
      </w:r>
    </w:p>
    <w:p w14:paraId="2F6CB6F3">
      <w:pPr>
        <w:spacing w:line="360" w:lineRule="auto"/>
        <w:jc w:val="center"/>
        <w:rPr>
          <w:rFonts w:ascii="宋体" w:hAnsi="宋体" w:cs="宋体"/>
          <w:b/>
          <w:bCs/>
          <w:color w:val="auto"/>
          <w:sz w:val="24"/>
          <w:highlight w:val="none"/>
        </w:rPr>
      </w:pPr>
      <w:bookmarkStart w:id="26" w:name="_Toc254970534"/>
      <w:bookmarkStart w:id="27" w:name="_Toc254970675"/>
      <w:r>
        <w:rPr>
          <w:rFonts w:hint="eastAsia" w:ascii="宋体" w:hAnsi="宋体" w:cs="宋体"/>
          <w:b/>
          <w:bCs/>
          <w:color w:val="auto"/>
          <w:sz w:val="24"/>
          <w:highlight w:val="none"/>
        </w:rPr>
        <w:t>二、磋商文件</w:t>
      </w:r>
      <w:bookmarkEnd w:id="26"/>
      <w:bookmarkEnd w:id="27"/>
    </w:p>
    <w:p w14:paraId="1038DF14">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8.磋商文件的构成</w:t>
      </w:r>
    </w:p>
    <w:p w14:paraId="70D2CCD1">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（1）竞争性磋商公告；</w:t>
      </w:r>
    </w:p>
    <w:p w14:paraId="620863DC">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 xml:space="preserve">（2）供应商须知； </w:t>
      </w:r>
    </w:p>
    <w:p w14:paraId="76EBEB86">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（3）采购需求；</w:t>
      </w:r>
    </w:p>
    <w:p w14:paraId="53B77681">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（4）评审程序、评审方法和评审标准；</w:t>
      </w:r>
    </w:p>
    <w:p w14:paraId="404A1266">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（5）响应文件格式；</w:t>
      </w:r>
    </w:p>
    <w:p w14:paraId="74B09D3B">
      <w:pPr>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（6）</w:t>
      </w:r>
      <w:r>
        <w:rPr>
          <w:rFonts w:hint="eastAsia" w:ascii="宋体" w:hAnsi="宋体"/>
          <w:color w:val="auto"/>
          <w:sz w:val="21"/>
          <w:szCs w:val="21"/>
          <w:highlight w:val="none"/>
        </w:rPr>
        <w:t>拟签订的</w:t>
      </w:r>
      <w:r>
        <w:rPr>
          <w:rFonts w:hint="eastAsia" w:ascii="宋体" w:hAnsi="宋体" w:cs="宋体"/>
          <w:color w:val="auto"/>
          <w:sz w:val="21"/>
          <w:szCs w:val="21"/>
          <w:highlight w:val="none"/>
        </w:rPr>
        <w:t>合同文本。</w:t>
      </w:r>
    </w:p>
    <w:p w14:paraId="368CD9E5">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9.供应商的询问</w:t>
      </w:r>
    </w:p>
    <w:p w14:paraId="548FEA9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应认真阅读磋商文件的采购需求，如供应商对磋商文件有疑问的，如要求采购人做出澄清或者修改的，供应商尽可能在提交首次响应文件截止之日前，以纸质书面形式向采购人、采购代理机构提出，否则，由此产生的后果由供应商自行负责。</w:t>
      </w:r>
    </w:p>
    <w:p w14:paraId="3027E991">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10.磋商文件的澄清和修改</w:t>
      </w:r>
    </w:p>
    <w:p w14:paraId="06382E6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10.1提交首次响应文件截止之日前，采购人或者采购代理机构可以对已发出的磋商文件进行必要的澄清或者修改，澄清或者修改的内容作为磋商文件的组成部分。澄清或者修改将在原公告发布媒体上发布更正公告。澄清或者修改的内容可能影响响应文件编制的，采购人、采购代理机构应当在提交首次响应文件截止之日至少3个工作日前，在原公告发布媒体上发布更正公告；不足3个工作日的，采购人、采购代理机构应当顺延提交首次响应文件截止时间。澄清或者更正公告在竞争性磋商公告发布媒体上发布，一经发布，视作已以书面形式通知所有获取竞争性磋商文件的潜在供应商，不再另行通知，所有潜在供应商应密切关注竞争性磋商公告发布媒体，因未能及时获知，由此产生的后果均应自行承担。</w:t>
      </w:r>
    </w:p>
    <w:p w14:paraId="3459E1C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10.2采购人和采购代理机构可以视采购具体情况，变更首次响应文件提交截止时间和开启时间，并在原公告发布媒体上发布更正公告。</w:t>
      </w:r>
    </w:p>
    <w:p w14:paraId="7736F1B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10.3磋商文件澄清、答复、修改、补充的内容为磋商文件的组成部分。</w:t>
      </w:r>
      <w:r>
        <w:rPr>
          <w:rFonts w:hint="eastAsia" w:ascii="宋体" w:hAnsi="宋体" w:cs="宋体"/>
          <w:b/>
          <w:color w:val="auto"/>
          <w:sz w:val="21"/>
          <w:szCs w:val="21"/>
          <w:highlight w:val="none"/>
        </w:rPr>
        <w:t>当磋商文件与磋商文件的澄清、答复、修改、补充通知就同一内容的表述不一致时，以最后发出的文件为准。</w:t>
      </w:r>
    </w:p>
    <w:p w14:paraId="11E31D2C">
      <w:pPr>
        <w:spacing w:line="360" w:lineRule="auto"/>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10.4响应文件未按磋商文件的澄清、修改后的内容编制的，其响应文件作无效响应处理。</w:t>
      </w:r>
    </w:p>
    <w:p w14:paraId="2A3F760E">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三、响应文件的编制</w:t>
      </w:r>
    </w:p>
    <w:p w14:paraId="373CA89E">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11.响应文件的编制原则</w:t>
      </w:r>
    </w:p>
    <w:p w14:paraId="2D1D765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供应商必须按照磋商文件的要求编制响应文件，并对其提交的响应文件的真实性、合法性承担法律责任。响应文件必须对磋商文件做出实质性响应。</w:t>
      </w:r>
    </w:p>
    <w:p w14:paraId="5E5293C4">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12.响应文件的组成</w:t>
      </w:r>
    </w:p>
    <w:p w14:paraId="20FBB91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12.1响应文件由资格证明文件、报价文件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商务服务文件</w:t>
      </w:r>
      <w:r>
        <w:rPr>
          <w:rFonts w:hint="eastAsia" w:ascii="宋体" w:hAnsi="宋体" w:cs="宋体"/>
          <w:color w:val="auto"/>
          <w:sz w:val="21"/>
          <w:szCs w:val="21"/>
          <w:highlight w:val="none"/>
          <w:lang w:val="en-US" w:eastAsia="zh-CN"/>
        </w:rPr>
        <w:t>三</w:t>
      </w:r>
      <w:r>
        <w:rPr>
          <w:rFonts w:hint="eastAsia" w:ascii="宋体" w:hAnsi="宋体" w:cs="宋体"/>
          <w:color w:val="auto"/>
          <w:sz w:val="21"/>
          <w:szCs w:val="21"/>
          <w:highlight w:val="none"/>
        </w:rPr>
        <w:t>部分组成。</w:t>
      </w:r>
    </w:p>
    <w:p w14:paraId="73F7AC78">
      <w:pPr>
        <w:spacing w:line="360" w:lineRule="auto"/>
        <w:ind w:left="840" w:leftChars="200" w:hanging="420" w:hangingChars="200"/>
        <w:rPr>
          <w:rFonts w:ascii="宋体" w:hAnsi="宋体" w:cs="宋体"/>
          <w:color w:val="auto"/>
          <w:sz w:val="21"/>
          <w:szCs w:val="21"/>
          <w:highlight w:val="none"/>
        </w:rPr>
      </w:pPr>
      <w:r>
        <w:rPr>
          <w:rFonts w:hint="eastAsia" w:ascii="宋体" w:hAnsi="宋体" w:cs="宋体"/>
          <w:color w:val="auto"/>
          <w:sz w:val="21"/>
          <w:szCs w:val="21"/>
          <w:highlight w:val="none"/>
        </w:rPr>
        <w:t>12.1.1资格证明文件：详见须知前附表</w:t>
      </w:r>
    </w:p>
    <w:p w14:paraId="7FA07BFD">
      <w:pPr>
        <w:spacing w:line="360" w:lineRule="auto"/>
        <w:ind w:left="840" w:leftChars="200" w:hanging="420" w:hangingChars="200"/>
        <w:rPr>
          <w:rFonts w:ascii="宋体" w:hAnsi="宋体" w:cs="宋体"/>
          <w:color w:val="auto"/>
          <w:sz w:val="21"/>
          <w:szCs w:val="21"/>
          <w:highlight w:val="none"/>
        </w:rPr>
      </w:pPr>
      <w:r>
        <w:rPr>
          <w:rFonts w:hint="eastAsia" w:ascii="宋体" w:hAnsi="宋体" w:cs="宋体"/>
          <w:color w:val="auto"/>
          <w:sz w:val="21"/>
          <w:szCs w:val="21"/>
          <w:highlight w:val="none"/>
        </w:rPr>
        <w:t>12.1.2报价文件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商务服务文件：详见须知前附表</w:t>
      </w:r>
    </w:p>
    <w:p w14:paraId="4AC1979D">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13.计量单位</w:t>
      </w:r>
    </w:p>
    <w:p w14:paraId="7FE241D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磋商文件已有明确规定的，使用磋商文件规定的计量单位；磋商文件没有规定的，应采用中华人民共和国法定计量单位，货币种类为人民币，否则视同未响应。</w:t>
      </w:r>
    </w:p>
    <w:p w14:paraId="2605C7B4">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14.竞争性磋商的风险</w:t>
      </w:r>
    </w:p>
    <w:p w14:paraId="46CB072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供应商没有按照磋商文件要求提供全部资料，或者供应商没有对磋商文件在各方面做出实质性响应可能导致其响应无效，是供应商应当考虑的风险。</w:t>
      </w:r>
    </w:p>
    <w:p w14:paraId="75DE36EF">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15.竞争性磋商报价</w:t>
      </w:r>
    </w:p>
    <w:p w14:paraId="68EE71DF">
      <w:pPr>
        <w:tabs>
          <w:tab w:val="left" w:pos="2492"/>
        </w:tabs>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15.1竞争性磋商报价应按磋商文件中“竞争性磋商报价表”格式填写。</w:t>
      </w:r>
    </w:p>
    <w:p w14:paraId="1E936C61">
      <w:pPr>
        <w:tabs>
          <w:tab w:val="left" w:pos="2492"/>
        </w:tabs>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15.2竞争性磋商报价的内容见“供应商须知前附表”。</w:t>
      </w:r>
    </w:p>
    <w:p w14:paraId="18B17C17">
      <w:pPr>
        <w:spacing w:line="360" w:lineRule="auto"/>
        <w:ind w:left="426" w:leftChars="203"/>
        <w:rPr>
          <w:rFonts w:ascii="宋体" w:hAnsi="宋体" w:cs="宋体"/>
          <w:color w:val="auto"/>
          <w:sz w:val="21"/>
          <w:szCs w:val="21"/>
          <w:highlight w:val="none"/>
        </w:rPr>
      </w:pPr>
      <w:r>
        <w:rPr>
          <w:rFonts w:hint="eastAsia" w:ascii="宋体" w:hAnsi="宋体" w:cs="宋体"/>
          <w:color w:val="auto"/>
          <w:sz w:val="21"/>
          <w:szCs w:val="21"/>
          <w:highlight w:val="none"/>
        </w:rPr>
        <w:t>15.3竞争性磋商报价要求</w:t>
      </w:r>
    </w:p>
    <w:p w14:paraId="6BF23055">
      <w:pPr>
        <w:spacing w:line="360" w:lineRule="auto"/>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rPr>
        <w:t>15.3.1供应商的竞争性磋商报价应符合以下要求，否则响应文件按无效响应处理：</w:t>
      </w:r>
    </w:p>
    <w:p w14:paraId="45350CA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（1）供应商必须就“采购需求”中所竞标的每个分标的全部内容分别作完整唯一总价报价，不得存在漏项报价；</w:t>
      </w:r>
    </w:p>
    <w:p w14:paraId="1F32A87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（2）供应商必须就所竞标的分标的单项内容作唯一报价。</w:t>
      </w:r>
    </w:p>
    <w:p w14:paraId="75751872">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15.3.2</w:t>
      </w:r>
      <w:r>
        <w:rPr>
          <w:rFonts w:hint="eastAsia" w:ascii="宋体" w:hAnsi="宋体" w:cs="宋体"/>
          <w:color w:val="auto"/>
          <w:sz w:val="21"/>
          <w:szCs w:val="21"/>
          <w:highlight w:val="none"/>
        </w:rPr>
        <w:t>竞争性磋商报价（包含首次报价、最后报价）超过所开展竞争性磋商分标规定的采购预算金额或者最高限价的，其响应文件将按无效响应处理。</w:t>
      </w:r>
      <w:bookmarkStart w:id="28" w:name="_Hlk42592874"/>
    </w:p>
    <w:p w14:paraId="1A63CE3A">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15.3.3</w:t>
      </w:r>
      <w:r>
        <w:rPr>
          <w:rFonts w:hint="eastAsia" w:ascii="宋体" w:hAnsi="宋体" w:cs="宋体"/>
          <w:color w:val="auto"/>
          <w:sz w:val="21"/>
          <w:szCs w:val="21"/>
          <w:highlight w:val="none"/>
        </w:rPr>
        <w:t>竞争性磋商报价（包含首次报价、最后报价）超过分项采购预算金额或者最高限价的，其响应文件将按无效处理。</w:t>
      </w:r>
    </w:p>
    <w:bookmarkEnd w:id="28"/>
    <w:p w14:paraId="2837B0FF">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16.竞争性磋商有效期</w:t>
      </w:r>
    </w:p>
    <w:p w14:paraId="7B8DE98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16.1竞争性磋商有效期是指为保证采购人有足够的时间在提交响应文件后完成评审、确定成交供应商、合同签订等工作而要求供应商提交的响应文件在一定时间内保持有效的期限。</w:t>
      </w:r>
    </w:p>
    <w:p w14:paraId="0E45819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16.2 竞争性磋商有效期应由供应商按“供应商须知前附表”规定的期限作出响应。</w:t>
      </w:r>
    </w:p>
    <w:p w14:paraId="1B886C1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16.3供应商的响应文件在竞争性磋商有效期内均保持有效。</w:t>
      </w:r>
    </w:p>
    <w:p w14:paraId="5BA8AFEF">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17.磋商保证金</w:t>
      </w:r>
    </w:p>
    <w:p w14:paraId="71725962">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17.1供应商须按“供应商须知前附表”的规定提交磋商保证金。</w:t>
      </w:r>
    </w:p>
    <w:p w14:paraId="4ADC0494">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17.2磋商保证金的退还</w:t>
      </w:r>
    </w:p>
    <w:p w14:paraId="75A884E5">
      <w:pPr>
        <w:spacing w:line="360" w:lineRule="auto"/>
        <w:ind w:firstLine="420" w:firstLineChars="200"/>
        <w:rPr>
          <w:rFonts w:ascii="宋体" w:hAnsi="宋体" w:cs="宋体"/>
          <w:color w:val="auto"/>
          <w:sz w:val="21"/>
          <w:szCs w:val="21"/>
          <w:highlight w:val="none"/>
        </w:rPr>
      </w:pPr>
      <w:bookmarkStart w:id="29" w:name="_Hlk66782243"/>
      <w:r>
        <w:rPr>
          <w:rFonts w:hint="eastAsia" w:ascii="宋体" w:hAnsi="宋体" w:cs="宋体"/>
          <w:color w:val="auto"/>
          <w:sz w:val="21"/>
          <w:szCs w:val="21"/>
          <w:highlight w:val="none"/>
        </w:rPr>
        <w:t>未</w:t>
      </w:r>
      <w:r>
        <w:rPr>
          <w:rFonts w:hint="eastAsia" w:ascii="宋体" w:hAnsi="宋体" w:cs="宋体"/>
          <w:color w:val="auto"/>
          <w:spacing w:val="-6"/>
          <w:sz w:val="21"/>
          <w:szCs w:val="21"/>
          <w:highlight w:val="none"/>
        </w:rPr>
        <w:t>成交供应商的磋商保证金自成交通知书发出之日起</w:t>
      </w:r>
      <w:r>
        <w:rPr>
          <w:rFonts w:hint="eastAsia" w:ascii="宋体" w:hAnsi="宋体" w:cs="宋体"/>
          <w:color w:val="auto"/>
          <w:spacing w:val="-6"/>
          <w:sz w:val="21"/>
          <w:szCs w:val="21"/>
          <w:highlight w:val="none"/>
          <w:lang w:val="en-US" w:eastAsia="zh-CN"/>
        </w:rPr>
        <w:t>5</w:t>
      </w:r>
      <w:r>
        <w:rPr>
          <w:rFonts w:hint="eastAsia" w:ascii="宋体" w:hAnsi="宋体" w:cs="宋体"/>
          <w:color w:val="auto"/>
          <w:spacing w:val="-6"/>
          <w:sz w:val="21"/>
          <w:szCs w:val="21"/>
          <w:highlight w:val="none"/>
        </w:rPr>
        <w:t>个工作日内退还；</w:t>
      </w:r>
      <w:r>
        <w:rPr>
          <w:rFonts w:hint="eastAsia" w:ascii="宋体" w:hAnsi="宋体" w:cs="宋体"/>
          <w:color w:val="auto"/>
          <w:sz w:val="21"/>
          <w:szCs w:val="21"/>
          <w:highlight w:val="none"/>
        </w:rPr>
        <w:t>成交供应商的磋商保证金自签订合同之日起</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rPr>
        <w:t>个工作日内退还。</w:t>
      </w:r>
      <w:bookmarkEnd w:id="29"/>
      <w:r>
        <w:rPr>
          <w:rFonts w:hint="eastAsia" w:ascii="宋体" w:hAnsi="宋体" w:cs="宋体"/>
          <w:color w:val="auto"/>
          <w:sz w:val="21"/>
          <w:szCs w:val="21"/>
          <w:highlight w:val="none"/>
        </w:rPr>
        <w:t xml:space="preserve"> </w:t>
      </w:r>
    </w:p>
    <w:p w14:paraId="5CFF2AF1">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17.3磋商保证金不计息。</w:t>
      </w:r>
    </w:p>
    <w:p w14:paraId="441F532A">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 xml:space="preserve">17.4供应商有下列情形之一的，磋商保证金将不予退还： </w:t>
      </w:r>
    </w:p>
    <w:p w14:paraId="00C65684">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（1）供应商在提交首次响应文件截止时间后撤回响应文件的；</w:t>
      </w:r>
    </w:p>
    <w:p w14:paraId="53F1BAC7">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（2）未按规定提交履约保证金的；</w:t>
      </w:r>
    </w:p>
    <w:p w14:paraId="7B97404E">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（3）供应商在响应文件中提供虚假材料的；</w:t>
      </w:r>
    </w:p>
    <w:p w14:paraId="748AD7BC">
      <w:pPr>
        <w:spacing w:line="360" w:lineRule="auto"/>
        <w:ind w:firstLine="420"/>
        <w:rPr>
          <w:rFonts w:ascii="宋体" w:hAnsi="宋体" w:cs="宋体"/>
          <w:color w:val="auto"/>
          <w:sz w:val="21"/>
          <w:szCs w:val="21"/>
          <w:highlight w:val="none"/>
        </w:rPr>
      </w:pPr>
      <w:r>
        <w:rPr>
          <w:rFonts w:hint="eastAsia" w:ascii="宋体" w:hAnsi="宋体" w:cs="宋体"/>
          <w:color w:val="auto"/>
          <w:sz w:val="21"/>
          <w:szCs w:val="21"/>
          <w:highlight w:val="none"/>
        </w:rPr>
        <w:t>（4）除因不可抗力或者磋商文件认可的情形以外，成交供应商不与采购人签订合同的；</w:t>
      </w:r>
    </w:p>
    <w:p w14:paraId="0D833A9D">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（5）供应商与采购人、其他供应商或者采购代理机构恶意串通的；</w:t>
      </w:r>
    </w:p>
    <w:p w14:paraId="7E6C617D">
      <w:pPr>
        <w:spacing w:line="360" w:lineRule="auto"/>
        <w:ind w:left="420" w:leftChars="200"/>
        <w:rPr>
          <w:rFonts w:ascii="宋体" w:hAnsi="宋体" w:cs="宋体"/>
          <w:color w:val="auto"/>
          <w:sz w:val="21"/>
          <w:szCs w:val="21"/>
          <w:highlight w:val="none"/>
        </w:rPr>
      </w:pPr>
      <w:r>
        <w:rPr>
          <w:rFonts w:hint="eastAsia" w:ascii="宋体" w:hAnsi="宋体" w:cs="宋体"/>
          <w:color w:val="auto"/>
          <w:sz w:val="21"/>
          <w:szCs w:val="21"/>
          <w:highlight w:val="none"/>
        </w:rPr>
        <w:t>（6）法律法规规定的其他情形。</w:t>
      </w:r>
    </w:p>
    <w:p w14:paraId="1EE4EB0E">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18.响应文件编制的要求</w:t>
      </w:r>
    </w:p>
    <w:p w14:paraId="4F1A2844">
      <w:pPr>
        <w:spacing w:line="360" w:lineRule="auto"/>
        <w:ind w:firstLine="420" w:firstLineChars="200"/>
        <w:rPr>
          <w:rFonts w:ascii="宋体" w:hAnsi="宋体" w:cs="宋体"/>
          <w:color w:val="auto"/>
          <w:spacing w:val="-6"/>
          <w:sz w:val="21"/>
          <w:szCs w:val="21"/>
          <w:highlight w:val="none"/>
        </w:rPr>
      </w:pPr>
      <w:r>
        <w:rPr>
          <w:rFonts w:hint="eastAsia" w:ascii="宋体" w:hAnsi="宋体" w:cs="宋体"/>
          <w:color w:val="auto"/>
          <w:sz w:val="21"/>
          <w:szCs w:val="21"/>
          <w:highlight w:val="none"/>
        </w:rPr>
        <w:t>18.1供应商应按本磋商文件规定的格式和顺序编制响应文件并标注页码，响应文件内容</w:t>
      </w:r>
      <w:r>
        <w:rPr>
          <w:rFonts w:hint="eastAsia" w:ascii="宋体" w:hAnsi="宋体" w:cs="宋体"/>
          <w:color w:val="auto"/>
          <w:spacing w:val="-6"/>
          <w:sz w:val="21"/>
          <w:szCs w:val="21"/>
          <w:highlight w:val="none"/>
        </w:rPr>
        <w:t>不完整、编排混乱导致响应文件被误读、漏读或者查找不到相关内容的，</w:t>
      </w:r>
      <w:r>
        <w:rPr>
          <w:rFonts w:hint="eastAsia" w:ascii="宋体" w:hAnsi="宋体" w:cs="宋体"/>
          <w:color w:val="auto"/>
          <w:sz w:val="21"/>
          <w:szCs w:val="21"/>
          <w:highlight w:val="none"/>
        </w:rPr>
        <w:t>由此引发的</w:t>
      </w:r>
      <w:r>
        <w:rPr>
          <w:rFonts w:hint="eastAsia" w:ascii="宋体" w:hAnsi="宋体" w:cs="宋体"/>
          <w:color w:val="auto"/>
          <w:spacing w:val="-6"/>
          <w:sz w:val="21"/>
          <w:szCs w:val="21"/>
          <w:highlight w:val="none"/>
        </w:rPr>
        <w:t>后果由供应商承担。</w:t>
      </w:r>
    </w:p>
    <w:p w14:paraId="39878AA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18.2响应文件应按资格证明文件、报价商务服务文件分别编制电子文件，并按广西政府采购云平台的要求编制、加密、上传。</w:t>
      </w:r>
    </w:p>
    <w:p w14:paraId="1FDFDDC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w:t>
      </w:r>
      <w:bookmarkStart w:id="30" w:name="_Hlk65832699"/>
      <w:r>
        <w:rPr>
          <w:rFonts w:hint="eastAsia" w:ascii="宋体" w:hAnsi="宋体" w:cs="宋体"/>
          <w:color w:val="auto"/>
          <w:sz w:val="21"/>
          <w:szCs w:val="21"/>
          <w:highlight w:val="none"/>
        </w:rPr>
        <w:t>3响应文件须由供应商在规定位置盖公章并</w:t>
      </w:r>
      <w:bookmarkStart w:id="31" w:name="_Hlk65832569"/>
      <w:r>
        <w:rPr>
          <w:rFonts w:hint="eastAsia" w:ascii="宋体" w:hAnsi="宋体" w:cs="宋体"/>
          <w:color w:val="auto"/>
          <w:sz w:val="21"/>
          <w:szCs w:val="21"/>
          <w:highlight w:val="none"/>
        </w:rPr>
        <w:t>签字或签章（具体以供应商须知前附表或响应文件格式规定为准）</w:t>
      </w:r>
      <w:bookmarkEnd w:id="30"/>
      <w:bookmarkEnd w:id="31"/>
      <w:r>
        <w:rPr>
          <w:rFonts w:hint="eastAsia" w:ascii="宋体" w:hAnsi="宋体" w:cs="宋体"/>
          <w:color w:val="auto"/>
          <w:sz w:val="21"/>
          <w:szCs w:val="21"/>
          <w:highlight w:val="none"/>
        </w:rPr>
        <w:t>，否则其响应文件按无效响应处理。</w:t>
      </w:r>
    </w:p>
    <w:p w14:paraId="6A4ACC7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18.4响应文件中标注的供应商名称应与营业执照（事业单位法人证书、执业许可证、自然人身份证）及公章一致，否则其响应文件按无效响应处理。</w:t>
      </w:r>
    </w:p>
    <w:p w14:paraId="5293CB0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0AE08970">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19.响应文件的加密、解密及电子备份响应文件</w:t>
      </w:r>
    </w:p>
    <w:p w14:paraId="6305428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19.1电子响应文件编制完成后，供应商应按广西政府采购云平台的要求进行加密，并在规定时间内解密，否则，由此产生的后果由供应商自行负责。</w:t>
      </w:r>
    </w:p>
    <w:p w14:paraId="6AA4AA8B">
      <w:pPr>
        <w:spacing w:line="360" w:lineRule="auto"/>
        <w:ind w:firstLine="420" w:firstLineChars="200"/>
        <w:rPr>
          <w:color w:val="auto"/>
          <w:szCs w:val="21"/>
          <w:highlight w:val="none"/>
        </w:rPr>
      </w:pPr>
      <w:r>
        <w:rPr>
          <w:rFonts w:ascii="宋体" w:hAnsi="宋体" w:cs="宋体"/>
          <w:color w:val="auto"/>
          <w:sz w:val="21"/>
          <w:szCs w:val="21"/>
          <w:highlight w:val="none"/>
        </w:rPr>
        <w:t>19.2</w:t>
      </w:r>
      <w:r>
        <w:rPr>
          <w:rFonts w:hint="eastAsia" w:ascii="宋体" w:hAnsi="宋体" w:cs="宋体"/>
          <w:color w:val="auto"/>
          <w:sz w:val="21"/>
          <w:szCs w:val="21"/>
          <w:highlight w:val="none"/>
        </w:rPr>
        <w:t>电子备份响应文件是指通过“广西政府采购云平台电子投标客户端”在线编制生成且后缀名为“</w:t>
      </w:r>
      <w:r>
        <w:rPr>
          <w:rFonts w:ascii="宋体" w:hAnsi="宋体" w:cs="宋体"/>
          <w:color w:val="auto"/>
          <w:sz w:val="21"/>
          <w:szCs w:val="21"/>
          <w:highlight w:val="none"/>
        </w:rPr>
        <w:t>bfbs</w:t>
      </w:r>
      <w:r>
        <w:rPr>
          <w:rFonts w:hint="eastAsia" w:ascii="宋体" w:hAnsi="宋体" w:cs="宋体"/>
          <w:color w:val="auto"/>
          <w:sz w:val="21"/>
          <w:szCs w:val="21"/>
          <w:highlight w:val="none"/>
        </w:rPr>
        <w:t>”的文件，是否接受电子备份响应文件详见“供应商须知前附表”。</w:t>
      </w:r>
    </w:p>
    <w:p w14:paraId="5BD5779A">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20.响应文件的提交</w:t>
      </w:r>
    </w:p>
    <w:p w14:paraId="275A2AE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20.1供应商必须在“供应商须知前附表”规定的时间和地点提交响应文件。</w:t>
      </w:r>
    </w:p>
    <w:p w14:paraId="492BF512">
      <w:pPr>
        <w:widowControl/>
        <w:spacing w:line="360" w:lineRule="auto"/>
        <w:ind w:firstLine="420" w:firstLineChars="200"/>
        <w:rPr>
          <w:rFonts w:ascii="宋体" w:hAnsi="宋体" w:cs="宋体"/>
          <w:b/>
          <w:color w:val="auto"/>
          <w:sz w:val="21"/>
          <w:szCs w:val="21"/>
          <w:highlight w:val="none"/>
        </w:rPr>
      </w:pPr>
      <w:r>
        <w:rPr>
          <w:rFonts w:hint="eastAsia" w:ascii="宋体" w:hAnsi="宋体" w:cs="宋体"/>
          <w:color w:val="auto"/>
          <w:sz w:val="21"/>
          <w:szCs w:val="21"/>
          <w:highlight w:val="none"/>
        </w:rPr>
        <w:t>20.2本项目为全流程电子化政府采购项目，通过广西政府采购云平台（https://www.gcy.zfcg.gxzf.gov.cn/）实行在线电子竞争性磋商，供应商应先安装“广西政府采购云平台电子交易客户端”（请自行前往广西政府采购云平台进行下载），并按照本项目竞争性磋商文件和广西政府采购云平台的要求编制、加密后在首次响应文件提交截止时间前通过网络上传至广西政府采购云平台，</w:t>
      </w:r>
      <w:r>
        <w:rPr>
          <w:rFonts w:hint="eastAsia" w:ascii="宋体" w:hAnsi="宋体" w:cs="宋体"/>
          <w:b/>
          <w:color w:val="auto"/>
          <w:sz w:val="21"/>
          <w:szCs w:val="21"/>
          <w:highlight w:val="none"/>
        </w:rPr>
        <w:t>供应商在广西政府采购云平台提交电子版响应文件时，请填写参加远程开标活动经办人联系方式。</w:t>
      </w:r>
    </w:p>
    <w:p w14:paraId="36658CA1">
      <w:pPr>
        <w:keepNext w:val="0"/>
        <w:keepLines w:val="0"/>
        <w:spacing w:before="0" w:after="0" w:line="360" w:lineRule="auto"/>
        <w:ind w:firstLine="420" w:firstLineChars="200"/>
        <w:jc w:val="left"/>
        <w:rPr>
          <w:rFonts w:ascii="宋体" w:hAnsi="宋体" w:cs="宋体"/>
          <w:b w:val="0"/>
          <w:color w:val="auto"/>
          <w:sz w:val="21"/>
          <w:szCs w:val="21"/>
          <w:highlight w:val="none"/>
        </w:rPr>
      </w:pPr>
      <w:r>
        <w:rPr>
          <w:rFonts w:hint="eastAsia" w:ascii="宋体" w:hAnsi="宋体" w:cs="宋体"/>
          <w:b w:val="0"/>
          <w:color w:val="auto"/>
          <w:sz w:val="21"/>
          <w:szCs w:val="21"/>
          <w:highlight w:val="none"/>
        </w:rPr>
        <w:t>20.3未在规定时间内上传或者未按广西政府采购云平台的要求编制、加密的电子响应文件，广西政府采购云平台将拒收。</w:t>
      </w:r>
    </w:p>
    <w:p w14:paraId="70D0D533">
      <w:pPr>
        <w:pStyle w:val="7"/>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20.4电子响应文件提交方</w:t>
      </w:r>
      <w:r>
        <w:rPr>
          <w:rFonts w:hint="eastAsia" w:ascii="宋体" w:hAnsi="宋体" w:cs="宋体"/>
          <w:bCs/>
          <w:color w:val="auto"/>
          <w:sz w:val="21"/>
          <w:szCs w:val="21"/>
          <w:highlight w:val="none"/>
        </w:rPr>
        <w:t>式见“竞争性磋商公告”</w:t>
      </w:r>
      <w:r>
        <w:rPr>
          <w:rFonts w:hint="eastAsia" w:ascii="宋体" w:hAnsi="宋体" w:cs="宋体"/>
          <w:color w:val="auto"/>
          <w:sz w:val="21"/>
          <w:szCs w:val="21"/>
          <w:highlight w:val="none"/>
        </w:rPr>
        <w:t>中“四、响应文件提交”。</w:t>
      </w:r>
    </w:p>
    <w:p w14:paraId="16900821">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21.首次响应文件的补充、修改与撤回</w:t>
      </w:r>
    </w:p>
    <w:p w14:paraId="2E94A48B">
      <w:pPr>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rPr>
        <w:t>21.1供应商应当在首次响应文件提交截止时间前完成电子响应文件的上传、提交，首次响应文件提交截止时间前可以补充、修改或者撤回响应文件。补充或者修改响应文件的，应当先行撤回原文件，补充、修改后重新上传、提交。首次响应文件提交截止时间前未完成上传、提交的，视为撤回响应文件。首次响应文件提交截止时间以后上传提交的响应文件，广西政府采购云平台将予以拒收。</w:t>
      </w:r>
    </w:p>
    <w:p w14:paraId="17793813">
      <w:pPr>
        <w:spacing w:line="360" w:lineRule="auto"/>
        <w:ind w:firstLine="422" w:firstLineChars="200"/>
        <w:rPr>
          <w:rFonts w:ascii="宋体" w:hAnsi="宋体" w:cs="宋体"/>
          <w:b/>
          <w:bCs/>
          <w:color w:val="auto"/>
          <w:sz w:val="21"/>
          <w:szCs w:val="21"/>
          <w:highlight w:val="none"/>
        </w:rPr>
      </w:pPr>
      <w:bookmarkStart w:id="32" w:name="_Hlk45702405"/>
      <w:r>
        <w:rPr>
          <w:rFonts w:hint="eastAsia" w:ascii="宋体" w:hAnsi="宋体" w:cs="宋体"/>
          <w:b/>
          <w:bCs/>
          <w:color w:val="auto"/>
          <w:sz w:val="21"/>
          <w:szCs w:val="21"/>
          <w:highlight w:val="none"/>
        </w:rPr>
        <w:t>22.首次响应文件的退回</w:t>
      </w:r>
    </w:p>
    <w:p w14:paraId="2068E0A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727E7560">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23.截止时间后的撤回</w:t>
      </w:r>
    </w:p>
    <w:p w14:paraId="7869CB7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23.1供应商在首次响应文件提交截止时间后书面通知采购人、采购代理机构书面撤回响应文件的，将根据本磋商文件《供应商须知正文》第17.4条的规定不予退还其磋商保证金。</w:t>
      </w:r>
    </w:p>
    <w:bookmarkEnd w:id="32"/>
    <w:p w14:paraId="53129862">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四、评审及磋商</w:t>
      </w:r>
    </w:p>
    <w:p w14:paraId="698A5816">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24.磋商小组成立</w:t>
      </w:r>
    </w:p>
    <w:p w14:paraId="7B6239C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D678368">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25.首次响应文件的开启</w:t>
      </w:r>
    </w:p>
    <w:p w14:paraId="4728F44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25.1首次响应文件由磋商小组或者采购代理机构在“供应商须知前附表”规定的时间开启。</w:t>
      </w:r>
    </w:p>
    <w:p w14:paraId="092FAA2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 w:val="21"/>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1"/>
          <w:szCs w:val="21"/>
          <w:highlight w:val="none"/>
        </w:rPr>
        <w:t>响应文件未按时解密的，</w:t>
      </w:r>
      <w:r>
        <w:rPr>
          <w:rFonts w:hint="eastAsia" w:ascii="宋体" w:hAnsi="宋体" w:cs="宋体"/>
          <w:b/>
          <w:color w:val="auto"/>
          <w:sz w:val="21"/>
          <w:szCs w:val="21"/>
          <w:highlight w:val="none"/>
        </w:rPr>
        <w:t>视为响应</w:t>
      </w:r>
      <w:r>
        <w:rPr>
          <w:rFonts w:hint="eastAsia" w:ascii="宋体" w:hAnsi="宋体" w:cs="宋体"/>
          <w:b/>
          <w:bCs/>
          <w:color w:val="auto"/>
          <w:sz w:val="21"/>
          <w:szCs w:val="21"/>
          <w:highlight w:val="none"/>
        </w:rPr>
        <w:t>文件无效。</w:t>
      </w:r>
      <w:r>
        <w:rPr>
          <w:rFonts w:hint="eastAsia" w:ascii="宋体" w:hAnsi="宋体" w:cs="宋体"/>
          <w:color w:val="auto"/>
          <w:sz w:val="21"/>
          <w:szCs w:val="21"/>
          <w:highlight w:val="none"/>
        </w:rPr>
        <w:t>（解密异常情况处理：详见本章26.</w:t>
      </w:r>
      <w:r>
        <w:rPr>
          <w:rFonts w:ascii="宋体" w:hAnsi="宋体" w:cs="宋体"/>
          <w:color w:val="auto"/>
          <w:sz w:val="21"/>
          <w:szCs w:val="21"/>
          <w:highlight w:val="none"/>
        </w:rPr>
        <w:t>3</w:t>
      </w:r>
      <w:r>
        <w:rPr>
          <w:rFonts w:hint="eastAsia" w:ascii="宋体" w:hAnsi="宋体" w:cs="宋体"/>
          <w:color w:val="auto"/>
          <w:sz w:val="21"/>
          <w:szCs w:val="21"/>
          <w:highlight w:val="none"/>
        </w:rPr>
        <w:t>电子交易活动的中止。）</w:t>
      </w:r>
    </w:p>
    <w:p w14:paraId="049E43C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25.3成功解密响应文件的供应商不足3家的，不得磋商。</w:t>
      </w:r>
    </w:p>
    <w:p w14:paraId="469BCF76">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26.评审程序、评审方法和评审标准</w:t>
      </w:r>
    </w:p>
    <w:p w14:paraId="6272C05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26.1磋商小组按照“第四章 评审程序、评审方法和评审标准”规定的方法、评审因素、标准和程序对响应文件进行评审。</w:t>
      </w:r>
    </w:p>
    <w:p w14:paraId="737A1C26">
      <w:pPr>
        <w:spacing w:line="360" w:lineRule="auto"/>
        <w:ind w:firstLine="420" w:firstLineChars="200"/>
        <w:rPr>
          <w:color w:val="auto"/>
          <w:szCs w:val="21"/>
          <w:highlight w:val="none"/>
        </w:rPr>
      </w:pPr>
      <w:r>
        <w:rPr>
          <w:rFonts w:hint="eastAsia" w:ascii="宋体" w:hAnsi="宋体" w:cs="宋体"/>
          <w:color w:val="auto"/>
          <w:sz w:val="21"/>
          <w:szCs w:val="21"/>
          <w:highlight w:val="none"/>
        </w:rPr>
        <w:t>26.</w:t>
      </w:r>
      <w:r>
        <w:rPr>
          <w:rFonts w:ascii="宋体" w:hAnsi="宋体" w:cs="宋体"/>
          <w:color w:val="auto"/>
          <w:sz w:val="21"/>
          <w:szCs w:val="21"/>
          <w:highlight w:val="none"/>
        </w:rPr>
        <w:t>2</w:t>
      </w:r>
      <w:r>
        <w:rPr>
          <w:rFonts w:hint="eastAsia" w:ascii="宋体" w:hAnsi="宋体" w:cs="宋体"/>
          <w:color w:val="auto"/>
          <w:sz w:val="21"/>
          <w:szCs w:val="21"/>
          <w:highlight w:val="none"/>
        </w:rPr>
        <w:t>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674A186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w:t>
      </w:r>
      <w:r>
        <w:rPr>
          <w:rFonts w:ascii="宋体" w:hAnsi="宋体" w:cs="宋体"/>
          <w:color w:val="auto"/>
          <w:sz w:val="21"/>
          <w:szCs w:val="21"/>
          <w:highlight w:val="none"/>
        </w:rPr>
        <w:t>3</w:t>
      </w:r>
      <w:r>
        <w:rPr>
          <w:rFonts w:hint="eastAsia" w:ascii="宋体" w:hAnsi="宋体" w:cs="宋体"/>
          <w:color w:val="auto"/>
          <w:sz w:val="21"/>
          <w:szCs w:val="21"/>
          <w:highlight w:val="none"/>
        </w:rPr>
        <w:t>电子交易活动的中止。采购过程中出现以下情形，导致电子交易平台无法正常运行，或者无法保证电子交易的公平、公正和安全时，采购机构可中止电子交易活动：</w:t>
      </w:r>
    </w:p>
    <w:p w14:paraId="2097343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（1）电子交易平台发生故障而无法登录访问的； </w:t>
      </w:r>
    </w:p>
    <w:p w14:paraId="63BABAB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（2）电子交易平台应用或数据库出现错误，不能进行正常操作的；</w:t>
      </w:r>
    </w:p>
    <w:p w14:paraId="0D99895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（3）电子交易平台发现严重安全漏洞，有潜在泄密危险的；</w:t>
      </w:r>
    </w:p>
    <w:p w14:paraId="5636DBC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（4）病毒发作导致不能进行正常操作的； </w:t>
      </w:r>
    </w:p>
    <w:p w14:paraId="1199F68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5</w:t>
      </w:r>
      <w:r>
        <w:rPr>
          <w:rFonts w:hint="eastAsia" w:ascii="宋体" w:hAnsi="宋体" w:cs="宋体"/>
          <w:color w:val="auto"/>
          <w:sz w:val="21"/>
          <w:szCs w:val="21"/>
          <w:highlight w:val="none"/>
        </w:rPr>
        <w:t>）其他无法保证电子交易的公平、公正和安全的情况。</w:t>
      </w:r>
    </w:p>
    <w:p w14:paraId="22BFD9E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w:t>
      </w:r>
      <w:r>
        <w:rPr>
          <w:rFonts w:ascii="宋体" w:hAnsi="宋体" w:cs="宋体"/>
          <w:color w:val="auto"/>
          <w:sz w:val="21"/>
          <w:szCs w:val="21"/>
          <w:highlight w:val="none"/>
        </w:rPr>
        <w:t>4</w:t>
      </w:r>
      <w:r>
        <w:rPr>
          <w:rFonts w:hint="eastAsia" w:ascii="宋体" w:hAnsi="宋体" w:cs="宋体"/>
          <w:color w:val="auto"/>
          <w:sz w:val="21"/>
          <w:szCs w:val="21"/>
          <w:highlight w:val="none"/>
        </w:rPr>
        <w:t>出现以上情形，不影响采购公平、公正性的，采购代理机构可以待上述情形消除后继续组织电子交易活动；影响或可能影响采购公平、公正性的，经采购代理机构确认后，应当重新采购。</w:t>
      </w:r>
    </w:p>
    <w:p w14:paraId="3A0030B9">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27.确定成交供应商及结果公告</w:t>
      </w:r>
    </w:p>
    <w:p w14:paraId="3459F98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27.1</w:t>
      </w:r>
      <w:r>
        <w:rPr>
          <w:rFonts w:hint="eastAsia" w:ascii="宋体" w:hAnsi="宋体" w:cs="宋体"/>
          <w:color w:val="auto"/>
          <w:kern w:val="0"/>
          <w:sz w:val="21"/>
          <w:szCs w:val="21"/>
          <w:highlight w:val="none"/>
        </w:rPr>
        <w:t xml:space="preserve"> </w:t>
      </w:r>
      <w:r>
        <w:rPr>
          <w:rFonts w:hint="eastAsia" w:ascii="宋体" w:hAnsi="宋体" w:cs="宋体"/>
          <w:color w:val="auto"/>
          <w:sz w:val="21"/>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AC6A57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27.2采购代理机构应当在</w:t>
      </w:r>
      <w:r>
        <w:rPr>
          <w:rFonts w:hint="eastAsia" w:ascii="宋体" w:hAnsi="宋体" w:cs="宋体"/>
          <w:color w:val="auto"/>
          <w:kern w:val="0"/>
          <w:sz w:val="21"/>
          <w:szCs w:val="21"/>
          <w:highlight w:val="none"/>
        </w:rPr>
        <w:t>成交</w:t>
      </w:r>
      <w:r>
        <w:rPr>
          <w:rFonts w:hint="eastAsia" w:ascii="宋体" w:hAnsi="宋体" w:cs="宋体"/>
          <w:color w:val="auto"/>
          <w:sz w:val="21"/>
          <w:szCs w:val="21"/>
          <w:highlight w:val="none"/>
        </w:rPr>
        <w:t>供应商确定后2个工作日内，在省级以上财政部门指定的媒体上公告成交结果，同时向成交供应商发出成交通知书。</w:t>
      </w:r>
      <w:r>
        <w:rPr>
          <w:rFonts w:hint="eastAsia" w:ascii="宋体" w:hAnsi="宋体" w:cs="宋体"/>
          <w:b/>
          <w:color w:val="auto"/>
          <w:sz w:val="21"/>
          <w:szCs w:val="21"/>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sz w:val="21"/>
          <w:szCs w:val="21"/>
          <w:highlight w:val="none"/>
        </w:rPr>
        <w:t>排名第二的成交候选人因上述规定的同样原因被取消成交资格的，采购人可以确定排名第三的成交候选人为成交供应商，以此类推。以上信息查询记录及相关证据与磋商文件一并保存。</w:t>
      </w:r>
      <w:bookmarkStart w:id="33" w:name="_Hlk66782294"/>
      <w:r>
        <w:rPr>
          <w:rFonts w:hint="eastAsia" w:ascii="宋体" w:hAnsi="宋体" w:cs="宋体"/>
          <w:color w:val="auto"/>
          <w:sz w:val="21"/>
          <w:szCs w:val="21"/>
          <w:highlight w:val="none"/>
        </w:rPr>
        <w:t>成交供应商享受《政府采购促进中小企业发展管理办法》（财库〔2020〕46号）及《关于进一步加大政府采购支持中小企业力度的通知》（财库〔2022〕19号）规定的中小企业扶持政策的，采购人、采购代理机构应当随成交结果公开成交供应商的《中小企业声明函》。</w:t>
      </w:r>
      <w:bookmarkEnd w:id="33"/>
    </w:p>
    <w:p w14:paraId="31C6452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27.3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69AAADF9">
      <w:pPr>
        <w:pStyle w:val="12"/>
        <w:spacing w:line="360" w:lineRule="auto"/>
        <w:ind w:firstLine="422" w:firstLineChars="200"/>
        <w:rPr>
          <w:b/>
          <w:color w:val="auto"/>
          <w:szCs w:val="21"/>
          <w:highlight w:val="none"/>
        </w:rPr>
      </w:pPr>
      <w:r>
        <w:rPr>
          <w:rFonts w:hint="eastAsia" w:ascii="宋体" w:hAnsi="宋体" w:cs="宋体"/>
          <w:b/>
          <w:color w:val="auto"/>
          <w:sz w:val="21"/>
          <w:szCs w:val="21"/>
          <w:highlight w:val="none"/>
        </w:rPr>
        <w:t>成交供应商拒绝与采购人签订合同的，其磋商保证金不予退还，并上缴国库。给采购人造成损失，或（并）因此延误采购人</w:t>
      </w:r>
      <w:r>
        <w:rPr>
          <w:rFonts w:hint="eastAsia" w:ascii="宋体" w:hAnsi="宋体" w:cs="宋体"/>
          <w:b/>
          <w:color w:val="auto"/>
          <w:sz w:val="21"/>
          <w:szCs w:val="21"/>
          <w:highlight w:val="none"/>
          <w:lang w:eastAsia="zh-CN"/>
        </w:rPr>
        <w:t>项目</w:t>
      </w:r>
      <w:r>
        <w:rPr>
          <w:rFonts w:hint="eastAsia" w:ascii="宋体" w:hAnsi="宋体" w:cs="宋体"/>
          <w:b/>
          <w:color w:val="auto"/>
          <w:sz w:val="21"/>
          <w:szCs w:val="21"/>
          <w:highlight w:val="none"/>
        </w:rPr>
        <w:t>计划的，须依据《中华人民共和国民法典》第五百条</w:t>
      </w:r>
      <w:r>
        <w:rPr>
          <w:rFonts w:ascii="宋体" w:hAnsi="宋体" w:cs="宋体"/>
          <w:b/>
          <w:color w:val="auto"/>
          <w:sz w:val="21"/>
          <w:szCs w:val="21"/>
          <w:highlight w:val="none"/>
        </w:rPr>
        <w:t>规定承担赔偿损失等法律责任，采购人有权将成交供应商的失信行为报财政部门记入诚信档案，以示惩戒。</w:t>
      </w:r>
    </w:p>
    <w:p w14:paraId="18EAD35F">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27.4</w:t>
      </w:r>
      <w:r>
        <w:rPr>
          <w:rFonts w:hint="eastAsia" w:ascii="宋体" w:hAnsi="宋体" w:cs="宋体"/>
          <w:color w:val="auto"/>
          <w:sz w:val="21"/>
          <w:szCs w:val="21"/>
          <w:highlight w:val="none"/>
        </w:rPr>
        <w:t>出现下列情形之一的，采购人或者采购代理机构应当终止竞争性磋商采购活动，发布项目终止公告并说明原因，重新开展采购活动：</w:t>
      </w:r>
    </w:p>
    <w:p w14:paraId="03BBB5A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1</w:t>
      </w:r>
      <w:r>
        <w:rPr>
          <w:rFonts w:hint="eastAsia" w:ascii="宋体" w:hAnsi="宋体" w:cs="宋体"/>
          <w:color w:val="auto"/>
          <w:sz w:val="21"/>
          <w:szCs w:val="21"/>
          <w:highlight w:val="none"/>
        </w:rPr>
        <w:t>）因情况变化，不再符合规定的竞争性磋商采购方式适用情形的；</w:t>
      </w:r>
    </w:p>
    <w:p w14:paraId="5333E4B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2</w:t>
      </w:r>
      <w:r>
        <w:rPr>
          <w:rFonts w:hint="eastAsia" w:ascii="宋体" w:hAnsi="宋体" w:cs="宋体"/>
          <w:color w:val="auto"/>
          <w:sz w:val="21"/>
          <w:szCs w:val="21"/>
          <w:highlight w:val="none"/>
        </w:rPr>
        <w:t>）出现影响采购公正的违法、违规行为的；</w:t>
      </w:r>
    </w:p>
    <w:p w14:paraId="08D90FC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3</w:t>
      </w:r>
      <w:r>
        <w:rPr>
          <w:rFonts w:hint="eastAsia" w:ascii="宋体" w:hAnsi="宋体" w:cs="宋体"/>
          <w:color w:val="auto"/>
          <w:sz w:val="21"/>
          <w:szCs w:val="21"/>
          <w:highlight w:val="none"/>
        </w:rPr>
        <w:t>）除“第四章</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评审程序、评审方法和评审标准”第</w:t>
      </w:r>
      <w:r>
        <w:rPr>
          <w:rFonts w:ascii="宋体" w:hAnsi="宋体" w:cs="宋体"/>
          <w:color w:val="auto"/>
          <w:sz w:val="21"/>
          <w:szCs w:val="21"/>
          <w:highlight w:val="none"/>
        </w:rPr>
        <w:t>4.3</w:t>
      </w:r>
      <w:r>
        <w:rPr>
          <w:rFonts w:hint="eastAsia" w:ascii="宋体" w:hAnsi="宋体" w:cs="宋体"/>
          <w:color w:val="auto"/>
          <w:sz w:val="21"/>
          <w:szCs w:val="21"/>
          <w:highlight w:val="none"/>
        </w:rPr>
        <w:t>条规定的情形外，在采购过程中符合要求的供应商或者报价未超过采购预算的供应商不足</w:t>
      </w:r>
      <w:r>
        <w:rPr>
          <w:rFonts w:ascii="宋体" w:hAnsi="宋体" w:cs="宋体"/>
          <w:color w:val="auto"/>
          <w:sz w:val="21"/>
          <w:szCs w:val="21"/>
          <w:highlight w:val="none"/>
        </w:rPr>
        <w:t>3</w:t>
      </w:r>
      <w:r>
        <w:rPr>
          <w:rFonts w:hint="eastAsia" w:ascii="宋体" w:hAnsi="宋体" w:cs="宋体"/>
          <w:color w:val="auto"/>
          <w:sz w:val="21"/>
          <w:szCs w:val="21"/>
          <w:highlight w:val="none"/>
        </w:rPr>
        <w:t>家的。</w:t>
      </w:r>
    </w:p>
    <w:p w14:paraId="44C30D0F">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 xml:space="preserve">27.5 </w:t>
      </w:r>
      <w:r>
        <w:rPr>
          <w:rFonts w:hint="eastAsia" w:ascii="宋体" w:hAnsi="宋体" w:cs="宋体"/>
          <w:color w:val="auto"/>
          <w:sz w:val="21"/>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1E58E13C">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28.履约保证金</w:t>
      </w:r>
    </w:p>
    <w:p w14:paraId="52C5875F">
      <w:pPr>
        <w:spacing w:line="360" w:lineRule="auto"/>
        <w:ind w:firstLine="424" w:firstLineChars="202"/>
        <w:rPr>
          <w:rFonts w:ascii="宋体" w:hAnsi="宋体" w:cs="宋体"/>
          <w:color w:val="auto"/>
          <w:sz w:val="21"/>
          <w:szCs w:val="21"/>
          <w:highlight w:val="none"/>
        </w:rPr>
      </w:pPr>
      <w:r>
        <w:rPr>
          <w:rFonts w:hint="eastAsia" w:ascii="宋体" w:hAnsi="宋体" w:cs="宋体"/>
          <w:color w:val="auto"/>
          <w:sz w:val="21"/>
          <w:szCs w:val="21"/>
          <w:highlight w:val="none"/>
        </w:rPr>
        <w:t>28.1履约保证金的金额、提交方式、退付的时间和条件详见“供应商须知前附表”。</w:t>
      </w:r>
    </w:p>
    <w:p w14:paraId="7EE739C6">
      <w:pPr>
        <w:spacing w:line="360" w:lineRule="auto"/>
        <w:ind w:firstLine="424" w:firstLineChars="202"/>
        <w:rPr>
          <w:rFonts w:ascii="宋体" w:hAnsi="宋体" w:cs="宋体"/>
          <w:color w:val="auto"/>
          <w:sz w:val="21"/>
          <w:szCs w:val="21"/>
          <w:highlight w:val="none"/>
        </w:rPr>
      </w:pPr>
      <w:r>
        <w:rPr>
          <w:rFonts w:hint="eastAsia" w:ascii="宋体" w:hAnsi="宋体" w:cs="宋体"/>
          <w:color w:val="auto"/>
          <w:sz w:val="21"/>
          <w:szCs w:val="21"/>
          <w:highlight w:val="none"/>
        </w:rPr>
        <w:t>28.2在履约保证金退还日期前，若成交供应商的开户名称、开户银行、</w:t>
      </w:r>
      <w:r>
        <w:rPr>
          <w:rFonts w:hint="eastAsia" w:ascii="宋体" w:hAnsi="宋体" w:cs="宋体"/>
          <w:color w:val="auto"/>
          <w:sz w:val="21"/>
          <w:szCs w:val="21"/>
          <w:highlight w:val="none"/>
          <w:lang w:eastAsia="zh-CN"/>
        </w:rPr>
        <w:t>账号</w:t>
      </w:r>
      <w:r>
        <w:rPr>
          <w:rFonts w:hint="eastAsia" w:ascii="宋体" w:hAnsi="宋体" w:cs="宋体"/>
          <w:color w:val="auto"/>
          <w:sz w:val="21"/>
          <w:szCs w:val="21"/>
          <w:highlight w:val="none"/>
        </w:rPr>
        <w:t>有变动的，请以书面形式通知履约保证金收取单位，否则由此产生的后果由成交供应商自行承担。</w:t>
      </w:r>
    </w:p>
    <w:p w14:paraId="07A06136">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29.签订合同</w:t>
      </w:r>
    </w:p>
    <w:p w14:paraId="2EBE06E5">
      <w:pPr>
        <w:spacing w:line="360" w:lineRule="auto"/>
        <w:ind w:firstLine="424" w:firstLineChars="202"/>
        <w:rPr>
          <w:rFonts w:ascii="宋体" w:hAnsi="宋体" w:cs="宋体"/>
          <w:color w:val="auto"/>
          <w:sz w:val="21"/>
          <w:szCs w:val="21"/>
          <w:highlight w:val="none"/>
        </w:rPr>
      </w:pPr>
      <w:r>
        <w:rPr>
          <w:rFonts w:hint="eastAsia" w:ascii="宋体" w:hAnsi="宋体" w:cs="宋体"/>
          <w:color w:val="auto"/>
          <w:sz w:val="21"/>
          <w:szCs w:val="21"/>
          <w:highlight w:val="none"/>
        </w:rPr>
        <w:t>29.1成交供应商在收到成交通知书（书面或电子）后，应当在签订合同时向采购人出示相关证明材料，具体内容详见“供应商须知前附表”，经采购人核验合格后方可签订合同（书面或电子）。如成交供应商为联合体的，联合体各方应当共同与采购人签订采购合同，就采购合同约定的事项对采购人承担连带责任。</w:t>
      </w:r>
    </w:p>
    <w:p w14:paraId="4B1B5476">
      <w:pPr>
        <w:spacing w:line="360" w:lineRule="auto"/>
        <w:ind w:firstLine="424" w:firstLineChars="202"/>
        <w:rPr>
          <w:rFonts w:ascii="宋体" w:hAnsi="宋体" w:cs="宋体"/>
          <w:color w:val="auto"/>
          <w:sz w:val="21"/>
          <w:szCs w:val="21"/>
          <w:highlight w:val="none"/>
        </w:rPr>
      </w:pPr>
      <w:r>
        <w:rPr>
          <w:rFonts w:hint="eastAsia" w:ascii="宋体" w:hAnsi="宋体" w:cs="宋体"/>
          <w:color w:val="auto"/>
          <w:sz w:val="21"/>
          <w:szCs w:val="21"/>
          <w:highlight w:val="none"/>
        </w:rPr>
        <w:t>29.2签订合同时间：</w:t>
      </w:r>
      <w:r>
        <w:rPr>
          <w:rFonts w:hint="eastAsia" w:ascii="宋体" w:hAnsi="宋体" w:eastAsia="宋体" w:cs="宋体"/>
          <w:sz w:val="21"/>
          <w:szCs w:val="21"/>
          <w:highlight w:val="none"/>
        </w:rPr>
        <w:t>自</w:t>
      </w:r>
      <w:r>
        <w:rPr>
          <w:rFonts w:hint="eastAsia" w:ascii="宋体" w:hAnsi="宋体" w:eastAsia="宋体" w:cs="宋体"/>
          <w:sz w:val="21"/>
          <w:szCs w:val="21"/>
          <w:highlight w:val="none"/>
          <w:lang w:val="en-US" w:eastAsia="zh-CN"/>
        </w:rPr>
        <w:t>成交</w:t>
      </w:r>
      <w:r>
        <w:rPr>
          <w:rFonts w:hint="eastAsia" w:ascii="宋体" w:hAnsi="宋体" w:eastAsia="宋体" w:cs="宋体"/>
          <w:sz w:val="21"/>
          <w:szCs w:val="21"/>
          <w:highlight w:val="none"/>
        </w:rPr>
        <w:t>通知书发出之日起</w:t>
      </w:r>
      <w:r>
        <w:rPr>
          <w:rFonts w:hint="eastAsia" w:ascii="宋体" w:hAnsi="宋体" w:eastAsia="宋体" w:cs="宋体"/>
          <w:b/>
          <w:color w:val="auto"/>
          <w:sz w:val="21"/>
          <w:szCs w:val="21"/>
          <w:highlight w:val="none"/>
          <w:u w:val="single"/>
          <w:lang w:val="en-US" w:eastAsia="zh-CN"/>
        </w:rPr>
        <w:t>25</w:t>
      </w:r>
      <w:r>
        <w:rPr>
          <w:rFonts w:hint="eastAsia" w:ascii="宋体" w:hAnsi="宋体" w:eastAsia="宋体" w:cs="宋体"/>
          <w:b/>
          <w:color w:val="auto"/>
          <w:sz w:val="21"/>
          <w:szCs w:val="21"/>
          <w:highlight w:val="none"/>
          <w:u w:val="single"/>
        </w:rPr>
        <w:t>日</w:t>
      </w:r>
      <w:r>
        <w:rPr>
          <w:rFonts w:hint="eastAsia" w:ascii="宋体" w:hAnsi="宋体" w:eastAsia="宋体" w:cs="宋体"/>
          <w:sz w:val="21"/>
          <w:szCs w:val="21"/>
          <w:highlight w:val="none"/>
        </w:rPr>
        <w:t>内签订采购合同</w:t>
      </w:r>
      <w:r>
        <w:rPr>
          <w:rFonts w:hint="eastAsia" w:ascii="宋体" w:hAnsi="宋体" w:cs="宋体"/>
          <w:color w:val="auto"/>
          <w:sz w:val="21"/>
          <w:szCs w:val="21"/>
          <w:highlight w:val="none"/>
        </w:rPr>
        <w:t>。</w:t>
      </w:r>
    </w:p>
    <w:p w14:paraId="72840177">
      <w:pPr>
        <w:spacing w:line="360" w:lineRule="auto"/>
        <w:ind w:firstLine="426" w:firstLineChars="202"/>
        <w:rPr>
          <w:rFonts w:ascii="宋体" w:hAnsi="宋体" w:cs="宋体"/>
          <w:b/>
          <w:color w:val="auto"/>
          <w:sz w:val="21"/>
          <w:szCs w:val="21"/>
          <w:highlight w:val="none"/>
        </w:rPr>
      </w:pPr>
      <w:r>
        <w:rPr>
          <w:rFonts w:ascii="宋体" w:hAnsi="宋体" w:cs="宋体"/>
          <w:b/>
          <w:color w:val="auto"/>
          <w:sz w:val="21"/>
          <w:szCs w:val="21"/>
          <w:highlight w:val="none"/>
        </w:rPr>
        <w:t>29.3成交供应</w:t>
      </w:r>
      <w:r>
        <w:rPr>
          <w:rFonts w:hint="eastAsia" w:ascii="宋体" w:hAnsi="宋体" w:cs="宋体"/>
          <w:b/>
          <w:color w:val="auto"/>
          <w:sz w:val="21"/>
          <w:szCs w:val="21"/>
          <w:highlight w:val="none"/>
        </w:rPr>
        <w:t>商拒绝与采购人签订合同的，按照本磋商文件之《供应商须知正文》第</w:t>
      </w:r>
      <w:r>
        <w:rPr>
          <w:rFonts w:ascii="宋体" w:hAnsi="宋体" w:cs="宋体"/>
          <w:b/>
          <w:color w:val="auto"/>
          <w:sz w:val="21"/>
          <w:szCs w:val="21"/>
          <w:highlight w:val="none"/>
        </w:rPr>
        <w:t>27.3条的规定执行。</w:t>
      </w:r>
    </w:p>
    <w:p w14:paraId="18562417">
      <w:pPr>
        <w:spacing w:line="360" w:lineRule="auto"/>
        <w:ind w:firstLine="424" w:firstLineChars="202"/>
        <w:rPr>
          <w:rFonts w:ascii="宋体" w:hAnsi="宋体" w:cs="宋体"/>
          <w:color w:val="auto"/>
          <w:sz w:val="21"/>
          <w:szCs w:val="21"/>
          <w:highlight w:val="none"/>
        </w:rPr>
      </w:pPr>
      <w:r>
        <w:rPr>
          <w:rFonts w:ascii="宋体" w:hAnsi="宋体" w:cs="宋体"/>
          <w:color w:val="auto"/>
          <w:sz w:val="21"/>
          <w:szCs w:val="21"/>
          <w:highlight w:val="none"/>
        </w:rPr>
        <w:t>29.4</w:t>
      </w:r>
      <w:r>
        <w:rPr>
          <w:rFonts w:hint="eastAsia" w:ascii="宋体" w:hAnsi="宋体" w:cs="宋体"/>
          <w:color w:val="auto"/>
          <w:sz w:val="21"/>
          <w:szCs w:val="21"/>
          <w:highlight w:val="none"/>
        </w:rPr>
        <w:t>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BB33629">
      <w:pPr>
        <w:spacing w:line="360" w:lineRule="auto"/>
        <w:ind w:firstLine="424" w:firstLineChars="202"/>
        <w:rPr>
          <w:rFonts w:ascii="宋体" w:hAnsi="宋体" w:cs="宋体"/>
          <w:color w:val="auto"/>
          <w:sz w:val="21"/>
          <w:szCs w:val="21"/>
          <w:highlight w:val="none"/>
        </w:rPr>
      </w:pPr>
      <w:r>
        <w:rPr>
          <w:rFonts w:ascii="宋体" w:hAnsi="宋体" w:cs="宋体"/>
          <w:color w:val="auto"/>
          <w:sz w:val="21"/>
          <w:szCs w:val="21"/>
          <w:highlight w:val="none"/>
        </w:rPr>
        <w:t>29.5</w:t>
      </w:r>
      <w:r>
        <w:rPr>
          <w:rFonts w:hint="eastAsia" w:ascii="宋体" w:hAnsi="宋体" w:cs="宋体"/>
          <w:color w:val="auto"/>
          <w:sz w:val="21"/>
          <w:szCs w:val="21"/>
          <w:highlight w:val="none"/>
        </w:rPr>
        <w:t>采购人或成交供应商不得单方面向合同另一方提出任何磋商文件没有约定的条件或不合理的要求，作为签订合同的条件；也不得协商另行订立背离磋商文件和合同实质性内容的协议。</w:t>
      </w:r>
    </w:p>
    <w:p w14:paraId="65319863">
      <w:pPr>
        <w:spacing w:line="360" w:lineRule="auto"/>
        <w:ind w:firstLine="424" w:firstLineChars="202"/>
        <w:rPr>
          <w:rFonts w:ascii="宋体" w:hAnsi="宋体" w:cs="宋体"/>
          <w:color w:val="auto"/>
          <w:sz w:val="21"/>
          <w:szCs w:val="21"/>
          <w:highlight w:val="none"/>
        </w:rPr>
      </w:pPr>
      <w:r>
        <w:rPr>
          <w:rFonts w:ascii="宋体" w:hAnsi="宋体" w:cs="宋体"/>
          <w:color w:val="auto"/>
          <w:sz w:val="21"/>
          <w:szCs w:val="21"/>
          <w:highlight w:val="none"/>
        </w:rPr>
        <w:t>29.6</w:t>
      </w:r>
      <w:r>
        <w:rPr>
          <w:rFonts w:hint="eastAsia" w:ascii="宋体" w:hAnsi="宋体" w:cs="宋体"/>
          <w:color w:val="auto"/>
          <w:sz w:val="21"/>
          <w:szCs w:val="21"/>
          <w:highlight w:val="none"/>
        </w:rPr>
        <w:t>如签订合同并生效后，供应商无故拒绝或延期，除按照合同条款处理外，将承担相应的法律责任。</w:t>
      </w:r>
    </w:p>
    <w:p w14:paraId="4BD92FC6">
      <w:pPr>
        <w:spacing w:line="360" w:lineRule="auto"/>
        <w:ind w:firstLine="424" w:firstLineChars="202"/>
        <w:rPr>
          <w:rFonts w:ascii="宋体" w:hAnsi="宋体" w:cs="宋体"/>
          <w:color w:val="auto"/>
          <w:sz w:val="21"/>
          <w:szCs w:val="21"/>
          <w:highlight w:val="none"/>
        </w:rPr>
      </w:pPr>
      <w:r>
        <w:rPr>
          <w:rFonts w:ascii="宋体" w:hAnsi="宋体" w:cs="宋体"/>
          <w:color w:val="auto"/>
          <w:sz w:val="21"/>
          <w:szCs w:val="21"/>
          <w:highlight w:val="none"/>
        </w:rPr>
        <w:t>29.7</w:t>
      </w:r>
      <w:r>
        <w:rPr>
          <w:rFonts w:hint="eastAsia" w:ascii="宋体" w:hAnsi="宋体" w:cs="宋体"/>
          <w:color w:val="auto"/>
          <w:sz w:val="21"/>
          <w:szCs w:val="21"/>
          <w:highlight w:val="none"/>
        </w:rPr>
        <w:t>政府采购合同履行中，采购人需追加与合同标的相同的货物、工程或者服务的，在不改变合同其他条款的前提下，可以与供应商协商签订补充合同，但所有补充合同的采购金额不得超过原合同采购金额的</w:t>
      </w:r>
      <w:r>
        <w:rPr>
          <w:rFonts w:ascii="宋体" w:hAnsi="宋体" w:cs="宋体"/>
          <w:color w:val="auto"/>
          <w:sz w:val="21"/>
          <w:szCs w:val="21"/>
          <w:highlight w:val="none"/>
        </w:rPr>
        <w:t>10%</w:t>
      </w:r>
      <w:r>
        <w:rPr>
          <w:rFonts w:hint="eastAsia" w:ascii="宋体" w:hAnsi="宋体" w:cs="宋体"/>
          <w:color w:val="auto"/>
          <w:sz w:val="21"/>
          <w:szCs w:val="21"/>
          <w:highlight w:val="none"/>
        </w:rPr>
        <w:t>。</w:t>
      </w:r>
    </w:p>
    <w:p w14:paraId="4D3920D3">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30.政府采购合同公告</w:t>
      </w:r>
    </w:p>
    <w:p w14:paraId="23AD1C6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326E4B8">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31.询问、质疑和投诉</w:t>
      </w:r>
    </w:p>
    <w:p w14:paraId="4621501E">
      <w:pPr>
        <w:pStyle w:val="7"/>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31.1供应商对政府采购活动事项有疑问的，可以向采购人、采购代理机构提出询问，采购人或者采购代理机构应当在3个工作日内对供应商依法提出的询问做出答复，但答复的内容不得涉及商业秘密。</w:t>
      </w:r>
    </w:p>
    <w:p w14:paraId="070B709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31.2供应商认为磋商文件、采购过程或者成交结果使自己的合法权益受到损害的，应当在知道或者应知其权益受到损害之日起7个工作日内，以纸质书面形式向采购人、采购代理机构提出质疑，接收质疑函的方式、联系部门、联系电话和通讯地址等信息详见“供应商须知前附表”。具体质疑起算时间如下：</w:t>
      </w:r>
    </w:p>
    <w:p w14:paraId="5CEBBEC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（1）对可以质疑的磋商文件提出质疑的，为收到磋商文件之日或者竞争性磋商公告期限届满之日；</w:t>
      </w:r>
    </w:p>
    <w:p w14:paraId="5B01C0C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（2）对采购过程提出质疑的，为各采购程序环节结束之日；</w:t>
      </w:r>
    </w:p>
    <w:p w14:paraId="6D4DD49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（3）对成交结果提出质疑的，为成交结果公告期限届满之日。</w:t>
      </w:r>
    </w:p>
    <w:p w14:paraId="5DE131B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233E292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31.4供应商提出质疑应当提交质疑函和必要的证明材料，针对同一采购程序环节的质疑必须在法定质疑期内一次性提出</w:t>
      </w:r>
      <w:r>
        <w:rPr>
          <w:rFonts w:hint="eastAsia" w:ascii="宋体" w:hAnsi="宋体" w:cs="宋体"/>
          <w:b/>
          <w:bCs/>
          <w:color w:val="auto"/>
          <w:highlight w:val="none"/>
          <w:lang w:eastAsia="zh-CN"/>
        </w:rPr>
        <w:t>，</w:t>
      </w:r>
      <w:r>
        <w:rPr>
          <w:rFonts w:hint="eastAsia" w:ascii="宋体" w:hAnsi="宋体" w:cs="宋体"/>
          <w:b/>
          <w:bCs/>
          <w:color w:val="auto"/>
          <w:highlight w:val="none"/>
          <w:lang w:val="en-US" w:eastAsia="zh-CN"/>
        </w:rPr>
        <w:t>否则不予受理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质疑函应当包括下列内容</w:t>
      </w:r>
      <w:r>
        <w:rPr>
          <w:rFonts w:hint="eastAsia" w:ascii="宋体" w:hAnsi="宋体" w:cs="宋体"/>
          <w:bCs/>
          <w:color w:val="auto"/>
          <w:sz w:val="21"/>
          <w:szCs w:val="21"/>
          <w:highlight w:val="none"/>
        </w:rPr>
        <w:t>（质疑函格式后附）</w:t>
      </w:r>
      <w:r>
        <w:rPr>
          <w:rFonts w:hint="eastAsia" w:ascii="宋体" w:hAnsi="宋体" w:cs="宋体"/>
          <w:color w:val="auto"/>
          <w:sz w:val="21"/>
          <w:szCs w:val="21"/>
          <w:highlight w:val="none"/>
        </w:rPr>
        <w:t>：</w:t>
      </w:r>
    </w:p>
    <w:p w14:paraId="22BDA2E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（1）供应商的姓名或者名称、地址、邮编、联系人及联系电话；</w:t>
      </w:r>
    </w:p>
    <w:p w14:paraId="602004D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（2）质疑项目的名称、编号；</w:t>
      </w:r>
    </w:p>
    <w:p w14:paraId="47665C0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（3）具体、明确的质疑事项和与质疑事项相关的请求；</w:t>
      </w:r>
    </w:p>
    <w:p w14:paraId="3CE68EE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（4）事实依据；</w:t>
      </w:r>
    </w:p>
    <w:p w14:paraId="7404290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（5）必要的法律依据；</w:t>
      </w:r>
    </w:p>
    <w:p w14:paraId="5EA5C7F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（6）提出质疑的日期。</w:t>
      </w:r>
    </w:p>
    <w:p w14:paraId="18F5C01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供应商为自然人的，应当由本人签字或签章；供应商为法人或者其他组织的，应当由法定代表人、主要负责人，或者其委托代理人签字或签章，并加盖公章。</w:t>
      </w:r>
    </w:p>
    <w:p w14:paraId="26D6753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0C5B906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（1）对采购文件提出的质疑，依法通过澄清或者修改可以继续开展采购活动的，澄清或者修改采购文件后继续开展采购活动；否则应当修改采购文件后重新开展采购活动。</w:t>
      </w:r>
    </w:p>
    <w:p w14:paraId="2FC0907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（2）对采购过程或者成交结果提出的质疑，合格供应商符合法定数量时，可以从合格的成交候选人中另行确定成交供应商的，应当依法另行确定成交供应商；否则应当重新开展采购活动。</w:t>
      </w:r>
    </w:p>
    <w:p w14:paraId="0972400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质疑答复导致成交结果改变的，采购人或者采购代理机构应当将有关情况书面报告本级财政部门。</w:t>
      </w:r>
    </w:p>
    <w:p w14:paraId="7F0E30F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E7A56D0">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32.其他内容</w:t>
      </w:r>
    </w:p>
    <w:p w14:paraId="166161FA">
      <w:pPr>
        <w:tabs>
          <w:tab w:val="left" w:pos="2835"/>
        </w:tabs>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32.1代理服务费：代理服务</w:t>
      </w:r>
      <w:r>
        <w:rPr>
          <w:rFonts w:hint="eastAsia" w:ascii="宋体" w:hAnsi="宋体" w:cs="宋体"/>
          <w:color w:val="auto"/>
          <w:sz w:val="21"/>
          <w:szCs w:val="21"/>
          <w:highlight w:val="none"/>
          <w:lang w:eastAsia="zh-CN"/>
        </w:rPr>
        <w:t>费</w:t>
      </w:r>
      <w:r>
        <w:rPr>
          <w:rFonts w:hint="eastAsia" w:ascii="宋体" w:hAnsi="宋体" w:cs="宋体"/>
          <w:color w:val="auto"/>
          <w:sz w:val="21"/>
          <w:szCs w:val="21"/>
          <w:highlight w:val="none"/>
        </w:rPr>
        <w:t>收取标准及缴费账户详见“供应商须知前附表”，供应商为联合体的，可以由联合体中的一方或者多方共同交纳代理服务费。</w:t>
      </w:r>
    </w:p>
    <w:p w14:paraId="30F86353">
      <w:pPr>
        <w:tabs>
          <w:tab w:val="left" w:pos="2835"/>
        </w:tabs>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32.2代理服务费收费计算标准：</w:t>
      </w:r>
      <w:r>
        <w:rPr>
          <w:rFonts w:hint="eastAsia" w:hAnsi="宋体" w:cs="宋体"/>
          <w:color w:val="auto"/>
          <w:kern w:val="2"/>
          <w:sz w:val="21"/>
          <w:szCs w:val="21"/>
          <w:highlight w:val="none"/>
        </w:rPr>
        <w:t>详见“供应商须知前附表”</w:t>
      </w:r>
      <w:r>
        <w:rPr>
          <w:rFonts w:hint="eastAsia" w:hAnsi="宋体" w:cs="宋体"/>
          <w:color w:val="auto"/>
          <w:kern w:val="2"/>
          <w:sz w:val="21"/>
          <w:szCs w:val="21"/>
          <w:highlight w:val="none"/>
          <w:lang w:eastAsia="zh-CN"/>
        </w:rPr>
        <w:t>。</w:t>
      </w:r>
    </w:p>
    <w:p w14:paraId="175D4152">
      <w:pPr>
        <w:spacing w:line="360" w:lineRule="auto"/>
        <w:ind w:firstLine="422" w:firstLineChars="200"/>
        <w:rPr>
          <w:rFonts w:ascii="宋体" w:hAnsi="宋体" w:cs="宋体"/>
          <w:b/>
          <w:color w:val="auto"/>
          <w:sz w:val="21"/>
          <w:szCs w:val="21"/>
          <w:highlight w:val="none"/>
        </w:rPr>
      </w:pPr>
      <w:r>
        <w:rPr>
          <w:rFonts w:ascii="宋体" w:hAnsi="宋体" w:cs="宋体"/>
          <w:b/>
          <w:color w:val="auto"/>
          <w:sz w:val="21"/>
          <w:szCs w:val="21"/>
          <w:highlight w:val="none"/>
        </w:rPr>
        <w:t xml:space="preserve">32.3 </w:t>
      </w:r>
      <w:r>
        <w:rPr>
          <w:rFonts w:hint="eastAsia" w:ascii="宋体" w:hAnsi="宋体" w:cs="宋体"/>
          <w:b/>
          <w:color w:val="auto"/>
          <w:sz w:val="21"/>
          <w:szCs w:val="21"/>
          <w:highlight w:val="none"/>
        </w:rPr>
        <w:t>代理服务费交纳</w:t>
      </w:r>
      <w:r>
        <w:rPr>
          <w:rFonts w:hint="eastAsia" w:ascii="宋体" w:hAnsi="宋体" w:cs="宋体"/>
          <w:b/>
          <w:color w:val="auto"/>
          <w:sz w:val="21"/>
          <w:szCs w:val="21"/>
          <w:highlight w:val="none"/>
          <w:lang w:eastAsia="zh-CN"/>
        </w:rPr>
        <w:t>银行账号</w:t>
      </w:r>
      <w:r>
        <w:rPr>
          <w:rFonts w:hint="eastAsia" w:ascii="宋体" w:hAnsi="宋体" w:cs="宋体"/>
          <w:b/>
          <w:color w:val="auto"/>
          <w:sz w:val="21"/>
          <w:szCs w:val="21"/>
          <w:highlight w:val="none"/>
        </w:rPr>
        <w:t>信息</w:t>
      </w:r>
    </w:p>
    <w:p w14:paraId="44F07B98">
      <w:pPr>
        <w:spacing w:line="360" w:lineRule="auto"/>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开户名称：</w:t>
      </w:r>
    </w:p>
    <w:p w14:paraId="67EEDE8F">
      <w:pPr>
        <w:spacing w:line="360" w:lineRule="auto"/>
        <w:ind w:firstLine="420" w:firstLineChars="200"/>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开户银行：</w:t>
      </w:r>
    </w:p>
    <w:p w14:paraId="422659CE">
      <w:pPr>
        <w:spacing w:line="360" w:lineRule="auto"/>
        <w:ind w:firstLine="420" w:firstLineChars="200"/>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银行账号：</w:t>
      </w:r>
    </w:p>
    <w:p w14:paraId="4F59425B">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33.需要补充的其他内容</w:t>
      </w:r>
    </w:p>
    <w:p w14:paraId="2E5380F0">
      <w:pPr>
        <w:pStyle w:val="18"/>
        <w:spacing w:line="360" w:lineRule="auto"/>
        <w:ind w:firstLine="420" w:firstLineChars="200"/>
        <w:textAlignment w:val="center"/>
        <w:rPr>
          <w:rFonts w:hAnsi="宋体" w:cs="宋体"/>
          <w:color w:val="auto"/>
          <w:kern w:val="2"/>
          <w:sz w:val="21"/>
          <w:szCs w:val="21"/>
          <w:highlight w:val="none"/>
        </w:rPr>
      </w:pPr>
      <w:r>
        <w:rPr>
          <w:rFonts w:hint="eastAsia" w:hAnsi="宋体" w:cs="宋体"/>
          <w:color w:val="auto"/>
          <w:kern w:val="2"/>
          <w:sz w:val="21"/>
          <w:szCs w:val="21"/>
          <w:highlight w:val="none"/>
        </w:rPr>
        <w:t>33.1本磋商文件解释规则详见“供应商须知前附表”。</w:t>
      </w:r>
    </w:p>
    <w:p w14:paraId="548655E5">
      <w:pPr>
        <w:pStyle w:val="18"/>
        <w:spacing w:line="360" w:lineRule="auto"/>
        <w:ind w:firstLine="420" w:firstLineChars="200"/>
        <w:textAlignment w:val="center"/>
        <w:rPr>
          <w:rFonts w:hAnsi="宋体" w:cs="宋体"/>
          <w:color w:val="auto"/>
          <w:kern w:val="2"/>
          <w:sz w:val="21"/>
          <w:szCs w:val="21"/>
          <w:highlight w:val="none"/>
        </w:rPr>
      </w:pPr>
      <w:r>
        <w:rPr>
          <w:rFonts w:hint="eastAsia" w:hAnsi="宋体" w:cs="宋体"/>
          <w:color w:val="auto"/>
          <w:kern w:val="2"/>
          <w:sz w:val="21"/>
          <w:szCs w:val="21"/>
          <w:highlight w:val="none"/>
        </w:rPr>
        <w:t>33.2 其他事项详见“供应商须知前附表”。</w:t>
      </w:r>
    </w:p>
    <w:p w14:paraId="409A22CF">
      <w:pPr>
        <w:pStyle w:val="18"/>
        <w:spacing w:line="360" w:lineRule="auto"/>
        <w:ind w:firstLine="420" w:firstLineChars="200"/>
        <w:textAlignment w:val="center"/>
        <w:rPr>
          <w:rFonts w:hAnsi="宋体" w:cs="宋体"/>
          <w:color w:val="auto"/>
          <w:kern w:val="2"/>
          <w:sz w:val="21"/>
          <w:szCs w:val="21"/>
          <w:highlight w:val="none"/>
        </w:rPr>
      </w:pPr>
      <w:r>
        <w:rPr>
          <w:rFonts w:hint="eastAsia" w:hAnsi="宋体" w:cs="宋体"/>
          <w:color w:val="auto"/>
          <w:kern w:val="2"/>
          <w:sz w:val="21"/>
          <w:szCs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74363943">
      <w:pPr>
        <w:pStyle w:val="18"/>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（1）在货物采购项目中，货物由中小企业制造，即货物由中小企业生产且使用该中小企业商号或者注册商标，不对其中涉及的工程承建商和服务的承接商作出要求；</w:t>
      </w:r>
    </w:p>
    <w:p w14:paraId="5F3FA5EA">
      <w:pPr>
        <w:pStyle w:val="18"/>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（2）在工程采购项目中，工程由中小企业承建，即工程施工单位为中小企业，不对其中涉及的货物的制造商和服务的承接商作出要求；</w:t>
      </w:r>
    </w:p>
    <w:p w14:paraId="27CCF579">
      <w:pPr>
        <w:pStyle w:val="18"/>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CF1F945">
      <w:pPr>
        <w:pStyle w:val="18"/>
        <w:spacing w:line="360" w:lineRule="auto"/>
        <w:ind w:firstLine="420" w:firstLineChars="200"/>
        <w:textAlignment w:val="center"/>
        <w:rPr>
          <w:rFonts w:hAnsi="宋体" w:cs="宋体"/>
          <w:color w:val="auto"/>
          <w:kern w:val="2"/>
          <w:sz w:val="21"/>
          <w:szCs w:val="21"/>
          <w:highlight w:val="none"/>
        </w:rPr>
      </w:pPr>
      <w:r>
        <w:rPr>
          <w:rFonts w:hint="eastAsia" w:hAnsi="宋体" w:cs="宋体"/>
          <w:color w:val="auto"/>
          <w:kern w:val="2"/>
          <w:sz w:val="21"/>
          <w:szCs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58AB1ED">
      <w:pPr>
        <w:pStyle w:val="18"/>
        <w:spacing w:line="360" w:lineRule="auto"/>
        <w:ind w:firstLine="420" w:firstLineChars="200"/>
        <w:textAlignment w:val="center"/>
        <w:rPr>
          <w:rFonts w:hAnsi="宋体" w:cs="宋体"/>
          <w:b/>
          <w:color w:val="auto"/>
          <w:sz w:val="32"/>
          <w:szCs w:val="32"/>
          <w:highlight w:val="none"/>
        </w:rPr>
      </w:pPr>
      <w:r>
        <w:rPr>
          <w:rFonts w:hint="eastAsia" w:hAnsi="宋体" w:cs="宋体"/>
          <w:color w:val="auto"/>
          <w:kern w:val="2"/>
          <w:sz w:val="21"/>
          <w:szCs w:val="21"/>
          <w:highlight w:val="none"/>
        </w:rPr>
        <w:t>依据本磋商文件规定享受扶持政策获得政府采购合同的，小微企业不得将合同分包给大中型企业，中型企业不得将合同分包给大型企业。</w:t>
      </w:r>
    </w:p>
    <w:p w14:paraId="54A38D35">
      <w:pPr>
        <w:rPr>
          <w:rFonts w:hint="eastAsia" w:hAnsi="宋体" w:cs="宋体"/>
          <w:color w:val="auto"/>
          <w:highlight w:val="none"/>
        </w:rPr>
      </w:pPr>
      <w:r>
        <w:rPr>
          <w:rFonts w:hint="eastAsia" w:hAnsi="宋体" w:cs="宋体"/>
          <w:color w:val="auto"/>
          <w:highlight w:val="none"/>
        </w:rPr>
        <w:br w:type="page"/>
      </w:r>
    </w:p>
    <w:tbl>
      <w:tblPr>
        <w:tblStyle w:val="33"/>
        <w:tblW w:w="9716" w:type="dxa"/>
        <w:tblInd w:w="-506" w:type="dxa"/>
        <w:tblLayout w:type="autofit"/>
        <w:tblCellMar>
          <w:top w:w="0" w:type="dxa"/>
          <w:left w:w="108" w:type="dxa"/>
          <w:bottom w:w="0" w:type="dxa"/>
          <w:right w:w="108" w:type="dxa"/>
        </w:tblCellMar>
      </w:tblPr>
      <w:tblGrid>
        <w:gridCol w:w="1012"/>
        <w:gridCol w:w="448"/>
        <w:gridCol w:w="1839"/>
        <w:gridCol w:w="1895"/>
        <w:gridCol w:w="1392"/>
        <w:gridCol w:w="285"/>
        <w:gridCol w:w="571"/>
        <w:gridCol w:w="1053"/>
        <w:gridCol w:w="999"/>
        <w:gridCol w:w="222"/>
      </w:tblGrid>
      <w:tr w14:paraId="6DB6E355">
        <w:tblPrEx>
          <w:tblCellMar>
            <w:top w:w="0" w:type="dxa"/>
            <w:left w:w="108" w:type="dxa"/>
            <w:bottom w:w="0" w:type="dxa"/>
            <w:right w:w="108" w:type="dxa"/>
          </w:tblCellMar>
        </w:tblPrEx>
        <w:trPr>
          <w:gridAfter w:val="1"/>
          <w:wAfter w:w="222" w:type="dxa"/>
          <w:trHeight w:val="614" w:hRule="atLeast"/>
        </w:trPr>
        <w:tc>
          <w:tcPr>
            <w:tcW w:w="1460" w:type="dxa"/>
            <w:gridSpan w:val="2"/>
            <w:tcBorders>
              <w:top w:val="nil"/>
              <w:left w:val="nil"/>
              <w:bottom w:val="nil"/>
              <w:right w:val="nil"/>
            </w:tcBorders>
            <w:shd w:val="clear" w:color="auto" w:fill="auto"/>
            <w:noWrap/>
            <w:vAlign w:val="center"/>
          </w:tcPr>
          <w:p w14:paraId="67F49656">
            <w:pPr>
              <w:widowControl/>
              <w:jc w:val="left"/>
              <w:rPr>
                <w:rFonts w:ascii="Times New Roman" w:hAnsi="Times New Roman" w:eastAsia="等线" w:cs="Times New Roman"/>
                <w:color w:val="000000"/>
                <w:kern w:val="0"/>
                <w:sz w:val="22"/>
              </w:rPr>
            </w:pPr>
            <w:r>
              <w:rPr>
                <w:rFonts w:ascii="Times New Roman" w:hAnsi="Times New Roman" w:eastAsia="仿宋" w:cs="Times New Roman"/>
                <w:b/>
                <w:bCs/>
                <w:kern w:val="0"/>
                <w:sz w:val="28"/>
                <w:szCs w:val="28"/>
              </w:rPr>
              <w:t>附件</w:t>
            </w:r>
            <w:r>
              <w:rPr>
                <w:rFonts w:hint="eastAsia" w:ascii="Times New Roman" w:hAnsi="Times New Roman" w:eastAsia="仿宋" w:cs="Times New Roman"/>
                <w:b/>
                <w:bCs/>
                <w:kern w:val="0"/>
                <w:sz w:val="28"/>
                <w:szCs w:val="28"/>
              </w:rPr>
              <w:t>1</w:t>
            </w:r>
          </w:p>
        </w:tc>
        <w:tc>
          <w:tcPr>
            <w:tcW w:w="1839" w:type="dxa"/>
            <w:tcBorders>
              <w:top w:val="nil"/>
              <w:left w:val="nil"/>
              <w:bottom w:val="nil"/>
              <w:right w:val="nil"/>
            </w:tcBorders>
            <w:shd w:val="clear" w:color="auto" w:fill="auto"/>
            <w:noWrap/>
            <w:vAlign w:val="center"/>
          </w:tcPr>
          <w:p w14:paraId="2D38407A">
            <w:pPr>
              <w:widowControl/>
              <w:jc w:val="left"/>
              <w:rPr>
                <w:rFonts w:ascii="Times New Roman" w:hAnsi="Times New Roman" w:eastAsia="等线" w:cs="Times New Roman"/>
                <w:color w:val="000000"/>
                <w:kern w:val="0"/>
                <w:sz w:val="22"/>
              </w:rPr>
            </w:pPr>
          </w:p>
        </w:tc>
        <w:tc>
          <w:tcPr>
            <w:tcW w:w="1895" w:type="dxa"/>
            <w:tcBorders>
              <w:top w:val="nil"/>
              <w:left w:val="nil"/>
              <w:bottom w:val="nil"/>
              <w:right w:val="nil"/>
            </w:tcBorders>
            <w:shd w:val="clear" w:color="auto" w:fill="auto"/>
            <w:noWrap/>
            <w:vAlign w:val="center"/>
          </w:tcPr>
          <w:p w14:paraId="620E5CFD">
            <w:pPr>
              <w:widowControl/>
              <w:jc w:val="left"/>
              <w:rPr>
                <w:rFonts w:ascii="Times New Roman" w:hAnsi="Times New Roman" w:eastAsia="Times New Roman" w:cs="Times New Roman"/>
                <w:kern w:val="0"/>
                <w:sz w:val="20"/>
                <w:szCs w:val="20"/>
              </w:rPr>
            </w:pPr>
          </w:p>
        </w:tc>
        <w:tc>
          <w:tcPr>
            <w:tcW w:w="1392" w:type="dxa"/>
            <w:tcBorders>
              <w:top w:val="nil"/>
              <w:left w:val="nil"/>
              <w:bottom w:val="nil"/>
              <w:right w:val="nil"/>
            </w:tcBorders>
            <w:shd w:val="clear" w:color="auto" w:fill="auto"/>
            <w:noWrap/>
            <w:vAlign w:val="center"/>
          </w:tcPr>
          <w:p w14:paraId="5C12397D">
            <w:pPr>
              <w:widowControl/>
              <w:jc w:val="left"/>
              <w:rPr>
                <w:rFonts w:ascii="Times New Roman" w:hAnsi="Times New Roman" w:eastAsia="Times New Roman" w:cs="Times New Roman"/>
                <w:kern w:val="0"/>
                <w:sz w:val="20"/>
                <w:szCs w:val="20"/>
              </w:rPr>
            </w:pPr>
          </w:p>
        </w:tc>
        <w:tc>
          <w:tcPr>
            <w:tcW w:w="285" w:type="dxa"/>
            <w:tcBorders>
              <w:top w:val="nil"/>
              <w:left w:val="nil"/>
              <w:bottom w:val="nil"/>
              <w:right w:val="nil"/>
            </w:tcBorders>
            <w:shd w:val="clear" w:color="auto" w:fill="auto"/>
            <w:noWrap/>
            <w:vAlign w:val="center"/>
          </w:tcPr>
          <w:p w14:paraId="4234599C">
            <w:pPr>
              <w:widowControl/>
              <w:jc w:val="left"/>
              <w:rPr>
                <w:rFonts w:ascii="Times New Roman" w:hAnsi="Times New Roman" w:eastAsia="Times New Roman" w:cs="Times New Roman"/>
                <w:kern w:val="0"/>
                <w:sz w:val="20"/>
                <w:szCs w:val="20"/>
              </w:rPr>
            </w:pPr>
          </w:p>
        </w:tc>
        <w:tc>
          <w:tcPr>
            <w:tcW w:w="571" w:type="dxa"/>
            <w:tcBorders>
              <w:top w:val="nil"/>
              <w:left w:val="nil"/>
              <w:bottom w:val="nil"/>
              <w:right w:val="nil"/>
            </w:tcBorders>
            <w:shd w:val="clear" w:color="auto" w:fill="auto"/>
            <w:noWrap/>
            <w:vAlign w:val="center"/>
          </w:tcPr>
          <w:p w14:paraId="6D5E9068">
            <w:pPr>
              <w:widowControl/>
              <w:jc w:val="left"/>
              <w:rPr>
                <w:rFonts w:ascii="Times New Roman" w:hAnsi="Times New Roman" w:eastAsia="Times New Roman" w:cs="Times New Roman"/>
                <w:kern w:val="0"/>
                <w:sz w:val="20"/>
                <w:szCs w:val="20"/>
              </w:rPr>
            </w:pPr>
          </w:p>
        </w:tc>
        <w:tc>
          <w:tcPr>
            <w:tcW w:w="1053" w:type="dxa"/>
            <w:tcBorders>
              <w:top w:val="nil"/>
              <w:left w:val="nil"/>
              <w:bottom w:val="nil"/>
              <w:right w:val="nil"/>
            </w:tcBorders>
            <w:shd w:val="clear" w:color="auto" w:fill="auto"/>
            <w:noWrap/>
            <w:vAlign w:val="center"/>
          </w:tcPr>
          <w:p w14:paraId="5FD6E4B5">
            <w:pPr>
              <w:widowControl/>
              <w:jc w:val="left"/>
              <w:rPr>
                <w:rFonts w:ascii="Times New Roman" w:hAnsi="Times New Roman" w:eastAsia="Times New Roman" w:cs="Times New Roman"/>
                <w:kern w:val="0"/>
                <w:sz w:val="20"/>
                <w:szCs w:val="20"/>
              </w:rPr>
            </w:pPr>
          </w:p>
        </w:tc>
        <w:tc>
          <w:tcPr>
            <w:tcW w:w="999" w:type="dxa"/>
            <w:tcBorders>
              <w:top w:val="nil"/>
              <w:left w:val="nil"/>
              <w:bottom w:val="nil"/>
              <w:right w:val="nil"/>
            </w:tcBorders>
            <w:shd w:val="clear" w:color="auto" w:fill="auto"/>
            <w:noWrap/>
            <w:vAlign w:val="center"/>
          </w:tcPr>
          <w:p w14:paraId="5210E891">
            <w:pPr>
              <w:widowControl/>
              <w:jc w:val="left"/>
              <w:rPr>
                <w:rFonts w:ascii="Times New Roman" w:hAnsi="Times New Roman" w:eastAsia="Times New Roman" w:cs="Times New Roman"/>
                <w:kern w:val="0"/>
                <w:sz w:val="20"/>
                <w:szCs w:val="20"/>
              </w:rPr>
            </w:pPr>
          </w:p>
        </w:tc>
      </w:tr>
      <w:tr w14:paraId="48B8C8A4">
        <w:tblPrEx>
          <w:tblCellMar>
            <w:top w:w="0" w:type="dxa"/>
            <w:left w:w="108" w:type="dxa"/>
            <w:bottom w:w="0" w:type="dxa"/>
            <w:right w:w="108" w:type="dxa"/>
          </w:tblCellMar>
        </w:tblPrEx>
        <w:trPr>
          <w:gridAfter w:val="1"/>
          <w:wAfter w:w="222" w:type="dxa"/>
          <w:trHeight w:val="637" w:hRule="atLeast"/>
        </w:trPr>
        <w:tc>
          <w:tcPr>
            <w:tcW w:w="9494" w:type="dxa"/>
            <w:gridSpan w:val="9"/>
            <w:tcBorders>
              <w:top w:val="nil"/>
              <w:left w:val="nil"/>
              <w:bottom w:val="nil"/>
              <w:right w:val="nil"/>
            </w:tcBorders>
            <w:shd w:val="clear" w:color="auto" w:fill="auto"/>
            <w:noWrap/>
            <w:vAlign w:val="center"/>
          </w:tcPr>
          <w:p w14:paraId="1C3C19DC">
            <w:pPr>
              <w:widowControl/>
              <w:jc w:val="center"/>
              <w:rPr>
                <w:rFonts w:ascii="Times New Roman" w:hAnsi="Times New Roman" w:eastAsia="黑体" w:cs="Times New Roman"/>
                <w:b/>
                <w:bCs/>
                <w:color w:val="000000"/>
                <w:kern w:val="0"/>
                <w:sz w:val="32"/>
                <w:szCs w:val="32"/>
              </w:rPr>
            </w:pPr>
            <w:r>
              <w:rPr>
                <w:rFonts w:ascii="Times New Roman" w:hAnsi="Times New Roman" w:eastAsia="黑体" w:cs="Times New Roman"/>
                <w:b/>
                <w:bCs/>
                <w:color w:val="000000"/>
                <w:kern w:val="0"/>
                <w:sz w:val="32"/>
                <w:szCs w:val="32"/>
              </w:rPr>
              <w:t>桂林理工大学货物和服务院级验收报告单</w:t>
            </w:r>
          </w:p>
        </w:tc>
      </w:tr>
      <w:tr w14:paraId="414A6AEF">
        <w:tblPrEx>
          <w:tblCellMar>
            <w:top w:w="0" w:type="dxa"/>
            <w:left w:w="108" w:type="dxa"/>
            <w:bottom w:w="0" w:type="dxa"/>
            <w:right w:w="108" w:type="dxa"/>
          </w:tblCellMar>
        </w:tblPrEx>
        <w:trPr>
          <w:gridAfter w:val="1"/>
          <w:wAfter w:w="222" w:type="dxa"/>
          <w:trHeight w:val="1230" w:hRule="atLeast"/>
        </w:trPr>
        <w:tc>
          <w:tcPr>
            <w:tcW w:w="9494" w:type="dxa"/>
            <w:gridSpan w:val="9"/>
            <w:tcBorders>
              <w:top w:val="nil"/>
              <w:left w:val="nil"/>
              <w:bottom w:val="single" w:color="auto" w:sz="8" w:space="0"/>
              <w:right w:val="nil"/>
            </w:tcBorders>
            <w:shd w:val="clear" w:color="auto" w:fill="auto"/>
            <w:vAlign w:val="center"/>
          </w:tcPr>
          <w:p w14:paraId="73F60C7F">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xml:space="preserve">    根据政府采购项目（</w:t>
            </w:r>
            <w:r>
              <w:rPr>
                <w:rFonts w:ascii="Times New Roman" w:hAnsi="Times New Roman" w:eastAsia="仿宋_GB2312" w:cs="Times New Roman"/>
                <w:color w:val="000000"/>
                <w:kern w:val="0"/>
                <w:sz w:val="22"/>
                <w:u w:val="single"/>
              </w:rPr>
              <w:t>采购合同编号：</w:t>
            </w:r>
            <w:r>
              <w:rPr>
                <w:rFonts w:hint="eastAsia" w:ascii="Times New Roman" w:hAnsi="Times New Roman" w:eastAsia="仿宋_GB2312" w:cs="Times New Roman"/>
                <w:color w:val="000000"/>
                <w:kern w:val="0"/>
                <w:sz w:val="22"/>
                <w:u w:val="single"/>
              </w:rPr>
              <w:t>HT</w:t>
            </w:r>
            <w:r>
              <w:rPr>
                <w:rFonts w:hint="eastAsia" w:ascii="Times New Roman" w:hAnsi="Times New Roman" w:eastAsia="仿宋_GB2312" w:cs="Times New Roman"/>
                <w:color w:val="000000"/>
                <w:kern w:val="0"/>
                <w:sz w:val="22"/>
                <w:u w:val="single"/>
                <w:lang w:val="en-US" w:eastAsia="zh-CN"/>
              </w:rPr>
              <w:t xml:space="preserve">        </w:t>
            </w:r>
            <w:r>
              <w:rPr>
                <w:rFonts w:ascii="Times New Roman" w:hAnsi="Times New Roman" w:eastAsia="仿宋_GB2312" w:cs="Times New Roman"/>
                <w:color w:val="000000"/>
                <w:kern w:val="0"/>
                <w:sz w:val="22"/>
              </w:rPr>
              <w:t>）的约定，我单位对（</w:t>
            </w:r>
            <w:r>
              <w:rPr>
                <w:rFonts w:ascii="Times New Roman" w:hAnsi="Times New Roman" w:eastAsia="仿宋_GB2312" w:cs="Times New Roman"/>
                <w:color w:val="000000"/>
                <w:kern w:val="0"/>
                <w:sz w:val="22"/>
                <w:u w:val="single"/>
              </w:rPr>
              <w:t xml:space="preserve">   </w:t>
            </w:r>
            <w:r>
              <w:rPr>
                <w:rFonts w:hint="eastAsia" w:ascii="Times New Roman" w:hAnsi="Times New Roman" w:eastAsia="仿宋_GB2312" w:cs="Times New Roman"/>
                <w:color w:val="000000"/>
                <w:kern w:val="0"/>
                <w:sz w:val="22"/>
                <w:u w:val="single"/>
                <w:lang w:val="en-US" w:eastAsia="zh-CN"/>
              </w:rPr>
              <w:t xml:space="preserve">             </w:t>
            </w:r>
            <w:r>
              <w:rPr>
                <w:rFonts w:ascii="Times New Roman" w:hAnsi="Times New Roman" w:eastAsia="仿宋_GB2312" w:cs="Times New Roman"/>
                <w:color w:val="000000"/>
                <w:kern w:val="0"/>
                <w:sz w:val="22"/>
                <w:u w:val="single"/>
              </w:rPr>
              <w:t xml:space="preserve"> </w:t>
            </w:r>
            <w:r>
              <w:rPr>
                <w:rFonts w:ascii="Times New Roman" w:hAnsi="Times New Roman" w:eastAsia="仿宋_GB2312" w:cs="Times New Roman"/>
                <w:color w:val="000000"/>
                <w:kern w:val="0"/>
                <w:sz w:val="22"/>
              </w:rPr>
              <w:t>）采购项目中标（或成交）供应商（</w:t>
            </w:r>
            <w:r>
              <w:rPr>
                <w:rFonts w:hint="eastAsia" w:ascii="Times New Roman" w:hAnsi="Times New Roman" w:eastAsia="仿宋_GB2312" w:cs="Times New Roman"/>
                <w:color w:val="000000"/>
                <w:kern w:val="0"/>
                <w:sz w:val="22"/>
                <w:lang w:val="en-US" w:eastAsia="zh-CN"/>
              </w:rPr>
              <w:t xml:space="preserve">                 </w:t>
            </w:r>
            <w:r>
              <w:rPr>
                <w:rFonts w:ascii="Times New Roman" w:hAnsi="Times New Roman" w:eastAsia="仿宋_GB2312" w:cs="Times New Roman"/>
                <w:color w:val="000000"/>
                <w:kern w:val="0"/>
                <w:sz w:val="22"/>
              </w:rPr>
              <w:t>）提供的货物（或服务）进行了验收，验收情况如下：</w:t>
            </w:r>
          </w:p>
        </w:tc>
      </w:tr>
      <w:tr w14:paraId="24D7748E">
        <w:tblPrEx>
          <w:tblCellMar>
            <w:top w:w="0" w:type="dxa"/>
            <w:left w:w="108" w:type="dxa"/>
            <w:bottom w:w="0" w:type="dxa"/>
            <w:right w:w="108" w:type="dxa"/>
          </w:tblCellMar>
        </w:tblPrEx>
        <w:trPr>
          <w:gridAfter w:val="1"/>
          <w:wAfter w:w="222" w:type="dxa"/>
          <w:trHeight w:val="813"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5EF523F8">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申购单位</w:t>
            </w:r>
          </w:p>
        </w:tc>
        <w:tc>
          <w:tcPr>
            <w:tcW w:w="3734" w:type="dxa"/>
            <w:gridSpan w:val="2"/>
            <w:tcBorders>
              <w:top w:val="single" w:color="auto" w:sz="8" w:space="0"/>
              <w:left w:val="nil"/>
              <w:bottom w:val="single" w:color="auto" w:sz="8" w:space="0"/>
              <w:right w:val="single" w:color="000000" w:sz="8" w:space="0"/>
            </w:tcBorders>
            <w:shd w:val="clear" w:color="auto" w:fill="auto"/>
            <w:vAlign w:val="center"/>
          </w:tcPr>
          <w:p w14:paraId="7D71D66E">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133C2509">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行政实验室</w:t>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t>（科室）</w:t>
            </w:r>
          </w:p>
        </w:tc>
        <w:tc>
          <w:tcPr>
            <w:tcW w:w="2908" w:type="dxa"/>
            <w:gridSpan w:val="4"/>
            <w:tcBorders>
              <w:top w:val="single" w:color="auto" w:sz="8" w:space="0"/>
              <w:left w:val="nil"/>
              <w:bottom w:val="single" w:color="auto" w:sz="8" w:space="0"/>
              <w:right w:val="single" w:color="000000" w:sz="8" w:space="0"/>
            </w:tcBorders>
            <w:shd w:val="clear" w:color="auto" w:fill="auto"/>
            <w:vAlign w:val="center"/>
          </w:tcPr>
          <w:p w14:paraId="0565937A">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r>
      <w:tr w14:paraId="5F5BC9CA">
        <w:tblPrEx>
          <w:tblCellMar>
            <w:top w:w="0" w:type="dxa"/>
            <w:left w:w="108" w:type="dxa"/>
            <w:bottom w:w="0" w:type="dxa"/>
            <w:right w:w="108" w:type="dxa"/>
          </w:tblCellMar>
        </w:tblPrEx>
        <w:trPr>
          <w:gridAfter w:val="1"/>
          <w:wAfter w:w="222" w:type="dxa"/>
          <w:trHeight w:val="598" w:hRule="atLeast"/>
        </w:trPr>
        <w:tc>
          <w:tcPr>
            <w:tcW w:w="5194" w:type="dxa"/>
            <w:gridSpan w:val="4"/>
            <w:tcBorders>
              <w:top w:val="single" w:color="auto" w:sz="8" w:space="0"/>
              <w:left w:val="single" w:color="auto" w:sz="8" w:space="0"/>
              <w:bottom w:val="nil"/>
              <w:right w:val="nil"/>
            </w:tcBorders>
            <w:shd w:val="clear" w:color="auto" w:fill="auto"/>
            <w:vAlign w:val="center"/>
          </w:tcPr>
          <w:p w14:paraId="789F3F21">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项目负责人（签名）:</w:t>
            </w:r>
          </w:p>
        </w:tc>
        <w:tc>
          <w:tcPr>
            <w:tcW w:w="4300" w:type="dxa"/>
            <w:gridSpan w:val="5"/>
            <w:tcBorders>
              <w:top w:val="single" w:color="auto" w:sz="8" w:space="0"/>
              <w:left w:val="single" w:color="auto" w:sz="8" w:space="0"/>
              <w:bottom w:val="nil"/>
              <w:right w:val="single" w:color="000000" w:sz="8" w:space="0"/>
            </w:tcBorders>
            <w:shd w:val="clear" w:color="auto" w:fill="auto"/>
            <w:vAlign w:val="center"/>
          </w:tcPr>
          <w:p w14:paraId="1045C323">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设备管理人（签名）:</w:t>
            </w:r>
          </w:p>
        </w:tc>
      </w:tr>
      <w:tr w14:paraId="21EBF32E">
        <w:tblPrEx>
          <w:tblCellMar>
            <w:top w:w="0" w:type="dxa"/>
            <w:left w:w="108" w:type="dxa"/>
            <w:bottom w:w="0" w:type="dxa"/>
            <w:right w:w="108" w:type="dxa"/>
          </w:tblCellMar>
        </w:tblPrEx>
        <w:trPr>
          <w:gridAfter w:val="1"/>
          <w:wAfter w:w="222" w:type="dxa"/>
          <w:trHeight w:val="579" w:hRule="atLeast"/>
        </w:trPr>
        <w:tc>
          <w:tcPr>
            <w:tcW w:w="5194" w:type="dxa"/>
            <w:gridSpan w:val="4"/>
            <w:tcBorders>
              <w:top w:val="nil"/>
              <w:left w:val="single" w:color="auto" w:sz="8" w:space="0"/>
              <w:bottom w:val="single" w:color="auto" w:sz="8" w:space="0"/>
              <w:right w:val="nil"/>
            </w:tcBorders>
            <w:shd w:val="clear" w:color="auto" w:fill="auto"/>
            <w:vAlign w:val="center"/>
          </w:tcPr>
          <w:p w14:paraId="5F592D70">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xml:space="preserve">联系电话：                       </w:t>
            </w:r>
          </w:p>
        </w:tc>
        <w:tc>
          <w:tcPr>
            <w:tcW w:w="4300" w:type="dxa"/>
            <w:gridSpan w:val="5"/>
            <w:tcBorders>
              <w:top w:val="nil"/>
              <w:left w:val="single" w:color="auto" w:sz="8" w:space="0"/>
              <w:bottom w:val="single" w:color="auto" w:sz="8" w:space="0"/>
              <w:right w:val="single" w:color="000000" w:sz="8" w:space="0"/>
            </w:tcBorders>
            <w:shd w:val="clear" w:color="auto" w:fill="auto"/>
            <w:vAlign w:val="center"/>
          </w:tcPr>
          <w:p w14:paraId="7B310078">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xml:space="preserve">联系电话：                      </w:t>
            </w:r>
          </w:p>
        </w:tc>
      </w:tr>
      <w:tr w14:paraId="7A5C7F6A">
        <w:tblPrEx>
          <w:tblCellMar>
            <w:top w:w="0" w:type="dxa"/>
            <w:left w:w="108" w:type="dxa"/>
            <w:bottom w:w="0" w:type="dxa"/>
            <w:right w:w="108" w:type="dxa"/>
          </w:tblCellMar>
        </w:tblPrEx>
        <w:trPr>
          <w:gridAfter w:val="1"/>
          <w:wAfter w:w="222" w:type="dxa"/>
          <w:trHeight w:val="598" w:hRule="atLeast"/>
        </w:trPr>
        <w:tc>
          <w:tcPr>
            <w:tcW w:w="3299" w:type="dxa"/>
            <w:gridSpan w:val="3"/>
            <w:tcBorders>
              <w:top w:val="nil"/>
              <w:left w:val="single" w:color="auto" w:sz="8" w:space="0"/>
              <w:bottom w:val="single" w:color="auto" w:sz="8" w:space="0"/>
              <w:right w:val="single" w:color="000000" w:sz="8" w:space="0"/>
            </w:tcBorders>
            <w:shd w:val="clear" w:color="auto" w:fill="auto"/>
            <w:vAlign w:val="center"/>
          </w:tcPr>
          <w:p w14:paraId="73DD01A7">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验收方式：</w:t>
            </w:r>
          </w:p>
        </w:tc>
        <w:tc>
          <w:tcPr>
            <w:tcW w:w="6195" w:type="dxa"/>
            <w:gridSpan w:val="6"/>
            <w:tcBorders>
              <w:top w:val="nil"/>
              <w:left w:val="nil"/>
              <w:bottom w:val="single" w:color="auto" w:sz="8" w:space="0"/>
              <w:right w:val="single" w:color="000000" w:sz="8" w:space="0"/>
            </w:tcBorders>
            <w:shd w:val="clear" w:color="auto" w:fill="auto"/>
            <w:vAlign w:val="center"/>
          </w:tcPr>
          <w:p w14:paraId="00954AA0">
            <w:pPr>
              <w:widowControl/>
              <w:jc w:val="center"/>
              <w:rPr>
                <w:rFonts w:ascii="Times New Roman" w:hAnsi="Times New Roman" w:eastAsia="仿宋_GB2312" w:cs="Times New Roman"/>
                <w:color w:val="000000"/>
                <w:kern w:val="0"/>
                <w:sz w:val="22"/>
              </w:rPr>
            </w:pPr>
            <w:r>
              <w:rPr>
                <w:rFonts w:ascii="Segoe UI Symbol" w:hAnsi="Segoe UI Symbol" w:eastAsia="仿宋_GB2312" w:cs="Segoe UI Symbol"/>
                <w:color w:val="000000"/>
                <w:kern w:val="0"/>
                <w:sz w:val="22"/>
              </w:rPr>
              <w:t>☑</w:t>
            </w:r>
            <w:r>
              <w:rPr>
                <w:rFonts w:ascii="Times New Roman" w:hAnsi="Times New Roman" w:eastAsia="仿宋_GB2312" w:cs="Times New Roman"/>
                <w:color w:val="000000"/>
                <w:kern w:val="0"/>
                <w:sz w:val="22"/>
              </w:rPr>
              <w:t>自行验收         □委托验收</w:t>
            </w:r>
          </w:p>
        </w:tc>
      </w:tr>
      <w:tr w14:paraId="49CB9BBF">
        <w:tblPrEx>
          <w:tblCellMar>
            <w:top w:w="0" w:type="dxa"/>
            <w:left w:w="108" w:type="dxa"/>
            <w:bottom w:w="0" w:type="dxa"/>
            <w:right w:w="108" w:type="dxa"/>
          </w:tblCellMar>
        </w:tblPrEx>
        <w:trPr>
          <w:gridAfter w:val="1"/>
          <w:wAfter w:w="222" w:type="dxa"/>
          <w:trHeight w:val="633" w:hRule="atLeast"/>
        </w:trPr>
        <w:tc>
          <w:tcPr>
            <w:tcW w:w="1012" w:type="dxa"/>
            <w:tcBorders>
              <w:top w:val="nil"/>
              <w:left w:val="single" w:color="auto" w:sz="8" w:space="0"/>
              <w:bottom w:val="single" w:color="auto" w:sz="8" w:space="0"/>
              <w:right w:val="single" w:color="auto" w:sz="8" w:space="0"/>
            </w:tcBorders>
            <w:shd w:val="clear" w:color="auto" w:fill="auto"/>
            <w:vAlign w:val="center"/>
          </w:tcPr>
          <w:p w14:paraId="4990F48D">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序号</w:t>
            </w:r>
          </w:p>
        </w:tc>
        <w:tc>
          <w:tcPr>
            <w:tcW w:w="2287" w:type="dxa"/>
            <w:gridSpan w:val="2"/>
            <w:tcBorders>
              <w:top w:val="nil"/>
              <w:left w:val="nil"/>
              <w:bottom w:val="single" w:color="auto" w:sz="8" w:space="0"/>
              <w:right w:val="single" w:color="auto" w:sz="8" w:space="0"/>
            </w:tcBorders>
            <w:shd w:val="clear" w:color="auto" w:fill="auto"/>
            <w:vAlign w:val="center"/>
          </w:tcPr>
          <w:p w14:paraId="5902B1F1">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名  称</w:t>
            </w:r>
          </w:p>
        </w:tc>
        <w:tc>
          <w:tcPr>
            <w:tcW w:w="3287" w:type="dxa"/>
            <w:gridSpan w:val="2"/>
            <w:tcBorders>
              <w:top w:val="single" w:color="auto" w:sz="8" w:space="0"/>
              <w:left w:val="nil"/>
              <w:bottom w:val="single" w:color="auto" w:sz="8" w:space="0"/>
              <w:right w:val="single" w:color="000000" w:sz="8" w:space="0"/>
            </w:tcBorders>
            <w:shd w:val="clear" w:color="auto" w:fill="auto"/>
            <w:vAlign w:val="center"/>
          </w:tcPr>
          <w:p w14:paraId="577159E5">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货物型号规格、标准及配置等</w:t>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t>（或服务内容、标准）</w:t>
            </w:r>
          </w:p>
        </w:tc>
        <w:tc>
          <w:tcPr>
            <w:tcW w:w="856" w:type="dxa"/>
            <w:gridSpan w:val="2"/>
            <w:tcBorders>
              <w:top w:val="single" w:color="auto" w:sz="8" w:space="0"/>
              <w:left w:val="nil"/>
              <w:bottom w:val="single" w:color="auto" w:sz="8" w:space="0"/>
              <w:right w:val="single" w:color="000000" w:sz="8" w:space="0"/>
            </w:tcBorders>
            <w:shd w:val="clear" w:color="auto" w:fill="auto"/>
            <w:vAlign w:val="center"/>
          </w:tcPr>
          <w:p w14:paraId="32927CE2">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数量</w:t>
            </w:r>
          </w:p>
        </w:tc>
        <w:tc>
          <w:tcPr>
            <w:tcW w:w="2052" w:type="dxa"/>
            <w:gridSpan w:val="2"/>
            <w:tcBorders>
              <w:top w:val="single" w:color="auto" w:sz="8" w:space="0"/>
              <w:left w:val="nil"/>
              <w:bottom w:val="single" w:color="auto" w:sz="8" w:space="0"/>
              <w:right w:val="single" w:color="000000" w:sz="8" w:space="0"/>
            </w:tcBorders>
            <w:shd w:val="clear" w:color="auto" w:fill="auto"/>
            <w:vAlign w:val="center"/>
          </w:tcPr>
          <w:p w14:paraId="38CDCA03">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金  额</w:t>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t>（万元）</w:t>
            </w:r>
          </w:p>
        </w:tc>
      </w:tr>
      <w:tr w14:paraId="53C135D1">
        <w:tblPrEx>
          <w:tblCellMar>
            <w:top w:w="0" w:type="dxa"/>
            <w:left w:w="108" w:type="dxa"/>
            <w:bottom w:w="0" w:type="dxa"/>
            <w:right w:w="108" w:type="dxa"/>
          </w:tblCellMar>
        </w:tblPrEx>
        <w:trPr>
          <w:gridAfter w:val="1"/>
          <w:wAfter w:w="222" w:type="dxa"/>
          <w:trHeight w:val="598" w:hRule="atLeast"/>
        </w:trPr>
        <w:tc>
          <w:tcPr>
            <w:tcW w:w="1012" w:type="dxa"/>
            <w:tcBorders>
              <w:top w:val="nil"/>
              <w:left w:val="single" w:color="auto" w:sz="8" w:space="0"/>
              <w:bottom w:val="single" w:color="auto" w:sz="8" w:space="0"/>
              <w:right w:val="single" w:color="auto" w:sz="8" w:space="0"/>
            </w:tcBorders>
            <w:shd w:val="clear" w:color="auto" w:fill="auto"/>
            <w:vAlign w:val="center"/>
          </w:tcPr>
          <w:p w14:paraId="2322D33E">
            <w:pPr>
              <w:widowControl/>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r>
              <w:rPr>
                <w:rFonts w:hint="eastAsia" w:ascii="Times New Roman" w:hAnsi="Times New Roman" w:eastAsia="仿宋_GB2312" w:cs="Times New Roman"/>
                <w:color w:val="000000"/>
                <w:kern w:val="0"/>
                <w:sz w:val="22"/>
              </w:rPr>
              <w:t>1</w:t>
            </w:r>
          </w:p>
        </w:tc>
        <w:tc>
          <w:tcPr>
            <w:tcW w:w="2287" w:type="dxa"/>
            <w:gridSpan w:val="2"/>
            <w:tcBorders>
              <w:top w:val="nil"/>
              <w:left w:val="nil"/>
              <w:bottom w:val="single" w:color="auto" w:sz="8" w:space="0"/>
              <w:right w:val="single" w:color="auto" w:sz="8" w:space="0"/>
            </w:tcBorders>
            <w:shd w:val="clear" w:color="auto" w:fill="auto"/>
            <w:vAlign w:val="center"/>
          </w:tcPr>
          <w:p w14:paraId="0A0EB7BC">
            <w:pPr>
              <w:widowControl/>
              <w:jc w:val="left"/>
              <w:rPr>
                <w:rFonts w:ascii="Times New Roman" w:hAnsi="Times New Roman" w:eastAsia="仿宋_GB2312" w:cs="Times New Roman"/>
                <w:color w:val="000000"/>
                <w:kern w:val="0"/>
                <w:sz w:val="22"/>
              </w:rPr>
            </w:pPr>
          </w:p>
        </w:tc>
        <w:tc>
          <w:tcPr>
            <w:tcW w:w="3287" w:type="dxa"/>
            <w:gridSpan w:val="2"/>
            <w:tcBorders>
              <w:top w:val="single" w:color="auto" w:sz="8" w:space="0"/>
              <w:left w:val="nil"/>
              <w:bottom w:val="single" w:color="auto" w:sz="8" w:space="0"/>
              <w:right w:val="single" w:color="000000" w:sz="8" w:space="0"/>
            </w:tcBorders>
            <w:shd w:val="clear" w:color="auto" w:fill="auto"/>
            <w:vAlign w:val="center"/>
          </w:tcPr>
          <w:p w14:paraId="71AB6256">
            <w:pPr>
              <w:widowControl/>
              <w:jc w:val="left"/>
              <w:rPr>
                <w:rFonts w:ascii="Times New Roman" w:hAnsi="Times New Roman" w:eastAsia="仿宋_GB2312" w:cs="Times New Roman"/>
                <w:color w:val="000000"/>
                <w:kern w:val="0"/>
                <w:sz w:val="22"/>
              </w:rPr>
            </w:pPr>
          </w:p>
        </w:tc>
        <w:tc>
          <w:tcPr>
            <w:tcW w:w="856" w:type="dxa"/>
            <w:gridSpan w:val="2"/>
            <w:tcBorders>
              <w:top w:val="single" w:color="auto" w:sz="8" w:space="0"/>
              <w:left w:val="nil"/>
              <w:bottom w:val="single" w:color="auto" w:sz="8" w:space="0"/>
              <w:right w:val="single" w:color="000000" w:sz="8" w:space="0"/>
            </w:tcBorders>
            <w:shd w:val="clear" w:color="auto" w:fill="auto"/>
            <w:vAlign w:val="center"/>
          </w:tcPr>
          <w:p w14:paraId="56E8828A">
            <w:pPr>
              <w:widowControl/>
              <w:ind w:firstLine="440" w:firstLineChars="200"/>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052" w:type="dxa"/>
            <w:gridSpan w:val="2"/>
            <w:tcBorders>
              <w:top w:val="single" w:color="auto" w:sz="8" w:space="0"/>
              <w:left w:val="nil"/>
              <w:bottom w:val="single" w:color="auto" w:sz="8" w:space="0"/>
              <w:right w:val="single" w:color="000000" w:sz="8" w:space="0"/>
            </w:tcBorders>
            <w:shd w:val="clear" w:color="auto" w:fill="auto"/>
            <w:vAlign w:val="center"/>
          </w:tcPr>
          <w:p w14:paraId="30E4C75E">
            <w:pPr>
              <w:widowControl/>
              <w:jc w:val="center"/>
              <w:rPr>
                <w:rFonts w:ascii="Times New Roman" w:hAnsi="Times New Roman" w:eastAsia="仿宋_GB2312" w:cs="Times New Roman"/>
                <w:color w:val="000000"/>
                <w:kern w:val="0"/>
                <w:sz w:val="22"/>
              </w:rPr>
            </w:pPr>
          </w:p>
        </w:tc>
      </w:tr>
      <w:tr w14:paraId="4FEA722A">
        <w:tblPrEx>
          <w:tblCellMar>
            <w:top w:w="0" w:type="dxa"/>
            <w:left w:w="108" w:type="dxa"/>
            <w:bottom w:w="0" w:type="dxa"/>
            <w:right w:w="108" w:type="dxa"/>
          </w:tblCellMar>
        </w:tblPrEx>
        <w:trPr>
          <w:gridAfter w:val="1"/>
          <w:wAfter w:w="222" w:type="dxa"/>
          <w:trHeight w:val="598" w:hRule="atLeast"/>
        </w:trPr>
        <w:tc>
          <w:tcPr>
            <w:tcW w:w="7442" w:type="dxa"/>
            <w:gridSpan w:val="7"/>
            <w:tcBorders>
              <w:top w:val="single" w:color="auto" w:sz="8" w:space="0"/>
              <w:left w:val="single" w:color="auto" w:sz="8" w:space="0"/>
              <w:bottom w:val="single" w:color="auto" w:sz="8" w:space="0"/>
              <w:right w:val="single" w:color="000000" w:sz="8" w:space="0"/>
            </w:tcBorders>
            <w:shd w:val="clear" w:color="auto" w:fill="auto"/>
            <w:vAlign w:val="center"/>
          </w:tcPr>
          <w:p w14:paraId="4811F93C">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合计</w:t>
            </w:r>
          </w:p>
        </w:tc>
        <w:tc>
          <w:tcPr>
            <w:tcW w:w="2052" w:type="dxa"/>
            <w:gridSpan w:val="2"/>
            <w:tcBorders>
              <w:top w:val="single" w:color="auto" w:sz="8" w:space="0"/>
              <w:left w:val="nil"/>
              <w:bottom w:val="single" w:color="auto" w:sz="8" w:space="0"/>
              <w:right w:val="single" w:color="000000" w:sz="8" w:space="0"/>
            </w:tcBorders>
            <w:shd w:val="clear" w:color="auto" w:fill="auto"/>
            <w:vAlign w:val="center"/>
          </w:tcPr>
          <w:p w14:paraId="74933F25">
            <w:pPr>
              <w:widowControl/>
              <w:jc w:val="center"/>
              <w:rPr>
                <w:rFonts w:ascii="Times New Roman" w:hAnsi="Times New Roman" w:eastAsia="仿宋_GB2312" w:cs="Times New Roman"/>
                <w:color w:val="000000"/>
                <w:kern w:val="0"/>
                <w:sz w:val="22"/>
              </w:rPr>
            </w:pPr>
          </w:p>
        </w:tc>
      </w:tr>
      <w:tr w14:paraId="2DA36E07">
        <w:tblPrEx>
          <w:tblCellMar>
            <w:top w:w="0" w:type="dxa"/>
            <w:left w:w="108" w:type="dxa"/>
            <w:bottom w:w="0" w:type="dxa"/>
            <w:right w:w="108" w:type="dxa"/>
          </w:tblCellMar>
        </w:tblPrEx>
        <w:trPr>
          <w:gridAfter w:val="1"/>
          <w:wAfter w:w="222" w:type="dxa"/>
          <w:trHeight w:val="598" w:hRule="atLeast"/>
        </w:trPr>
        <w:tc>
          <w:tcPr>
            <w:tcW w:w="9494" w:type="dxa"/>
            <w:gridSpan w:val="9"/>
            <w:tcBorders>
              <w:top w:val="single" w:color="auto" w:sz="8" w:space="0"/>
              <w:left w:val="single" w:color="auto" w:sz="8" w:space="0"/>
              <w:bottom w:val="single" w:color="auto" w:sz="8" w:space="0"/>
              <w:right w:val="single" w:color="000000" w:sz="8" w:space="0"/>
            </w:tcBorders>
            <w:shd w:val="clear" w:color="auto" w:fill="auto"/>
            <w:vAlign w:val="center"/>
          </w:tcPr>
          <w:p w14:paraId="702A9BAF">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合计大写：</w:t>
            </w:r>
          </w:p>
        </w:tc>
      </w:tr>
      <w:tr w14:paraId="27A8EE28">
        <w:tblPrEx>
          <w:tblCellMar>
            <w:top w:w="0" w:type="dxa"/>
            <w:left w:w="108" w:type="dxa"/>
            <w:bottom w:w="0" w:type="dxa"/>
            <w:right w:w="108" w:type="dxa"/>
          </w:tblCellMar>
        </w:tblPrEx>
        <w:trPr>
          <w:gridAfter w:val="1"/>
          <w:wAfter w:w="222" w:type="dxa"/>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71C0DA48">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实际供货日期</w:t>
            </w:r>
          </w:p>
        </w:tc>
        <w:tc>
          <w:tcPr>
            <w:tcW w:w="3734" w:type="dxa"/>
            <w:gridSpan w:val="2"/>
            <w:tcBorders>
              <w:top w:val="single" w:color="auto" w:sz="8" w:space="0"/>
              <w:left w:val="nil"/>
              <w:bottom w:val="single" w:color="auto" w:sz="8" w:space="0"/>
              <w:right w:val="single" w:color="000000" w:sz="8" w:space="0"/>
            </w:tcBorders>
            <w:shd w:val="clear" w:color="auto" w:fill="auto"/>
            <w:vAlign w:val="center"/>
          </w:tcPr>
          <w:p w14:paraId="0E82F0E6">
            <w:pPr>
              <w:widowControl/>
              <w:ind w:firstLine="440" w:firstLineChars="200"/>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677" w:type="dxa"/>
            <w:gridSpan w:val="2"/>
            <w:tcBorders>
              <w:top w:val="single" w:color="auto" w:sz="8" w:space="0"/>
              <w:left w:val="nil"/>
              <w:bottom w:val="single" w:color="auto" w:sz="8" w:space="0"/>
              <w:right w:val="single" w:color="000000" w:sz="8" w:space="0"/>
            </w:tcBorders>
            <w:shd w:val="clear" w:color="auto" w:fill="auto"/>
            <w:vAlign w:val="center"/>
          </w:tcPr>
          <w:p w14:paraId="50605B08">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验收日期</w:t>
            </w:r>
          </w:p>
        </w:tc>
        <w:tc>
          <w:tcPr>
            <w:tcW w:w="2623" w:type="dxa"/>
            <w:gridSpan w:val="3"/>
            <w:tcBorders>
              <w:top w:val="single" w:color="auto" w:sz="8" w:space="0"/>
              <w:left w:val="nil"/>
              <w:bottom w:val="single" w:color="auto" w:sz="8" w:space="0"/>
              <w:right w:val="single" w:color="000000" w:sz="8" w:space="0"/>
            </w:tcBorders>
            <w:shd w:val="clear" w:color="auto" w:fill="auto"/>
            <w:vAlign w:val="center"/>
          </w:tcPr>
          <w:p w14:paraId="1B911395">
            <w:pPr>
              <w:widowControl/>
              <w:ind w:firstLine="440" w:firstLineChars="200"/>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r>
      <w:tr w14:paraId="7A5A6C06">
        <w:tblPrEx>
          <w:tblCellMar>
            <w:top w:w="0" w:type="dxa"/>
            <w:left w:w="108" w:type="dxa"/>
            <w:bottom w:w="0" w:type="dxa"/>
            <w:right w:w="108" w:type="dxa"/>
          </w:tblCellMar>
        </w:tblPrEx>
        <w:trPr>
          <w:gridAfter w:val="1"/>
          <w:wAfter w:w="222" w:type="dxa"/>
          <w:trHeight w:val="1013" w:hRule="atLeast"/>
        </w:trPr>
        <w:tc>
          <w:tcPr>
            <w:tcW w:w="1460" w:type="dxa"/>
            <w:gridSpan w:val="2"/>
            <w:vMerge w:val="restart"/>
            <w:tcBorders>
              <w:top w:val="nil"/>
              <w:left w:val="single" w:color="auto" w:sz="8" w:space="0"/>
              <w:bottom w:val="single" w:color="000000" w:sz="8" w:space="0"/>
              <w:right w:val="single" w:color="auto" w:sz="8" w:space="0"/>
            </w:tcBorders>
            <w:shd w:val="clear" w:color="auto" w:fill="auto"/>
            <w:vAlign w:val="center"/>
          </w:tcPr>
          <w:p w14:paraId="16C542C2">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验收具体内容（按采购合同、采购文件、投标响应文件及验收方案等进行验收）</w:t>
            </w:r>
          </w:p>
        </w:tc>
        <w:tc>
          <w:tcPr>
            <w:tcW w:w="5411" w:type="dxa"/>
            <w:gridSpan w:val="4"/>
            <w:tcBorders>
              <w:top w:val="single" w:color="auto" w:sz="8" w:space="0"/>
              <w:left w:val="nil"/>
              <w:bottom w:val="single" w:color="auto" w:sz="8" w:space="0"/>
              <w:right w:val="single" w:color="000000" w:sz="8" w:space="0"/>
            </w:tcBorders>
            <w:shd w:val="clear" w:color="auto" w:fill="auto"/>
            <w:vAlign w:val="center"/>
          </w:tcPr>
          <w:p w14:paraId="289ED83B">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在安装调试等方面是否符合合同约定和服务规范要求</w:t>
            </w:r>
          </w:p>
        </w:tc>
        <w:tc>
          <w:tcPr>
            <w:tcW w:w="2623" w:type="dxa"/>
            <w:gridSpan w:val="3"/>
            <w:tcBorders>
              <w:top w:val="single" w:color="auto" w:sz="8" w:space="0"/>
              <w:left w:val="nil"/>
              <w:bottom w:val="single" w:color="auto" w:sz="8" w:space="0"/>
              <w:right w:val="single" w:color="000000" w:sz="8" w:space="0"/>
            </w:tcBorders>
            <w:shd w:val="clear" w:color="auto" w:fill="auto"/>
            <w:vAlign w:val="center"/>
          </w:tcPr>
          <w:p w14:paraId="70DA1B69">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r>
      <w:tr w14:paraId="00E6D316">
        <w:tblPrEx>
          <w:tblCellMar>
            <w:top w:w="0" w:type="dxa"/>
            <w:left w:w="108" w:type="dxa"/>
            <w:bottom w:w="0" w:type="dxa"/>
            <w:right w:w="108" w:type="dxa"/>
          </w:tblCellMar>
        </w:tblPrEx>
        <w:trPr>
          <w:gridAfter w:val="1"/>
          <w:wAfter w:w="222" w:type="dxa"/>
          <w:trHeight w:val="966" w:hRule="atLeast"/>
        </w:trPr>
        <w:tc>
          <w:tcPr>
            <w:tcW w:w="1460" w:type="dxa"/>
            <w:gridSpan w:val="2"/>
            <w:vMerge w:val="continue"/>
            <w:tcBorders>
              <w:top w:val="nil"/>
              <w:left w:val="single" w:color="auto" w:sz="8" w:space="0"/>
              <w:bottom w:val="single" w:color="000000" w:sz="8" w:space="0"/>
              <w:right w:val="single" w:color="auto" w:sz="8" w:space="0"/>
            </w:tcBorders>
            <w:vAlign w:val="center"/>
          </w:tcPr>
          <w:p w14:paraId="79EF1D22">
            <w:pPr>
              <w:widowControl/>
              <w:jc w:val="left"/>
              <w:rPr>
                <w:rFonts w:ascii="Times New Roman" w:hAnsi="Times New Roman" w:eastAsia="仿宋_GB2312" w:cs="Times New Roman"/>
                <w:color w:val="000000"/>
                <w:kern w:val="0"/>
                <w:sz w:val="22"/>
              </w:rPr>
            </w:pPr>
          </w:p>
        </w:tc>
        <w:tc>
          <w:tcPr>
            <w:tcW w:w="5411" w:type="dxa"/>
            <w:gridSpan w:val="4"/>
            <w:tcBorders>
              <w:top w:val="single" w:color="auto" w:sz="8" w:space="0"/>
              <w:left w:val="nil"/>
              <w:bottom w:val="single" w:color="auto" w:sz="8" w:space="0"/>
              <w:right w:val="single" w:color="000000" w:sz="8" w:space="0"/>
            </w:tcBorders>
            <w:shd w:val="clear" w:color="auto" w:fill="auto"/>
            <w:vAlign w:val="center"/>
          </w:tcPr>
          <w:p w14:paraId="653DA466">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提供的质量保证证明材料是否齐全</w:t>
            </w:r>
          </w:p>
        </w:tc>
        <w:tc>
          <w:tcPr>
            <w:tcW w:w="2623" w:type="dxa"/>
            <w:gridSpan w:val="3"/>
            <w:tcBorders>
              <w:top w:val="single" w:color="auto" w:sz="8" w:space="0"/>
              <w:left w:val="nil"/>
              <w:bottom w:val="single" w:color="auto" w:sz="8" w:space="0"/>
              <w:right w:val="single" w:color="000000" w:sz="8" w:space="0"/>
            </w:tcBorders>
            <w:shd w:val="clear" w:color="auto" w:fill="auto"/>
            <w:vAlign w:val="center"/>
          </w:tcPr>
          <w:p w14:paraId="08D8D16C">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r>
      <w:tr w14:paraId="48153413">
        <w:tblPrEx>
          <w:tblCellMar>
            <w:top w:w="0" w:type="dxa"/>
            <w:left w:w="108" w:type="dxa"/>
            <w:bottom w:w="0" w:type="dxa"/>
            <w:right w:w="108" w:type="dxa"/>
          </w:tblCellMar>
        </w:tblPrEx>
        <w:trPr>
          <w:gridAfter w:val="1"/>
          <w:wAfter w:w="222" w:type="dxa"/>
          <w:trHeight w:val="953" w:hRule="atLeast"/>
        </w:trPr>
        <w:tc>
          <w:tcPr>
            <w:tcW w:w="1460" w:type="dxa"/>
            <w:gridSpan w:val="2"/>
            <w:vMerge w:val="continue"/>
            <w:tcBorders>
              <w:top w:val="nil"/>
              <w:left w:val="single" w:color="auto" w:sz="8" w:space="0"/>
              <w:bottom w:val="single" w:color="000000" w:sz="8" w:space="0"/>
              <w:right w:val="single" w:color="auto" w:sz="8" w:space="0"/>
            </w:tcBorders>
            <w:vAlign w:val="center"/>
          </w:tcPr>
          <w:p w14:paraId="323CA4F8">
            <w:pPr>
              <w:widowControl/>
              <w:jc w:val="left"/>
              <w:rPr>
                <w:rFonts w:ascii="Times New Roman" w:hAnsi="Times New Roman" w:eastAsia="仿宋_GB2312" w:cs="Times New Roman"/>
                <w:color w:val="000000"/>
                <w:kern w:val="0"/>
                <w:sz w:val="22"/>
              </w:rPr>
            </w:pPr>
          </w:p>
        </w:tc>
        <w:tc>
          <w:tcPr>
            <w:tcW w:w="5411" w:type="dxa"/>
            <w:gridSpan w:val="4"/>
            <w:tcBorders>
              <w:top w:val="single" w:color="auto" w:sz="8" w:space="0"/>
              <w:left w:val="nil"/>
              <w:bottom w:val="single" w:color="auto" w:sz="8" w:space="0"/>
              <w:right w:val="single" w:color="000000" w:sz="8" w:space="0"/>
            </w:tcBorders>
            <w:shd w:val="clear" w:color="auto" w:fill="auto"/>
            <w:vAlign w:val="center"/>
          </w:tcPr>
          <w:p w14:paraId="5B919DDA">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应有的配件及附件是否达到合同约定</w:t>
            </w:r>
          </w:p>
        </w:tc>
        <w:tc>
          <w:tcPr>
            <w:tcW w:w="2623" w:type="dxa"/>
            <w:gridSpan w:val="3"/>
            <w:tcBorders>
              <w:top w:val="single" w:color="auto" w:sz="8" w:space="0"/>
              <w:left w:val="nil"/>
              <w:bottom w:val="single" w:color="auto" w:sz="8" w:space="0"/>
              <w:right w:val="single" w:color="000000" w:sz="8" w:space="0"/>
            </w:tcBorders>
            <w:shd w:val="clear" w:color="auto" w:fill="auto"/>
            <w:vAlign w:val="center"/>
          </w:tcPr>
          <w:p w14:paraId="7C619EC7">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r>
      <w:tr w14:paraId="33B6A45A">
        <w:tblPrEx>
          <w:tblCellMar>
            <w:top w:w="0" w:type="dxa"/>
            <w:left w:w="108" w:type="dxa"/>
            <w:bottom w:w="0" w:type="dxa"/>
            <w:right w:w="108" w:type="dxa"/>
          </w:tblCellMar>
        </w:tblPrEx>
        <w:trPr>
          <w:gridAfter w:val="1"/>
          <w:wAfter w:w="222" w:type="dxa"/>
          <w:trHeight w:val="1226" w:hRule="atLeast"/>
        </w:trPr>
        <w:tc>
          <w:tcPr>
            <w:tcW w:w="1460" w:type="dxa"/>
            <w:gridSpan w:val="2"/>
            <w:vMerge w:val="continue"/>
            <w:tcBorders>
              <w:top w:val="nil"/>
              <w:left w:val="single" w:color="auto" w:sz="8" w:space="0"/>
              <w:bottom w:val="single" w:color="auto" w:sz="4" w:space="0"/>
              <w:right w:val="single" w:color="auto" w:sz="8" w:space="0"/>
            </w:tcBorders>
            <w:vAlign w:val="center"/>
          </w:tcPr>
          <w:p w14:paraId="707B9970">
            <w:pPr>
              <w:widowControl/>
              <w:jc w:val="left"/>
              <w:rPr>
                <w:rFonts w:ascii="Times New Roman" w:hAnsi="Times New Roman" w:eastAsia="仿宋_GB2312" w:cs="Times New Roman"/>
                <w:color w:val="000000"/>
                <w:kern w:val="0"/>
                <w:sz w:val="22"/>
              </w:rPr>
            </w:pPr>
          </w:p>
        </w:tc>
        <w:tc>
          <w:tcPr>
            <w:tcW w:w="5411" w:type="dxa"/>
            <w:gridSpan w:val="4"/>
            <w:tcBorders>
              <w:top w:val="single" w:color="auto" w:sz="8" w:space="0"/>
              <w:left w:val="nil"/>
              <w:bottom w:val="single" w:color="auto" w:sz="4" w:space="0"/>
              <w:right w:val="single" w:color="000000" w:sz="8" w:space="0"/>
            </w:tcBorders>
            <w:shd w:val="clear" w:color="auto" w:fill="auto"/>
            <w:vAlign w:val="center"/>
          </w:tcPr>
          <w:p w14:paraId="50BA440A">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其他内容</w:t>
            </w:r>
          </w:p>
        </w:tc>
        <w:tc>
          <w:tcPr>
            <w:tcW w:w="2623" w:type="dxa"/>
            <w:gridSpan w:val="3"/>
            <w:tcBorders>
              <w:top w:val="single" w:color="auto" w:sz="8" w:space="0"/>
              <w:left w:val="nil"/>
              <w:bottom w:val="single" w:color="auto" w:sz="4" w:space="0"/>
              <w:right w:val="single" w:color="000000" w:sz="8" w:space="0"/>
            </w:tcBorders>
            <w:shd w:val="clear" w:color="auto" w:fill="auto"/>
            <w:vAlign w:val="center"/>
          </w:tcPr>
          <w:p w14:paraId="14D11245">
            <w:pPr>
              <w:widowControl/>
              <w:jc w:val="center"/>
              <w:rPr>
                <w:rFonts w:ascii="Times New Roman" w:hAnsi="Times New Roman" w:eastAsia="仿宋_GB2312" w:cs="Times New Roman"/>
                <w:color w:val="000000"/>
                <w:kern w:val="0"/>
                <w:sz w:val="16"/>
                <w:szCs w:val="16"/>
              </w:rPr>
            </w:pPr>
            <w:r>
              <w:rPr>
                <w:rFonts w:ascii="Times New Roman" w:hAnsi="Times New Roman" w:eastAsia="仿宋_GB2312" w:cs="Times New Roman"/>
                <w:color w:val="000000"/>
                <w:kern w:val="0"/>
                <w:sz w:val="16"/>
                <w:szCs w:val="16"/>
              </w:rPr>
              <w:t>(可增附页）</w:t>
            </w:r>
          </w:p>
        </w:tc>
      </w:tr>
      <w:tr w14:paraId="2741D51A">
        <w:tblPrEx>
          <w:tblCellMar>
            <w:top w:w="0" w:type="dxa"/>
            <w:left w:w="108" w:type="dxa"/>
            <w:bottom w:w="0" w:type="dxa"/>
            <w:right w:w="108" w:type="dxa"/>
          </w:tblCellMar>
        </w:tblPrEx>
        <w:trPr>
          <w:gridAfter w:val="1"/>
          <w:wAfter w:w="222" w:type="dxa"/>
          <w:trHeight w:val="719" w:hRule="atLeast"/>
        </w:trPr>
        <w:tc>
          <w:tcPr>
            <w:tcW w:w="146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CBEEE2">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验收小组</w:t>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t>意见</w:t>
            </w:r>
          </w:p>
        </w:tc>
        <w:tc>
          <w:tcPr>
            <w:tcW w:w="8034" w:type="dxa"/>
            <w:gridSpan w:val="7"/>
            <w:vMerge w:val="restart"/>
            <w:tcBorders>
              <w:top w:val="single" w:color="auto" w:sz="4" w:space="0"/>
              <w:left w:val="single" w:color="auto" w:sz="4" w:space="0"/>
              <w:bottom w:val="single" w:color="auto" w:sz="4" w:space="0"/>
              <w:right w:val="single" w:color="auto" w:sz="4" w:space="0"/>
            </w:tcBorders>
            <w:shd w:val="clear" w:color="auto" w:fill="auto"/>
          </w:tcPr>
          <w:p w14:paraId="42DB8A24">
            <w:pPr>
              <w:widowControl/>
              <w:jc w:val="left"/>
              <w:rPr>
                <w:rFonts w:hint="eastAsia"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验收结论性意见：</w:t>
            </w:r>
          </w:p>
          <w:p w14:paraId="7B4F4DCF">
            <w:pPr>
              <w:widowControl/>
              <w:jc w:val="left"/>
              <w:rPr>
                <w:rFonts w:hint="eastAsia" w:ascii="Times New Roman" w:hAnsi="Times New Roman" w:eastAsia="仿宋_GB2312" w:cs="Times New Roman"/>
                <w:color w:val="000000"/>
                <w:kern w:val="0"/>
                <w:sz w:val="22"/>
              </w:rPr>
            </w:pPr>
          </w:p>
          <w:p w14:paraId="2C68EA06">
            <w:pPr>
              <w:widowControl/>
              <w:jc w:val="left"/>
              <w:rPr>
                <w:rFonts w:hint="eastAsia" w:ascii="Times New Roman" w:hAnsi="Times New Roman" w:eastAsia="仿宋_GB2312" w:cs="Times New Roman"/>
                <w:color w:val="000000"/>
                <w:kern w:val="0"/>
                <w:sz w:val="22"/>
              </w:rPr>
            </w:pPr>
          </w:p>
          <w:p w14:paraId="4FE6AA57">
            <w:pPr>
              <w:widowControl/>
              <w:jc w:val="left"/>
              <w:rPr>
                <w:rFonts w:hint="eastAsia" w:ascii="Times New Roman" w:hAnsi="Times New Roman" w:eastAsia="仿宋_GB2312" w:cs="Times New Roman"/>
                <w:color w:val="000000"/>
                <w:kern w:val="0"/>
                <w:sz w:val="22"/>
              </w:rPr>
            </w:pPr>
          </w:p>
          <w:p w14:paraId="5F21B45B">
            <w:pPr>
              <w:widowControl/>
              <w:jc w:val="left"/>
              <w:rPr>
                <w:rFonts w:hint="eastAsia" w:ascii="Times New Roman" w:hAnsi="Times New Roman" w:eastAsia="仿宋_GB2312" w:cs="Times New Roman"/>
                <w:color w:val="000000"/>
                <w:kern w:val="0"/>
                <w:sz w:val="22"/>
              </w:rPr>
            </w:pPr>
          </w:p>
          <w:p w14:paraId="2A9813F1">
            <w:pPr>
              <w:widowControl/>
              <w:jc w:val="left"/>
              <w:rPr>
                <w:rFonts w:ascii="Times New Roman" w:hAnsi="Times New Roman" w:eastAsia="仿宋_GB2312" w:cs="Times New Roman"/>
                <w:color w:val="000000"/>
                <w:kern w:val="0"/>
                <w:sz w:val="22"/>
              </w:rPr>
            </w:pPr>
          </w:p>
        </w:tc>
      </w:tr>
      <w:tr w14:paraId="106EDFAC">
        <w:tblPrEx>
          <w:tblCellMar>
            <w:top w:w="0" w:type="dxa"/>
            <w:left w:w="108" w:type="dxa"/>
            <w:bottom w:w="0" w:type="dxa"/>
            <w:right w:w="108" w:type="dxa"/>
          </w:tblCellMar>
        </w:tblPrEx>
        <w:trPr>
          <w:trHeight w:val="1236" w:hRule="atLeast"/>
        </w:trPr>
        <w:tc>
          <w:tcPr>
            <w:tcW w:w="1460" w:type="dxa"/>
            <w:gridSpan w:val="2"/>
            <w:vMerge w:val="continue"/>
            <w:tcBorders>
              <w:top w:val="single" w:color="auto" w:sz="4" w:space="0"/>
              <w:left w:val="single" w:color="auto" w:sz="8" w:space="0"/>
              <w:bottom w:val="nil"/>
              <w:right w:val="single" w:color="auto" w:sz="8" w:space="0"/>
            </w:tcBorders>
            <w:vAlign w:val="center"/>
          </w:tcPr>
          <w:p w14:paraId="23990F8A">
            <w:pPr>
              <w:widowControl/>
              <w:jc w:val="left"/>
              <w:rPr>
                <w:rFonts w:ascii="Times New Roman" w:hAnsi="Times New Roman" w:eastAsia="仿宋_GB2312" w:cs="Times New Roman"/>
                <w:color w:val="000000"/>
                <w:kern w:val="0"/>
                <w:sz w:val="22"/>
              </w:rPr>
            </w:pPr>
          </w:p>
        </w:tc>
        <w:tc>
          <w:tcPr>
            <w:tcW w:w="8034" w:type="dxa"/>
            <w:gridSpan w:val="7"/>
            <w:vMerge w:val="continue"/>
            <w:tcBorders>
              <w:top w:val="single" w:color="auto" w:sz="4" w:space="0"/>
              <w:left w:val="single" w:color="auto" w:sz="8" w:space="0"/>
              <w:bottom w:val="single" w:color="000000" w:sz="8" w:space="0"/>
              <w:right w:val="single" w:color="000000" w:sz="8" w:space="0"/>
            </w:tcBorders>
            <w:vAlign w:val="center"/>
          </w:tcPr>
          <w:p w14:paraId="41F5EF19">
            <w:pPr>
              <w:widowControl/>
              <w:jc w:val="left"/>
              <w:rPr>
                <w:rFonts w:ascii="Times New Roman" w:hAnsi="Times New Roman" w:eastAsia="仿宋_GB2312" w:cs="Times New Roman"/>
                <w:color w:val="000000"/>
                <w:kern w:val="0"/>
                <w:sz w:val="22"/>
              </w:rPr>
            </w:pPr>
          </w:p>
        </w:tc>
        <w:tc>
          <w:tcPr>
            <w:tcW w:w="222" w:type="dxa"/>
            <w:tcBorders>
              <w:top w:val="nil"/>
              <w:left w:val="nil"/>
              <w:bottom w:val="nil"/>
              <w:right w:val="nil"/>
            </w:tcBorders>
            <w:shd w:val="clear" w:color="auto" w:fill="auto"/>
            <w:noWrap/>
            <w:vAlign w:val="center"/>
          </w:tcPr>
          <w:p w14:paraId="12E258A1">
            <w:pPr>
              <w:widowControl/>
              <w:jc w:val="left"/>
              <w:rPr>
                <w:rFonts w:ascii="Times New Roman" w:hAnsi="Times New Roman" w:eastAsia="仿宋_GB2312" w:cs="Times New Roman"/>
                <w:color w:val="000000"/>
                <w:kern w:val="0"/>
                <w:sz w:val="22"/>
              </w:rPr>
            </w:pPr>
          </w:p>
        </w:tc>
      </w:tr>
      <w:tr w14:paraId="10767666">
        <w:tblPrEx>
          <w:tblCellMar>
            <w:top w:w="0" w:type="dxa"/>
            <w:left w:w="108" w:type="dxa"/>
            <w:bottom w:w="0" w:type="dxa"/>
            <w:right w:w="108" w:type="dxa"/>
          </w:tblCellMar>
        </w:tblPrEx>
        <w:trPr>
          <w:trHeight w:val="326" w:hRule="atLeast"/>
        </w:trPr>
        <w:tc>
          <w:tcPr>
            <w:tcW w:w="1460" w:type="dxa"/>
            <w:gridSpan w:val="2"/>
            <w:vMerge w:val="continue"/>
            <w:tcBorders>
              <w:top w:val="nil"/>
              <w:left w:val="single" w:color="auto" w:sz="8" w:space="0"/>
              <w:bottom w:val="nil"/>
              <w:right w:val="single" w:color="auto" w:sz="8" w:space="0"/>
            </w:tcBorders>
            <w:vAlign w:val="center"/>
          </w:tcPr>
          <w:p w14:paraId="08879265">
            <w:pPr>
              <w:widowControl/>
              <w:jc w:val="left"/>
              <w:rPr>
                <w:rFonts w:ascii="Times New Roman" w:hAnsi="Times New Roman" w:eastAsia="仿宋_GB2312" w:cs="Times New Roman"/>
                <w:color w:val="000000"/>
                <w:kern w:val="0"/>
                <w:sz w:val="22"/>
              </w:rPr>
            </w:pPr>
          </w:p>
        </w:tc>
        <w:tc>
          <w:tcPr>
            <w:tcW w:w="8034" w:type="dxa"/>
            <w:gridSpan w:val="7"/>
            <w:tcBorders>
              <w:top w:val="single" w:color="auto" w:sz="8" w:space="0"/>
              <w:left w:val="nil"/>
              <w:bottom w:val="nil"/>
              <w:right w:val="single" w:color="000000" w:sz="8" w:space="0"/>
            </w:tcBorders>
            <w:shd w:val="clear" w:color="auto" w:fill="auto"/>
          </w:tcPr>
          <w:p w14:paraId="5407D60D">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有异议的意见和说明理由：</w:t>
            </w:r>
          </w:p>
        </w:tc>
        <w:tc>
          <w:tcPr>
            <w:tcW w:w="222" w:type="dxa"/>
            <w:vAlign w:val="center"/>
          </w:tcPr>
          <w:p w14:paraId="4BAB94C0">
            <w:pPr>
              <w:widowControl/>
              <w:jc w:val="left"/>
              <w:rPr>
                <w:rFonts w:ascii="Times New Roman" w:hAnsi="Times New Roman" w:eastAsia="Times New Roman" w:cs="Times New Roman"/>
                <w:kern w:val="0"/>
                <w:sz w:val="20"/>
                <w:szCs w:val="20"/>
              </w:rPr>
            </w:pPr>
          </w:p>
        </w:tc>
      </w:tr>
      <w:tr w14:paraId="19208799">
        <w:tblPrEx>
          <w:tblCellMar>
            <w:top w:w="0" w:type="dxa"/>
            <w:left w:w="108" w:type="dxa"/>
            <w:bottom w:w="0" w:type="dxa"/>
            <w:right w:w="108" w:type="dxa"/>
          </w:tblCellMar>
        </w:tblPrEx>
        <w:trPr>
          <w:trHeight w:val="579" w:hRule="atLeast"/>
        </w:trPr>
        <w:tc>
          <w:tcPr>
            <w:tcW w:w="1460" w:type="dxa"/>
            <w:gridSpan w:val="2"/>
            <w:vMerge w:val="continue"/>
            <w:tcBorders>
              <w:top w:val="nil"/>
              <w:left w:val="single" w:color="auto" w:sz="8" w:space="0"/>
              <w:bottom w:val="nil"/>
              <w:right w:val="single" w:color="auto" w:sz="8" w:space="0"/>
            </w:tcBorders>
            <w:vAlign w:val="center"/>
          </w:tcPr>
          <w:p w14:paraId="2BA8E911">
            <w:pPr>
              <w:widowControl/>
              <w:jc w:val="left"/>
              <w:rPr>
                <w:rFonts w:ascii="Times New Roman" w:hAnsi="Times New Roman" w:eastAsia="仿宋_GB2312" w:cs="Times New Roman"/>
                <w:color w:val="000000"/>
                <w:kern w:val="0"/>
                <w:sz w:val="22"/>
              </w:rPr>
            </w:pPr>
          </w:p>
        </w:tc>
        <w:tc>
          <w:tcPr>
            <w:tcW w:w="8034" w:type="dxa"/>
            <w:gridSpan w:val="7"/>
            <w:tcBorders>
              <w:top w:val="nil"/>
              <w:left w:val="nil"/>
              <w:bottom w:val="nil"/>
              <w:right w:val="single" w:color="000000" w:sz="8" w:space="0"/>
            </w:tcBorders>
            <w:shd w:val="clear" w:color="auto" w:fill="auto"/>
            <w:vAlign w:val="center"/>
          </w:tcPr>
          <w:p w14:paraId="0A020BFE">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xml:space="preserve">                                           签字：</w:t>
            </w:r>
          </w:p>
        </w:tc>
        <w:tc>
          <w:tcPr>
            <w:tcW w:w="222" w:type="dxa"/>
            <w:vAlign w:val="center"/>
          </w:tcPr>
          <w:p w14:paraId="0B92C872">
            <w:pPr>
              <w:widowControl/>
              <w:jc w:val="left"/>
              <w:rPr>
                <w:rFonts w:ascii="Times New Roman" w:hAnsi="Times New Roman" w:eastAsia="Times New Roman" w:cs="Times New Roman"/>
                <w:kern w:val="0"/>
                <w:sz w:val="20"/>
                <w:szCs w:val="20"/>
              </w:rPr>
            </w:pPr>
          </w:p>
        </w:tc>
      </w:tr>
      <w:tr w14:paraId="4F407D7E">
        <w:tblPrEx>
          <w:tblCellMar>
            <w:top w:w="0" w:type="dxa"/>
            <w:left w:w="108" w:type="dxa"/>
            <w:bottom w:w="0" w:type="dxa"/>
            <w:right w:w="108" w:type="dxa"/>
          </w:tblCellMar>
        </w:tblPrEx>
        <w:trPr>
          <w:trHeight w:val="598" w:hRule="atLeast"/>
        </w:trPr>
        <w:tc>
          <w:tcPr>
            <w:tcW w:w="9494" w:type="dxa"/>
            <w:gridSpan w:val="9"/>
            <w:tcBorders>
              <w:top w:val="single" w:color="auto" w:sz="8" w:space="0"/>
              <w:left w:val="single" w:color="auto" w:sz="8" w:space="0"/>
              <w:bottom w:val="single" w:color="auto" w:sz="8" w:space="0"/>
              <w:right w:val="single" w:color="000000" w:sz="8" w:space="0"/>
            </w:tcBorders>
            <w:shd w:val="clear" w:color="auto" w:fill="auto"/>
            <w:vAlign w:val="center"/>
          </w:tcPr>
          <w:p w14:paraId="0FFEA551">
            <w:pPr>
              <w:widowControl/>
              <w:jc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验收小组</w:t>
            </w:r>
            <w:r>
              <w:rPr>
                <w:rFonts w:ascii="Times New Roman" w:hAnsi="Times New Roman" w:eastAsia="仿宋_GB2312" w:cs="Times New Roman"/>
                <w:color w:val="000000"/>
                <w:kern w:val="0"/>
                <w:sz w:val="20"/>
                <w:szCs w:val="20"/>
              </w:rPr>
              <w:t>(3人或以上单数均可）</w:t>
            </w:r>
          </w:p>
        </w:tc>
        <w:tc>
          <w:tcPr>
            <w:tcW w:w="222" w:type="dxa"/>
            <w:vAlign w:val="center"/>
          </w:tcPr>
          <w:p w14:paraId="3718D8C3">
            <w:pPr>
              <w:widowControl/>
              <w:jc w:val="left"/>
              <w:rPr>
                <w:rFonts w:ascii="Times New Roman" w:hAnsi="Times New Roman" w:eastAsia="Times New Roman" w:cs="Times New Roman"/>
                <w:kern w:val="0"/>
                <w:sz w:val="20"/>
                <w:szCs w:val="20"/>
              </w:rPr>
            </w:pPr>
          </w:p>
        </w:tc>
      </w:tr>
      <w:tr w14:paraId="0BAB126C">
        <w:tblPrEx>
          <w:tblCellMar>
            <w:top w:w="0" w:type="dxa"/>
            <w:left w:w="108" w:type="dxa"/>
            <w:bottom w:w="0" w:type="dxa"/>
            <w:right w:w="108" w:type="dxa"/>
          </w:tblCellMar>
        </w:tblPrEx>
        <w:trPr>
          <w:trHeight w:val="598" w:hRule="atLeast"/>
        </w:trPr>
        <w:tc>
          <w:tcPr>
            <w:tcW w:w="3299" w:type="dxa"/>
            <w:gridSpan w:val="3"/>
            <w:tcBorders>
              <w:top w:val="nil"/>
              <w:left w:val="single" w:color="auto" w:sz="8" w:space="0"/>
              <w:bottom w:val="single" w:color="auto" w:sz="8" w:space="0"/>
              <w:right w:val="single" w:color="auto" w:sz="8" w:space="0"/>
            </w:tcBorders>
            <w:shd w:val="clear" w:color="auto" w:fill="auto"/>
            <w:vAlign w:val="center"/>
          </w:tcPr>
          <w:p w14:paraId="434D18BC">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姓 名</w:t>
            </w:r>
          </w:p>
        </w:tc>
        <w:tc>
          <w:tcPr>
            <w:tcW w:w="1895" w:type="dxa"/>
            <w:tcBorders>
              <w:top w:val="nil"/>
              <w:left w:val="nil"/>
              <w:bottom w:val="single" w:color="auto" w:sz="8" w:space="0"/>
              <w:right w:val="single" w:color="auto" w:sz="8" w:space="0"/>
            </w:tcBorders>
            <w:shd w:val="clear" w:color="auto" w:fill="auto"/>
            <w:vAlign w:val="center"/>
          </w:tcPr>
          <w:p w14:paraId="7FBABD62">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工作单位</w:t>
            </w:r>
          </w:p>
        </w:tc>
        <w:tc>
          <w:tcPr>
            <w:tcW w:w="1392" w:type="dxa"/>
            <w:tcBorders>
              <w:top w:val="nil"/>
              <w:left w:val="nil"/>
              <w:bottom w:val="single" w:color="auto" w:sz="8" w:space="0"/>
              <w:right w:val="single" w:color="auto" w:sz="8" w:space="0"/>
            </w:tcBorders>
            <w:shd w:val="clear" w:color="auto" w:fill="auto"/>
            <w:vAlign w:val="center"/>
          </w:tcPr>
          <w:p w14:paraId="3A0057AE">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职  称</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3A308A73">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专业方向</w:t>
            </w:r>
          </w:p>
        </w:tc>
        <w:tc>
          <w:tcPr>
            <w:tcW w:w="999" w:type="dxa"/>
            <w:tcBorders>
              <w:top w:val="nil"/>
              <w:left w:val="nil"/>
              <w:bottom w:val="single" w:color="auto" w:sz="8" w:space="0"/>
              <w:right w:val="single" w:color="auto" w:sz="8" w:space="0"/>
            </w:tcBorders>
            <w:shd w:val="clear" w:color="auto" w:fill="auto"/>
            <w:vAlign w:val="center"/>
          </w:tcPr>
          <w:p w14:paraId="733C2841">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本人签名</w:t>
            </w:r>
          </w:p>
        </w:tc>
        <w:tc>
          <w:tcPr>
            <w:tcW w:w="222" w:type="dxa"/>
            <w:vAlign w:val="center"/>
          </w:tcPr>
          <w:p w14:paraId="65E13495">
            <w:pPr>
              <w:widowControl/>
              <w:jc w:val="left"/>
              <w:rPr>
                <w:rFonts w:ascii="Times New Roman" w:hAnsi="Times New Roman" w:eastAsia="Times New Roman" w:cs="Times New Roman"/>
                <w:kern w:val="0"/>
                <w:sz w:val="20"/>
                <w:szCs w:val="20"/>
              </w:rPr>
            </w:pPr>
          </w:p>
        </w:tc>
      </w:tr>
      <w:tr w14:paraId="752FB42D">
        <w:tblPrEx>
          <w:tblCellMar>
            <w:top w:w="0" w:type="dxa"/>
            <w:left w:w="108" w:type="dxa"/>
            <w:bottom w:w="0" w:type="dxa"/>
            <w:right w:w="108" w:type="dxa"/>
          </w:tblCellMar>
        </w:tblPrEx>
        <w:trPr>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3CEE67FD">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小组负责人</w:t>
            </w:r>
          </w:p>
        </w:tc>
        <w:tc>
          <w:tcPr>
            <w:tcW w:w="1839" w:type="dxa"/>
            <w:tcBorders>
              <w:top w:val="nil"/>
              <w:left w:val="nil"/>
              <w:bottom w:val="single" w:color="auto" w:sz="8" w:space="0"/>
              <w:right w:val="single" w:color="auto" w:sz="8" w:space="0"/>
            </w:tcBorders>
            <w:shd w:val="clear" w:color="auto" w:fill="auto"/>
            <w:vAlign w:val="center"/>
          </w:tcPr>
          <w:p w14:paraId="21183BF0">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895" w:type="dxa"/>
            <w:tcBorders>
              <w:top w:val="nil"/>
              <w:left w:val="nil"/>
              <w:bottom w:val="single" w:color="auto" w:sz="8" w:space="0"/>
              <w:right w:val="single" w:color="auto" w:sz="8" w:space="0"/>
            </w:tcBorders>
            <w:shd w:val="clear" w:color="auto" w:fill="auto"/>
            <w:vAlign w:val="center"/>
          </w:tcPr>
          <w:p w14:paraId="39C036A9">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1DFDCE62">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2CE3490A">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999" w:type="dxa"/>
            <w:tcBorders>
              <w:top w:val="nil"/>
              <w:left w:val="nil"/>
              <w:bottom w:val="single" w:color="auto" w:sz="8" w:space="0"/>
              <w:right w:val="single" w:color="auto" w:sz="8" w:space="0"/>
            </w:tcBorders>
            <w:shd w:val="clear" w:color="auto" w:fill="auto"/>
            <w:vAlign w:val="center"/>
          </w:tcPr>
          <w:p w14:paraId="2675CA65">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22" w:type="dxa"/>
            <w:vAlign w:val="center"/>
          </w:tcPr>
          <w:p w14:paraId="0FE23C4B">
            <w:pPr>
              <w:widowControl/>
              <w:jc w:val="left"/>
              <w:rPr>
                <w:rFonts w:ascii="Times New Roman" w:hAnsi="Times New Roman" w:eastAsia="Times New Roman" w:cs="Times New Roman"/>
                <w:kern w:val="0"/>
                <w:sz w:val="20"/>
                <w:szCs w:val="20"/>
              </w:rPr>
            </w:pPr>
          </w:p>
        </w:tc>
      </w:tr>
      <w:tr w14:paraId="123F37D3">
        <w:tblPrEx>
          <w:tblCellMar>
            <w:top w:w="0" w:type="dxa"/>
            <w:left w:w="108" w:type="dxa"/>
            <w:bottom w:w="0" w:type="dxa"/>
            <w:right w:w="108" w:type="dxa"/>
          </w:tblCellMar>
        </w:tblPrEx>
        <w:trPr>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4220259F">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小组成员</w:t>
            </w:r>
          </w:p>
        </w:tc>
        <w:tc>
          <w:tcPr>
            <w:tcW w:w="1839" w:type="dxa"/>
            <w:tcBorders>
              <w:top w:val="nil"/>
              <w:left w:val="nil"/>
              <w:bottom w:val="single" w:color="auto" w:sz="8" w:space="0"/>
              <w:right w:val="single" w:color="auto" w:sz="8" w:space="0"/>
            </w:tcBorders>
            <w:shd w:val="clear" w:color="auto" w:fill="auto"/>
            <w:vAlign w:val="center"/>
          </w:tcPr>
          <w:p w14:paraId="66502797">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895" w:type="dxa"/>
            <w:tcBorders>
              <w:top w:val="nil"/>
              <w:left w:val="nil"/>
              <w:bottom w:val="single" w:color="auto" w:sz="8" w:space="0"/>
              <w:right w:val="single" w:color="auto" w:sz="8" w:space="0"/>
            </w:tcBorders>
            <w:shd w:val="clear" w:color="auto" w:fill="auto"/>
            <w:vAlign w:val="center"/>
          </w:tcPr>
          <w:p w14:paraId="2C0BBC19">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593BE8AB">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6A59BCF0">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999" w:type="dxa"/>
            <w:tcBorders>
              <w:top w:val="nil"/>
              <w:left w:val="nil"/>
              <w:bottom w:val="single" w:color="auto" w:sz="8" w:space="0"/>
              <w:right w:val="single" w:color="auto" w:sz="8" w:space="0"/>
            </w:tcBorders>
            <w:shd w:val="clear" w:color="auto" w:fill="auto"/>
            <w:vAlign w:val="center"/>
          </w:tcPr>
          <w:p w14:paraId="0FB234B5">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22" w:type="dxa"/>
            <w:vAlign w:val="center"/>
          </w:tcPr>
          <w:p w14:paraId="429CBE59">
            <w:pPr>
              <w:widowControl/>
              <w:jc w:val="left"/>
              <w:rPr>
                <w:rFonts w:ascii="Times New Roman" w:hAnsi="Times New Roman" w:eastAsia="Times New Roman" w:cs="Times New Roman"/>
                <w:kern w:val="0"/>
                <w:sz w:val="20"/>
                <w:szCs w:val="20"/>
              </w:rPr>
            </w:pPr>
          </w:p>
        </w:tc>
      </w:tr>
      <w:tr w14:paraId="023B2DF3">
        <w:tblPrEx>
          <w:tblCellMar>
            <w:top w:w="0" w:type="dxa"/>
            <w:left w:w="108" w:type="dxa"/>
            <w:bottom w:w="0" w:type="dxa"/>
            <w:right w:w="108" w:type="dxa"/>
          </w:tblCellMar>
        </w:tblPrEx>
        <w:trPr>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1E4D44D0">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小组成员</w:t>
            </w:r>
          </w:p>
        </w:tc>
        <w:tc>
          <w:tcPr>
            <w:tcW w:w="1839" w:type="dxa"/>
            <w:tcBorders>
              <w:top w:val="nil"/>
              <w:left w:val="nil"/>
              <w:bottom w:val="single" w:color="auto" w:sz="8" w:space="0"/>
              <w:right w:val="single" w:color="auto" w:sz="8" w:space="0"/>
            </w:tcBorders>
            <w:shd w:val="clear" w:color="auto" w:fill="auto"/>
            <w:vAlign w:val="center"/>
          </w:tcPr>
          <w:p w14:paraId="1555AB05">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895" w:type="dxa"/>
            <w:tcBorders>
              <w:top w:val="nil"/>
              <w:left w:val="nil"/>
              <w:bottom w:val="single" w:color="auto" w:sz="8" w:space="0"/>
              <w:right w:val="single" w:color="auto" w:sz="8" w:space="0"/>
            </w:tcBorders>
            <w:shd w:val="clear" w:color="auto" w:fill="auto"/>
            <w:vAlign w:val="center"/>
          </w:tcPr>
          <w:p w14:paraId="128E8EEC">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020DBEBE">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645B2BAE">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999" w:type="dxa"/>
            <w:tcBorders>
              <w:top w:val="nil"/>
              <w:left w:val="nil"/>
              <w:bottom w:val="single" w:color="auto" w:sz="8" w:space="0"/>
              <w:right w:val="single" w:color="auto" w:sz="8" w:space="0"/>
            </w:tcBorders>
            <w:shd w:val="clear" w:color="auto" w:fill="auto"/>
            <w:vAlign w:val="center"/>
          </w:tcPr>
          <w:p w14:paraId="18A795F2">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22" w:type="dxa"/>
            <w:vAlign w:val="center"/>
          </w:tcPr>
          <w:p w14:paraId="70302653">
            <w:pPr>
              <w:widowControl/>
              <w:jc w:val="left"/>
              <w:rPr>
                <w:rFonts w:ascii="Times New Roman" w:hAnsi="Times New Roman" w:eastAsia="Times New Roman" w:cs="Times New Roman"/>
                <w:kern w:val="0"/>
                <w:sz w:val="20"/>
                <w:szCs w:val="20"/>
              </w:rPr>
            </w:pPr>
          </w:p>
        </w:tc>
      </w:tr>
      <w:tr w14:paraId="1EF0585D">
        <w:tblPrEx>
          <w:tblCellMar>
            <w:top w:w="0" w:type="dxa"/>
            <w:left w:w="108" w:type="dxa"/>
            <w:bottom w:w="0" w:type="dxa"/>
            <w:right w:w="108" w:type="dxa"/>
          </w:tblCellMar>
        </w:tblPrEx>
        <w:trPr>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335E770E">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小组成员</w:t>
            </w:r>
          </w:p>
        </w:tc>
        <w:tc>
          <w:tcPr>
            <w:tcW w:w="1839" w:type="dxa"/>
            <w:tcBorders>
              <w:top w:val="nil"/>
              <w:left w:val="nil"/>
              <w:bottom w:val="single" w:color="auto" w:sz="8" w:space="0"/>
              <w:right w:val="single" w:color="auto" w:sz="8" w:space="0"/>
            </w:tcBorders>
            <w:shd w:val="clear" w:color="auto" w:fill="auto"/>
            <w:vAlign w:val="center"/>
          </w:tcPr>
          <w:p w14:paraId="4A0A1B45">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895" w:type="dxa"/>
            <w:tcBorders>
              <w:top w:val="nil"/>
              <w:left w:val="nil"/>
              <w:bottom w:val="single" w:color="auto" w:sz="8" w:space="0"/>
              <w:right w:val="single" w:color="auto" w:sz="8" w:space="0"/>
            </w:tcBorders>
            <w:shd w:val="clear" w:color="auto" w:fill="auto"/>
            <w:vAlign w:val="center"/>
          </w:tcPr>
          <w:p w14:paraId="00C505FB">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21830E7B">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3BCF432D">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999" w:type="dxa"/>
            <w:tcBorders>
              <w:top w:val="nil"/>
              <w:left w:val="nil"/>
              <w:bottom w:val="single" w:color="auto" w:sz="8" w:space="0"/>
              <w:right w:val="single" w:color="auto" w:sz="8" w:space="0"/>
            </w:tcBorders>
            <w:shd w:val="clear" w:color="auto" w:fill="auto"/>
            <w:vAlign w:val="center"/>
          </w:tcPr>
          <w:p w14:paraId="1950E70F">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22" w:type="dxa"/>
            <w:vAlign w:val="center"/>
          </w:tcPr>
          <w:p w14:paraId="4FBCF42E">
            <w:pPr>
              <w:widowControl/>
              <w:jc w:val="left"/>
              <w:rPr>
                <w:rFonts w:ascii="Times New Roman" w:hAnsi="Times New Roman" w:eastAsia="Times New Roman" w:cs="Times New Roman"/>
                <w:kern w:val="0"/>
                <w:sz w:val="20"/>
                <w:szCs w:val="20"/>
              </w:rPr>
            </w:pPr>
          </w:p>
        </w:tc>
      </w:tr>
      <w:tr w14:paraId="1B0AA299">
        <w:tblPrEx>
          <w:tblCellMar>
            <w:top w:w="0" w:type="dxa"/>
            <w:left w:w="108" w:type="dxa"/>
            <w:bottom w:w="0" w:type="dxa"/>
            <w:right w:w="108" w:type="dxa"/>
          </w:tblCellMar>
        </w:tblPrEx>
        <w:trPr>
          <w:trHeight w:val="598" w:hRule="atLeast"/>
        </w:trPr>
        <w:tc>
          <w:tcPr>
            <w:tcW w:w="1460" w:type="dxa"/>
            <w:gridSpan w:val="2"/>
            <w:tcBorders>
              <w:top w:val="nil"/>
              <w:left w:val="single" w:color="auto" w:sz="8" w:space="0"/>
              <w:bottom w:val="single" w:color="auto" w:sz="8" w:space="0"/>
              <w:right w:val="single" w:color="auto" w:sz="8" w:space="0"/>
            </w:tcBorders>
            <w:shd w:val="clear" w:color="auto" w:fill="auto"/>
            <w:vAlign w:val="center"/>
          </w:tcPr>
          <w:p w14:paraId="057A9E7D">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小组成员</w:t>
            </w:r>
          </w:p>
        </w:tc>
        <w:tc>
          <w:tcPr>
            <w:tcW w:w="1839" w:type="dxa"/>
            <w:tcBorders>
              <w:top w:val="nil"/>
              <w:left w:val="nil"/>
              <w:bottom w:val="single" w:color="auto" w:sz="8" w:space="0"/>
              <w:right w:val="single" w:color="auto" w:sz="8" w:space="0"/>
            </w:tcBorders>
            <w:shd w:val="clear" w:color="auto" w:fill="auto"/>
            <w:vAlign w:val="center"/>
          </w:tcPr>
          <w:p w14:paraId="4C1EC573">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895" w:type="dxa"/>
            <w:tcBorders>
              <w:top w:val="nil"/>
              <w:left w:val="nil"/>
              <w:bottom w:val="single" w:color="auto" w:sz="8" w:space="0"/>
              <w:right w:val="single" w:color="auto" w:sz="8" w:space="0"/>
            </w:tcBorders>
            <w:shd w:val="clear" w:color="auto" w:fill="auto"/>
            <w:vAlign w:val="center"/>
          </w:tcPr>
          <w:p w14:paraId="5389B4C7">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392" w:type="dxa"/>
            <w:tcBorders>
              <w:top w:val="nil"/>
              <w:left w:val="nil"/>
              <w:bottom w:val="single" w:color="auto" w:sz="8" w:space="0"/>
              <w:right w:val="single" w:color="auto" w:sz="8" w:space="0"/>
            </w:tcBorders>
            <w:shd w:val="clear" w:color="auto" w:fill="auto"/>
            <w:vAlign w:val="center"/>
          </w:tcPr>
          <w:p w14:paraId="64E914A0">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1909" w:type="dxa"/>
            <w:gridSpan w:val="3"/>
            <w:tcBorders>
              <w:top w:val="single" w:color="auto" w:sz="8" w:space="0"/>
              <w:left w:val="nil"/>
              <w:bottom w:val="single" w:color="auto" w:sz="8" w:space="0"/>
              <w:right w:val="single" w:color="000000" w:sz="8" w:space="0"/>
            </w:tcBorders>
            <w:shd w:val="clear" w:color="auto" w:fill="auto"/>
            <w:vAlign w:val="center"/>
          </w:tcPr>
          <w:p w14:paraId="5CC93243">
            <w:pPr>
              <w:widowControl/>
              <w:jc w:val="center"/>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999" w:type="dxa"/>
            <w:tcBorders>
              <w:top w:val="nil"/>
              <w:left w:val="nil"/>
              <w:bottom w:val="single" w:color="auto" w:sz="8" w:space="0"/>
              <w:right w:val="single" w:color="auto" w:sz="8" w:space="0"/>
            </w:tcBorders>
            <w:shd w:val="clear" w:color="auto" w:fill="auto"/>
            <w:vAlign w:val="center"/>
          </w:tcPr>
          <w:p w14:paraId="2D9A2303">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w:t>
            </w:r>
          </w:p>
        </w:tc>
        <w:tc>
          <w:tcPr>
            <w:tcW w:w="222" w:type="dxa"/>
            <w:vAlign w:val="center"/>
          </w:tcPr>
          <w:p w14:paraId="0D3DE86F">
            <w:pPr>
              <w:widowControl/>
              <w:jc w:val="left"/>
              <w:rPr>
                <w:rFonts w:ascii="Times New Roman" w:hAnsi="Times New Roman" w:eastAsia="Times New Roman" w:cs="Times New Roman"/>
                <w:kern w:val="0"/>
                <w:sz w:val="20"/>
                <w:szCs w:val="20"/>
              </w:rPr>
            </w:pPr>
          </w:p>
        </w:tc>
      </w:tr>
      <w:tr w14:paraId="27B58596">
        <w:tblPrEx>
          <w:tblCellMar>
            <w:top w:w="0" w:type="dxa"/>
            <w:left w:w="108" w:type="dxa"/>
            <w:bottom w:w="0" w:type="dxa"/>
            <w:right w:w="108" w:type="dxa"/>
          </w:tblCellMar>
        </w:tblPrEx>
        <w:trPr>
          <w:trHeight w:val="939" w:hRule="atLeast"/>
        </w:trPr>
        <w:tc>
          <w:tcPr>
            <w:tcW w:w="9494" w:type="dxa"/>
            <w:gridSpan w:val="9"/>
            <w:tcBorders>
              <w:top w:val="single" w:color="auto" w:sz="8" w:space="0"/>
              <w:left w:val="single" w:color="auto" w:sz="8" w:space="0"/>
              <w:bottom w:val="nil"/>
              <w:right w:val="single" w:color="auto" w:sz="8" w:space="0"/>
            </w:tcBorders>
            <w:shd w:val="clear" w:color="auto" w:fill="auto"/>
          </w:tcPr>
          <w:p w14:paraId="020C8ADF">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其他相关人员签字：</w:t>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br w:type="textWrapping"/>
            </w:r>
            <w:r>
              <w:rPr>
                <w:rFonts w:ascii="Times New Roman" w:hAnsi="Times New Roman" w:eastAsia="仿宋_GB2312" w:cs="Times New Roman"/>
                <w:color w:val="000000"/>
                <w:kern w:val="0"/>
                <w:sz w:val="22"/>
              </w:rPr>
              <w:t>或受邀机构的意见（盖章）：</w:t>
            </w:r>
          </w:p>
        </w:tc>
        <w:tc>
          <w:tcPr>
            <w:tcW w:w="222" w:type="dxa"/>
            <w:vAlign w:val="center"/>
          </w:tcPr>
          <w:p w14:paraId="363844D6">
            <w:pPr>
              <w:widowControl/>
              <w:jc w:val="left"/>
              <w:rPr>
                <w:rFonts w:ascii="Times New Roman" w:hAnsi="Times New Roman" w:eastAsia="Times New Roman" w:cs="Times New Roman"/>
                <w:kern w:val="0"/>
                <w:sz w:val="20"/>
                <w:szCs w:val="20"/>
              </w:rPr>
            </w:pPr>
          </w:p>
        </w:tc>
      </w:tr>
      <w:tr w14:paraId="4C73AB6C">
        <w:tblPrEx>
          <w:tblCellMar>
            <w:top w:w="0" w:type="dxa"/>
            <w:left w:w="108" w:type="dxa"/>
            <w:bottom w:w="0" w:type="dxa"/>
            <w:right w:w="108" w:type="dxa"/>
          </w:tblCellMar>
        </w:tblPrEx>
        <w:trPr>
          <w:trHeight w:val="790" w:hRule="atLeast"/>
        </w:trPr>
        <w:tc>
          <w:tcPr>
            <w:tcW w:w="5194" w:type="dxa"/>
            <w:gridSpan w:val="4"/>
            <w:tcBorders>
              <w:top w:val="single" w:color="auto" w:sz="8" w:space="0"/>
              <w:left w:val="single" w:color="auto" w:sz="8" w:space="0"/>
              <w:bottom w:val="nil"/>
              <w:right w:val="nil"/>
            </w:tcBorders>
            <w:shd w:val="clear" w:color="auto" w:fill="auto"/>
            <w:vAlign w:val="center"/>
          </w:tcPr>
          <w:p w14:paraId="79D28CAD">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中标或者成交供应商负责人签字或盖章：</w:t>
            </w:r>
          </w:p>
        </w:tc>
        <w:tc>
          <w:tcPr>
            <w:tcW w:w="4300" w:type="dxa"/>
            <w:gridSpan w:val="5"/>
            <w:tcBorders>
              <w:top w:val="single" w:color="auto" w:sz="8" w:space="0"/>
              <w:left w:val="single" w:color="auto" w:sz="8" w:space="0"/>
              <w:bottom w:val="nil"/>
              <w:right w:val="single" w:color="000000" w:sz="8" w:space="0"/>
            </w:tcBorders>
            <w:shd w:val="clear" w:color="auto" w:fill="auto"/>
            <w:vAlign w:val="center"/>
          </w:tcPr>
          <w:p w14:paraId="1D6BCA1A">
            <w:pPr>
              <w:widowControl/>
              <w:jc w:val="lef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 学院（部门）领导签字：</w:t>
            </w:r>
          </w:p>
        </w:tc>
        <w:tc>
          <w:tcPr>
            <w:tcW w:w="222" w:type="dxa"/>
            <w:vAlign w:val="center"/>
          </w:tcPr>
          <w:p w14:paraId="4B3507A9">
            <w:pPr>
              <w:widowControl/>
              <w:jc w:val="left"/>
              <w:rPr>
                <w:rFonts w:ascii="Times New Roman" w:hAnsi="Times New Roman" w:eastAsia="Times New Roman" w:cs="Times New Roman"/>
                <w:kern w:val="0"/>
                <w:sz w:val="20"/>
                <w:szCs w:val="20"/>
              </w:rPr>
            </w:pPr>
          </w:p>
        </w:tc>
      </w:tr>
      <w:tr w14:paraId="71FDFF95">
        <w:tblPrEx>
          <w:tblCellMar>
            <w:top w:w="0" w:type="dxa"/>
            <w:left w:w="108" w:type="dxa"/>
            <w:bottom w:w="0" w:type="dxa"/>
            <w:right w:w="108" w:type="dxa"/>
          </w:tblCellMar>
        </w:tblPrEx>
        <w:trPr>
          <w:trHeight w:val="790" w:hRule="atLeast"/>
        </w:trPr>
        <w:tc>
          <w:tcPr>
            <w:tcW w:w="5194" w:type="dxa"/>
            <w:gridSpan w:val="4"/>
            <w:tcBorders>
              <w:top w:val="nil"/>
              <w:left w:val="single" w:color="auto" w:sz="8" w:space="0"/>
              <w:bottom w:val="single" w:color="auto" w:sz="8" w:space="0"/>
              <w:right w:val="nil"/>
            </w:tcBorders>
            <w:shd w:val="clear" w:color="auto" w:fill="auto"/>
            <w:vAlign w:val="center"/>
          </w:tcPr>
          <w:p w14:paraId="0C841D96">
            <w:pPr>
              <w:widowControl/>
              <w:jc w:val="righ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联系电话：                           年   月   日</w:t>
            </w:r>
          </w:p>
        </w:tc>
        <w:tc>
          <w:tcPr>
            <w:tcW w:w="4300" w:type="dxa"/>
            <w:gridSpan w:val="5"/>
            <w:tcBorders>
              <w:top w:val="nil"/>
              <w:left w:val="single" w:color="auto" w:sz="8" w:space="0"/>
              <w:bottom w:val="single" w:color="auto" w:sz="8" w:space="0"/>
              <w:right w:val="single" w:color="000000" w:sz="8" w:space="0"/>
            </w:tcBorders>
            <w:shd w:val="clear" w:color="auto" w:fill="auto"/>
            <w:vAlign w:val="center"/>
          </w:tcPr>
          <w:p w14:paraId="436FC4AE">
            <w:pPr>
              <w:widowControl/>
              <w:jc w:val="right"/>
              <w:rPr>
                <w:rFonts w:ascii="Times New Roman" w:hAnsi="Times New Roman" w:eastAsia="仿宋_GB2312" w:cs="Times New Roman"/>
                <w:color w:val="000000"/>
                <w:kern w:val="0"/>
                <w:sz w:val="22"/>
              </w:rPr>
            </w:pPr>
            <w:r>
              <w:rPr>
                <w:rFonts w:ascii="Times New Roman" w:hAnsi="Times New Roman" w:eastAsia="仿宋_GB2312" w:cs="Times New Roman"/>
                <w:color w:val="000000"/>
                <w:kern w:val="0"/>
                <w:sz w:val="22"/>
              </w:rPr>
              <w:t>年   月   日</w:t>
            </w:r>
          </w:p>
        </w:tc>
        <w:tc>
          <w:tcPr>
            <w:tcW w:w="222" w:type="dxa"/>
            <w:vAlign w:val="center"/>
          </w:tcPr>
          <w:p w14:paraId="31D9221A">
            <w:pPr>
              <w:widowControl/>
              <w:jc w:val="left"/>
              <w:rPr>
                <w:rFonts w:ascii="Times New Roman" w:hAnsi="Times New Roman" w:eastAsia="Times New Roman" w:cs="Times New Roman"/>
                <w:kern w:val="0"/>
                <w:sz w:val="20"/>
                <w:szCs w:val="20"/>
              </w:rPr>
            </w:pPr>
          </w:p>
        </w:tc>
      </w:tr>
    </w:tbl>
    <w:p w14:paraId="54D8A4F1">
      <w:pPr>
        <w:pStyle w:val="18"/>
        <w:snapToGrid w:val="0"/>
        <w:spacing w:before="120" w:after="120" w:line="360" w:lineRule="auto"/>
        <w:jc w:val="center"/>
        <w:outlineLvl w:val="0"/>
        <w:rPr>
          <w:rFonts w:hAnsi="宋体" w:cs="宋体"/>
          <w:b/>
          <w:bCs/>
          <w:color w:val="auto"/>
          <w:sz w:val="44"/>
          <w:szCs w:val="44"/>
          <w:highlight w:val="none"/>
        </w:rPr>
      </w:pPr>
      <w:r>
        <w:rPr>
          <w:rFonts w:hint="eastAsia" w:hAnsi="宋体" w:cs="宋体"/>
          <w:color w:val="auto"/>
          <w:highlight w:val="none"/>
        </w:rPr>
        <w:br w:type="page"/>
      </w:r>
      <w:bookmarkStart w:id="34" w:name="_Toc13362"/>
      <w:r>
        <w:rPr>
          <w:rFonts w:hint="eastAsia" w:hAnsi="宋体" w:cs="宋体"/>
          <w:b/>
          <w:bCs/>
          <w:color w:val="auto"/>
          <w:sz w:val="44"/>
          <w:szCs w:val="44"/>
          <w:highlight w:val="none"/>
        </w:rPr>
        <w:t>第三章</w:t>
      </w:r>
      <w:r>
        <w:rPr>
          <w:rFonts w:hint="eastAsia" w:hAnsi="宋体" w:cs="宋体"/>
          <w:b/>
          <w:bCs/>
          <w:color w:val="auto"/>
          <w:sz w:val="44"/>
          <w:szCs w:val="44"/>
          <w:highlight w:val="none"/>
          <w:lang w:eastAsia="zh-CN"/>
        </w:rPr>
        <w:t>、</w:t>
      </w:r>
      <w:r>
        <w:rPr>
          <w:rFonts w:hint="eastAsia" w:hAnsi="宋体" w:cs="宋体"/>
          <w:b/>
          <w:bCs/>
          <w:color w:val="auto"/>
          <w:sz w:val="44"/>
          <w:szCs w:val="44"/>
          <w:highlight w:val="none"/>
        </w:rPr>
        <w:t>采购需求</w:t>
      </w:r>
      <w:bookmarkEnd w:id="34"/>
    </w:p>
    <w:p w14:paraId="163C9535">
      <w:pPr>
        <w:spacing w:line="440" w:lineRule="exact"/>
        <w:jc w:val="center"/>
        <w:rPr>
          <w:rFonts w:ascii="宋体" w:hAnsi="宋体" w:cs="宋体"/>
          <w:b/>
          <w:color w:val="auto"/>
          <w:sz w:val="32"/>
          <w:szCs w:val="32"/>
          <w:highlight w:val="none"/>
        </w:rPr>
      </w:pPr>
    </w:p>
    <w:p w14:paraId="3470462E">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6D26BE72">
      <w:pPr>
        <w:spacing w:line="360" w:lineRule="auto"/>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1.为落实政府采购政策需满足的要求</w:t>
      </w:r>
      <w:r>
        <w:rPr>
          <w:rFonts w:hint="eastAsia" w:ascii="宋体" w:hAnsi="宋体" w:eastAsia="宋体" w:cs="宋体"/>
          <w:color w:val="auto"/>
          <w:sz w:val="21"/>
          <w:szCs w:val="21"/>
          <w:highlight w:val="none"/>
          <w:lang w:eastAsia="zh-CN"/>
        </w:rPr>
        <w:t>：</w:t>
      </w:r>
    </w:p>
    <w:p w14:paraId="1F67BCE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本竞争性磋商采购文件所称中小企业必须符合《政府采购促进中小企业发展管理办法》（财库〔2020〕46号）的规定。</w:t>
      </w:r>
    </w:p>
    <w:p w14:paraId="48AEF7B6">
      <w:pPr>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实际情况如实响应磋商文件，不得仅将磋商文件内容简单复制粘贴作为竞争性磋商响应，还应当提供相关证明材料，否则将按无效响应处理（定制采购不适用本条款）。对于重要技术条款或技术参数应当在响应文件中提供技术支持资料，技术支持资料以磋商文件中规定的形式为准，否则将视为无效技术支持资料。</w:t>
      </w:r>
    </w:p>
    <w:p w14:paraId="244D8FC1">
      <w:pPr>
        <w:spacing w:line="36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3.供应商必须自行为其参加竞争性磋商的产品侵犯他人的知识产权或者专利成果的行为承担相应法律责任。</w:t>
      </w:r>
    </w:p>
    <w:p w14:paraId="4864FEE4">
      <w:pPr>
        <w:spacing w:line="360" w:lineRule="auto"/>
        <w:ind w:firstLine="426" w:firstLineChars="202"/>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4.本采购需求（含服务清单）所列品牌、型号仅为参考，供应商可选用同等档次或优于（或相当于）该档次的产品。</w:t>
      </w:r>
    </w:p>
    <w:p w14:paraId="062B62E1">
      <w:pPr>
        <w:spacing w:line="360" w:lineRule="auto"/>
        <w:ind w:left="-10" w:leftChars="-5" w:right="2" w:rightChars="1" w:firstLine="422" w:firstLineChars="200"/>
        <w:rPr>
          <w:rFonts w:hint="eastAsia" w:ascii="宋体" w:hAnsi="宋体" w:eastAsia="宋体" w:cs="宋体"/>
          <w:color w:val="auto"/>
          <w:szCs w:val="21"/>
          <w:highlight w:val="none"/>
        </w:rPr>
      </w:pPr>
      <w:r>
        <w:rPr>
          <w:rFonts w:hint="eastAsia" w:ascii="宋体" w:hAnsi="宋体" w:cs="宋体"/>
          <w:b/>
          <w:bCs w:val="0"/>
          <w:color w:val="auto"/>
          <w:sz w:val="21"/>
          <w:szCs w:val="21"/>
          <w:highlight w:val="none"/>
          <w:lang w:val="en-US" w:eastAsia="zh-CN"/>
        </w:rPr>
        <w:t>5.</w:t>
      </w:r>
      <w:r>
        <w:rPr>
          <w:rFonts w:hint="eastAsia" w:ascii="宋体" w:hAnsi="宋体" w:eastAsia="宋体" w:cs="宋体"/>
          <w:b/>
          <w:bCs w:val="0"/>
          <w:color w:val="auto"/>
          <w:kern w:val="0"/>
          <w:szCs w:val="21"/>
          <w:highlight w:val="none"/>
        </w:rPr>
        <w:t>《</w:t>
      </w:r>
      <w:r>
        <w:rPr>
          <w:rFonts w:hint="eastAsia" w:ascii="宋体" w:hAnsi="宋体" w:eastAsia="宋体" w:cs="宋体"/>
          <w:b/>
          <w:szCs w:val="21"/>
          <w:highlight w:val="none"/>
          <w:lang w:val="en-US" w:eastAsia="zh-CN"/>
        </w:rPr>
        <w:t>采购需求</w:t>
      </w:r>
      <w:r>
        <w:rPr>
          <w:rFonts w:hint="eastAsia" w:ascii="宋体" w:hAnsi="宋体" w:eastAsia="宋体" w:cs="宋体"/>
          <w:b/>
          <w:bCs/>
          <w:color w:val="auto"/>
          <w:kern w:val="0"/>
          <w:szCs w:val="21"/>
          <w:highlight w:val="none"/>
        </w:rPr>
        <w:t>》均为实质性要求，若有任意一项负偏离作无效响应处理。</w:t>
      </w:r>
    </w:p>
    <w:p w14:paraId="274B9C35">
      <w:pPr>
        <w:spacing w:line="360" w:lineRule="auto"/>
        <w:ind w:left="-10" w:leftChars="-5" w:right="2" w:rightChars="1"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采购预算（最高限价）</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贰佰叁拾陆万陆仟陆佰贰拾贰元叁角整（¥2366622.30）</w:t>
      </w:r>
    </w:p>
    <w:p w14:paraId="252D745D">
      <w:pPr>
        <w:spacing w:line="360" w:lineRule="auto"/>
        <w:ind w:left="-10" w:leftChars="-5" w:right="2" w:rightChars="1" w:firstLine="422" w:firstLineChars="200"/>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rPr>
        <w:t>所属行业：</w:t>
      </w:r>
      <w:r>
        <w:rPr>
          <w:rFonts w:hint="eastAsia" w:ascii="宋体" w:hAnsi="宋体" w:eastAsia="宋体" w:cs="宋体"/>
          <w:b/>
          <w:bCs/>
          <w:color w:val="auto"/>
          <w:sz w:val="21"/>
          <w:szCs w:val="21"/>
          <w:highlight w:val="none"/>
          <w:u w:val="single"/>
        </w:rPr>
        <w:t>其他未列明行业</w:t>
      </w:r>
    </w:p>
    <w:p w14:paraId="39D9F9AE">
      <w:pPr>
        <w:spacing w:line="360" w:lineRule="auto"/>
        <w:ind w:left="-10" w:leftChars="-5" w:right="2" w:rightChars="1" w:firstLine="420" w:firstLineChars="200"/>
        <w:rPr>
          <w:rFonts w:hint="eastAsia" w:ascii="宋体" w:hAnsi="宋体" w:eastAsia="宋体" w:cs="宋体"/>
          <w:color w:val="auto"/>
          <w:sz w:val="21"/>
          <w:szCs w:val="21"/>
          <w:highlight w:val="none"/>
          <w:u w:val="single"/>
          <w:lang w:eastAsia="zh-CN"/>
        </w:rPr>
      </w:pPr>
    </w:p>
    <w:p w14:paraId="6D9E782E">
      <w:pPr>
        <w:tabs>
          <w:tab w:val="left" w:pos="180"/>
          <w:tab w:val="left" w:pos="1620"/>
        </w:tabs>
        <w:adjustRightInd w:val="0"/>
        <w:snapToGrid w:val="0"/>
        <w:spacing w:line="360" w:lineRule="auto"/>
        <w:jc w:val="both"/>
        <w:rPr>
          <w:rFonts w:hint="default" w:ascii="宋体" w:hAnsi="宋体" w:eastAsia="宋体" w:cs="宋体"/>
          <w:b w:val="0"/>
          <w:bCs w:val="0"/>
          <w:i w:val="0"/>
          <w:iCs w:val="0"/>
          <w:color w:val="auto"/>
          <w:kern w:val="2"/>
          <w:sz w:val="21"/>
          <w:szCs w:val="21"/>
          <w:highlight w:val="none"/>
          <w:vertAlign w:val="baseline"/>
          <w:lang w:val="en-US" w:eastAsia="zh-CN" w:bidi="ar-SA"/>
        </w:rPr>
        <w:sectPr>
          <w:footerReference r:id="rId9" w:type="default"/>
          <w:pgSz w:w="11906" w:h="16838"/>
          <w:pgMar w:top="1417" w:right="1417" w:bottom="1417" w:left="1417" w:header="851" w:footer="992" w:gutter="0"/>
          <w:pgNumType w:start="1"/>
          <w:cols w:space="425" w:num="1"/>
          <w:docGrid w:type="lines" w:linePitch="312" w:charSpace="0"/>
        </w:sectPr>
      </w:pPr>
    </w:p>
    <w:tbl>
      <w:tblPr>
        <w:tblStyle w:val="33"/>
        <w:tblW w:w="9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0"/>
        <w:gridCol w:w="1691"/>
        <w:gridCol w:w="954"/>
        <w:gridCol w:w="1200"/>
        <w:gridCol w:w="5334"/>
      </w:tblGrid>
      <w:tr w14:paraId="1FC91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769" w:type="dxa"/>
            <w:gridSpan w:val="5"/>
            <w:vAlign w:val="center"/>
          </w:tcPr>
          <w:p w14:paraId="23EF9FFA">
            <w:pPr>
              <w:tabs>
                <w:tab w:val="left" w:pos="180"/>
                <w:tab w:val="left" w:pos="1620"/>
              </w:tabs>
              <w:adjustRightInd w:val="0"/>
              <w:snapToGrid w:val="0"/>
              <w:spacing w:line="360" w:lineRule="auto"/>
              <w:jc w:val="both"/>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lang w:val="en-US" w:eastAsia="zh-CN"/>
              </w:rPr>
              <w:t>技术要求</w:t>
            </w:r>
          </w:p>
        </w:tc>
      </w:tr>
      <w:tr w14:paraId="181DC3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90" w:type="dxa"/>
            <w:vAlign w:val="center"/>
          </w:tcPr>
          <w:p w14:paraId="526BAC89">
            <w:pPr>
              <w:tabs>
                <w:tab w:val="left" w:pos="180"/>
                <w:tab w:val="left" w:pos="1620"/>
              </w:tabs>
              <w:adjustRightInd w:val="0"/>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691" w:type="dxa"/>
            <w:vAlign w:val="center"/>
          </w:tcPr>
          <w:p w14:paraId="1BAA8CDE">
            <w:pPr>
              <w:tabs>
                <w:tab w:val="left" w:pos="180"/>
                <w:tab w:val="left" w:pos="1620"/>
              </w:tabs>
              <w:adjustRightInd w:val="0"/>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标的</w:t>
            </w:r>
          </w:p>
          <w:p w14:paraId="5723969F">
            <w:pPr>
              <w:tabs>
                <w:tab w:val="left" w:pos="180"/>
                <w:tab w:val="left" w:pos="1620"/>
              </w:tabs>
              <w:adjustRightInd w:val="0"/>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954" w:type="dxa"/>
            <w:vAlign w:val="center"/>
          </w:tcPr>
          <w:p w14:paraId="6B0E5BFA">
            <w:pPr>
              <w:tabs>
                <w:tab w:val="left" w:pos="180"/>
                <w:tab w:val="left" w:pos="1620"/>
              </w:tabs>
              <w:adjustRightInd w:val="0"/>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数量及单位</w:t>
            </w:r>
          </w:p>
        </w:tc>
        <w:tc>
          <w:tcPr>
            <w:tcW w:w="1200" w:type="dxa"/>
            <w:tcBorders>
              <w:right w:val="single" w:color="auto" w:sz="4" w:space="0"/>
            </w:tcBorders>
            <w:vAlign w:val="center"/>
          </w:tcPr>
          <w:p w14:paraId="58A05A80">
            <w:pPr>
              <w:tabs>
                <w:tab w:val="left" w:pos="180"/>
                <w:tab w:val="left" w:pos="1620"/>
              </w:tabs>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所属行业</w:t>
            </w:r>
          </w:p>
        </w:tc>
        <w:tc>
          <w:tcPr>
            <w:tcW w:w="5334" w:type="dxa"/>
            <w:tcBorders>
              <w:left w:val="single" w:color="auto" w:sz="4" w:space="0"/>
            </w:tcBorders>
            <w:vAlign w:val="center"/>
          </w:tcPr>
          <w:p w14:paraId="473425DF">
            <w:pPr>
              <w:tabs>
                <w:tab w:val="left" w:pos="180"/>
                <w:tab w:val="left" w:pos="1620"/>
              </w:tabs>
              <w:adjustRightInd w:val="0"/>
              <w:snapToGrid w:val="0"/>
              <w:spacing w:line="360" w:lineRule="auto"/>
              <w:jc w:val="center"/>
              <w:rPr>
                <w:rFonts w:hint="default" w:ascii="宋体" w:hAnsi="宋体" w:eastAsia="宋体" w:cs="宋体"/>
                <w:b w:val="0"/>
                <w:bCs w:val="0"/>
                <w:i w:val="0"/>
                <w:iCs w:val="0"/>
                <w:color w:val="auto"/>
                <w:kern w:val="2"/>
                <w:sz w:val="21"/>
                <w:szCs w:val="21"/>
                <w:highlight w:val="none"/>
                <w:vertAlign w:val="baseline"/>
                <w:lang w:val="en-US" w:eastAsia="zh-CN" w:bidi="ar-SA"/>
              </w:rPr>
            </w:pPr>
            <w:r>
              <w:rPr>
                <w:rFonts w:hint="eastAsia" w:ascii="宋体" w:hAnsi="宋体" w:eastAsia="宋体" w:cs="宋体"/>
                <w:b/>
                <w:color w:val="auto"/>
                <w:sz w:val="21"/>
                <w:szCs w:val="21"/>
                <w:highlight w:val="none"/>
              </w:rPr>
              <w:t>服务要求</w:t>
            </w:r>
          </w:p>
        </w:tc>
      </w:tr>
      <w:tr w14:paraId="54BE5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jc w:val="center"/>
        </w:trPr>
        <w:tc>
          <w:tcPr>
            <w:tcW w:w="590" w:type="dxa"/>
            <w:vAlign w:val="center"/>
          </w:tcPr>
          <w:p w14:paraId="58872039">
            <w:pPr>
              <w:tabs>
                <w:tab w:val="left" w:pos="180"/>
                <w:tab w:val="left" w:pos="1620"/>
              </w:tabs>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91" w:type="dxa"/>
            <w:vAlign w:val="center"/>
          </w:tcPr>
          <w:p w14:paraId="57118F4D">
            <w:pPr>
              <w:widowControl/>
              <w:adjustRightInd w:val="0"/>
              <w:snapToGrid w:val="0"/>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桂林理工大学“雁山智慧谷・桂工科创之窗”展示中心展陈服务项目采购</w:t>
            </w:r>
          </w:p>
        </w:tc>
        <w:tc>
          <w:tcPr>
            <w:tcW w:w="954" w:type="dxa"/>
            <w:vAlign w:val="center"/>
          </w:tcPr>
          <w:p w14:paraId="03A9D888">
            <w:pPr>
              <w:widowControl/>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cs="宋体"/>
                <w:szCs w:val="21"/>
                <w:highlight w:val="none"/>
              </w:rPr>
              <w:t>1项</w:t>
            </w:r>
          </w:p>
        </w:tc>
        <w:tc>
          <w:tcPr>
            <w:tcW w:w="1200" w:type="dxa"/>
            <w:tcBorders>
              <w:right w:val="single" w:color="auto" w:sz="4" w:space="0"/>
            </w:tcBorders>
            <w:vAlign w:val="center"/>
          </w:tcPr>
          <w:p w14:paraId="4DF66A26">
            <w:pPr>
              <w:widowControl/>
              <w:adjustRightInd w:val="0"/>
              <w:snapToGrid w:val="0"/>
              <w:spacing w:line="360" w:lineRule="auto"/>
              <w:jc w:val="center"/>
              <w:textAlignment w:val="center"/>
              <w:rPr>
                <w:rFonts w:hint="eastAsia" w:ascii="宋体" w:hAnsi="宋体" w:eastAsia="宋体" w:cs="宋体"/>
                <w:b w:val="0"/>
                <w:bCs w:val="0"/>
                <w:color w:val="auto"/>
                <w:sz w:val="21"/>
                <w:szCs w:val="21"/>
                <w:highlight w:val="none"/>
              </w:rPr>
            </w:pPr>
            <w:r>
              <w:rPr>
                <w:rFonts w:hint="eastAsia" w:ascii="宋体" w:hAnsi="宋体" w:cs="Arial"/>
                <w:szCs w:val="21"/>
                <w:highlight w:val="none"/>
              </w:rPr>
              <w:t>其他未列明行业</w:t>
            </w:r>
          </w:p>
        </w:tc>
        <w:tc>
          <w:tcPr>
            <w:tcW w:w="5334" w:type="dxa"/>
            <w:tcBorders>
              <w:left w:val="single" w:color="auto" w:sz="4" w:space="0"/>
            </w:tcBorders>
            <w:vAlign w:val="center"/>
          </w:tcPr>
          <w:p w14:paraId="41F572E5">
            <w:pPr>
              <w:wordWrap w:val="0"/>
              <w:topLinePunct/>
              <w:spacing w:line="360" w:lineRule="auto"/>
              <w:ind w:firstLine="422" w:firstLineChars="200"/>
              <w:jc w:val="left"/>
              <w:rPr>
                <w:rFonts w:hint="eastAsia" w:ascii="宋体" w:hAnsi="宋体" w:eastAsia="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一</w:t>
            </w:r>
            <w:r>
              <w:rPr>
                <w:rFonts w:hint="eastAsia" w:ascii="宋体" w:hAnsi="宋体" w:cs="宋体"/>
                <w:b/>
                <w:szCs w:val="21"/>
                <w:highlight w:val="none"/>
                <w:lang w:eastAsia="zh-CN"/>
              </w:rPr>
              <w:t>）</w:t>
            </w:r>
            <w:r>
              <w:rPr>
                <w:rFonts w:hint="eastAsia" w:ascii="宋体" w:hAnsi="宋体" w:eastAsia="宋体" w:cs="宋体"/>
                <w:b/>
                <w:szCs w:val="21"/>
                <w:highlight w:val="none"/>
              </w:rPr>
              <w:t>项目建设目标</w:t>
            </w:r>
          </w:p>
          <w:p w14:paraId="5D168CF6">
            <w:pPr>
              <w:tabs>
                <w:tab w:val="left" w:pos="180"/>
                <w:tab w:val="left" w:pos="1620"/>
              </w:tabs>
              <w:wordWrap w:val="0"/>
              <w:topLinePunct/>
              <w:spacing w:line="360" w:lineRule="auto"/>
              <w:ind w:firstLine="420" w:firstLineChars="200"/>
              <w:jc w:val="left"/>
              <w:rPr>
                <w:rFonts w:hint="default" w:ascii="宋体" w:hAnsi="宋体" w:eastAsia="宋体" w:cs="宋体"/>
                <w:szCs w:val="21"/>
                <w:highlight w:val="none"/>
                <w:lang w:val="en-US"/>
              </w:rPr>
            </w:pPr>
            <w:r>
              <w:rPr>
                <w:rFonts w:hint="default" w:ascii="宋体" w:hAnsi="宋体" w:eastAsia="宋体" w:cs="宋体"/>
                <w:szCs w:val="21"/>
                <w:highlight w:val="none"/>
                <w:lang w:val="en-US"/>
              </w:rPr>
              <w:t>本项目为桂林理工大学“雁山智慧谷·桂工科创之窗”展示中心展陈服务项目，立足雁山智慧谷整体科创发展布局，紧扣学校“地质报国、科创兴桂”办学初心与特色定位，通过采购展陈服务，高标准打造集成果展示、文化传播、科普教育、校企交流、数字运维于一体的综合性校级科创展示阵地。整体建设目标如下：</w:t>
            </w:r>
          </w:p>
          <w:p w14:paraId="E150D792">
            <w:pPr>
              <w:tabs>
                <w:tab w:val="left" w:pos="180"/>
                <w:tab w:val="left" w:pos="1620"/>
              </w:tabs>
              <w:wordWrap w:val="0"/>
              <w:topLinePunct/>
              <w:spacing w:line="360" w:lineRule="auto"/>
              <w:ind w:firstLine="420" w:firstLineChars="200"/>
              <w:jc w:val="left"/>
              <w:rPr>
                <w:rFonts w:hint="default" w:ascii="宋体" w:hAnsi="宋体" w:eastAsia="宋体" w:cs="宋体"/>
                <w:szCs w:val="21"/>
                <w:highlight w:val="none"/>
                <w:lang w:val="en-US"/>
              </w:rPr>
            </w:pPr>
            <w:r>
              <w:rPr>
                <w:rFonts w:hint="eastAsia" w:ascii="宋体" w:hAnsi="宋体" w:cs="宋体"/>
                <w:szCs w:val="21"/>
                <w:highlight w:val="none"/>
                <w:lang w:val="en-US" w:eastAsia="zh-CN"/>
              </w:rPr>
              <w:t>1.</w:t>
            </w:r>
            <w:r>
              <w:rPr>
                <w:rFonts w:hint="default" w:ascii="宋体" w:hAnsi="宋体" w:eastAsia="宋体" w:cs="宋体"/>
                <w:szCs w:val="21"/>
                <w:highlight w:val="none"/>
                <w:lang w:val="en-US"/>
              </w:rPr>
              <w:t>凝练科创成果，彰显办学特色。系统梳理学校建校以来标志性科研成果、重大科研项目、高层次学科荣誉、重点创新平台、优势学科建设成就与人才培养成果，重点聚焦地质资源、生态环境、材料科学、土木工程等核心优势领域，立体呈现学校深耕行业办学、服务区域发展的积淀与担当，充分凸显桂工独有办学底色。</w:t>
            </w:r>
          </w:p>
          <w:p w14:paraId="B71A351D">
            <w:pPr>
              <w:tabs>
                <w:tab w:val="left" w:pos="180"/>
                <w:tab w:val="left" w:pos="1620"/>
              </w:tabs>
              <w:wordWrap w:val="0"/>
              <w:topLinePunct/>
              <w:spacing w:line="360" w:lineRule="auto"/>
              <w:ind w:firstLine="420" w:firstLineChars="200"/>
              <w:jc w:val="left"/>
              <w:rPr>
                <w:rFonts w:hint="default" w:ascii="宋体" w:hAnsi="宋体" w:eastAsia="宋体" w:cs="宋体"/>
                <w:szCs w:val="21"/>
                <w:highlight w:val="none"/>
                <w:lang w:val="en-US"/>
              </w:rPr>
            </w:pPr>
            <w:r>
              <w:rPr>
                <w:rFonts w:hint="eastAsia" w:ascii="宋体" w:hAnsi="宋体" w:cs="宋体"/>
                <w:szCs w:val="21"/>
                <w:highlight w:val="none"/>
                <w:lang w:val="en-US" w:eastAsia="zh-CN"/>
              </w:rPr>
              <w:t>2.</w:t>
            </w:r>
            <w:r>
              <w:rPr>
                <w:rFonts w:hint="default" w:ascii="宋体" w:hAnsi="宋体" w:eastAsia="宋体" w:cs="宋体"/>
                <w:szCs w:val="21"/>
                <w:highlight w:val="none"/>
                <w:lang w:val="en-US"/>
              </w:rPr>
              <w:t>搭建对接平台，赋能成果转化。依托展示中心打造雁山智慧谷核心对外展示窗口，构建常态化校地、校企、产学研合作交流枢纽。集中展示学校可产业化科创技术、校企联合攻关项目及社会服务成果，打通科研成果与产业应用的衔接渠道，助力科技创新成果落地转化，服务广西产业升级与高质量发展。</w:t>
            </w:r>
          </w:p>
          <w:p w14:paraId="2EF6E93C">
            <w:pPr>
              <w:tabs>
                <w:tab w:val="left" w:pos="180"/>
                <w:tab w:val="left" w:pos="1620"/>
              </w:tabs>
              <w:wordWrap w:val="0"/>
              <w:topLinePunct/>
              <w:spacing w:line="360" w:lineRule="auto"/>
              <w:ind w:firstLine="420" w:firstLineChars="200"/>
              <w:jc w:val="left"/>
              <w:rPr>
                <w:rFonts w:hint="default" w:ascii="宋体" w:hAnsi="宋体" w:eastAsia="宋体" w:cs="宋体"/>
                <w:szCs w:val="21"/>
                <w:highlight w:val="none"/>
                <w:lang w:val="en-US"/>
              </w:rPr>
            </w:pPr>
            <w:r>
              <w:rPr>
                <w:rFonts w:hint="eastAsia" w:ascii="宋体" w:hAnsi="宋体" w:cs="宋体"/>
                <w:szCs w:val="21"/>
                <w:highlight w:val="none"/>
                <w:lang w:val="en-US" w:eastAsia="zh-CN"/>
              </w:rPr>
              <w:t>3.</w:t>
            </w:r>
            <w:r>
              <w:rPr>
                <w:rFonts w:hint="default" w:ascii="宋体" w:hAnsi="宋体" w:eastAsia="宋体" w:cs="宋体"/>
                <w:szCs w:val="21"/>
                <w:highlight w:val="none"/>
                <w:lang w:val="en-US"/>
              </w:rPr>
              <w:t>打造实景课堂，强化科创育人。将展馆建设为学校新生入学教育、校史文化教育、思政教育、科创精神教育、社会科普研学的专属实景育人阵地。通过沉浸式、互动式展陈形式，传播科学精神、工匠精神与奋斗精神，厚植师生家国情怀与校园认同感，同时面向社会开放科普服务，履行高校社会服务职能。</w:t>
            </w:r>
          </w:p>
          <w:p w14:paraId="F2C21B61">
            <w:pPr>
              <w:tabs>
                <w:tab w:val="left" w:pos="180"/>
                <w:tab w:val="left" w:pos="1620"/>
              </w:tabs>
              <w:wordWrap w:val="0"/>
              <w:topLinePunct/>
              <w:spacing w:line="360" w:lineRule="auto"/>
              <w:ind w:firstLine="420" w:firstLineChars="200"/>
              <w:jc w:val="left"/>
              <w:rPr>
                <w:rFonts w:hint="default" w:ascii="宋体" w:hAnsi="宋体" w:eastAsia="宋体" w:cs="宋体"/>
                <w:szCs w:val="21"/>
                <w:highlight w:val="none"/>
                <w:lang w:val="en-US"/>
              </w:rPr>
            </w:pPr>
            <w:r>
              <w:rPr>
                <w:rFonts w:hint="eastAsia" w:ascii="宋体" w:hAnsi="宋体" w:cs="宋体"/>
                <w:szCs w:val="21"/>
                <w:highlight w:val="none"/>
                <w:lang w:val="en-US" w:eastAsia="zh-CN"/>
              </w:rPr>
              <w:t>4.</w:t>
            </w:r>
            <w:r>
              <w:rPr>
                <w:rFonts w:hint="default" w:ascii="宋体" w:hAnsi="宋体" w:eastAsia="宋体" w:cs="宋体"/>
                <w:szCs w:val="21"/>
                <w:highlight w:val="none"/>
                <w:lang w:val="en-US"/>
              </w:rPr>
              <w:t>建设智慧展厅，实现长效运营。构建内容可动态更新、设备可智能管控、系统可迭代升级的数字化智慧展陈体系。支持学校后续新增科研成果、团队荣誉、项目成果、科创活动素材快速迭代更新，无需大规模硬件改造，长效保障展馆内容时效性、先进性，持续塑造桂工科创品牌形象。</w:t>
            </w:r>
          </w:p>
          <w:p w14:paraId="D504EDD1">
            <w:pPr>
              <w:tabs>
                <w:tab w:val="left" w:pos="180"/>
                <w:tab w:val="left" w:pos="1620"/>
              </w:tabs>
              <w:wordWrap w:val="0"/>
              <w:topLinePunct/>
              <w:spacing w:line="360" w:lineRule="auto"/>
              <w:ind w:firstLine="420" w:firstLineChars="200"/>
              <w:jc w:val="left"/>
              <w:rPr>
                <w:rFonts w:hint="eastAsia" w:ascii="宋体" w:hAnsi="宋体" w:eastAsia="宋体" w:cs="宋体"/>
                <w:szCs w:val="21"/>
                <w:highlight w:val="none"/>
              </w:rPr>
            </w:pPr>
            <w:r>
              <w:rPr>
                <w:rFonts w:hint="eastAsia" w:ascii="宋体" w:hAnsi="宋体" w:cs="宋体"/>
                <w:szCs w:val="21"/>
                <w:highlight w:val="none"/>
                <w:lang w:val="en-US" w:eastAsia="zh-CN"/>
              </w:rPr>
              <w:t>5.</w:t>
            </w:r>
            <w:r>
              <w:rPr>
                <w:rFonts w:hint="default" w:ascii="宋体" w:hAnsi="宋体" w:eastAsia="宋体" w:cs="宋体"/>
                <w:szCs w:val="21"/>
                <w:highlight w:val="none"/>
                <w:lang w:val="en-US"/>
              </w:rPr>
              <w:t>规范提质建设，保障安全合规。服务全过程严格遵循校园场馆建设、装饰装修、消防安全、智能化建设相关规范标准，合理规划参观动线、功能分区、灯光声学、安全防护及无障碍设施，兼顾美观性、专业性、安全性与实用性，适配校内教学育人、校外政务接待、企业洽谈、科普研学等多场景常态化使用需求。</w:t>
            </w:r>
          </w:p>
          <w:p w14:paraId="418AA1AC">
            <w:pPr>
              <w:wordWrap w:val="0"/>
              <w:topLinePunct/>
              <w:spacing w:line="360" w:lineRule="auto"/>
              <w:ind w:firstLine="422" w:firstLineChars="200"/>
              <w:jc w:val="left"/>
              <w:rPr>
                <w:rFonts w:hint="eastAsia" w:ascii="宋体" w:hAnsi="宋体" w:eastAsia="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二</w:t>
            </w:r>
            <w:r>
              <w:rPr>
                <w:rFonts w:hint="eastAsia" w:ascii="宋体" w:hAnsi="宋体" w:cs="宋体"/>
                <w:b/>
                <w:szCs w:val="21"/>
                <w:highlight w:val="none"/>
                <w:lang w:eastAsia="zh-CN"/>
              </w:rPr>
              <w:t>）</w:t>
            </w:r>
            <w:r>
              <w:rPr>
                <w:rFonts w:hint="eastAsia" w:ascii="宋体" w:hAnsi="宋体" w:eastAsia="宋体" w:cs="宋体"/>
                <w:b/>
                <w:szCs w:val="21"/>
                <w:highlight w:val="none"/>
              </w:rPr>
              <w:t>项目定位</w:t>
            </w:r>
          </w:p>
          <w:p w14:paraId="725738C6">
            <w:pPr>
              <w:tabs>
                <w:tab w:val="left" w:pos="180"/>
                <w:tab w:val="left" w:pos="1620"/>
              </w:tabs>
              <w:wordWrap w:val="0"/>
              <w:topLinePunct/>
              <w:spacing w:line="360" w:lineRule="auto"/>
              <w:ind w:firstLine="420" w:firstLineChars="200"/>
              <w:jc w:val="left"/>
              <w:rPr>
                <w:rFonts w:hint="eastAsia" w:ascii="宋体" w:hAnsi="宋体" w:eastAsia="宋体" w:cs="宋体"/>
                <w:szCs w:val="21"/>
                <w:highlight w:val="none"/>
              </w:rPr>
            </w:pPr>
            <w:r>
              <w:rPr>
                <w:rFonts w:hint="default" w:ascii="宋体" w:hAnsi="宋体" w:eastAsia="宋体" w:cs="宋体"/>
                <w:szCs w:val="21"/>
                <w:highlight w:val="none"/>
                <w:lang w:val="en-US"/>
              </w:rPr>
              <w:t>本项目采购桂林理工大学“雁山智慧谷·桂工科创之窗”展示中心展陈服务，建成的展示中心是学校科技创新核心展示窗口、科创育人核心阵地、产学研深度对接枢纽。项目立足雁山智慧谷科创发展整体布局，依托学校资源环境、材料科学、土木工程等优势特色学科，面向政府单位、企事业单位、在校师生及社会公众；融合实体场景展陈与数字化智慧展示技术，集中呈现学校重大科研成果、科创平台、人才团队及科技产业转化典型案例，打造集成果推介、学术交流、研学科普、校企对接于一体的复合型智慧展厅，充分彰显“地质报国、科创兴桂”办学理念，突出高校服务广西区域产业高质量发展的使命担当。</w:t>
            </w:r>
          </w:p>
          <w:p w14:paraId="681EED9A">
            <w:pPr>
              <w:wordWrap w:val="0"/>
              <w:topLinePunct/>
              <w:spacing w:line="360" w:lineRule="auto"/>
              <w:ind w:firstLine="422" w:firstLineChars="200"/>
              <w:jc w:val="left"/>
              <w:rPr>
                <w:rFonts w:hint="eastAsia" w:ascii="宋体" w:hAnsi="宋体" w:eastAsia="宋体" w:cs="宋体"/>
                <w:b/>
                <w:szCs w:val="21"/>
                <w:highlight w:val="none"/>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三</w:t>
            </w:r>
            <w:r>
              <w:rPr>
                <w:rFonts w:hint="eastAsia" w:ascii="宋体" w:hAnsi="宋体" w:cs="宋体"/>
                <w:b/>
                <w:szCs w:val="21"/>
                <w:highlight w:val="none"/>
                <w:lang w:eastAsia="zh-CN"/>
              </w:rPr>
              <w:t>）</w:t>
            </w:r>
            <w:r>
              <w:rPr>
                <w:rFonts w:hint="eastAsia" w:ascii="宋体" w:hAnsi="宋体" w:eastAsia="宋体" w:cs="宋体"/>
                <w:b/>
                <w:szCs w:val="21"/>
                <w:highlight w:val="none"/>
              </w:rPr>
              <w:t>项目基本情况</w:t>
            </w:r>
          </w:p>
          <w:p w14:paraId="20FEF1F5">
            <w:pPr>
              <w:wordWrap w:val="0"/>
              <w:topLinePunct/>
              <w:spacing w:line="360" w:lineRule="auto"/>
              <w:ind w:firstLine="422" w:firstLineChars="200"/>
              <w:jc w:val="left"/>
              <w:rPr>
                <w:rFonts w:hint="eastAsia" w:ascii="宋体" w:hAnsi="宋体" w:eastAsia="宋体" w:cs="宋体"/>
                <w:szCs w:val="21"/>
                <w:highlight w:val="none"/>
              </w:rPr>
            </w:pPr>
            <w:r>
              <w:rPr>
                <w:rFonts w:hint="eastAsia" w:ascii="宋体" w:hAnsi="宋体" w:cs="宋体"/>
                <w:b/>
                <w:bCs/>
                <w:szCs w:val="21"/>
                <w:highlight w:val="none"/>
                <w:lang w:val="en-US" w:eastAsia="zh-CN"/>
              </w:rPr>
              <w:t>1.</w:t>
            </w:r>
            <w:r>
              <w:rPr>
                <w:rFonts w:hint="eastAsia" w:ascii="宋体" w:hAnsi="宋体" w:eastAsia="宋体" w:cs="宋体"/>
                <w:b/>
                <w:bCs/>
                <w:szCs w:val="21"/>
                <w:highlight w:val="none"/>
              </w:rPr>
              <w:t>项目概况</w:t>
            </w:r>
          </w:p>
          <w:p w14:paraId="1C66897D">
            <w:pPr>
              <w:wordWrap w:val="0"/>
              <w:topLinePunct/>
              <w:spacing w:line="360" w:lineRule="auto"/>
              <w:ind w:firstLine="420" w:firstLineChars="200"/>
              <w:jc w:val="left"/>
              <w:rPr>
                <w:rFonts w:hint="default" w:ascii="宋体" w:hAnsi="宋体" w:eastAsia="宋体" w:cs="宋体"/>
                <w:szCs w:val="21"/>
                <w:highlight w:val="none"/>
                <w:lang w:val="en-US"/>
              </w:rPr>
            </w:pPr>
            <w:r>
              <w:rPr>
                <w:rFonts w:hint="default" w:ascii="宋体" w:hAnsi="宋体" w:eastAsia="宋体" w:cs="宋体"/>
                <w:szCs w:val="21"/>
                <w:highlight w:val="none"/>
                <w:lang w:val="en-US"/>
              </w:rPr>
              <w:t>本项目为桂林理工大学“雁山智慧谷·桂工科创之窗”展示中心展陈服务采购项目，项目实施地点：桂林市雁山区雁山科创园一层，规划布展总面积约694㎡。</w:t>
            </w:r>
          </w:p>
          <w:p w14:paraId="3BE8E508">
            <w:pPr>
              <w:wordWrap w:val="0"/>
              <w:topLinePunct/>
              <w:spacing w:line="360" w:lineRule="auto"/>
              <w:ind w:firstLine="420" w:firstLineChars="200"/>
              <w:jc w:val="left"/>
              <w:rPr>
                <w:rFonts w:hint="eastAsia" w:ascii="宋体" w:hAnsi="宋体" w:eastAsia="宋体" w:cs="宋体"/>
                <w:szCs w:val="21"/>
                <w:highlight w:val="none"/>
              </w:rPr>
            </w:pPr>
            <w:r>
              <w:rPr>
                <w:rFonts w:hint="default" w:ascii="宋体" w:hAnsi="宋体" w:eastAsia="宋体" w:cs="宋体"/>
                <w:b w:val="0"/>
                <w:bCs w:val="0"/>
                <w:sz w:val="21"/>
                <w:szCs w:val="21"/>
                <w:highlight w:val="none"/>
                <w:lang w:val="en-US" w:eastAsia="zh-CN"/>
              </w:rPr>
              <w:t>采购人通过采购展陈服务，完成展示中心整体打造，建成校内科创品牌重点展示阵地，满足学校学科成果展示、校企对接、科创育人、对外政务接待及科普研学等多功能场景常态化对外开放使用。</w:t>
            </w:r>
          </w:p>
          <w:p w14:paraId="7A322A62">
            <w:pPr>
              <w:wordWrap w:val="0"/>
              <w:topLinePunct/>
              <w:spacing w:line="360" w:lineRule="auto"/>
              <w:ind w:firstLine="422" w:firstLineChars="200"/>
              <w:jc w:val="left"/>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2.</w:t>
            </w:r>
            <w:r>
              <w:rPr>
                <w:rFonts w:hint="default" w:ascii="宋体" w:hAnsi="宋体" w:cs="宋体"/>
                <w:b/>
                <w:bCs/>
                <w:szCs w:val="21"/>
                <w:highlight w:val="none"/>
                <w:lang w:val="en-US"/>
              </w:rPr>
              <w:t>服务内容范围</w:t>
            </w:r>
          </w:p>
          <w:p w14:paraId="5A361229">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供应商须提供全流程展陈服务，包含展示中心深化设计、方案优化、制作实施、现场布展、软硬件系统集成、调试运行、验收交付、操作培训、质保运维等全部服务工作。服务范围涵盖空间结构搭建、主题场景制作、展柜展台定制制作、图文内容陈列布展、强弱电配套布设、多媒体软硬件部署、智能化系统集成调试等相关配套工作，包含但不限于：</w:t>
            </w:r>
          </w:p>
          <w:p w14:paraId="CC651D43">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（1）</w:t>
            </w:r>
            <w:r>
              <w:rPr>
                <w:rFonts w:hint="default" w:ascii="宋体" w:hAnsi="宋体" w:eastAsia="宋体" w:cs="宋体"/>
                <w:b w:val="0"/>
                <w:szCs w:val="21"/>
                <w:highlight w:val="none"/>
                <w:lang w:val="en-US" w:eastAsia="zh-CN"/>
              </w:rPr>
              <w:t>展厅空间改造配套服务</w:t>
            </w:r>
          </w:p>
          <w:p w14:paraId="E9012D1F">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根据整体展陈设计方案及现场布展需求，提供展厅装饰美化、强电改造、弱电管线布设改造、隐蔽工程、现场收口等配套服务。所有实施内容、工艺标准以采购文件、设计成果及现场实际需求为准，保障整体空间风格统一、整洁美观、安全合规、坚固耐用。</w:t>
            </w:r>
          </w:p>
          <w:p w14:paraId="BBD6F143">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（2）</w:t>
            </w:r>
            <w:r>
              <w:rPr>
                <w:rFonts w:hint="default" w:ascii="宋体" w:hAnsi="宋体" w:eastAsia="宋体" w:cs="宋体"/>
                <w:b w:val="0"/>
                <w:szCs w:val="21"/>
                <w:highlight w:val="none"/>
                <w:lang w:val="en-US" w:eastAsia="zh-CN"/>
              </w:rPr>
              <w:t>展陈深化设计、制作安装与系统集成服务</w:t>
            </w:r>
          </w:p>
          <w:p w14:paraId="BC4F5B06">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1）</w:t>
            </w:r>
            <w:r>
              <w:rPr>
                <w:rFonts w:hint="default" w:ascii="宋体" w:hAnsi="宋体" w:eastAsia="宋体" w:cs="宋体"/>
                <w:b w:val="0"/>
                <w:szCs w:val="21"/>
                <w:highlight w:val="none"/>
                <w:lang w:val="en-US" w:eastAsia="zh-CN"/>
              </w:rPr>
              <w:t>依据项目整体展陈方案，完成全展厅施工图级深化设计，包含展陈展项、展墙展柜、造型场景、图文版面、专业展陈灯光、展陈总控逻辑等；并完成加工制作、现场安装、拼接收口、成品保护；确保整体效果与主题风格统一、工艺精良、安全稳固。</w:t>
            </w:r>
          </w:p>
          <w:p w14:paraId="43EE457F">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2）</w:t>
            </w:r>
            <w:r>
              <w:rPr>
                <w:rFonts w:hint="default" w:ascii="宋体" w:hAnsi="宋体" w:eastAsia="宋体" w:cs="宋体"/>
                <w:b w:val="0"/>
                <w:szCs w:val="21"/>
                <w:highlight w:val="none"/>
                <w:lang w:val="en-US" w:eastAsia="zh-CN"/>
              </w:rPr>
              <w:t>提供全展厅多媒体系统、智能交互终端、音视频系统整体集成服务，开展点位优化、管线规整、系统联调测试；合理规划设备安装位置，实现设备隐蔽布设、管线整洁，实现硬件设备、软件系统、静态展陈、动态交互场景稳定联动运行。</w:t>
            </w:r>
          </w:p>
          <w:p w14:paraId="BA5C2282">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3）</w:t>
            </w:r>
            <w:r>
              <w:rPr>
                <w:rFonts w:hint="default" w:ascii="宋体" w:hAnsi="宋体" w:eastAsia="宋体" w:cs="宋体"/>
                <w:b w:val="0"/>
                <w:szCs w:val="21"/>
                <w:highlight w:val="none"/>
                <w:lang w:val="en-US" w:eastAsia="zh-CN"/>
              </w:rPr>
              <w:t>现场前期预处理及保护性施工配套服务</w:t>
            </w:r>
          </w:p>
          <w:p w14:paraId="37E3BF99">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提供进场前全部前期配套服务：现场原有非保留构件合规拆除、垃圾清运、场地平整；对现场原有建筑、设施、管线、门窗进行全覆盖成品保护；落实安全防护、文明施工、场地复原等工作，施工过程不得损坏原有建构筑物设施。</w:t>
            </w:r>
          </w:p>
          <w:p w14:paraId="02ED11F2">
            <w:pPr>
              <w:wordWrap w:val="0"/>
              <w:topLinePunct/>
              <w:spacing w:line="360" w:lineRule="auto"/>
              <w:ind w:firstLine="420" w:firstLineChars="200"/>
              <w:jc w:val="left"/>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4）</w:t>
            </w:r>
            <w:r>
              <w:rPr>
                <w:rFonts w:hint="default" w:ascii="宋体" w:hAnsi="宋体" w:eastAsia="宋体" w:cs="宋体"/>
                <w:b w:val="0"/>
                <w:szCs w:val="21"/>
                <w:highlight w:val="none"/>
                <w:lang w:val="en-US" w:eastAsia="zh-CN"/>
              </w:rPr>
              <w:t>整体交付要求</w:t>
            </w:r>
          </w:p>
          <w:p w14:paraId="F7BDAE7C">
            <w:pPr>
              <w:wordWrap w:val="0"/>
              <w:topLinePunct/>
              <w:spacing w:line="360" w:lineRule="auto"/>
              <w:ind w:firstLine="420" w:firstLineChars="200"/>
              <w:jc w:val="left"/>
              <w:rPr>
                <w:rFonts w:hint="eastAsia"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供应商完成全部展陈服务，最终交付达到展馆常态化开放标准；完整移交竣工资料、设备资料、操作手册；对校方管理人员开展免费操作、运维培训，并提供合同约定的质保售后。</w:t>
            </w:r>
          </w:p>
          <w:p w14:paraId="2326C4D0">
            <w:pPr>
              <w:wordWrap w:val="0"/>
              <w:topLinePunct/>
              <w:spacing w:line="360" w:lineRule="auto"/>
              <w:ind w:firstLine="422" w:firstLineChars="200"/>
              <w:jc w:val="left"/>
              <w:rPr>
                <w:rFonts w:hint="eastAsia" w:ascii="宋体" w:hAnsi="宋体" w:eastAsia="宋体" w:cs="宋体"/>
                <w:b/>
                <w:szCs w:val="21"/>
                <w:highlight w:val="none"/>
              </w:rPr>
            </w:pPr>
            <w:r>
              <w:rPr>
                <w:rFonts w:hint="eastAsia" w:ascii="宋体" w:hAnsi="宋体" w:cs="宋体"/>
                <w:b/>
                <w:szCs w:val="21"/>
                <w:highlight w:val="none"/>
                <w:lang w:val="en-US" w:eastAsia="zh-CN"/>
              </w:rPr>
              <w:t>（四）</w:t>
            </w:r>
            <w:r>
              <w:rPr>
                <w:rFonts w:hint="eastAsia" w:ascii="宋体" w:hAnsi="宋体" w:eastAsia="宋体" w:cs="宋体"/>
                <w:b/>
                <w:szCs w:val="21"/>
                <w:highlight w:val="none"/>
              </w:rPr>
              <w:t>执行的主要标准与规范要求</w:t>
            </w:r>
          </w:p>
          <w:p w14:paraId="3FCCC2DF">
            <w:pPr>
              <w:wordWrap w:val="0"/>
              <w:topLinePunct/>
              <w:spacing w:line="360" w:lineRule="auto"/>
              <w:ind w:firstLine="420" w:firstLineChars="200"/>
              <w:jc w:val="left"/>
              <w:rPr>
                <w:rFonts w:hint="default" w:ascii="宋体" w:hAnsi="宋体" w:eastAsia="宋体" w:cs="宋体"/>
                <w:spacing w:val="-3"/>
                <w:kern w:val="0"/>
                <w:szCs w:val="21"/>
                <w:highlight w:val="none"/>
                <w:lang w:val="en-US" w:eastAsia="zh-CN"/>
              </w:rPr>
            </w:pPr>
            <w:r>
              <w:rPr>
                <w:rFonts w:hint="default" w:ascii="宋体" w:hAnsi="宋体" w:eastAsia="宋体" w:cs="宋体"/>
                <w:szCs w:val="21"/>
                <w:highlight w:val="none"/>
                <w:lang w:val="en-US"/>
              </w:rPr>
              <w:t>本项目为展陈服务项目，服务全过程须严格遵守国家、行业现行有效的法律法规、规范标准。同一事项存在多重标准时，执行要求更严格的标准；文件存在更新修订的，以合同签订之日现行有效最新版本为准。本项目属于校园科创展示展厅，无文物展品时，博物馆文物类规范作为参考执行；涉及展品安全、展陈工艺、空间安全部分严格遵照执行。</w:t>
            </w:r>
          </w:p>
          <w:p w14:paraId="426EE9BF">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1.</w:t>
            </w:r>
            <w:r>
              <w:rPr>
                <w:rFonts w:hint="default" w:ascii="宋体" w:hAnsi="宋体" w:eastAsia="宋体" w:cs="宋体"/>
                <w:b/>
                <w:bCs/>
                <w:spacing w:val="-3"/>
                <w:kern w:val="0"/>
                <w:szCs w:val="21"/>
                <w:highlight w:val="none"/>
                <w:lang w:val="en-US" w:eastAsia="zh-CN"/>
              </w:rPr>
              <w:t>法律法规文件</w:t>
            </w:r>
          </w:p>
          <w:p w14:paraId="6B1129FA">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《中华人民共和国消防法》</w:t>
            </w:r>
          </w:p>
          <w:p w14:paraId="0F0F6C9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《博物馆条例》</w:t>
            </w:r>
          </w:p>
          <w:p w14:paraId="AE9578A8">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《博物馆管理办法》</w:t>
            </w:r>
          </w:p>
          <w:p w14:paraId="FC2F9938">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《国家文物局 应急管理部关于进一步加强文物消防安全工作的指导意见》</w:t>
            </w:r>
          </w:p>
          <w:p w14:paraId="B285945E">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（5）</w:t>
            </w:r>
            <w:r>
              <w:rPr>
                <w:rFonts w:hint="default" w:ascii="宋体" w:hAnsi="宋体" w:eastAsia="宋体" w:cs="宋体"/>
                <w:spacing w:val="-3"/>
                <w:kern w:val="0"/>
                <w:szCs w:val="21"/>
                <w:highlight w:val="none"/>
                <w:lang w:val="en-US" w:eastAsia="zh-CN"/>
              </w:rPr>
              <w:t>《关于加强高校博物馆管理工作的意见》</w:t>
            </w:r>
          </w:p>
          <w:p w14:paraId="A857048D">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2.</w:t>
            </w:r>
            <w:r>
              <w:rPr>
                <w:rFonts w:hint="default" w:ascii="宋体" w:hAnsi="宋体" w:eastAsia="宋体" w:cs="宋体"/>
                <w:b/>
                <w:bCs/>
                <w:spacing w:val="-3"/>
                <w:kern w:val="0"/>
                <w:szCs w:val="21"/>
                <w:highlight w:val="none"/>
                <w:lang w:val="en-US" w:eastAsia="zh-CN"/>
              </w:rPr>
              <w:t>建筑防火与施工相关规范</w:t>
            </w:r>
          </w:p>
          <w:p w14:paraId="F8DDF94D">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《建筑设计防火规范（2018年版）》（GB 50016-2014）</w:t>
            </w:r>
          </w:p>
          <w:p w14:paraId="425CD5F3">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《建筑内部装修设计防火规范》（GB 50222-2017）</w:t>
            </w:r>
          </w:p>
          <w:p w14:paraId="CCA3F88F">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《自动喷水灭火系统施工及验收规范》（GB 50261-2017）</w:t>
            </w:r>
          </w:p>
          <w:p w14:paraId="3EE3B5C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《气体灭火系统施工及验收规范》（GB 50263-2007）</w:t>
            </w:r>
          </w:p>
          <w:p w14:paraId="58A0AF08">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3.</w:t>
            </w:r>
            <w:r>
              <w:rPr>
                <w:rFonts w:hint="default" w:ascii="宋体" w:hAnsi="宋体" w:eastAsia="宋体" w:cs="宋体"/>
                <w:b/>
                <w:bCs/>
                <w:spacing w:val="-3"/>
                <w:kern w:val="0"/>
                <w:szCs w:val="21"/>
                <w:highlight w:val="none"/>
                <w:lang w:val="en-US" w:eastAsia="zh-CN"/>
              </w:rPr>
              <w:t>装饰装修、电气工程规范</w:t>
            </w:r>
          </w:p>
          <w:p w14:paraId="204D2221">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《建筑装饰装修工程质量验收标准》（GB 50210-2018）</w:t>
            </w:r>
          </w:p>
          <w:p w14:paraId="CC2FD723">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 xml:space="preserve">《建筑电气工程施工质量验收规范》（GB 50303-2015） </w:t>
            </w:r>
          </w:p>
          <w:p w14:paraId="6CE2DDAA">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4.</w:t>
            </w:r>
            <w:r>
              <w:rPr>
                <w:rFonts w:hint="default" w:ascii="宋体" w:hAnsi="宋体" w:eastAsia="宋体" w:cs="宋体"/>
                <w:b/>
                <w:bCs/>
                <w:spacing w:val="-3"/>
                <w:kern w:val="0"/>
                <w:szCs w:val="21"/>
                <w:highlight w:val="none"/>
                <w:lang w:val="en-US" w:eastAsia="zh-CN"/>
              </w:rPr>
              <w:t>电气与智能化系统规范</w:t>
            </w:r>
          </w:p>
          <w:p w14:paraId="33A40F92">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《民用建筑电气设计标准》（GB 51348-2019）</w:t>
            </w:r>
          </w:p>
          <w:p w14:paraId="054DA97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《智能建筑设计标准》（GB 50314-2015）</w:t>
            </w:r>
          </w:p>
          <w:p w14:paraId="80DCF87D">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《智能建筑工程质量验收规范》（GB 50339-2013）</w:t>
            </w:r>
          </w:p>
          <w:p w14:paraId="D358B663">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《视频显示系统工程技术规范》（GB 50464-2017）</w:t>
            </w:r>
          </w:p>
          <w:p w14:paraId="B37D7F0B">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（5）</w:t>
            </w:r>
            <w:r>
              <w:rPr>
                <w:rFonts w:hint="default" w:ascii="宋体" w:hAnsi="宋体" w:eastAsia="宋体" w:cs="宋体"/>
                <w:spacing w:val="-3"/>
                <w:kern w:val="0"/>
                <w:szCs w:val="21"/>
                <w:highlight w:val="none"/>
                <w:lang w:val="en-US" w:eastAsia="zh-CN"/>
              </w:rPr>
              <w:t>《厅堂扩声系统设计规范》（GB 50371-2012）</w:t>
            </w:r>
          </w:p>
          <w:p w14:paraId="6824BDC9">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（6）</w:t>
            </w:r>
            <w:r>
              <w:rPr>
                <w:rFonts w:hint="default" w:ascii="宋体" w:hAnsi="宋体" w:eastAsia="宋体" w:cs="宋体"/>
                <w:spacing w:val="-3"/>
                <w:kern w:val="0"/>
                <w:szCs w:val="21"/>
                <w:highlight w:val="none"/>
                <w:lang w:val="en-US" w:eastAsia="zh-CN"/>
              </w:rPr>
              <w:t>《公共广播系统工程技术规范》（GB 50526-2010）</w:t>
            </w:r>
          </w:p>
          <w:p w14:paraId="BFE0135A">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5.</w:t>
            </w:r>
            <w:r>
              <w:rPr>
                <w:rFonts w:hint="default" w:ascii="宋体" w:hAnsi="宋体" w:eastAsia="宋体" w:cs="宋体"/>
                <w:b/>
                <w:bCs/>
                <w:spacing w:val="-3"/>
                <w:kern w:val="0"/>
                <w:szCs w:val="21"/>
                <w:highlight w:val="none"/>
                <w:lang w:val="en-US" w:eastAsia="zh-CN"/>
              </w:rPr>
              <w:t>博物馆展陈专项规范</w:t>
            </w:r>
          </w:p>
          <w:p w14:paraId="4BA99498">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《博物馆建筑设计规范》（JGJ 66-2015）</w:t>
            </w:r>
          </w:p>
          <w:p w14:paraId="28D67B84">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《博物馆照明设计规范》（GB/T 23863-2024）</w:t>
            </w:r>
          </w:p>
          <w:p w14:paraId="28139303">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《博物馆陈列展览形式设计与施工规范》（WW/T 0089-2018）</w:t>
            </w:r>
          </w:p>
          <w:p w14:paraId="06703EDA">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《博物馆展览内容设计规范》（WW/T 0088-2018）</w:t>
            </w:r>
          </w:p>
          <w:p w14:paraId="96C2BF57">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（5）</w:t>
            </w:r>
            <w:r>
              <w:rPr>
                <w:rFonts w:hint="default" w:ascii="宋体" w:hAnsi="宋体" w:eastAsia="宋体" w:cs="宋体"/>
                <w:spacing w:val="-3"/>
                <w:kern w:val="0"/>
                <w:szCs w:val="21"/>
                <w:highlight w:val="none"/>
                <w:lang w:val="en-US" w:eastAsia="zh-CN"/>
              </w:rPr>
              <w:t>《文物展柜基本技术要求及检测》（GB/T 36111-2018）</w:t>
            </w:r>
          </w:p>
          <w:p w14:paraId="BF8573B9">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（6）</w:t>
            </w:r>
            <w:r>
              <w:rPr>
                <w:rFonts w:hint="default" w:ascii="宋体" w:hAnsi="宋体" w:eastAsia="宋体" w:cs="宋体"/>
                <w:spacing w:val="-3"/>
                <w:kern w:val="0"/>
                <w:szCs w:val="21"/>
                <w:highlight w:val="none"/>
                <w:lang w:val="en-US" w:eastAsia="zh-CN"/>
              </w:rPr>
              <w:t>《博物馆开放服务规范》（GB/T 36721-2018）</w:t>
            </w:r>
          </w:p>
          <w:p w14:paraId="F947D567">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6.</w:t>
            </w:r>
            <w:r>
              <w:rPr>
                <w:rFonts w:hint="default" w:ascii="宋体" w:hAnsi="宋体" w:eastAsia="宋体" w:cs="宋体"/>
                <w:b/>
                <w:bCs/>
                <w:spacing w:val="-3"/>
                <w:kern w:val="0"/>
                <w:szCs w:val="21"/>
                <w:highlight w:val="none"/>
                <w:lang w:val="en-US" w:eastAsia="zh-CN"/>
              </w:rPr>
              <w:t>安防、无障碍规范</w:t>
            </w:r>
          </w:p>
          <w:p w14:paraId="FEB364FE">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《安全防范工程技术标准》（GB 50348-2018）</w:t>
            </w:r>
          </w:p>
          <w:p w14:paraId="5040BD1A">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《博物馆和文物保护单位安全防范系统要求》（GB/T 16571-2012）</w:t>
            </w:r>
          </w:p>
          <w:p w14:paraId="97D2D5E2">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《建筑与市政工程无障碍通用规范》（GB 55019-2021）</w:t>
            </w:r>
          </w:p>
          <w:p w14:paraId="37DB18F7">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《无障碍设计规范》（GB 50763-2012）</w:t>
            </w:r>
          </w:p>
          <w:p w14:paraId="C77DC6CB">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7.</w:t>
            </w:r>
            <w:r>
              <w:rPr>
                <w:rFonts w:hint="default" w:ascii="宋体" w:hAnsi="宋体" w:eastAsia="宋体" w:cs="宋体"/>
                <w:b/>
                <w:bCs/>
                <w:spacing w:val="-3"/>
                <w:kern w:val="0"/>
                <w:szCs w:val="21"/>
                <w:highlight w:val="none"/>
                <w:lang w:val="en-US" w:eastAsia="zh-CN"/>
              </w:rPr>
              <w:t>室内环境、采光照明规范</w:t>
            </w:r>
          </w:p>
          <w:p w14:paraId="7FC05A98">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《民用建筑工程室内环境污染控制标准》（GB 50325-2020）</w:t>
            </w:r>
          </w:p>
          <w:p w14:paraId="BD357DA3">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《室内空气质量标准》（GB/T 18883-2022）</w:t>
            </w:r>
          </w:p>
          <w:p w14:paraId="9B936F2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《建筑采光设计标准》（GB/T 50033-2013）</w:t>
            </w:r>
          </w:p>
          <w:p w14:paraId="7616145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《室内灯具光分布分类和照明设计参数标准》（T/CECS 56-2022）</w:t>
            </w:r>
          </w:p>
          <w:p w14:paraId="73B3FB5D">
            <w:pPr>
              <w:wordWrap w:val="0"/>
              <w:topLinePunct/>
              <w:spacing w:line="360" w:lineRule="auto"/>
              <w:ind w:firstLine="410" w:firstLineChars="200"/>
              <w:jc w:val="left"/>
              <w:rPr>
                <w:rFonts w:hint="default" w:ascii="宋体" w:hAnsi="宋体" w:eastAsia="宋体" w:cs="宋体"/>
                <w:b/>
                <w:bCs/>
                <w:spacing w:val="-3"/>
                <w:kern w:val="0"/>
                <w:szCs w:val="21"/>
                <w:highlight w:val="none"/>
                <w:lang w:val="en-US" w:eastAsia="zh-CN"/>
              </w:rPr>
            </w:pPr>
            <w:r>
              <w:rPr>
                <w:rFonts w:hint="eastAsia" w:ascii="宋体" w:hAnsi="宋体" w:cs="宋体"/>
                <w:b/>
                <w:bCs/>
                <w:spacing w:val="-3"/>
                <w:kern w:val="0"/>
                <w:szCs w:val="21"/>
                <w:highlight w:val="none"/>
                <w:lang w:val="en-US" w:eastAsia="zh-CN"/>
              </w:rPr>
              <w:t>8.</w:t>
            </w:r>
            <w:r>
              <w:rPr>
                <w:rFonts w:hint="default" w:ascii="宋体" w:hAnsi="宋体" w:eastAsia="宋体" w:cs="宋体"/>
                <w:b/>
                <w:bCs/>
                <w:spacing w:val="-3"/>
                <w:kern w:val="0"/>
                <w:szCs w:val="21"/>
                <w:highlight w:val="none"/>
                <w:lang w:val="en-US" w:eastAsia="zh-CN"/>
              </w:rPr>
              <w:t>环保材料限值规范</w:t>
            </w:r>
          </w:p>
          <w:p w14:paraId="D631A6AA">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（1）</w:t>
            </w:r>
            <w:r>
              <w:rPr>
                <w:rFonts w:hint="default" w:ascii="宋体" w:hAnsi="宋体" w:eastAsia="宋体" w:cs="宋体"/>
                <w:spacing w:val="-3"/>
                <w:kern w:val="0"/>
                <w:szCs w:val="21"/>
                <w:highlight w:val="none"/>
                <w:lang w:val="en-US" w:eastAsia="zh-CN"/>
              </w:rPr>
              <w:t>《室内装饰装修材料人造板及其制品中甲醛释放限量》（GB 18580-2017）</w:t>
            </w:r>
          </w:p>
          <w:p w14:paraId="CE3C110B">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（2）</w:t>
            </w:r>
            <w:r>
              <w:rPr>
                <w:rFonts w:hint="default" w:ascii="宋体" w:hAnsi="宋体" w:eastAsia="宋体" w:cs="宋体"/>
                <w:spacing w:val="-3"/>
                <w:kern w:val="0"/>
                <w:szCs w:val="21"/>
                <w:highlight w:val="none"/>
                <w:lang w:val="en-US" w:eastAsia="zh-CN"/>
              </w:rPr>
              <w:t>《木器涂料中有害物质限量》（GB 18581-2020）</w:t>
            </w:r>
          </w:p>
          <w:p w14:paraId="7C75BCAC">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（3）</w:t>
            </w:r>
            <w:r>
              <w:rPr>
                <w:rFonts w:hint="default" w:ascii="宋体" w:hAnsi="宋体" w:eastAsia="宋体" w:cs="宋体"/>
                <w:spacing w:val="-3"/>
                <w:kern w:val="0"/>
                <w:szCs w:val="21"/>
                <w:highlight w:val="none"/>
                <w:lang w:val="en-US" w:eastAsia="zh-CN"/>
              </w:rPr>
              <w:t>《建筑用墙面涂料中有害物质限量》（GB 18582-2020）</w:t>
            </w:r>
          </w:p>
          <w:p w14:paraId="08B3B48A">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（4）</w:t>
            </w:r>
            <w:r>
              <w:rPr>
                <w:rFonts w:hint="default" w:ascii="宋体" w:hAnsi="宋体" w:eastAsia="宋体" w:cs="宋体"/>
                <w:spacing w:val="-3"/>
                <w:kern w:val="0"/>
                <w:szCs w:val="21"/>
                <w:highlight w:val="none"/>
                <w:lang w:val="en-US" w:eastAsia="zh-CN"/>
              </w:rPr>
              <w:t>《室内装饰装修材料胶粘剂中有害物质限量》（GB 18583-2008）</w:t>
            </w:r>
          </w:p>
          <w:p w14:paraId="473CEC0E">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（5）</w:t>
            </w:r>
            <w:r>
              <w:rPr>
                <w:rFonts w:hint="default" w:ascii="宋体" w:hAnsi="宋体" w:eastAsia="宋体" w:cs="宋体"/>
                <w:spacing w:val="-3"/>
                <w:kern w:val="0"/>
                <w:szCs w:val="21"/>
                <w:highlight w:val="none"/>
                <w:lang w:val="en-US" w:eastAsia="zh-CN"/>
              </w:rPr>
              <w:t>《室内装饰装修材料木家具中有害物质限量》（GB 18584-2001）</w:t>
            </w:r>
          </w:p>
          <w:p w14:paraId="E3D3E6B6">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（6）</w:t>
            </w:r>
            <w:r>
              <w:rPr>
                <w:rFonts w:hint="default" w:ascii="宋体" w:hAnsi="宋体" w:eastAsia="宋体" w:cs="宋体"/>
                <w:spacing w:val="-3"/>
                <w:kern w:val="0"/>
                <w:szCs w:val="21"/>
                <w:highlight w:val="none"/>
                <w:lang w:val="en-US" w:eastAsia="zh-CN"/>
              </w:rPr>
              <w:t>《室内装饰装修材料壁纸中有害物质限量》（GB 18585-2023）</w:t>
            </w:r>
          </w:p>
          <w:p w14:paraId="4E82FA5F">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（7）</w:t>
            </w:r>
            <w:r>
              <w:rPr>
                <w:rFonts w:hint="default" w:ascii="宋体" w:hAnsi="宋体" w:eastAsia="宋体" w:cs="宋体"/>
                <w:spacing w:val="-3"/>
                <w:kern w:val="0"/>
                <w:szCs w:val="21"/>
                <w:highlight w:val="none"/>
                <w:lang w:val="en-US" w:eastAsia="zh-CN"/>
              </w:rPr>
              <w:t>《室内装饰装修材料聚氯乙烯卷材地板中有害物质限量》（GB 18586-2001）</w:t>
            </w:r>
          </w:p>
          <w:p w14:paraId="C1EC7CFB">
            <w:pPr>
              <w:wordWrap w:val="0"/>
              <w:topLinePunct/>
              <w:spacing w:line="360" w:lineRule="auto"/>
              <w:ind w:firstLine="408" w:firstLineChars="200"/>
              <w:jc w:val="left"/>
              <w:rPr>
                <w:rFonts w:hint="default" w:ascii="宋体" w:hAnsi="宋体" w:eastAsia="宋体" w:cs="宋体"/>
                <w:spacing w:val="-3"/>
                <w:kern w:val="0"/>
                <w:szCs w:val="21"/>
                <w:highlight w:val="none"/>
                <w:lang w:val="en-US" w:eastAsia="zh-CN"/>
              </w:rPr>
            </w:pPr>
            <w:r>
              <w:rPr>
                <w:rFonts w:hint="eastAsia" w:ascii="宋体" w:hAnsi="宋体" w:cs="宋体"/>
                <w:spacing w:val="-3"/>
                <w:kern w:val="0"/>
                <w:szCs w:val="21"/>
                <w:highlight w:val="none"/>
                <w:lang w:val="en-US" w:eastAsia="zh-CN"/>
              </w:rPr>
              <w:t>（8）</w:t>
            </w:r>
            <w:r>
              <w:rPr>
                <w:rFonts w:hint="default" w:ascii="宋体" w:hAnsi="宋体" w:eastAsia="宋体" w:cs="宋体"/>
                <w:spacing w:val="-3"/>
                <w:kern w:val="0"/>
                <w:szCs w:val="21"/>
                <w:highlight w:val="none"/>
                <w:lang w:val="en-US" w:eastAsia="zh-CN"/>
              </w:rPr>
              <w:t>《建筑材料放射性核素限量》（GB 6566-2010）</w:t>
            </w:r>
          </w:p>
          <w:p w14:paraId="17AEE79C">
            <w:pPr>
              <w:wordWrap w:val="0"/>
              <w:topLinePunct/>
              <w:spacing w:line="360" w:lineRule="auto"/>
              <w:ind w:firstLine="408" w:firstLineChars="200"/>
              <w:jc w:val="left"/>
              <w:rPr>
                <w:rFonts w:hint="eastAsia" w:ascii="宋体" w:hAnsi="宋体" w:eastAsia="宋体" w:cs="宋体"/>
                <w:spacing w:val="-3"/>
                <w:kern w:val="0"/>
                <w:szCs w:val="21"/>
                <w:highlight w:val="none"/>
              </w:rPr>
            </w:pPr>
            <w:r>
              <w:rPr>
                <w:rFonts w:hint="default" w:ascii="宋体" w:hAnsi="宋体" w:eastAsia="宋体" w:cs="宋体"/>
                <w:spacing w:val="-3"/>
                <w:kern w:val="0"/>
                <w:szCs w:val="21"/>
                <w:highlight w:val="none"/>
                <w:lang w:val="en-US" w:eastAsia="zh-CN"/>
              </w:rPr>
              <w:t>上述标准、规范仅为本项目服务实施最低执行依据，并未涵盖项目实施全部规范。供应商选用其他标准的，须在响应文件中书面说明，选用标准技术要求不得低于本文件所列标准。</w:t>
            </w:r>
            <w:bookmarkStart w:id="35" w:name="5.7_本项目详细技术需求"/>
            <w:bookmarkEnd w:id="35"/>
          </w:p>
          <w:p w14:paraId="347F6724">
            <w:pPr>
              <w:pStyle w:val="12"/>
              <w:numPr>
                <w:ilvl w:val="-1"/>
                <w:numId w:val="0"/>
              </w:numPr>
              <w:wordWrap w:val="0"/>
              <w:topLinePunct/>
              <w:spacing w:line="360" w:lineRule="auto"/>
              <w:ind w:firstLine="422" w:firstLineChars="200"/>
              <w:rPr>
                <w:rFonts w:hint="eastAsia" w:ascii="宋体" w:hAnsi="宋体" w:eastAsia="宋体" w:cs="宋体"/>
                <w:b/>
                <w:bCs/>
                <w:kern w:val="0"/>
                <w:szCs w:val="21"/>
                <w:highlight w:val="none"/>
              </w:rPr>
            </w:pPr>
            <w:r>
              <w:rPr>
                <w:rFonts w:hint="eastAsia" w:ascii="宋体" w:hAnsi="宋体" w:cs="宋体"/>
                <w:b/>
                <w:bCs/>
                <w:kern w:val="0"/>
                <w:szCs w:val="21"/>
                <w:highlight w:val="none"/>
                <w:lang w:eastAsia="zh-CN"/>
              </w:rPr>
              <w:t>（</w:t>
            </w:r>
            <w:r>
              <w:rPr>
                <w:rFonts w:hint="eastAsia" w:ascii="宋体" w:hAnsi="宋体" w:cs="宋体"/>
                <w:b/>
                <w:bCs/>
                <w:kern w:val="0"/>
                <w:szCs w:val="21"/>
                <w:highlight w:val="none"/>
                <w:lang w:val="en-US" w:eastAsia="zh-CN"/>
              </w:rPr>
              <w:t>五</w:t>
            </w:r>
            <w:r>
              <w:rPr>
                <w:rFonts w:hint="eastAsia" w:ascii="宋体" w:hAnsi="宋体" w:cs="宋体"/>
                <w:b/>
                <w:bCs/>
                <w:kern w:val="0"/>
                <w:szCs w:val="21"/>
                <w:highlight w:val="none"/>
                <w:lang w:eastAsia="zh-CN"/>
              </w:rPr>
              <w:t>）</w:t>
            </w:r>
            <w:r>
              <w:rPr>
                <w:rFonts w:hint="eastAsia" w:ascii="宋体" w:hAnsi="宋体" w:eastAsia="宋体" w:cs="宋体"/>
                <w:b/>
                <w:bCs/>
                <w:kern w:val="0"/>
                <w:szCs w:val="21"/>
                <w:highlight w:val="none"/>
              </w:rPr>
              <w:t>项目详细技术需求：</w:t>
            </w:r>
          </w:p>
          <w:p w14:paraId="38AAAB9F">
            <w:pPr>
              <w:wordWrap w:val="0"/>
              <w:topLinePunct/>
              <w:spacing w:line="360" w:lineRule="auto"/>
              <w:ind w:firstLine="408" w:firstLineChars="200"/>
              <w:jc w:val="left"/>
              <w:rPr>
                <w:rFonts w:hint="eastAsia" w:ascii="宋体" w:hAnsi="宋体" w:eastAsia="宋体" w:cs="宋体"/>
                <w:spacing w:val="-3"/>
                <w:kern w:val="0"/>
                <w:szCs w:val="21"/>
                <w:highlight w:val="none"/>
              </w:rPr>
            </w:pPr>
            <w:r>
              <w:rPr>
                <w:rFonts w:hint="eastAsia" w:ascii="宋体" w:hAnsi="宋体" w:eastAsia="宋体" w:cs="宋体"/>
                <w:spacing w:val="-3"/>
                <w:kern w:val="0"/>
                <w:szCs w:val="21"/>
                <w:highlight w:val="none"/>
              </w:rPr>
              <w:t>详见</w:t>
            </w:r>
            <w:r>
              <w:rPr>
                <w:rFonts w:hint="eastAsia" w:ascii="宋体" w:hAnsi="宋体" w:cs="宋体"/>
                <w:spacing w:val="-3"/>
                <w:kern w:val="0"/>
                <w:szCs w:val="21"/>
                <w:highlight w:val="none"/>
                <w:lang w:eastAsia="zh-CN"/>
              </w:rPr>
              <w:t>服务清单</w:t>
            </w:r>
            <w:r>
              <w:rPr>
                <w:rFonts w:hint="eastAsia" w:ascii="宋体" w:hAnsi="宋体" w:eastAsia="宋体" w:cs="宋体"/>
                <w:spacing w:val="-3"/>
                <w:kern w:val="0"/>
                <w:szCs w:val="21"/>
                <w:highlight w:val="none"/>
              </w:rPr>
              <w:t xml:space="preserve">、图纸的相关内容。 </w:t>
            </w:r>
          </w:p>
          <w:p w14:paraId="24871F03">
            <w:pPr>
              <w:pStyle w:val="12"/>
              <w:widowControl w:val="0"/>
              <w:numPr>
                <w:ilvl w:val="-1"/>
                <w:numId w:val="0"/>
              </w:numPr>
              <w:wordWrap w:val="0"/>
              <w:topLinePunct/>
              <w:spacing w:line="360" w:lineRule="auto"/>
              <w:ind w:firstLine="422" w:firstLineChars="200"/>
              <w:jc w:val="left"/>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1.</w:t>
            </w:r>
            <w:r>
              <w:rPr>
                <w:rFonts w:hint="eastAsia" w:ascii="宋体" w:hAnsi="宋体" w:cs="宋体"/>
                <w:b/>
                <w:bCs/>
                <w:kern w:val="0"/>
                <w:szCs w:val="21"/>
                <w:highlight w:val="none"/>
                <w:lang w:eastAsia="zh-CN"/>
              </w:rPr>
              <w:t>服务清单</w:t>
            </w:r>
            <w:r>
              <w:rPr>
                <w:rFonts w:hint="eastAsia" w:ascii="宋体" w:hAnsi="宋体" w:eastAsia="宋体" w:cs="宋体"/>
                <w:b/>
                <w:bCs/>
                <w:kern w:val="0"/>
                <w:szCs w:val="21"/>
                <w:highlight w:val="none"/>
              </w:rPr>
              <w:t>其他说明</w:t>
            </w:r>
          </w:p>
          <w:p w14:paraId="21C24FFE">
            <w:pPr>
              <w:wordWrap w:val="0"/>
              <w:topLinePunct/>
              <w:spacing w:line="360" w:lineRule="auto"/>
              <w:ind w:firstLine="408" w:firstLineChars="200"/>
              <w:jc w:val="left"/>
              <w:rPr>
                <w:rFonts w:hint="eastAsia" w:ascii="宋体" w:hAnsi="宋体" w:eastAsia="宋体" w:cs="宋体"/>
                <w:spacing w:val="-3"/>
                <w:kern w:val="0"/>
                <w:szCs w:val="21"/>
                <w:highlight w:val="none"/>
              </w:rPr>
            </w:pPr>
            <w:r>
              <w:rPr>
                <w:rFonts w:hint="eastAsia" w:ascii="宋体" w:hAnsi="宋体" w:cs="宋体"/>
                <w:spacing w:val="-3"/>
                <w:kern w:val="0"/>
                <w:sz w:val="21"/>
                <w:szCs w:val="21"/>
                <w:highlight w:val="none"/>
                <w:lang w:val="en-US" w:eastAsia="zh-CN"/>
              </w:rPr>
              <w:t>（1）</w:t>
            </w:r>
            <w:r>
              <w:rPr>
                <w:rFonts w:hint="default" w:ascii="宋体" w:hAnsi="宋体" w:cs="宋体"/>
                <w:spacing w:val="-3"/>
                <w:kern w:val="0"/>
                <w:sz w:val="21"/>
                <w:szCs w:val="21"/>
                <w:highlight w:val="none"/>
                <w:lang w:val="en-US" w:eastAsia="zh-CN"/>
              </w:rPr>
              <w:t>本采购文件所载服务清单仅作为供应商报价参考依据。成交供应商最终交付的全部展陈服务内容，须全面覆盖本项目建设目标、项目定位、项目基本情况及总体要求，完整落地全部实施工作，100%满足采购人实际使用功能、展示效果需求。成交供应商须无条件完成本展厅全部展陈服务及配套实施任务；为完成本项目达到交付标准所需产生的一切费用，均已包含在合同包干总价内。本项目实行固定总价包干，合同履约期间，除合同另有明确约定情形外，合同总价不作任何上调。</w:t>
            </w:r>
          </w:p>
          <w:p w14:paraId="0B80C97A">
            <w:pPr>
              <w:wordWrap w:val="0"/>
              <w:topLinePunct/>
              <w:spacing w:line="360" w:lineRule="auto"/>
              <w:ind w:firstLine="420" w:firstLineChars="200"/>
              <w:jc w:val="left"/>
              <w:rPr>
                <w:rFonts w:hint="default"/>
                <w:highlight w:val="none"/>
                <w:lang w:val="en-US"/>
              </w:rPr>
            </w:pPr>
            <w:r>
              <w:rPr>
                <w:rFonts w:hint="eastAsia" w:ascii="宋体" w:hAnsi="宋体" w:cs="宋体"/>
                <w:highlight w:val="none"/>
                <w:lang w:val="en-US" w:eastAsia="zh-CN"/>
              </w:rPr>
              <w:t>（2）</w:t>
            </w:r>
            <w:r>
              <w:rPr>
                <w:rFonts w:hint="default"/>
                <w:highlight w:val="none"/>
                <w:lang w:val="en-US"/>
              </w:rPr>
              <w:t>项目实施阶段，为保障展厅最终整体展示效果达到采购预期，采购人有权对双方已书面确认的实施方案、服务清单提出细节优化、局部微调、效果完善类调整需求，成交供应商须无条件配合实施，该类合理微调产生的相关费用已包含在合同包干总价内，采购人不另行付费。</w:t>
            </w:r>
          </w:p>
          <w:p w14:paraId="23CB9869">
            <w:pPr>
              <w:wordWrap w:val="0"/>
              <w:topLinePunct/>
              <w:spacing w:line="360" w:lineRule="auto"/>
              <w:ind w:firstLine="422" w:firstLineChars="200"/>
              <w:jc w:val="left"/>
              <w:rPr>
                <w:rFonts w:hint="eastAsia" w:ascii="宋体" w:hAnsi="宋体" w:eastAsia="宋体" w:cs="宋体"/>
                <w:b/>
                <w:bCs/>
                <w:kern w:val="0"/>
                <w:szCs w:val="21"/>
                <w:highlight w:val="none"/>
              </w:rPr>
            </w:pPr>
            <w:r>
              <w:rPr>
                <w:rFonts w:hint="default"/>
                <w:b/>
                <w:bCs/>
                <w:highlight w:val="none"/>
                <w:lang w:val="en-US"/>
              </w:rPr>
              <w:t>注</w:t>
            </w:r>
            <w:r>
              <w:rPr>
                <w:rFonts w:hint="eastAsia"/>
                <w:b/>
                <w:bCs/>
                <w:highlight w:val="none"/>
                <w:lang w:val="en-US" w:eastAsia="zh-CN"/>
              </w:rPr>
              <w:t>：</w:t>
            </w:r>
            <w:r>
              <w:rPr>
                <w:rFonts w:hint="default" w:ascii="宋体" w:hAnsi="宋体" w:eastAsia="宋体" w:cs="宋体"/>
                <w:b/>
                <w:bCs/>
                <w:kern w:val="0"/>
                <w:szCs w:val="21"/>
                <w:highlight w:val="none"/>
                <w:lang w:val="en-US"/>
              </w:rPr>
              <w:t>如涉及展区布局重大调整、新增独立展项、展陈规模实质性扩充等重大变更，双方按照政府采购相关法律法规另行协商，依法履行变更程序及费用核算。</w:t>
            </w:r>
          </w:p>
          <w:p w14:paraId="49DBB99D">
            <w:pPr>
              <w:wordWrap w:val="0"/>
              <w:topLinePunct/>
              <w:spacing w:line="360" w:lineRule="auto"/>
              <w:ind w:left="0" w:firstLine="422" w:firstLineChars="200"/>
              <w:jc w:val="left"/>
              <w:rPr>
                <w:rFonts w:hint="default" w:ascii="宋体" w:hAnsi="宋体" w:eastAsia="宋体" w:cs="宋体"/>
                <w:b/>
                <w:bCs/>
                <w:w w:val="99"/>
                <w:kern w:val="0"/>
                <w:szCs w:val="21"/>
                <w:highlight w:val="none"/>
                <w:lang w:val="en-US" w:eastAsia="zh-CN"/>
              </w:rPr>
            </w:pPr>
            <w:r>
              <w:rPr>
                <w:rFonts w:hint="eastAsia" w:ascii="宋体" w:hAnsi="宋体" w:cs="宋体"/>
                <w:b/>
                <w:bCs/>
                <w:kern w:val="0"/>
                <w:szCs w:val="21"/>
                <w:highlight w:val="none"/>
                <w:lang w:val="en-US" w:eastAsia="zh-CN"/>
              </w:rPr>
              <w:t>2.</w:t>
            </w:r>
            <w:r>
              <w:rPr>
                <w:rFonts w:hint="default" w:ascii="宋体" w:hAnsi="宋体" w:cs="宋体"/>
                <w:b/>
                <w:bCs/>
                <w:kern w:val="0"/>
                <w:szCs w:val="21"/>
                <w:highlight w:val="none"/>
                <w:lang w:val="en-US" w:eastAsia="zh-CN"/>
              </w:rPr>
              <w:t>深化设计要求</w:t>
            </w:r>
          </w:p>
          <w:p w14:paraId="9404B4E2">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1</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深化设计范围：依据采购人提供的方案设计图纸，完成桂林理工大学“雁山智慧谷·桂工科创之窗”展示中心全部展陈内容深化设计工作。</w:t>
            </w:r>
          </w:p>
          <w:p w14:paraId="BA78D1BA">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2</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设计深度：在采购人既定方案设计成果基础上开展深化设计，成果深度满足《建筑工程设计文件编制深度规定》(2016年版)相关要求，能够直接指导后续展陈实施。</w:t>
            </w:r>
          </w:p>
          <w:p w14:paraId="8E311FED">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3</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成果文件组成：包含设计说明书、总平面布局图、功能分区图、参观动线分析图、各展区空间深化图、色彩与材质深化方案、专业照明深化方案、多媒体系统深化方案。</w:t>
            </w:r>
          </w:p>
          <w:p w14:paraId="E0E1AF15">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4</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服务要求：全部深化设计方案须提交采购人组织评审，成交供应商须无条件配合采购人开展方案优化，完成不少于3轮方案修改完善，直至获得采购人书面确认。</w:t>
            </w:r>
          </w:p>
          <w:p w14:paraId="8F0961C3">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5</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效果图成果文件要求</w:t>
            </w:r>
          </w:p>
          <w:p w14:paraId="DF3DFFBF">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1）</w:t>
            </w:r>
            <w:r>
              <w:rPr>
                <w:rStyle w:val="36"/>
                <w:rFonts w:hint="eastAsia" w:ascii="宋体" w:hAnsi="宋体" w:eastAsia="宋体" w:cs="宋体"/>
                <w:b w:val="0"/>
                <w:highlight w:val="none"/>
              </w:rPr>
              <w:t>效果图数量：不少于20张，具体以</w:t>
            </w:r>
            <w:r>
              <w:rPr>
                <w:rStyle w:val="36"/>
                <w:rFonts w:hint="eastAsia" w:ascii="宋体" w:hAnsi="宋体" w:cs="宋体"/>
                <w:b w:val="0"/>
                <w:highlight w:val="none"/>
                <w:lang w:val="en-US" w:eastAsia="zh-CN"/>
              </w:rPr>
              <w:t>采购人要求</w:t>
            </w:r>
            <w:r>
              <w:rPr>
                <w:rStyle w:val="36"/>
                <w:rFonts w:hint="eastAsia" w:ascii="宋体" w:hAnsi="宋体" w:eastAsia="宋体" w:cs="宋体"/>
                <w:b w:val="0"/>
                <w:highlight w:val="none"/>
              </w:rPr>
              <w:t>为准，覆盖展厅门头、各主要展区及重点展项，效果图表现视角由采购人确定。</w:t>
            </w:r>
          </w:p>
          <w:p w14:paraId="6C4F8C43">
            <w:pPr>
              <w:widowControl/>
              <w:wordWrap w:val="0"/>
              <w:topLinePunct/>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2）</w:t>
            </w:r>
            <w:r>
              <w:rPr>
                <w:rStyle w:val="36"/>
                <w:rFonts w:hint="eastAsia" w:ascii="宋体" w:hAnsi="宋体" w:eastAsia="宋体" w:cs="宋体"/>
                <w:b w:val="0"/>
                <w:highlight w:val="none"/>
              </w:rPr>
              <w:t>技术标准：渲染效果图分辨率不低于4096×3072像素，采用写实材质贴图与真实灯光模拟，色彩还原真实准确，客观呈现落地效果，严禁过度美化、夸张修饰，不得误导方案评审。</w:t>
            </w:r>
          </w:p>
          <w:p w14:paraId="22BEE38B">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3）</w:t>
            </w:r>
            <w:r>
              <w:rPr>
                <w:rStyle w:val="36"/>
                <w:rFonts w:hint="eastAsia" w:ascii="宋体" w:hAnsi="宋体" w:eastAsia="宋体" w:cs="宋体"/>
                <w:b w:val="0"/>
                <w:highlight w:val="none"/>
              </w:rPr>
              <w:t>交付格式：交付JPG、TIFF高清效果图成品，同步提交完整三维模型源文件（保留全部材质、灯光参数，可供二次调整）。</w:t>
            </w:r>
          </w:p>
          <w:p w14:paraId="506AA5F0">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4）</w:t>
            </w:r>
            <w:r>
              <w:rPr>
                <w:rStyle w:val="36"/>
                <w:rFonts w:hint="eastAsia" w:ascii="宋体" w:hAnsi="宋体" w:eastAsia="宋体" w:cs="宋体"/>
                <w:b w:val="0"/>
                <w:highlight w:val="none"/>
              </w:rPr>
              <w:t>修改服务：每张效果图支持不少于2轮调整修改，直至采购人书面确认。</w:t>
            </w:r>
          </w:p>
          <w:p w14:paraId="B79C97CC">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eastAsia="zh-CN"/>
              </w:rPr>
              <w:t>（</w:t>
            </w:r>
            <w:r>
              <w:rPr>
                <w:rStyle w:val="36"/>
                <w:rFonts w:hint="eastAsia" w:ascii="宋体" w:hAnsi="宋体" w:cs="宋体"/>
                <w:b w:val="0"/>
                <w:highlight w:val="none"/>
                <w:lang w:val="en-US" w:eastAsia="zh-CN"/>
              </w:rPr>
              <w:t>6</w:t>
            </w:r>
            <w:r>
              <w:rPr>
                <w:rStyle w:val="36"/>
                <w:rFonts w:hint="eastAsia" w:ascii="宋体" w:hAnsi="宋体" w:cs="宋体"/>
                <w:b w:val="0"/>
                <w:highlight w:val="none"/>
                <w:lang w:eastAsia="zh-CN"/>
              </w:rPr>
              <w:t>）</w:t>
            </w:r>
            <w:r>
              <w:rPr>
                <w:rStyle w:val="36"/>
                <w:rFonts w:hint="eastAsia" w:ascii="宋体" w:hAnsi="宋体" w:eastAsia="宋体" w:cs="宋体"/>
                <w:b w:val="0"/>
                <w:highlight w:val="none"/>
              </w:rPr>
              <w:t>多媒体交互软件定制开发要求</w:t>
            </w:r>
          </w:p>
          <w:p w14:paraId="22C50DB0">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1）</w:t>
            </w:r>
            <w:r>
              <w:rPr>
                <w:rStyle w:val="36"/>
                <w:rFonts w:hint="eastAsia" w:ascii="宋体" w:hAnsi="宋体" w:eastAsia="宋体" w:cs="宋体"/>
                <w:b w:val="0"/>
                <w:highlight w:val="none"/>
              </w:rPr>
              <w:t>完成触控一体机全套界面原创视觉设计，包含首页、二级菜单、内容详情页面、弹窗界面、加载页面、无人值守待机屏保。</w:t>
            </w:r>
          </w:p>
          <w:p w14:paraId="17A84798">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2）</w:t>
            </w:r>
            <w:r>
              <w:rPr>
                <w:rStyle w:val="36"/>
                <w:rFonts w:hint="eastAsia" w:ascii="宋体" w:hAnsi="宋体" w:eastAsia="宋体" w:cs="宋体"/>
                <w:b w:val="0"/>
                <w:highlight w:val="none"/>
              </w:rPr>
              <w:t>界面尺寸适配项目所用触控一体机分辨率，优化触控按钮尺寸便于操作；配套多媒体交互动效设计（渐变、翻书、内容轮播等）。</w:t>
            </w:r>
          </w:p>
          <w:p w14:paraId="153F46CA">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3）</w:t>
            </w:r>
            <w:r>
              <w:rPr>
                <w:rStyle w:val="36"/>
                <w:rFonts w:hint="eastAsia" w:ascii="宋体" w:hAnsi="宋体" w:eastAsia="宋体" w:cs="宋体"/>
                <w:b w:val="0"/>
                <w:highlight w:val="none"/>
              </w:rPr>
              <w:t>交付分层可编辑设计源文件以及可直接部署运行的程序安装包；全部界面、素材为原创设计，不存在图片、字体、动效版权侵权纠纷，若产生版权争议，全部责任由成交供应商承担。</w:t>
            </w:r>
          </w:p>
          <w:p w14:paraId="4C24BBA3">
            <w:pPr>
              <w:wordWrap w:val="0"/>
              <w:topLinePunct/>
              <w:spacing w:line="360" w:lineRule="auto"/>
              <w:ind w:left="0" w:firstLine="422" w:firstLineChars="200"/>
              <w:jc w:val="left"/>
              <w:rPr>
                <w:rFonts w:hint="eastAsia" w:ascii="宋体" w:hAnsi="宋体" w:eastAsia="宋体" w:cs="宋体"/>
                <w:b w:val="0"/>
                <w:bCs w:val="0"/>
                <w:w w:val="99"/>
                <w:kern w:val="0"/>
                <w:szCs w:val="21"/>
                <w:highlight w:val="none"/>
                <w:lang w:val="en-US" w:eastAsia="zh-CN"/>
              </w:rPr>
            </w:pPr>
            <w:r>
              <w:rPr>
                <w:rStyle w:val="36"/>
                <w:rFonts w:hint="eastAsia" w:ascii="宋体" w:hAnsi="宋体" w:cs="宋体"/>
                <w:b/>
                <w:highlight w:val="none"/>
                <w:lang w:val="en-US" w:eastAsia="zh-CN"/>
              </w:rPr>
              <w:t>3.</w:t>
            </w:r>
            <w:r>
              <w:rPr>
                <w:rStyle w:val="36"/>
                <w:rFonts w:hint="eastAsia" w:ascii="宋体" w:hAnsi="宋体" w:eastAsia="宋体" w:cs="宋体"/>
                <w:b/>
                <w:highlight w:val="none"/>
              </w:rPr>
              <w:t>施工图设计要求</w:t>
            </w:r>
            <w:r>
              <w:rPr>
                <w:rFonts w:hint="eastAsia" w:ascii="宋体" w:hAnsi="宋体" w:eastAsia="宋体" w:cs="宋体"/>
                <w:b w:val="0"/>
                <w:bCs w:val="0"/>
                <w:w w:val="99"/>
                <w:kern w:val="0"/>
                <w:szCs w:val="21"/>
                <w:highlight w:val="none"/>
                <w:lang w:val="en-US" w:eastAsia="zh-CN"/>
              </w:rPr>
              <w:t xml:space="preserve"> </w:t>
            </w:r>
          </w:p>
          <w:p w14:paraId="12432B76">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（1）</w:t>
            </w:r>
            <w:r>
              <w:rPr>
                <w:rStyle w:val="36"/>
                <w:rFonts w:hint="eastAsia" w:ascii="宋体" w:hAnsi="宋体" w:eastAsia="宋体" w:cs="宋体"/>
                <w:b w:val="0"/>
                <w:highlight w:val="none"/>
              </w:rPr>
              <w:t>设计深度：设计成果须达到正式施工图深度，图纸包含平面布置图、天花布置图、地面铺装图、立面图、剖面图、关键节点大样图；展墙、展台、沙盘基座结构图纸；强弱电系统原理图、点位布置图；照明灯具定位图、回路控制图；配套材料做法表、设备材料清单。</w:t>
            </w:r>
          </w:p>
          <w:p w14:paraId="B7CF8972">
            <w:pPr>
              <w:widowControl/>
              <w:wordWrap/>
              <w:topLinePunct w:val="0"/>
              <w:spacing w:line="360" w:lineRule="auto"/>
              <w:ind w:left="0" w:firstLine="420" w:firstLineChars="200"/>
              <w:jc w:val="left"/>
              <w:rPr>
                <w:rStyle w:val="36"/>
                <w:rFonts w:hint="eastAsia" w:ascii="宋体" w:hAnsi="宋体" w:eastAsia="宋体" w:cs="宋体"/>
                <w:b w:val="0"/>
                <w:highlight w:val="none"/>
              </w:rPr>
            </w:pPr>
            <w:r>
              <w:rPr>
                <w:rStyle w:val="36"/>
                <w:rFonts w:hint="eastAsia" w:ascii="宋体" w:hAnsi="宋体" w:cs="宋体"/>
                <w:b w:val="0"/>
                <w:highlight w:val="none"/>
                <w:lang w:val="en-US" w:eastAsia="zh-CN"/>
              </w:rPr>
              <w:t>（2）</w:t>
            </w:r>
            <w:r>
              <w:rPr>
                <w:rStyle w:val="36"/>
                <w:rFonts w:hint="eastAsia" w:ascii="宋体" w:hAnsi="宋体" w:eastAsia="宋体" w:cs="宋体"/>
                <w:b w:val="0"/>
                <w:highlight w:val="none"/>
              </w:rPr>
              <w:t>制图规范：制图标准符合国家现行相关制图规范，统一图签、图纸比例、图例符号，图纸完整清晰，可直接用于展陈实施、现场验收及资料归档。</w:t>
            </w:r>
          </w:p>
          <w:p w14:paraId="048C1989">
            <w:pPr>
              <w:widowControl/>
              <w:wordWrap/>
              <w:topLinePunct w:val="0"/>
              <w:spacing w:line="360" w:lineRule="auto"/>
              <w:ind w:left="0" w:firstLine="420" w:firstLineChars="200"/>
              <w:jc w:val="left"/>
              <w:rPr>
                <w:rStyle w:val="36"/>
                <w:rFonts w:hint="default" w:ascii="宋体" w:hAnsi="宋体" w:eastAsia="宋体" w:cs="宋体"/>
                <w:b w:val="0"/>
                <w:highlight w:val="none"/>
              </w:rPr>
            </w:pPr>
            <w:r>
              <w:rPr>
                <w:rStyle w:val="36"/>
                <w:rFonts w:hint="eastAsia" w:ascii="宋体" w:hAnsi="宋体" w:cs="宋体"/>
                <w:b w:val="0"/>
                <w:highlight w:val="none"/>
                <w:lang w:val="en-US" w:eastAsia="zh-CN"/>
              </w:rPr>
              <w:t>（3）</w:t>
            </w:r>
            <w:r>
              <w:rPr>
                <w:rStyle w:val="36"/>
                <w:rFonts w:hint="eastAsia" w:ascii="宋体" w:hAnsi="宋体" w:eastAsia="宋体" w:cs="宋体"/>
                <w:b w:val="0"/>
                <w:highlight w:val="none"/>
              </w:rPr>
              <w:t>成果文件交付：纸质版施工图不少于4套；同步交付全套电子版文件（CAD格式+PDF格式）1套。</w:t>
            </w:r>
          </w:p>
          <w:p w14:paraId="C7C8969D">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eastAsia" w:ascii="宋体" w:hAnsi="宋体" w:cs="宋体"/>
                <w:kern w:val="0"/>
                <w:sz w:val="21"/>
                <w:szCs w:val="21"/>
                <w:highlight w:val="none"/>
                <w:lang w:val="en-US" w:eastAsia="zh-CN"/>
              </w:rPr>
            </w:pPr>
            <w:r>
              <w:rPr>
                <w:rStyle w:val="36"/>
                <w:rFonts w:hint="default" w:ascii="宋体" w:hAnsi="宋体" w:cs="宋体"/>
                <w:kern w:val="0"/>
                <w:sz w:val="21"/>
                <w:szCs w:val="21"/>
                <w:highlight w:val="none"/>
                <w:lang w:val="en-US" w:eastAsia="zh-CN"/>
              </w:rPr>
              <w:t>注:所有深化设计、施工图设计成果知识产权：采购人拥有项目全部设计成果使用权，可用于项目实施、宣传、归档等相关工作。成交供应商不得擅自将本项目设计成果用于其他项目。</w:t>
            </w:r>
          </w:p>
          <w:p w14:paraId="07B24FFA">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eastAsia" w:ascii="宋体" w:hAnsi="宋体" w:eastAsia="宋体" w:cs="宋体"/>
                <w:kern w:val="0"/>
                <w:sz w:val="21"/>
                <w:szCs w:val="21"/>
                <w:highlight w:val="none"/>
                <w:lang w:val="en-US" w:eastAsia="zh-CN"/>
              </w:rPr>
            </w:pPr>
            <w:r>
              <w:rPr>
                <w:rStyle w:val="36"/>
                <w:rFonts w:hint="eastAsia" w:ascii="宋体" w:hAnsi="宋体" w:cs="宋体"/>
                <w:kern w:val="0"/>
                <w:sz w:val="21"/>
                <w:szCs w:val="21"/>
                <w:highlight w:val="none"/>
                <w:lang w:val="en-US" w:eastAsia="zh-CN"/>
              </w:rPr>
              <w:t>4.</w:t>
            </w:r>
            <w:r>
              <w:rPr>
                <w:rStyle w:val="36"/>
                <w:rFonts w:ascii="宋体" w:hAnsi="宋体" w:eastAsia="宋体" w:cs="宋体"/>
                <w:kern w:val="0"/>
                <w:sz w:val="21"/>
                <w:szCs w:val="21"/>
                <w:highlight w:val="none"/>
                <w:lang w:val="en-US" w:eastAsia="zh-CN"/>
              </w:rPr>
              <w:t>实施要求</w:t>
            </w:r>
          </w:p>
          <w:p w14:paraId="3FD6F4A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本项目为展陈服务项目，所有硬件选型、软件开发、系统布设、集成调试、设备适配均属于展陈配套服务实施内容，成交供应商须按照国家规范、校园管理规定及本项目技术标准全程合规实施，确保整体效果、设备性能、系统稳定性、安全环保全部达标，完全满足校园高频次、常态化对外开放使用需求。</w:t>
            </w:r>
          </w:p>
          <w:p w14:paraId="E1DCC0AF">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default" w:ascii="宋体" w:hAnsi="宋体" w:eastAsia="宋体" w:cs="宋体"/>
                <w:b/>
                <w:bCs/>
                <w:kern w:val="0"/>
                <w:sz w:val="21"/>
                <w:szCs w:val="21"/>
                <w:highlight w:val="none"/>
                <w:lang w:val="en-US" w:eastAsia="zh-CN"/>
              </w:rPr>
            </w:pPr>
            <w:r>
              <w:rPr>
                <w:rStyle w:val="36"/>
                <w:rFonts w:hint="eastAsia" w:ascii="宋体" w:hAnsi="宋体" w:cs="宋体"/>
                <w:b/>
                <w:bCs/>
                <w:kern w:val="0"/>
                <w:sz w:val="21"/>
                <w:szCs w:val="21"/>
                <w:highlight w:val="none"/>
                <w:lang w:val="en-US" w:eastAsia="zh-CN"/>
              </w:rPr>
              <w:t>（1）</w:t>
            </w:r>
            <w:r>
              <w:rPr>
                <w:rStyle w:val="36"/>
                <w:rFonts w:hint="default" w:ascii="宋体" w:hAnsi="宋体" w:eastAsia="宋体" w:cs="宋体"/>
                <w:b/>
                <w:bCs/>
                <w:kern w:val="0"/>
                <w:sz w:val="21"/>
                <w:szCs w:val="21"/>
                <w:highlight w:val="none"/>
                <w:lang w:val="en-US" w:eastAsia="zh-CN"/>
              </w:rPr>
              <w:t>展项设备硬件选型与实施服务要求</w:t>
            </w:r>
          </w:p>
          <w:p w14:paraId="A956093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本展厅所有展陈配套设备须适配校园高频参观、长期稳定运行场景，优先选用技术成熟、市场保有量大、售后运维体系完善的合规产品。设备须满足日均10小时及以上连续稳定运行标准，所有技术参数、性能指标不得低于本项目最低技术要求，严禁降级选型、替换低配产品。各展区按需配套专业扩声设备，保障展厅全域声场均匀、视听效果统一。</w:t>
            </w:r>
          </w:p>
          <w:p w14:paraId="56118EA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所有进场配套设备、用材须符合校园安全、防火、环保标准，具备完整合规资质，包含但不限于产品合格证、质量检测报告、国家三包服务凭证、厂家正规授权证明等。所有配套用材耐磨耐用、适配展厅室内陈列环境，可长期稳定使用。</w:t>
            </w:r>
          </w:p>
          <w:p w14:paraId="FECB8700">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default" w:ascii="宋体" w:hAnsi="宋体" w:eastAsia="宋体" w:cs="宋体"/>
                <w:b/>
                <w:bCs/>
                <w:kern w:val="0"/>
                <w:sz w:val="21"/>
                <w:szCs w:val="21"/>
                <w:highlight w:val="none"/>
                <w:lang w:val="en-US" w:eastAsia="zh-CN"/>
              </w:rPr>
            </w:pPr>
            <w:r>
              <w:rPr>
                <w:rStyle w:val="36"/>
                <w:rFonts w:hint="eastAsia" w:ascii="宋体" w:hAnsi="宋体" w:cs="宋体"/>
                <w:b/>
                <w:bCs/>
                <w:kern w:val="0"/>
                <w:sz w:val="21"/>
                <w:szCs w:val="21"/>
                <w:highlight w:val="none"/>
                <w:lang w:val="en-US" w:eastAsia="zh-CN"/>
              </w:rPr>
              <w:t>（2）</w:t>
            </w:r>
            <w:r>
              <w:rPr>
                <w:rStyle w:val="36"/>
                <w:rFonts w:hint="default" w:ascii="宋体" w:hAnsi="宋体" w:eastAsia="宋体" w:cs="宋体"/>
                <w:b/>
                <w:bCs/>
                <w:kern w:val="0"/>
                <w:sz w:val="21"/>
                <w:szCs w:val="21"/>
                <w:highlight w:val="none"/>
                <w:lang w:val="en-US" w:eastAsia="zh-CN"/>
              </w:rPr>
              <w:t>系统集成软件开发与实施服务要求</w:t>
            </w:r>
          </w:p>
          <w:p w14:paraId="C023C0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本项目展陈配套集成软件系统须运行稳定、兼容性强、界面简洁、操作人性化，贴合师生及来访人员使用习惯，满足校园场景安全合规、长期无故障运行要求。系统核心功能必须完全达标：感应程序实现精准体感触发、触控点播播放；地面互动程序支持多人多点同步感应交互；融合控制程序具备图像矫正、画面边缘融合功能，支持多终端画面无缝拼接、同步联动播放。</w:t>
            </w:r>
          </w:p>
          <w:p w14:paraId="7EACB20C">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软件系统预留持续迭代升级接口与扩容空间，可支撑学校后续科创成果更新、展示功能优化、展项内容迭代升级，适配高校智慧展厅长效运营需求。</w:t>
            </w:r>
          </w:p>
          <w:p w14:paraId="DFCC4611">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default" w:ascii="宋体" w:hAnsi="宋体" w:eastAsia="宋体" w:cs="宋体"/>
                <w:b/>
                <w:bCs/>
                <w:kern w:val="0"/>
                <w:sz w:val="21"/>
                <w:szCs w:val="21"/>
                <w:highlight w:val="none"/>
                <w:lang w:val="en-US" w:eastAsia="zh-CN"/>
              </w:rPr>
            </w:pPr>
            <w:r>
              <w:rPr>
                <w:rStyle w:val="36"/>
                <w:rFonts w:hint="eastAsia" w:ascii="宋体" w:hAnsi="宋体" w:cs="宋体"/>
                <w:b/>
                <w:bCs/>
                <w:kern w:val="0"/>
                <w:sz w:val="21"/>
                <w:szCs w:val="21"/>
                <w:highlight w:val="none"/>
                <w:lang w:val="en-US" w:eastAsia="zh-CN"/>
              </w:rPr>
              <w:t>（3）</w:t>
            </w:r>
            <w:r>
              <w:rPr>
                <w:rStyle w:val="36"/>
                <w:rFonts w:hint="default" w:ascii="宋体" w:hAnsi="宋体" w:eastAsia="宋体" w:cs="宋体"/>
                <w:b/>
                <w:bCs/>
                <w:kern w:val="0"/>
                <w:sz w:val="21"/>
                <w:szCs w:val="21"/>
                <w:highlight w:val="none"/>
                <w:lang w:val="en-US" w:eastAsia="zh-CN"/>
              </w:rPr>
              <w:t>强弱电系统与智能中控实施服务要求</w:t>
            </w:r>
          </w:p>
          <w:p w14:paraId="4E4A8E61">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严格遵照国家现行电气规范、校园用电安全管理标准开展强弱电标准化布管、布线、布设施工服务，做到管线布设规整、标识清晰、检修便捷、防护到位，彻底消除用电安全隐患。</w:t>
            </w:r>
          </w:p>
          <w:p w14:paraId="9C894A3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 xml:space="preserve">配套搭建展厅灯光、音响、强弱电智能中控管理体系，选用集成度高、技术成熟、安全可靠、节能环保的中控设备，符合校园绿色节能管理标准。实现展厅全部展陈设备集中管控、一键场景切换、智能启停，简化日常运维操作、降低校园运维成本，保障展厅设备长期安全、节能、高效运行。 </w:t>
            </w:r>
          </w:p>
          <w:p w14:paraId="4EAE2641">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eastAsia" w:ascii="宋体" w:hAnsi="宋体" w:cs="宋体"/>
                <w:b/>
                <w:bCs/>
                <w:kern w:val="0"/>
                <w:sz w:val="21"/>
                <w:szCs w:val="21"/>
                <w:highlight w:val="none"/>
                <w:lang w:val="en-US" w:eastAsia="zh-CN"/>
              </w:rPr>
              <w:t>（4）</w:t>
            </w:r>
            <w:r>
              <w:rPr>
                <w:rStyle w:val="36"/>
                <w:rFonts w:hint="default" w:ascii="宋体" w:hAnsi="宋体" w:eastAsia="宋体" w:cs="宋体"/>
                <w:b/>
                <w:bCs/>
                <w:kern w:val="0"/>
                <w:sz w:val="21"/>
                <w:szCs w:val="21"/>
                <w:highlight w:val="none"/>
                <w:lang w:val="en-US" w:eastAsia="zh-CN"/>
              </w:rPr>
              <w:t>多媒体数字化设备选配实施服务要求</w:t>
            </w:r>
          </w:p>
          <w:p w14:paraId="3DEB8928">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展厅所有多媒体、数字化展示配套设备须科学选型、合理点位配置，精准匹配各展区展示主题与功能需求。设备材质坚固耐用、抗损耗、适配校园长期高频使用场景；设备外观造型、色彩质感须与展厅整体空间风格、展陈氛围协调统一。所有设备、辅材、饰面材料均满足校园消防安全、环保健康、室内环境合规标准。</w:t>
            </w:r>
          </w:p>
          <w:p w14:paraId="432945D6">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Style w:val="36"/>
                <w:rFonts w:hint="default" w:ascii="宋体" w:hAnsi="宋体" w:eastAsia="宋体" w:cs="宋体"/>
                <w:b/>
                <w:bCs/>
                <w:kern w:val="0"/>
                <w:sz w:val="21"/>
                <w:szCs w:val="21"/>
                <w:highlight w:val="none"/>
                <w:lang w:val="en-US" w:eastAsia="zh-CN"/>
              </w:rPr>
            </w:pPr>
            <w:r>
              <w:rPr>
                <w:rStyle w:val="36"/>
                <w:rFonts w:hint="eastAsia" w:ascii="宋体" w:hAnsi="宋体" w:cs="宋体"/>
                <w:b/>
                <w:bCs/>
                <w:kern w:val="0"/>
                <w:sz w:val="21"/>
                <w:szCs w:val="21"/>
                <w:highlight w:val="none"/>
                <w:lang w:val="en-US" w:eastAsia="zh-CN"/>
              </w:rPr>
              <w:t>（5）</w:t>
            </w:r>
            <w:r>
              <w:rPr>
                <w:rStyle w:val="36"/>
                <w:rFonts w:hint="default" w:ascii="宋体" w:hAnsi="宋体" w:eastAsia="宋体" w:cs="宋体"/>
                <w:b/>
                <w:bCs/>
                <w:kern w:val="0"/>
                <w:sz w:val="21"/>
                <w:szCs w:val="21"/>
                <w:highlight w:val="none"/>
                <w:lang w:val="en-US" w:eastAsia="zh-CN"/>
              </w:rPr>
              <w:t>多媒体设备控制接口统一技术规范</w:t>
            </w:r>
          </w:p>
          <w:p w14:paraId="BE924ED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eastAsia="宋体" w:cs="宋体"/>
                <w:b w:val="0"/>
                <w:kern w:val="0"/>
                <w:sz w:val="21"/>
                <w:szCs w:val="21"/>
                <w:highlight w:val="none"/>
                <w:lang w:val="en-US" w:eastAsia="zh-CN"/>
              </w:rPr>
            </w:pPr>
            <w:r>
              <w:rPr>
                <w:rStyle w:val="36"/>
                <w:rFonts w:hint="default" w:ascii="宋体" w:hAnsi="宋体" w:eastAsia="宋体" w:cs="宋体"/>
                <w:b w:val="0"/>
                <w:kern w:val="0"/>
                <w:sz w:val="21"/>
                <w:szCs w:val="21"/>
                <w:highlight w:val="none"/>
                <w:lang w:val="en-US" w:eastAsia="zh-CN"/>
              </w:rPr>
              <w:t>为满足智慧校园智能化运维、远程管控、快速检修、系统迭代扩容需求，本项目所有多媒体硬件、中控终端、集成设备接口须统一遵循以下标准化、通用化技术规范：</w:t>
            </w:r>
          </w:p>
          <w:p w14:paraId="62B8F86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1）优先采用行业通用标准化硬件接口，保障设备通用性、兼容性、可替换性，便于后期校园统一运维维修。确需使用特殊定制接口的，须同步提供完整接口定义、技术参数、接线图纸等全套技术资料，并配套不少于5份备用配件，保障故障快速抢修、不停展运行。</w:t>
            </w:r>
          </w:p>
          <w:p w14:paraId="D277B56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2）项目自研非标电路、电气配套设备，须同步配置3套完整电路备件、替换配件及全套施工技术图纸，满足后期维修替换、故障复原需求，保障整套系统长期稳定运行。</w:t>
            </w:r>
          </w:p>
          <w:p w14:paraId="80F514D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3）所有多媒体展示设备标配标准RJ45网口或无线网卡，支持TCP/IP协议联网，可无缝接入校园网络体系，支持校方远程设备状态监测、在线调试、后台管理。</w:t>
            </w:r>
          </w:p>
          <w:p w14:paraId="E224ED0E">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4）全部硬件设备兼容Android、Windows主流操作系统，适配校园现有运维设备与管理体系，支持多终端远程调试、内容批量更新发布。</w:t>
            </w:r>
          </w:p>
          <w:p w14:paraId="2B8F081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5）</w:t>
            </w:r>
            <w:r>
              <w:rPr>
                <w:rFonts w:ascii="宋体" w:hAnsi="宋体" w:eastAsia="宋体" w:cs="宋体"/>
                <w:sz w:val="21"/>
                <w:szCs w:val="21"/>
                <w:highlight w:val="none"/>
              </w:rPr>
              <w:t>展厅各类可视化显示终端均具备高清解码性能，原生分辨率不低于4K，可流畅稳定播放高清影片、科教课件、项目成果及图文资料，播放过程无卡顿、画面无失真。</w:t>
            </w:r>
          </w:p>
          <w:p w14:paraId="93424EC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Style w:val="36"/>
                <w:rFonts w:hint="default" w:ascii="宋体" w:hAnsi="宋体" w:cs="宋体"/>
                <w:b w:val="0"/>
                <w:kern w:val="0"/>
                <w:sz w:val="21"/>
                <w:szCs w:val="21"/>
                <w:highlight w:val="none"/>
                <w:lang w:val="en-US" w:eastAsia="zh-CN"/>
              </w:rPr>
            </w:pPr>
            <w:r>
              <w:rPr>
                <w:rStyle w:val="36"/>
                <w:rFonts w:hint="default" w:ascii="宋体" w:hAnsi="宋体" w:cs="宋体"/>
                <w:b w:val="0"/>
                <w:kern w:val="0"/>
                <w:sz w:val="21"/>
                <w:szCs w:val="21"/>
                <w:highlight w:val="none"/>
                <w:lang w:val="en-US" w:eastAsia="zh-CN"/>
              </w:rPr>
              <w:t>6）展厅智能中控系统支持网页端远程访问、授权操控，预留标准化开放开发接口，可无缝对接校园多媒体发布平台、智慧展厅管理系统，实现设备统一管控、状态实时监测、内容集中发布、权限分级管理，全面适配智慧校园建设标准。</w:t>
            </w:r>
          </w:p>
          <w:p w14:paraId="E9AC19D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sz w:val="21"/>
                <w:szCs w:val="21"/>
                <w:highlight w:val="none"/>
              </w:rPr>
            </w:pPr>
            <w:r>
              <w:rPr>
                <w:rStyle w:val="36"/>
                <w:rFonts w:hint="default" w:ascii="宋体" w:hAnsi="宋体" w:cs="宋体"/>
                <w:b w:val="0"/>
                <w:kern w:val="0"/>
                <w:sz w:val="21"/>
                <w:szCs w:val="21"/>
                <w:highlight w:val="none"/>
                <w:lang w:val="en-US" w:eastAsia="zh-CN"/>
              </w:rPr>
              <w:t>7）中控系统管控范围实现展厅全覆盖，可集中联动控制所有显示屏、投影设备、音视频设备、氛围灯光、供电回路等全部多媒体终端，实现、智能化、集约化管控。</w:t>
            </w:r>
          </w:p>
          <w:p w14:paraId="46FE3684">
            <w:pPr>
              <w:widowControl w:val="0"/>
              <w:numPr>
                <w:ilvl w:val="-1"/>
                <w:numId w:val="0"/>
              </w:numPr>
              <w:wordWrap w:val="0"/>
              <w:topLinePunct/>
              <w:spacing w:line="360" w:lineRule="auto"/>
              <w:ind w:left="0" w:leftChars="0" w:firstLine="422" w:firstLineChars="200"/>
              <w:jc w:val="left"/>
              <w:outlineLvl w:val="0"/>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5.</w:t>
            </w:r>
            <w:r>
              <w:rPr>
                <w:rFonts w:hint="default" w:ascii="宋体" w:hAnsi="宋体" w:cs="宋体"/>
                <w:b/>
                <w:bCs/>
                <w:kern w:val="0"/>
                <w:szCs w:val="21"/>
                <w:highlight w:val="none"/>
                <w:lang w:val="en-US" w:eastAsia="zh-CN"/>
              </w:rPr>
              <w:t>项目采购具体内容</w:t>
            </w:r>
          </w:p>
          <w:p w14:paraId="EC0D485F">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本项目采购具体服务内容详见采购人提供的服务清单。清单涉及材料、设备及其他配套要求如下（本项目为展陈服务项目，所有材料采购、制作、布设、安装实施均属于</w:t>
            </w:r>
            <w:r>
              <w:rPr>
                <w:rFonts w:hint="eastAsia" w:ascii="宋体" w:hAnsi="宋体" w:cs="宋体"/>
                <w:bCs/>
                <w:kern w:val="0"/>
                <w:szCs w:val="21"/>
                <w:highlight w:val="none"/>
                <w:lang w:val="en-US" w:eastAsia="zh-CN"/>
              </w:rPr>
              <w:t>展陈</w:t>
            </w:r>
            <w:r>
              <w:rPr>
                <w:rFonts w:hint="default" w:ascii="宋体" w:hAnsi="宋体" w:eastAsia="宋体" w:cs="宋体"/>
                <w:bCs/>
                <w:kern w:val="0"/>
                <w:szCs w:val="21"/>
                <w:highlight w:val="none"/>
                <w:lang w:val="en-US" w:eastAsia="zh-CN"/>
              </w:rPr>
              <w:t xml:space="preserve">服务组成部分）： </w:t>
            </w:r>
          </w:p>
          <w:p w14:paraId="B62B4E24">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w:t>
            </w:r>
            <w:r>
              <w:rPr>
                <w:rFonts w:hint="default" w:ascii="宋体" w:hAnsi="宋体" w:eastAsia="宋体" w:cs="宋体"/>
                <w:bCs/>
                <w:kern w:val="0"/>
                <w:szCs w:val="21"/>
                <w:highlight w:val="none"/>
                <w:lang w:val="en-US" w:eastAsia="zh-CN"/>
              </w:rPr>
              <w:t>展柜及展台</w:t>
            </w:r>
          </w:p>
          <w:p w14:paraId="57545D8A">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w:t>
            </w:r>
            <w:r>
              <w:rPr>
                <w:rFonts w:hint="default" w:ascii="宋体" w:hAnsi="宋体" w:eastAsia="宋体" w:cs="宋体"/>
                <w:bCs/>
                <w:kern w:val="0"/>
                <w:szCs w:val="21"/>
                <w:highlight w:val="none"/>
                <w:lang w:val="en-US" w:eastAsia="zh-CN"/>
              </w:rPr>
              <w:t>本项目展柜、展台结构、材质、专业灯具、锁具各项性能指标（防火、环保、密闭、安全性能）均须满足现行国家标准。在保障整体展示效果前提下兼顾通用性，充分考虑儿童、老年人、残障人士参观通行、观展需求。</w:t>
            </w:r>
          </w:p>
          <w:p w14:paraId="030BFA04">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2）</w:t>
            </w:r>
            <w:r>
              <w:rPr>
                <w:rFonts w:hint="default" w:ascii="宋体" w:hAnsi="宋体" w:eastAsia="宋体" w:cs="宋体"/>
                <w:bCs/>
                <w:kern w:val="0"/>
                <w:szCs w:val="21"/>
                <w:highlight w:val="none"/>
                <w:lang w:val="en-US" w:eastAsia="zh-CN"/>
              </w:rPr>
              <w:t>展柜、展台造型风格须与展厅整体设计融为一体，作为展厅有机组成部分；杜绝同质化通用展具，结合科创展厅定位打造辨识度高、适配本展馆特色的展示载体。</w:t>
            </w:r>
          </w:p>
          <w:p w14:paraId="128F71CE">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3）</w:t>
            </w:r>
            <w:r>
              <w:rPr>
                <w:rFonts w:hint="default" w:ascii="宋体" w:hAnsi="宋体" w:eastAsia="宋体" w:cs="宋体"/>
                <w:bCs/>
                <w:kern w:val="0"/>
                <w:szCs w:val="21"/>
                <w:highlight w:val="none"/>
                <w:lang w:val="en-US" w:eastAsia="zh-CN"/>
              </w:rPr>
              <w:t>展柜配套照明系统支持多种灯光模式切换，适配不同实物展品展示需求；灯具、光源便于日常维护、调试、更换。</w:t>
            </w:r>
          </w:p>
          <w:p w14:paraId="43A6C05D">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4）</w:t>
            </w:r>
            <w:r>
              <w:rPr>
                <w:rFonts w:hint="default" w:ascii="宋体" w:hAnsi="宋体" w:eastAsia="宋体" w:cs="宋体"/>
                <w:bCs/>
                <w:kern w:val="0"/>
                <w:szCs w:val="21"/>
                <w:highlight w:val="none"/>
                <w:lang w:val="en-US" w:eastAsia="zh-CN"/>
              </w:rPr>
              <w:t>展柜锁具点位设计隐蔽，不破坏外观效果且操作便捷；展柜结构预留加装各类防盗安防系统的基础条件。</w:t>
            </w:r>
          </w:p>
          <w:p w14:paraId="FC70B9DB">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（2）</w:t>
            </w:r>
            <w:r>
              <w:rPr>
                <w:rFonts w:hint="default" w:ascii="宋体" w:hAnsi="宋体" w:eastAsia="宋体" w:cs="宋体"/>
                <w:bCs/>
                <w:kern w:val="0"/>
                <w:szCs w:val="21"/>
                <w:highlight w:val="none"/>
                <w:lang w:val="en-US" w:eastAsia="zh-CN"/>
              </w:rPr>
              <w:t>照明系统</w:t>
            </w:r>
          </w:p>
          <w:p w14:paraId="049A80C2">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w:t>
            </w:r>
            <w:r>
              <w:rPr>
                <w:rFonts w:hint="default" w:ascii="宋体" w:hAnsi="宋体" w:eastAsia="宋体" w:cs="宋体"/>
                <w:bCs/>
                <w:kern w:val="0"/>
                <w:szCs w:val="21"/>
                <w:highlight w:val="none"/>
                <w:lang w:val="en-US" w:eastAsia="zh-CN"/>
              </w:rPr>
              <w:t>严格遵循展陈照明相关国家现行规范标准，依托整体展览设计方案，结合展览主题、展陈叙事节奏塑造有序空间氛围；照明层次丰富、主次分明，烘托展项内容，完整呈现展厅整体效果。</w:t>
            </w:r>
          </w:p>
          <w:p w14:paraId="B0BBF687">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2）</w:t>
            </w:r>
            <w:r>
              <w:rPr>
                <w:rFonts w:hint="default" w:ascii="宋体" w:hAnsi="宋体" w:eastAsia="宋体" w:cs="宋体"/>
                <w:bCs/>
                <w:kern w:val="0"/>
                <w:szCs w:val="21"/>
                <w:highlight w:val="none"/>
                <w:lang w:val="en-US" w:eastAsia="zh-CN"/>
              </w:rPr>
              <w:t>展厅各区域照度配比合理，有效规避直接眩光、反射眩光，照度分布均衡；强化重点展品、重点展项视觉效果，空间光影协调舒适。</w:t>
            </w:r>
          </w:p>
          <w:p w14:paraId="84C22BAE">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3）</w:t>
            </w:r>
            <w:r>
              <w:rPr>
                <w:rFonts w:hint="default" w:ascii="宋体" w:hAnsi="宋体" w:eastAsia="宋体" w:cs="宋体"/>
                <w:bCs/>
                <w:kern w:val="0"/>
                <w:szCs w:val="21"/>
                <w:highlight w:val="none"/>
                <w:lang w:val="en-US" w:eastAsia="zh-CN"/>
              </w:rPr>
              <w:t>展陈光源具备优良显色性能，真实还原展品色彩，提升展陈艺术表现力与展示效果。</w:t>
            </w:r>
          </w:p>
          <w:p w14:paraId="E291A9B5">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（3）</w:t>
            </w:r>
            <w:r>
              <w:rPr>
                <w:rFonts w:hint="default" w:ascii="宋体" w:hAnsi="宋体" w:eastAsia="宋体" w:cs="宋体"/>
                <w:bCs/>
                <w:kern w:val="0"/>
                <w:szCs w:val="21"/>
                <w:highlight w:val="none"/>
                <w:lang w:val="en-US" w:eastAsia="zh-CN"/>
              </w:rPr>
              <w:t>通用其他要求</w:t>
            </w:r>
          </w:p>
          <w:p w14:paraId="2D9594C7">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w:t>
            </w:r>
            <w:r>
              <w:rPr>
                <w:rFonts w:hint="default" w:ascii="宋体" w:hAnsi="宋体" w:eastAsia="宋体" w:cs="宋体"/>
                <w:bCs/>
                <w:kern w:val="0"/>
                <w:szCs w:val="21"/>
                <w:highlight w:val="none"/>
                <w:lang w:val="en-US" w:eastAsia="zh-CN"/>
              </w:rPr>
              <w:t>遵循国家信息化建设相关法律法规，系统建设坚持安全、先进、实用、完整、开放、可靠、经济、可扩展、易维护、美观原则；针对参观数据统计、分析需求提供合理技术方案，配合采购人相关部门落地实施。</w:t>
            </w:r>
          </w:p>
          <w:p w14:paraId="4034D043">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2）</w:t>
            </w:r>
            <w:r>
              <w:rPr>
                <w:rFonts w:hint="default" w:ascii="宋体" w:hAnsi="宋体" w:eastAsia="宋体" w:cs="宋体"/>
                <w:bCs/>
                <w:kern w:val="0"/>
                <w:szCs w:val="21"/>
                <w:highlight w:val="none"/>
                <w:lang w:val="en-US" w:eastAsia="zh-CN"/>
              </w:rPr>
              <w:t>按照国家相关设计规范完成桂林理工大学“雁山智慧谷·桂工科创之窗”展示中心室内声学优化实施工作。</w:t>
            </w:r>
          </w:p>
          <w:p w14:paraId="EC74A2E9">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3）</w:t>
            </w:r>
            <w:r>
              <w:rPr>
                <w:rFonts w:hint="default" w:ascii="宋体" w:hAnsi="宋体" w:eastAsia="宋体" w:cs="宋体"/>
                <w:bCs/>
                <w:kern w:val="0"/>
                <w:szCs w:val="21"/>
                <w:highlight w:val="none"/>
                <w:lang w:val="en-US" w:eastAsia="zh-CN"/>
              </w:rPr>
              <w:t>本项目所需材料、制品、配套设备由成交供应商负责采购；所有采购物资须附带产品合格证明、检测报告。实施过程中所有涉及的材料、设备，品牌、规格、样式、价格须提前报采购人书面确认。展柜、专业灯具、核心展项等重要设施设备，服务开工前提交实物样品、材质小样供采购人封样确认。</w:t>
            </w:r>
          </w:p>
          <w:p w14:paraId="27652ACD">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4）</w:t>
            </w:r>
            <w:r>
              <w:rPr>
                <w:rFonts w:hint="default" w:ascii="宋体" w:hAnsi="宋体" w:eastAsia="宋体" w:cs="宋体"/>
                <w:bCs/>
                <w:kern w:val="0"/>
                <w:szCs w:val="21"/>
                <w:highlight w:val="none"/>
                <w:lang w:val="en-US" w:eastAsia="zh-CN"/>
              </w:rPr>
              <w:t>成交供应商提供的全部产品须为原厂全新未启用产品，各项指标完全符合原厂出厂标准、国家及行业现行规范。</w:t>
            </w:r>
          </w:p>
          <w:p w14:paraId="8276A58E">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5）</w:t>
            </w:r>
            <w:r>
              <w:rPr>
                <w:rFonts w:hint="default" w:ascii="宋体" w:hAnsi="宋体" w:eastAsia="宋体" w:cs="宋体"/>
                <w:bCs/>
                <w:kern w:val="0"/>
                <w:szCs w:val="21"/>
                <w:highlight w:val="none"/>
                <w:lang w:val="en-US" w:eastAsia="zh-CN"/>
              </w:rPr>
              <w:t>所有装饰材料、设备燃烧性能等级不低于B1级，满足消防防火规范要求；人造板材环保等级达到E0级及以上，甲醛、挥发性有害物质指标满足国家标准。项目竣工交付时室内气味达标，满足《民用建筑工程室内环境污染控制标准》相关要求；所有材料、设备未经采购人审核批准不得投入使用。</w:t>
            </w:r>
          </w:p>
          <w:p w14:paraId="9317B99D">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6）</w:t>
            </w:r>
            <w:r>
              <w:rPr>
                <w:rFonts w:hint="default" w:ascii="宋体" w:hAnsi="宋体" w:eastAsia="宋体" w:cs="宋体"/>
                <w:bCs/>
                <w:kern w:val="0"/>
                <w:szCs w:val="21"/>
                <w:highlight w:val="none"/>
                <w:lang w:val="en-US" w:eastAsia="zh-CN"/>
              </w:rPr>
              <w:t>服务清单内材料、设备可根据整体设计效果、实际使用需求优化调整，调整方案须经采购人审核批准；为完成本项目达到交付标准所需全部工作、材料、辅材、人工等相关费用均包含在固定包干总价内，履约期间合同总价不作上调。</w:t>
            </w:r>
          </w:p>
          <w:p w14:paraId="045153D1">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7）</w:t>
            </w:r>
            <w:r>
              <w:rPr>
                <w:rFonts w:hint="default" w:ascii="宋体" w:hAnsi="宋体" w:eastAsia="宋体" w:cs="宋体"/>
                <w:bCs/>
                <w:kern w:val="0"/>
                <w:szCs w:val="21"/>
                <w:highlight w:val="none"/>
                <w:lang w:val="en-US" w:eastAsia="zh-CN"/>
              </w:rPr>
              <w:t>全部展陈实施工作充分考量结构稳固、人员参观安全；成交供应商严格按照采购文件要求开展服务，落实各项安全防护措施。</w:t>
            </w:r>
          </w:p>
          <w:p w14:paraId="0A29D2F4">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8）</w:t>
            </w:r>
            <w:r>
              <w:rPr>
                <w:rFonts w:hint="default" w:ascii="宋体" w:hAnsi="宋体" w:eastAsia="宋体" w:cs="宋体"/>
                <w:bCs/>
                <w:kern w:val="0"/>
                <w:szCs w:val="21"/>
                <w:highlight w:val="none"/>
                <w:lang w:val="en-US" w:eastAsia="zh-CN"/>
              </w:rPr>
              <w:t>无论图纸、服务清单、技术规范是否列明，为保障展厅正常开放运行必不可少的配套组成内容，成交供应商均须纳入响应范围，相关费用包含在</w:t>
            </w:r>
            <w:r>
              <w:rPr>
                <w:rFonts w:hint="eastAsia" w:ascii="宋体" w:hAnsi="宋体" w:cs="宋体"/>
                <w:bCs/>
                <w:kern w:val="0"/>
                <w:szCs w:val="21"/>
                <w:highlight w:val="none"/>
                <w:lang w:val="en-US" w:eastAsia="zh-CN"/>
              </w:rPr>
              <w:t>磋商</w:t>
            </w:r>
            <w:r>
              <w:rPr>
                <w:rFonts w:hint="default" w:ascii="宋体" w:hAnsi="宋体" w:eastAsia="宋体" w:cs="宋体"/>
                <w:bCs/>
                <w:kern w:val="0"/>
                <w:szCs w:val="21"/>
                <w:highlight w:val="none"/>
                <w:lang w:val="en-US" w:eastAsia="zh-CN"/>
              </w:rPr>
              <w:t>报价内。</w:t>
            </w:r>
          </w:p>
          <w:p w14:paraId="80997FB2">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9）</w:t>
            </w:r>
            <w:r>
              <w:rPr>
                <w:rFonts w:hint="default" w:ascii="宋体" w:hAnsi="宋体" w:eastAsia="宋体" w:cs="宋体"/>
                <w:bCs/>
                <w:kern w:val="0"/>
                <w:szCs w:val="21"/>
                <w:highlight w:val="none"/>
                <w:lang w:val="en-US" w:eastAsia="zh-CN"/>
              </w:rPr>
              <w:t>所有产品包装具备防潮、防锈、防碰撞、防雨防腐保护措施，适配桂林本地气候条件；因包装不当造成的损坏、产生的一切费用由成交供应商自行承担。</w:t>
            </w:r>
          </w:p>
          <w:p w14:paraId="91E2CD02">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10）</w:t>
            </w:r>
            <w:r>
              <w:rPr>
                <w:rFonts w:hint="default" w:ascii="宋体" w:hAnsi="宋体" w:eastAsia="宋体" w:cs="宋体"/>
                <w:bCs/>
                <w:kern w:val="0"/>
                <w:szCs w:val="21"/>
                <w:highlight w:val="none"/>
                <w:lang w:val="en-US" w:eastAsia="zh-CN"/>
              </w:rPr>
              <w:t>成交供应商须保障采购人免于遭受第三方就专利权、商标权、著作权、外观设计等知识产权提起侵权索赔、诉讼；如发生知识产权纠纷，全部法律责任、经济赔偿由成交供应商承担。</w:t>
            </w:r>
          </w:p>
          <w:p w14:paraId="572552D1">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11）</w:t>
            </w:r>
            <w:r>
              <w:rPr>
                <w:rFonts w:hint="default" w:ascii="宋体" w:hAnsi="宋体" w:eastAsia="宋体" w:cs="宋体"/>
                <w:bCs/>
                <w:kern w:val="0"/>
                <w:szCs w:val="21"/>
                <w:highlight w:val="none"/>
                <w:lang w:val="en-US" w:eastAsia="zh-CN"/>
              </w:rPr>
              <w:t>数字内容版权与商用素材确权要求</w:t>
            </w:r>
          </w:p>
          <w:p w14:paraId="CCA0E5AC">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①本项目所有触控UI界面、实拍素材完整永久著作权无偿归属桂林理工大学；成交供应商不得商用、转授权、二次售卖相关成果；</w:t>
            </w:r>
          </w:p>
          <w:p w14:paraId="C225BE2A">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②成交供应商须提供全部图片、音乐、字体完整永久商用授权文件，授权范围覆盖校内线上线下宣传、二次剪辑、多平台长期使用；</w:t>
            </w:r>
          </w:p>
          <w:p w14:paraId="A4B9DFC9">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③严禁使用无版权网络素材、未取得永久商用授权素材；一旦发生第三方版权纠纷，全部应诉成本、赔偿金由成交供应商承担，同时成交供应商须向采购人支付合同总价10%的违约金；</w:t>
            </w:r>
          </w:p>
          <w:p w14:paraId="AAB954B6">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④项目竣工验收移交时同步交付全套源文件：视频工程源文件、分层UI设计源文件、中控程序脚本、商用字体包、完整素材授权台账。</w:t>
            </w:r>
          </w:p>
          <w:p w14:paraId="A044F079">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12）</w:t>
            </w:r>
            <w:r>
              <w:rPr>
                <w:rFonts w:hint="default" w:ascii="宋体" w:hAnsi="宋体" w:eastAsia="宋体" w:cs="宋体"/>
                <w:bCs/>
                <w:kern w:val="0"/>
                <w:szCs w:val="21"/>
                <w:highlight w:val="none"/>
                <w:lang w:val="en-US" w:eastAsia="zh-CN"/>
              </w:rPr>
              <w:t>项目变更规则</w:t>
            </w:r>
          </w:p>
          <w:p w14:paraId="25CACCFB">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①采购人书面确认的细节优化、局部微调、效果完善类调整，相关费用已综合包含在固定包干总价内，履约期间合同总价不作上调；如涉及展区布局重大调整、新增独立展项、展陈规模实质性扩充等重大变更，双方按照政府采购相关法律法规另行履行变更程序。所有变更内容标准不得低于原确认方案标准。</w:t>
            </w:r>
          </w:p>
          <w:p w14:paraId="E30ED7F5">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②所有变更必须出具采购人书面确认文件，同步配套变更图纸、项目明细清单，经采购人相关部门签字确认后方可实施。</w:t>
            </w:r>
          </w:p>
          <w:p w14:paraId="877D0688">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③因成交供应商深化设计疏漏、实施失误造成返工、新增工作量，全部成本由成交供应商自行承担，工期不予顺延。</w:t>
            </w:r>
          </w:p>
          <w:p w14:paraId="ACECBBC6">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13）</w:t>
            </w:r>
            <w:r>
              <w:rPr>
                <w:rFonts w:hint="default" w:ascii="宋体" w:hAnsi="宋体" w:eastAsia="宋体" w:cs="宋体"/>
                <w:bCs/>
                <w:kern w:val="0"/>
                <w:szCs w:val="21"/>
                <w:highlight w:val="none"/>
                <w:lang w:val="en-US" w:eastAsia="zh-CN"/>
              </w:rPr>
              <w:t>无障碍落地实操细化要求</w:t>
            </w:r>
          </w:p>
          <w:p w14:paraId="CBFDB78A">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①主参观通道净宽不低于1.2m，无障碍通行区域无台阶；存在高差位置设置防滑无障碍坡道；</w:t>
            </w:r>
          </w:p>
          <w:p w14:paraId="8F118993">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②轮椅适配低位展柜操作高度0.75m；</w:t>
            </w:r>
          </w:p>
          <w:p w14:paraId="36A72DFC">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③触控一体机设置低位交互操作界面。</w:t>
            </w:r>
          </w:p>
          <w:p w14:paraId="36006624">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14）</w:t>
            </w:r>
            <w:r>
              <w:rPr>
                <w:rFonts w:hint="default" w:ascii="宋体" w:hAnsi="宋体" w:eastAsia="宋体" w:cs="宋体"/>
                <w:bCs/>
                <w:kern w:val="0"/>
                <w:szCs w:val="21"/>
                <w:highlight w:val="none"/>
                <w:lang w:val="en-US" w:eastAsia="zh-CN"/>
              </w:rPr>
              <w:t>材料样品封样管控</w:t>
            </w:r>
          </w:p>
          <w:p w14:paraId="D2F56EE3">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所有板材、涂料、展柜五金、照明灯具、饰面材料，成交供应商须在服务开工前10个工作日提交实物样品供采购人封样确认；采购人5个工作日内出具书面确认意见。成交供应商擅自使用未封样材料的，须无条件拆除重做，工期不予顺延，全部返工成本自行承担。</w:t>
            </w:r>
          </w:p>
          <w:p w14:paraId="4D91BED7">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15）</w:t>
            </w:r>
            <w:r>
              <w:rPr>
                <w:rFonts w:hint="default" w:ascii="宋体" w:hAnsi="宋体" w:eastAsia="宋体" w:cs="宋体"/>
                <w:bCs/>
                <w:kern w:val="0"/>
                <w:szCs w:val="21"/>
                <w:highlight w:val="none"/>
                <w:lang w:val="en-US" w:eastAsia="zh-CN"/>
              </w:rPr>
              <w:t>现场管理要求</w:t>
            </w:r>
          </w:p>
          <w:p w14:paraId="F4A5BF12">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成交供应商在材料搬运、设备安装全过程接受采购人监督管理。采购人核查发现成交供应商未按照</w:t>
            </w:r>
            <w:r>
              <w:rPr>
                <w:rFonts w:hint="eastAsia" w:ascii="宋体" w:hAnsi="宋体" w:cs="宋体"/>
                <w:bCs/>
                <w:kern w:val="0"/>
                <w:szCs w:val="21"/>
                <w:highlight w:val="none"/>
                <w:lang w:val="en-US" w:eastAsia="zh-CN"/>
              </w:rPr>
              <w:t>竞</w:t>
            </w:r>
            <w:r>
              <w:rPr>
                <w:rFonts w:hint="default" w:ascii="宋体" w:hAnsi="宋体" w:eastAsia="宋体" w:cs="宋体"/>
                <w:bCs/>
                <w:kern w:val="0"/>
                <w:szCs w:val="21"/>
                <w:highlight w:val="none"/>
                <w:lang w:val="en-US" w:eastAsia="zh-CN"/>
              </w:rPr>
              <w:t>标承诺供货、产品质量不达标，有权要求成交供应商限期更换，更换产生全部费用由成交供应商承担；若未能按期完成更换，采购人有权暂缓支付款项，并保留暂停、解除合同的权利。</w:t>
            </w:r>
          </w:p>
          <w:p w14:paraId="288E6395">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16）</w:t>
            </w:r>
            <w:r>
              <w:rPr>
                <w:rFonts w:hint="default" w:ascii="宋体" w:hAnsi="宋体" w:eastAsia="宋体" w:cs="宋体"/>
                <w:bCs/>
                <w:kern w:val="0"/>
                <w:szCs w:val="21"/>
                <w:highlight w:val="none"/>
                <w:lang w:val="en-US" w:eastAsia="zh-CN"/>
              </w:rPr>
              <w:t>项目质量标准</w:t>
            </w:r>
          </w:p>
          <w:p w14:paraId="00419BC8">
            <w:pPr>
              <w:wordWrap w:val="0"/>
              <w:topLinePunct/>
              <w:spacing w:line="360" w:lineRule="auto"/>
              <w:ind w:left="0" w:firstLine="420" w:firstLineChars="200"/>
              <w:jc w:val="left"/>
              <w:rPr>
                <w:rFonts w:hint="default" w:ascii="宋体" w:hAnsi="宋体" w:eastAsia="宋体" w:cs="宋体"/>
                <w:bCs/>
                <w:kern w:val="0"/>
                <w:szCs w:val="21"/>
                <w:highlight w:val="none"/>
                <w:lang w:val="en-US" w:eastAsia="zh-CN"/>
              </w:rPr>
            </w:pPr>
            <w:r>
              <w:rPr>
                <w:rFonts w:hint="default" w:ascii="宋体" w:hAnsi="宋体" w:eastAsia="宋体" w:cs="宋体"/>
                <w:bCs/>
                <w:kern w:val="0"/>
                <w:szCs w:val="21"/>
                <w:highlight w:val="none"/>
                <w:lang w:val="en-US" w:eastAsia="zh-CN"/>
              </w:rPr>
              <w:t>本项目整体服务成果须达到验收合格标准，全面满足国家规范、采购文件及采购人使用需求。</w:t>
            </w:r>
            <w:r>
              <w:rPr>
                <w:rFonts w:hint="eastAsia" w:ascii="宋体" w:hAnsi="宋体" w:eastAsia="宋体" w:cs="宋体"/>
                <w:bCs/>
                <w:kern w:val="0"/>
                <w:szCs w:val="21"/>
                <w:highlight w:val="none"/>
                <w:lang w:val="en-US" w:eastAsia="zh-CN"/>
              </w:rPr>
              <w:t xml:space="preserve"> </w:t>
            </w:r>
          </w:p>
          <w:p w14:paraId="7CAFC6DE">
            <w:pPr>
              <w:wordWrap w:val="0"/>
              <w:topLinePunct/>
              <w:spacing w:line="360" w:lineRule="auto"/>
              <w:ind w:left="0" w:firstLine="422" w:firstLineChars="200"/>
              <w:jc w:val="left"/>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6.</w:t>
            </w:r>
            <w:r>
              <w:rPr>
                <w:rFonts w:hint="eastAsia" w:ascii="宋体" w:hAnsi="宋体" w:eastAsia="宋体" w:cs="宋体"/>
                <w:b/>
                <w:bCs/>
                <w:kern w:val="0"/>
                <w:szCs w:val="21"/>
                <w:highlight w:val="none"/>
              </w:rPr>
              <w:t>其他技术要求说明</w:t>
            </w:r>
          </w:p>
          <w:p w14:paraId="785B3032">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（1）</w:t>
            </w:r>
            <w:r>
              <w:rPr>
                <w:rFonts w:hint="default" w:ascii="宋体" w:hAnsi="宋体" w:eastAsia="宋体" w:cs="宋体"/>
                <w:bCs/>
                <w:kern w:val="0"/>
                <w:szCs w:val="21"/>
                <w:highlight w:val="none"/>
                <w:lang w:val="en-US" w:eastAsia="zh-CN"/>
              </w:rPr>
              <w:t>本项目所有深化设计、现场实施服务、材料选型应用，须严格符合建筑装饰、室内环境、消防安全、绿色环保、智能化建设等国家及行业现行规范标准，全过程合规实施，确保成果安全、达标、长效可用。</w:t>
            </w:r>
          </w:p>
          <w:p w14:paraId="83075ECF">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（2）</w:t>
            </w:r>
            <w:r>
              <w:rPr>
                <w:rFonts w:hint="default" w:ascii="宋体" w:hAnsi="宋体" w:eastAsia="宋体" w:cs="宋体"/>
                <w:bCs/>
                <w:kern w:val="0"/>
                <w:szCs w:val="21"/>
                <w:highlight w:val="none"/>
                <w:lang w:val="en-US" w:eastAsia="zh-CN"/>
              </w:rPr>
              <w:t>展厅展墙、展柜、展台、天花吊顶、地面饰面及所有空间完善优化服务，须采用高标准工艺实施，做工精细、收口规整、平整牢固、质感统一，整体呈现精品化展陈工艺水准，匹配校级科创展示窗口形象。</w:t>
            </w:r>
          </w:p>
          <w:p w14:paraId="40245822">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（3）</w:t>
            </w:r>
            <w:r>
              <w:rPr>
                <w:rFonts w:hint="default" w:ascii="宋体" w:hAnsi="宋体" w:eastAsia="宋体" w:cs="宋体"/>
                <w:bCs/>
                <w:kern w:val="0"/>
                <w:szCs w:val="21"/>
                <w:highlight w:val="none"/>
                <w:lang w:val="en-US" w:eastAsia="zh-CN"/>
              </w:rPr>
              <w:t>所有数字化展示内容逻辑结构完整、板块布局合理、内容层级清晰；交互界面视觉风格统一、简洁大气，贴合桂林理工大学校园文化、科创特色及展厅整体视觉体系，兼具美观性与实用性。</w:t>
            </w:r>
          </w:p>
          <w:p w14:paraId="C0DF377E">
            <w:pPr>
              <w:widowControl/>
              <w:wordWrap w:val="0"/>
              <w:topLinePunct/>
              <w:adjustRightInd/>
              <w:snapToGrid/>
              <w:spacing w:line="360" w:lineRule="auto"/>
              <w:ind w:firstLine="420" w:firstLineChars="200"/>
              <w:jc w:val="both"/>
              <w:textAlignment w:val="center"/>
              <w:rPr>
                <w:rFonts w:hint="eastAsia" w:ascii="宋体" w:hAnsi="宋体" w:eastAsia="宋体" w:cs="宋体"/>
                <w:bCs/>
                <w:kern w:val="0"/>
                <w:szCs w:val="21"/>
                <w:highlight w:val="none"/>
                <w:lang w:val="en-US" w:eastAsia="zh-CN"/>
              </w:rPr>
            </w:pPr>
            <w:r>
              <w:rPr>
                <w:rFonts w:hint="eastAsia" w:ascii="宋体" w:hAnsi="宋体" w:cs="宋体"/>
                <w:bCs/>
                <w:kern w:val="0"/>
                <w:szCs w:val="21"/>
                <w:highlight w:val="none"/>
                <w:lang w:val="en-US" w:eastAsia="zh-CN"/>
              </w:rPr>
              <w:t>（4）</w:t>
            </w:r>
            <w:r>
              <w:rPr>
                <w:rFonts w:hint="default" w:ascii="宋体" w:hAnsi="宋体" w:eastAsia="宋体" w:cs="宋体"/>
                <w:bCs/>
                <w:kern w:val="0"/>
                <w:szCs w:val="21"/>
                <w:highlight w:val="none"/>
                <w:lang w:val="en-US" w:eastAsia="zh-CN"/>
              </w:rPr>
              <w:t>成交供应商在深化设计阶段须全面统筹匹配校方已有及另行采购的多媒体硬件设备参数、安装点位、接口规格、供电及网络需求，提前精准规划设备安装位置、强弱电点位、网络端口预留、管线走向，确保本项目展陈设计、空间布局、点位预留与校方外部硬件设备完全适配、无缝对接、精准落地，杜绝出现点位错位、端口缺失、尺寸不符、设备无法安装、线路不匹配等衔接问题。因深化设计考虑不周、点位预留错误造成的整改、返工及新增费用，全部由成交供应商自行承担，工期不予顺延。</w:t>
            </w:r>
          </w:p>
          <w:p w14:paraId="793BFE9A">
            <w:pPr>
              <w:widowControl/>
              <w:wordWrap w:val="0"/>
              <w:topLinePunct/>
              <w:adjustRightInd/>
              <w:snapToGrid/>
              <w:spacing w:line="360" w:lineRule="auto"/>
              <w:ind w:firstLine="422" w:firstLineChars="200"/>
              <w:jc w:val="both"/>
              <w:textAlignment w:val="center"/>
              <w:rPr>
                <w:rFonts w:hint="eastAsia"/>
                <w:b/>
                <w:szCs w:val="21"/>
                <w:highlight w:val="none"/>
                <w:lang w:val="en-US" w:eastAsia="zh-CN"/>
              </w:rPr>
            </w:pPr>
            <w:r>
              <w:rPr>
                <w:rFonts w:hint="eastAsia"/>
                <w:b/>
                <w:szCs w:val="21"/>
                <w:highlight w:val="none"/>
                <w:lang w:val="en-US" w:eastAsia="zh-CN"/>
              </w:rPr>
              <w:t>（六）服务</w:t>
            </w:r>
            <w:r>
              <w:rPr>
                <w:b/>
                <w:szCs w:val="21"/>
                <w:highlight w:val="none"/>
              </w:rPr>
              <w:t>人员</w:t>
            </w:r>
            <w:r>
              <w:rPr>
                <w:rFonts w:hint="eastAsia"/>
                <w:b/>
                <w:szCs w:val="21"/>
                <w:highlight w:val="none"/>
                <w:lang w:val="en-US" w:eastAsia="zh-CN"/>
              </w:rPr>
              <w:t>要求</w:t>
            </w:r>
          </w:p>
          <w:p w14:paraId="60C24DCA">
            <w:pPr>
              <w:widowControl/>
              <w:wordWrap w:val="0"/>
              <w:topLinePunct/>
              <w:adjustRightInd/>
              <w:snapToGrid/>
              <w:spacing w:line="360" w:lineRule="auto"/>
              <w:ind w:firstLine="420" w:firstLineChars="200"/>
              <w:jc w:val="both"/>
              <w:textAlignment w:val="center"/>
              <w:rPr>
                <w:rFonts w:hint="eastAsia" w:ascii="宋体" w:hAnsi="宋体" w:eastAsia="宋体" w:cs="宋体"/>
                <w:b/>
                <w:bCs/>
                <w:color w:val="000000"/>
                <w:spacing w:val="0"/>
                <w:position w:val="0"/>
                <w:sz w:val="21"/>
                <w:szCs w:val="21"/>
                <w:highlight w:val="none"/>
              </w:rPr>
            </w:pPr>
            <w:r>
              <w:rPr>
                <w:rFonts w:hint="eastAsia" w:ascii="宋体" w:hAnsi="宋体" w:eastAsia="宋体" w:cs="宋体"/>
                <w:color w:val="000000"/>
                <w:spacing w:val="0"/>
                <w:position w:val="0"/>
                <w:sz w:val="21"/>
                <w:szCs w:val="21"/>
                <w:highlight w:val="none"/>
              </w:rPr>
              <w:t>项目实施阶段至少投入项目负责人1名，其他人员合计不少于5名（即项目团队总人数不少于6名）。拟投入人员须具备与本项目工作相适应的基本技术能力和管理能力，能够保证项目按时按质完成。</w:t>
            </w:r>
            <w:r>
              <w:rPr>
                <w:rFonts w:hint="eastAsia" w:ascii="宋体" w:hAnsi="宋体" w:eastAsia="宋体" w:cs="宋体"/>
                <w:b/>
                <w:bCs/>
                <w:color w:val="000000"/>
                <w:spacing w:val="0"/>
                <w:position w:val="0"/>
                <w:sz w:val="21"/>
                <w:szCs w:val="21"/>
                <w:highlight w:val="none"/>
              </w:rPr>
              <w:t>在响应文件中须提供拟投入人员的名册（内容至少包括：拟投入人员的姓名、身份证号、在本项目中的职务或工作岗位、相关人员的职业资格证书或岗位证书（如有））。</w:t>
            </w:r>
          </w:p>
          <w:p w14:paraId="7F1419C1">
            <w:pPr>
              <w:widowControl/>
              <w:wordWrap w:val="0"/>
              <w:topLinePunct/>
              <w:adjustRightInd/>
              <w:snapToGrid/>
              <w:spacing w:line="360" w:lineRule="auto"/>
              <w:ind w:firstLine="422" w:firstLineChars="200"/>
              <w:jc w:val="both"/>
              <w:textAlignment w:val="center"/>
              <w:rPr>
                <w:rFonts w:hint="default"/>
                <w:b/>
                <w:szCs w:val="21"/>
                <w:highlight w:val="none"/>
                <w:lang w:val="en-US" w:eastAsia="zh-CN"/>
              </w:rPr>
            </w:pPr>
            <w:r>
              <w:rPr>
                <w:rFonts w:hint="eastAsia" w:ascii="宋体" w:hAnsi="宋体" w:eastAsia="宋体" w:cs="宋体"/>
                <w:b/>
                <w:bCs/>
                <w:color w:val="000000"/>
                <w:spacing w:val="0"/>
                <w:position w:val="0"/>
                <w:sz w:val="21"/>
                <w:szCs w:val="21"/>
                <w:highlight w:val="none"/>
              </w:rPr>
              <w:t>供应商须承诺：拟投入本项目的项目负责人及关键技术岗位人员在项目竣工验收前不得随意更换；确需更换的，须经采购人书面同意，且更换人员的资质水平不得低于原承诺人员水平，由此产生的费用由供应商自行承担。</w:t>
            </w:r>
          </w:p>
        </w:tc>
      </w:tr>
      <w:tr w14:paraId="71E730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69" w:type="dxa"/>
            <w:gridSpan w:val="5"/>
            <w:tcBorders>
              <w:top w:val="single" w:color="auto" w:sz="4" w:space="0"/>
              <w:left w:val="single" w:color="auto" w:sz="4" w:space="0"/>
              <w:bottom w:val="single" w:color="auto" w:sz="4" w:space="0"/>
              <w:right w:val="single" w:color="auto" w:sz="4" w:space="0"/>
            </w:tcBorders>
          </w:tcPr>
          <w:p w14:paraId="461AD796">
            <w:pPr>
              <w:adjustRightInd w:val="0"/>
              <w:snapToGrid w:val="0"/>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color w:val="auto"/>
                <w:sz w:val="21"/>
                <w:szCs w:val="21"/>
                <w:highlight w:val="none"/>
              </w:rPr>
              <w:t>商务要求</w:t>
            </w:r>
          </w:p>
        </w:tc>
      </w:tr>
      <w:tr w14:paraId="1CB108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D832CD8">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Cs/>
                <w:szCs w:val="21"/>
                <w:highlight w:val="none"/>
              </w:rPr>
              <w:t>（一）</w:t>
            </w:r>
            <w:r>
              <w:rPr>
                <w:rFonts w:hint="default" w:ascii="宋体" w:hAnsi="宋体" w:eastAsia="宋体" w:cs="宋体"/>
                <w:bCs/>
                <w:szCs w:val="21"/>
                <w:highlight w:val="none"/>
                <w:lang w:val="en-US"/>
              </w:rPr>
              <w:t>质保期与售后服务要求</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176205E5">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szCs w:val="21"/>
                <w:highlight w:val="none"/>
                <w:lang w:val="en-US"/>
              </w:rPr>
              <w:t>本项目为展陈服务项目，成交供应商须提供完整、长效、稳定的质保及售后运维服务，全面保障展厅设备、系统、展陈设施长期安全稳定运行，适配校园常态化对外开放、高频次参观使用场景。所有售后、运维、维修、升级、巡检、培训等相关费用均已包含在合同固定包干总价内，履约期内不另行计费。</w:t>
            </w:r>
          </w:p>
          <w:p w14:paraId="F6086F46">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w:t>
            </w:r>
            <w:r>
              <w:rPr>
                <w:rFonts w:hint="default" w:ascii="宋体" w:hAnsi="宋体" w:eastAsia="宋体" w:cs="宋体"/>
                <w:color w:val="auto"/>
                <w:sz w:val="21"/>
                <w:szCs w:val="21"/>
                <w:highlight w:val="none"/>
                <w:lang w:val="en-US"/>
              </w:rPr>
              <w:t>免费保修期要求</w:t>
            </w:r>
          </w:p>
          <w:p w14:paraId="5866EFB2">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w:t>
            </w:r>
            <w:r>
              <w:rPr>
                <w:rFonts w:hint="default" w:ascii="宋体" w:hAnsi="宋体" w:eastAsia="宋体" w:cs="宋体"/>
                <w:color w:val="auto"/>
                <w:sz w:val="21"/>
                <w:szCs w:val="21"/>
                <w:highlight w:val="none"/>
                <w:lang w:val="en-US"/>
              </w:rPr>
              <w:t>本项目整体免费保修期不少于2年，严格高于国家“三包”最低标准；质保起算时间自本项目整体竣工验收合格、正式移交之日起计算。本项目技术需求条款中有更高质保要求的，从其最高标准执行。</w:t>
            </w:r>
          </w:p>
          <w:p w14:paraId="D05D6546">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rPr>
              <w:t>质保范围覆盖本项目全部展陈设施、展柜展台、装饰饰面、灯光系统、强弱电配套、多媒体硬件、交互终端、中控系统、定制软件、程序脚本、数字化内容等全部项目成果。</w:t>
            </w:r>
          </w:p>
          <w:p w14:paraId="4F7505B8">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（3）</w:t>
            </w:r>
            <w:r>
              <w:rPr>
                <w:rFonts w:hint="default" w:ascii="宋体" w:hAnsi="宋体" w:eastAsia="宋体" w:cs="宋体"/>
                <w:color w:val="auto"/>
                <w:sz w:val="21"/>
                <w:szCs w:val="21"/>
                <w:highlight w:val="none"/>
                <w:lang w:val="en-US"/>
              </w:rPr>
              <w:t>质保期内实行全免费上门维保服务，免费提供故障检测、系统调试、维修处置、零部件更换、软件修复，免收人工费、上门费、配件材料费、系统运维费等一切费用。</w:t>
            </w:r>
          </w:p>
          <w:p w14:paraId="1F32D05B">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（4）</w:t>
            </w:r>
            <w:r>
              <w:rPr>
                <w:rFonts w:hint="default" w:ascii="宋体" w:hAnsi="宋体" w:eastAsia="宋体" w:cs="宋体"/>
                <w:color w:val="auto"/>
                <w:sz w:val="21"/>
                <w:szCs w:val="21"/>
                <w:highlight w:val="none"/>
                <w:lang w:val="en-US"/>
              </w:rPr>
              <w:t>项目整体质保期满后，供应商须提供终身优惠维修服务，仅收取实际配件成本费用，不收人工及运维服务费，保障展厅长期可持续运营。</w:t>
            </w:r>
          </w:p>
          <w:p w14:paraId="B558D226">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rPr>
              <w:t>整体售后服务保障要求</w:t>
            </w:r>
          </w:p>
          <w:p w14:paraId="A567637F">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w:t>
            </w:r>
            <w:r>
              <w:rPr>
                <w:rFonts w:hint="default" w:ascii="宋体" w:hAnsi="宋体" w:eastAsia="宋体" w:cs="宋体"/>
                <w:color w:val="auto"/>
                <w:sz w:val="21"/>
                <w:szCs w:val="21"/>
                <w:highlight w:val="none"/>
                <w:lang w:val="en-US"/>
              </w:rPr>
              <w:t>交付安装与培训服务</w:t>
            </w:r>
          </w:p>
          <w:p w14:paraId="EE915D42">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成交供应商须免费提供送货上门、现场安装、精准调试、系统联调、整体试运行服务。项目交付前后须免费为采购人开展不少于2次现场专项培训，包含设备操作、后台内容更新、中控系统管控、日常简单故障排查、系统基础运维，确保校方多名管理人员可独立熟练操作、自主日常运维，并交付完整培训台账。</w:t>
            </w:r>
          </w:p>
          <w:p w14:paraId="AF9EE932">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rPr>
              <w:t>软件系统运维与升级服务</w:t>
            </w:r>
          </w:p>
          <w:p w14:paraId="85AEC96F">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质保期内提供全天候软件运维、故障排查、漏洞修复、系统优化、数据库维护、后台保障服务，确保系统稳定、无闪退、无卡顿、无瘫痪故障。</w:t>
            </w:r>
          </w:p>
          <w:p w14:paraId="A82AC98D">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（3）</w:t>
            </w:r>
            <w:r>
              <w:rPr>
                <w:rFonts w:hint="default" w:ascii="宋体" w:hAnsi="宋体" w:eastAsia="宋体" w:cs="宋体"/>
                <w:color w:val="auto"/>
                <w:sz w:val="21"/>
                <w:szCs w:val="21"/>
                <w:highlight w:val="none"/>
                <w:lang w:val="en-US"/>
              </w:rPr>
              <w:t>售后响应及上门时效</w:t>
            </w:r>
          </w:p>
          <w:p w14:paraId="A9F313CC">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①提供7×12小时远程技术咨询、故障响应、在线排查支撑服务。</w:t>
            </w:r>
          </w:p>
          <w:p w14:paraId="D4F068AD">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②桂林市城区范围内，接到采购人故障报修通知后24小时内必须安排工程师到场处置；重大影响开放、系统瘫痪、安全隐患类故障优先加急处置。</w:t>
            </w:r>
          </w:p>
          <w:p w14:paraId="4CF48262">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③售后全程留痕，建立报修台账、处置台账、回访台账，确保问题闭环清零。</w:t>
            </w:r>
          </w:p>
          <w:p w14:paraId="8134AF4A">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（4）</w:t>
            </w:r>
            <w:r>
              <w:rPr>
                <w:rFonts w:hint="default" w:ascii="宋体" w:hAnsi="宋体" w:eastAsia="宋体" w:cs="宋体"/>
                <w:color w:val="auto"/>
                <w:sz w:val="21"/>
                <w:szCs w:val="21"/>
                <w:highlight w:val="none"/>
                <w:lang w:val="en-US"/>
              </w:rPr>
              <w:t>定期巡检常态化服务</w:t>
            </w:r>
          </w:p>
          <w:p w14:paraId="341C93FA">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质保期内建立季度巡检制度，每季度不少于1次全面上门例行巡检，对展厅所有展项、设备、电路、灯光、软件系统、交互程序、安防配套进行全面排查、保养、优化、紧固、除尘调试，每次巡检完成后3个工作日内提交正式书面巡检报告及优化建议。</w:t>
            </w:r>
          </w:p>
          <w:p w14:paraId="CEBD46F9">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（5）</w:t>
            </w:r>
            <w:r>
              <w:rPr>
                <w:rFonts w:hint="default" w:ascii="宋体" w:hAnsi="宋体" w:eastAsia="宋体" w:cs="宋体"/>
                <w:color w:val="auto"/>
                <w:sz w:val="21"/>
                <w:szCs w:val="21"/>
                <w:highlight w:val="none"/>
                <w:lang w:val="en-US"/>
              </w:rPr>
              <w:t>故障维修与配件更换标准</w:t>
            </w:r>
          </w:p>
          <w:p w14:paraId="50E46D19">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①因产品质量缺陷、工艺瑕疵、软件开发问题、集成施工问题造成的一切故障，全部免费维修、免费更换配件。</w:t>
            </w:r>
          </w:p>
          <w:p w14:paraId="C64712A4">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②维修更换配件须与原设备同品牌、同规格、同档次、同性能；确需替代配件的，须提前书面报请采购人同意，保证性能不降低、效果不打折。</w:t>
            </w:r>
          </w:p>
          <w:p w14:paraId="080F9960">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（6）</w:t>
            </w:r>
            <w:r>
              <w:rPr>
                <w:rFonts w:hint="default" w:ascii="宋体" w:hAnsi="宋体" w:eastAsia="宋体" w:cs="宋体"/>
                <w:color w:val="auto"/>
                <w:sz w:val="21"/>
                <w:szCs w:val="21"/>
                <w:highlight w:val="none"/>
                <w:lang w:val="en-US"/>
              </w:rPr>
              <w:t>原厂服务原则</w:t>
            </w:r>
          </w:p>
          <w:p w14:paraId="2C2B01CE">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设备自带原厂服务、原厂质保政策优于本文件要求的，按更高、更严标准执行，保障采购人权益最大化。</w:t>
            </w:r>
          </w:p>
          <w:p w14:paraId="56E6D8DF">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3.</w:t>
            </w:r>
            <w:r>
              <w:rPr>
                <w:rFonts w:hint="default" w:ascii="宋体" w:hAnsi="宋体" w:eastAsia="宋体" w:cs="宋体"/>
                <w:color w:val="auto"/>
                <w:sz w:val="21"/>
                <w:szCs w:val="21"/>
                <w:highlight w:val="none"/>
                <w:lang w:val="en-US"/>
              </w:rPr>
              <w:t xml:space="preserve">售后违约责任 </w:t>
            </w:r>
          </w:p>
          <w:p w14:paraId="A8D44430">
            <w:pPr>
              <w:adjustRightInd/>
              <w:snapToGrid/>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（1）</w:t>
            </w:r>
            <w:r>
              <w:rPr>
                <w:rFonts w:hint="default" w:ascii="宋体" w:hAnsi="宋体" w:eastAsia="宋体" w:cs="宋体"/>
                <w:color w:val="auto"/>
                <w:sz w:val="21"/>
                <w:szCs w:val="21"/>
                <w:highlight w:val="none"/>
                <w:lang w:val="en-US"/>
              </w:rPr>
              <w:t>质保期内，供应商未按承诺响应、未按时上门、拖延处置故障、重复出现同类问题的，采购人有权扣除质保履约费用，情节严重的有权追究违约责任、单方启动质保兜底处置。</w:t>
            </w:r>
          </w:p>
          <w:p w14:paraId="67B21AB8">
            <w:pPr>
              <w:adjustRightInd/>
              <w:snapToGrid/>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rPr>
              <w:t>因供应商设备质量、软件缺陷、施工集成问题造成展厅无法正常开放、造成校园不良影响或安全隐患的，由成交供应商承担全部整改成本及相应责任。</w:t>
            </w:r>
          </w:p>
        </w:tc>
      </w:tr>
      <w:tr w14:paraId="4EFDC4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2A95578">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rPr>
              <w:t>（</w:t>
            </w:r>
            <w:r>
              <w:rPr>
                <w:rFonts w:hint="default" w:ascii="宋体" w:hAnsi="宋体" w:eastAsia="宋体" w:cs="宋体"/>
                <w:szCs w:val="21"/>
                <w:highlight w:val="none"/>
                <w:lang w:val="en-US"/>
              </w:rPr>
              <w:t>二</w:t>
            </w:r>
            <w:r>
              <w:rPr>
                <w:rFonts w:hint="eastAsia" w:ascii="宋体" w:hAnsi="宋体" w:eastAsia="宋体" w:cs="宋体"/>
                <w:szCs w:val="21"/>
                <w:highlight w:val="none"/>
              </w:rPr>
              <w:t>）</w:t>
            </w:r>
            <w:r>
              <w:rPr>
                <w:rFonts w:hint="eastAsia" w:ascii="宋体" w:hAnsi="宋体" w:eastAsia="宋体" w:cs="宋体"/>
                <w:color w:val="auto"/>
                <w:sz w:val="21"/>
                <w:szCs w:val="21"/>
                <w:highlight w:val="none"/>
              </w:rPr>
              <w:t>合同签订时间</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501AD211">
            <w:pPr>
              <w:adjustRightInd/>
              <w:snapToGrid/>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自</w:t>
            </w:r>
            <w:r>
              <w:rPr>
                <w:rFonts w:hint="eastAsia" w:ascii="宋体" w:hAnsi="宋体" w:eastAsia="宋体" w:cs="宋体"/>
                <w:sz w:val="21"/>
                <w:szCs w:val="21"/>
                <w:highlight w:val="none"/>
                <w:lang w:val="en-US" w:eastAsia="zh-CN"/>
              </w:rPr>
              <w:t>成交</w:t>
            </w:r>
            <w:r>
              <w:rPr>
                <w:rFonts w:hint="eastAsia" w:ascii="宋体" w:hAnsi="宋体" w:eastAsia="宋体" w:cs="宋体"/>
                <w:sz w:val="21"/>
                <w:szCs w:val="21"/>
                <w:highlight w:val="none"/>
              </w:rPr>
              <w:t>通知书发出之日起</w:t>
            </w:r>
            <w:r>
              <w:rPr>
                <w:rFonts w:hint="eastAsia" w:ascii="宋体" w:hAnsi="宋体" w:eastAsia="宋体" w:cs="宋体"/>
                <w:b/>
                <w:color w:val="auto"/>
                <w:sz w:val="21"/>
                <w:szCs w:val="21"/>
                <w:highlight w:val="none"/>
                <w:u w:val="single"/>
                <w:lang w:val="en-US" w:eastAsia="zh-CN"/>
              </w:rPr>
              <w:t>25</w:t>
            </w:r>
            <w:r>
              <w:rPr>
                <w:rFonts w:hint="eastAsia" w:ascii="宋体" w:hAnsi="宋体" w:eastAsia="宋体" w:cs="宋体"/>
                <w:b/>
                <w:color w:val="auto"/>
                <w:sz w:val="21"/>
                <w:szCs w:val="21"/>
                <w:highlight w:val="none"/>
                <w:u w:val="single"/>
              </w:rPr>
              <w:t>日</w:t>
            </w:r>
            <w:r>
              <w:rPr>
                <w:rFonts w:hint="eastAsia" w:ascii="宋体" w:hAnsi="宋体" w:eastAsia="宋体" w:cs="宋体"/>
                <w:sz w:val="21"/>
                <w:szCs w:val="21"/>
                <w:highlight w:val="none"/>
              </w:rPr>
              <w:t>内签订采购合同。</w:t>
            </w:r>
          </w:p>
        </w:tc>
      </w:tr>
      <w:tr w14:paraId="32A8E7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A338A76">
            <w:pPr>
              <w:adjustRightInd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szCs w:val="21"/>
                <w:highlight w:val="none"/>
              </w:rPr>
              <w:t>（</w:t>
            </w:r>
            <w:r>
              <w:rPr>
                <w:rFonts w:hint="default" w:ascii="宋体" w:hAnsi="宋体" w:eastAsia="宋体" w:cs="宋体"/>
                <w:szCs w:val="21"/>
                <w:highlight w:val="none"/>
                <w:lang w:val="en-US"/>
              </w:rPr>
              <w:t>三</w:t>
            </w:r>
            <w:r>
              <w:rPr>
                <w:rFonts w:hint="eastAsia" w:ascii="宋体" w:hAnsi="宋体" w:eastAsia="宋体" w:cs="宋体"/>
                <w:szCs w:val="21"/>
                <w:highlight w:val="none"/>
              </w:rPr>
              <w:t>）</w:t>
            </w:r>
            <w:r>
              <w:rPr>
                <w:rFonts w:hint="eastAsia" w:ascii="宋体" w:hAnsi="宋体" w:eastAsia="宋体" w:cs="宋体"/>
                <w:color w:val="auto"/>
                <w:sz w:val="21"/>
                <w:szCs w:val="21"/>
                <w:highlight w:val="none"/>
                <w:lang w:eastAsia="zh-CN"/>
              </w:rPr>
              <w:t>服务期限</w:t>
            </w:r>
            <w:r>
              <w:rPr>
                <w:rFonts w:hint="eastAsia" w:ascii="宋体" w:hAnsi="宋体" w:eastAsia="宋体" w:cs="宋体"/>
                <w:color w:val="auto"/>
                <w:sz w:val="21"/>
                <w:szCs w:val="21"/>
                <w:highlight w:val="none"/>
              </w:rPr>
              <w:t>及地点</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53BA45B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color w:val="auto"/>
                <w:sz w:val="21"/>
                <w:szCs w:val="21"/>
                <w:highlight w:val="none"/>
                <w:lang w:eastAsia="zh-CN"/>
              </w:rPr>
              <w:t>服务期限</w:t>
            </w:r>
            <w:r>
              <w:rPr>
                <w:rFonts w:hint="eastAsia" w:ascii="宋体" w:hAnsi="宋体" w:eastAsia="宋体" w:cs="宋体"/>
                <w:bCs/>
                <w:sz w:val="21"/>
                <w:szCs w:val="21"/>
                <w:highlight w:val="none"/>
              </w:rPr>
              <w:t>：</w:t>
            </w:r>
            <w:r>
              <w:rPr>
                <w:rFonts w:hint="eastAsia" w:ascii="宋体" w:hAnsi="宋体" w:eastAsia="宋体" w:cs="宋体"/>
                <w:sz w:val="21"/>
                <w:szCs w:val="21"/>
                <w:highlight w:val="none"/>
              </w:rPr>
              <w:t>自合同签订之日起</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rPr>
              <w:t>0日历天内完成全部设计、</w:t>
            </w:r>
            <w:r>
              <w:rPr>
                <w:rFonts w:hint="eastAsia" w:ascii="宋体" w:hAnsi="宋体" w:cs="宋体"/>
                <w:bCs/>
                <w:kern w:val="0"/>
                <w:szCs w:val="21"/>
                <w:highlight w:val="none"/>
                <w:lang w:val="en-US" w:eastAsia="zh-CN"/>
              </w:rPr>
              <w:t>服务</w:t>
            </w:r>
            <w:r>
              <w:rPr>
                <w:rFonts w:hint="eastAsia" w:ascii="宋体" w:hAnsi="宋体" w:eastAsia="宋体" w:cs="宋体"/>
                <w:sz w:val="21"/>
                <w:szCs w:val="21"/>
                <w:highlight w:val="none"/>
              </w:rPr>
              <w:t>、供货、安装、调试并通过验收；</w:t>
            </w:r>
          </w:p>
          <w:p w14:paraId="5F3A7C16">
            <w:pPr>
              <w:widowControl/>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2</w:t>
            </w:r>
            <w:r>
              <w:rPr>
                <w:rFonts w:hint="eastAsia" w:ascii="宋体" w:hAnsi="宋体" w:eastAsia="宋体" w:cs="宋体"/>
                <w:sz w:val="21"/>
                <w:szCs w:val="21"/>
                <w:highlight w:val="none"/>
                <w:lang w:val="en-US" w:eastAsia="zh-CN"/>
              </w:rPr>
              <w:t>.</w:t>
            </w:r>
            <w:r>
              <w:rPr>
                <w:rFonts w:hint="eastAsia" w:ascii="宋体" w:hAnsi="宋体" w:eastAsia="宋体" w:cs="宋体"/>
                <w:color w:val="auto"/>
                <w:sz w:val="21"/>
                <w:szCs w:val="21"/>
                <w:highlight w:val="none"/>
                <w:lang w:eastAsia="zh-CN"/>
              </w:rPr>
              <w:t>服务</w:t>
            </w:r>
            <w:r>
              <w:rPr>
                <w:rFonts w:hint="eastAsia" w:ascii="宋体" w:hAnsi="宋体" w:eastAsia="宋体" w:cs="宋体"/>
                <w:sz w:val="21"/>
                <w:szCs w:val="21"/>
                <w:highlight w:val="none"/>
              </w:rPr>
              <w:t>地点：广西桂林市采购人指定地点。</w:t>
            </w:r>
          </w:p>
        </w:tc>
      </w:tr>
      <w:tr w14:paraId="52C8F0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39EB6D5D">
            <w:pPr>
              <w:pStyle w:val="77"/>
              <w:adjustRightInd w:val="0"/>
              <w:snapToGrid w:val="0"/>
              <w:spacing w:line="360" w:lineRule="auto"/>
              <w:ind w:firstLine="0" w:firstLineChars="0"/>
              <w:jc w:val="center"/>
              <w:rPr>
                <w:rFonts w:hint="eastAsia" w:ascii="宋体" w:hAnsi="宋体" w:eastAsia="宋体" w:cs="宋体"/>
                <w:b/>
                <w:color w:val="auto"/>
                <w:sz w:val="21"/>
                <w:szCs w:val="21"/>
                <w:highlight w:val="none"/>
              </w:rPr>
            </w:pPr>
            <w:r>
              <w:rPr>
                <w:rFonts w:hint="eastAsia" w:ascii="宋体" w:hAnsi="宋体" w:eastAsia="宋体" w:cs="宋体"/>
                <w:szCs w:val="21"/>
                <w:highlight w:val="none"/>
              </w:rPr>
              <w:t>（四）</w:t>
            </w:r>
            <w:r>
              <w:rPr>
                <w:rFonts w:hint="eastAsia" w:ascii="宋体" w:hAnsi="宋体" w:eastAsia="宋体" w:cs="宋体"/>
                <w:color w:val="auto"/>
                <w:sz w:val="21"/>
                <w:szCs w:val="21"/>
                <w:highlight w:val="none"/>
              </w:rPr>
              <w:t>付款方式</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0ED320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付款方式：本项目通过最终验收后，</w:t>
            </w:r>
            <w:r>
              <w:rPr>
                <w:rFonts w:hint="eastAsia" w:ascii="宋体" w:hAnsi="宋体" w:eastAsia="宋体" w:cs="宋体"/>
                <w:color w:val="auto"/>
                <w:szCs w:val="21"/>
                <w:highlight w:val="none"/>
              </w:rPr>
              <w:t>成交</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开具全额发票（国产设备必须开具增值税专用发票）给采购人，采购人收到发票后10个工作日内一次性付清100%的合同价款（无息）。</w:t>
            </w:r>
          </w:p>
        </w:tc>
      </w:tr>
      <w:tr w14:paraId="420D1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2822B00E">
            <w:pPr>
              <w:pStyle w:val="16"/>
              <w:adjustRightInd w:val="0"/>
              <w:snapToGrid w:val="0"/>
              <w:spacing w:after="0" w:line="360" w:lineRule="auto"/>
              <w:jc w:val="center"/>
              <w:rPr>
                <w:rFonts w:hint="eastAsia" w:ascii="宋体" w:hAnsi="宋体" w:eastAsia="宋体" w:cs="宋体"/>
                <w:color w:val="auto"/>
                <w:sz w:val="21"/>
                <w:szCs w:val="21"/>
                <w:highlight w:val="none"/>
              </w:rPr>
            </w:pPr>
            <w:r>
              <w:rPr>
                <w:rFonts w:hint="eastAsia" w:ascii="宋体" w:hAnsi="宋体" w:eastAsia="宋体" w:cs="宋体"/>
                <w:szCs w:val="21"/>
                <w:highlight w:val="none"/>
              </w:rPr>
              <w:t>（</w:t>
            </w:r>
            <w:r>
              <w:rPr>
                <w:rFonts w:hint="default" w:ascii="宋体" w:hAnsi="宋体" w:eastAsia="宋体" w:cs="宋体"/>
                <w:szCs w:val="21"/>
                <w:highlight w:val="none"/>
                <w:lang w:val="en-US"/>
              </w:rPr>
              <w:t>五</w:t>
            </w:r>
            <w:r>
              <w:rPr>
                <w:rFonts w:hint="eastAsia" w:ascii="宋体" w:hAnsi="宋体" w:eastAsia="宋体" w:cs="宋体"/>
                <w:szCs w:val="21"/>
                <w:highlight w:val="none"/>
              </w:rPr>
              <w:t>）包装和运输</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1707D505">
            <w:pPr>
              <w:adjustRightInd/>
              <w:snapToGrid/>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1.</w:t>
            </w:r>
            <w:r>
              <w:rPr>
                <w:rFonts w:hint="eastAsia" w:ascii="宋体" w:hAnsi="宋体" w:cs="宋体"/>
                <w:bCs/>
                <w:kern w:val="0"/>
                <w:szCs w:val="21"/>
                <w:highlight w:val="none"/>
              </w:rPr>
              <w:t>原厂原包装，包装完好、完整无破损、未开封</w:t>
            </w:r>
            <w:r>
              <w:rPr>
                <w:rFonts w:hint="eastAsia" w:ascii="宋体" w:hAnsi="宋体" w:cs="宋体"/>
                <w:bCs/>
                <w:kern w:val="0"/>
                <w:szCs w:val="21"/>
                <w:highlight w:val="none"/>
                <w:lang w:eastAsia="zh-CN"/>
              </w:rPr>
              <w:t>。</w:t>
            </w:r>
          </w:p>
          <w:p w14:paraId="3642114B">
            <w:pPr>
              <w:adjustRightInd/>
              <w:snapToGrid/>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bCs/>
                <w:kern w:val="0"/>
                <w:szCs w:val="21"/>
                <w:highlight w:val="none"/>
              </w:rPr>
              <w:t>包装及运输方式应综合考虑运输距离、防潮、防震、防锈和防破损装卸等要求</w:t>
            </w:r>
            <w:r>
              <w:rPr>
                <w:rFonts w:hint="eastAsia" w:ascii="宋体" w:hAnsi="宋体" w:eastAsia="宋体" w:cs="宋体"/>
                <w:szCs w:val="21"/>
                <w:highlight w:val="none"/>
              </w:rPr>
              <w:t>。</w:t>
            </w:r>
          </w:p>
          <w:p w14:paraId="1D6FBFC2">
            <w:pPr>
              <w:adjustRightInd/>
              <w:snapToGrid/>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cs="宋体"/>
                <w:bCs/>
                <w:kern w:val="0"/>
                <w:szCs w:val="21"/>
                <w:highlight w:val="none"/>
              </w:rPr>
              <w:t>国家对包装及运输有相关强制性标准或要求的</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成交供应商</w:t>
            </w:r>
            <w:r>
              <w:rPr>
                <w:rFonts w:hint="eastAsia" w:ascii="宋体" w:hAnsi="宋体" w:eastAsia="宋体" w:cs="宋体"/>
                <w:szCs w:val="21"/>
                <w:highlight w:val="none"/>
              </w:rPr>
              <w:t>应当执行。</w:t>
            </w:r>
          </w:p>
          <w:p w14:paraId="714802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cs="宋体"/>
                <w:bCs/>
                <w:kern w:val="0"/>
                <w:szCs w:val="21"/>
                <w:highlight w:val="none"/>
              </w:rPr>
              <w:t>产品（含包装）运抵采购人指定交付地点前发生损坏的</w:t>
            </w:r>
            <w:r>
              <w:rPr>
                <w:rFonts w:hint="eastAsia" w:ascii="宋体" w:hAnsi="宋体" w:eastAsia="宋体" w:cs="宋体"/>
                <w:szCs w:val="21"/>
                <w:highlight w:val="none"/>
              </w:rPr>
              <w:t>，相关损失由</w:t>
            </w:r>
            <w:r>
              <w:rPr>
                <w:rFonts w:hint="eastAsia" w:ascii="宋体" w:hAnsi="宋体" w:eastAsia="宋体" w:cs="宋体"/>
                <w:szCs w:val="21"/>
                <w:highlight w:val="none"/>
                <w:lang w:val="en-US" w:eastAsia="zh-CN"/>
              </w:rPr>
              <w:t>成交供应商</w:t>
            </w:r>
            <w:r>
              <w:rPr>
                <w:rFonts w:hint="eastAsia" w:ascii="宋体" w:hAnsi="宋体" w:eastAsia="宋体" w:cs="宋体"/>
                <w:szCs w:val="21"/>
                <w:highlight w:val="none"/>
              </w:rPr>
              <w:t>自行承担。</w:t>
            </w:r>
          </w:p>
          <w:p w14:paraId="5290F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5.运输过程中发生货物损坏的，成交供应商须在采购人要求时限内无条件免费更换全新合格产品或进行修复，由此产生的一切费用由成交供应商</w:t>
            </w:r>
            <w:r>
              <w:rPr>
                <w:rFonts w:hint="eastAsia" w:ascii="宋体" w:hAnsi="宋体" w:eastAsia="宋体" w:cs="宋体"/>
                <w:szCs w:val="21"/>
                <w:highlight w:val="none"/>
              </w:rPr>
              <w:t>承</w:t>
            </w:r>
            <w:r>
              <w:rPr>
                <w:rFonts w:hint="eastAsia" w:ascii="宋体" w:hAnsi="宋体" w:eastAsia="宋体" w:cs="宋体"/>
                <w:szCs w:val="21"/>
                <w:highlight w:val="none"/>
                <w:lang w:val="en-US" w:eastAsia="zh-CN"/>
              </w:rPr>
              <w:t>担。</w:t>
            </w:r>
          </w:p>
          <w:p w14:paraId="45BE6A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6.针对大型设备、模型等特殊物资，成交供应商须负责其专业包装、运输</w:t>
            </w:r>
            <w:r>
              <w:rPr>
                <w:rFonts w:hint="eastAsia" w:ascii="宋体" w:hAnsi="宋体" w:eastAsia="宋体" w:cs="宋体"/>
                <w:b/>
                <w:bCs/>
                <w:szCs w:val="21"/>
                <w:highlight w:val="none"/>
                <w:lang w:val="en-US" w:eastAsia="zh-CN"/>
              </w:rPr>
              <w:t>（须购买全程货运保险）</w:t>
            </w:r>
            <w:r>
              <w:rPr>
                <w:rFonts w:hint="eastAsia" w:ascii="宋体" w:hAnsi="宋体" w:eastAsia="宋体" w:cs="宋体"/>
                <w:szCs w:val="21"/>
                <w:highlight w:val="none"/>
                <w:lang w:val="en-US" w:eastAsia="zh-CN"/>
              </w:rPr>
              <w:t>、装卸及“门到门”运输安装。对于因门头尺寸限制等现场条件导致的二次转运、吊装就位及安装调试，均由成交供应商负责，不再另行收取费用。</w:t>
            </w:r>
          </w:p>
        </w:tc>
      </w:tr>
      <w:tr w14:paraId="1F343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0588CB62">
            <w:pPr>
              <w:pStyle w:val="16"/>
              <w:adjustRightInd w:val="0"/>
              <w:snapToGrid w:val="0"/>
              <w:spacing w:after="0" w:line="360" w:lineRule="auto"/>
              <w:jc w:val="center"/>
              <w:rPr>
                <w:rFonts w:hint="eastAsia" w:ascii="宋体" w:hAnsi="宋体" w:eastAsia="宋体" w:cs="宋体"/>
                <w:szCs w:val="21"/>
                <w:highlight w:val="none"/>
              </w:rPr>
            </w:pPr>
            <w:r>
              <w:rPr>
                <w:rFonts w:hint="eastAsia" w:ascii="宋体" w:hAnsi="宋体" w:eastAsia="宋体" w:cs="宋体"/>
                <w:sz w:val="21"/>
                <w:szCs w:val="21"/>
                <w:highlight w:val="none"/>
                <w:lang w:eastAsia="zh-CN"/>
              </w:rPr>
              <w:t>（</w:t>
            </w:r>
            <w:r>
              <w:rPr>
                <w:rFonts w:hint="default" w:ascii="宋体" w:hAnsi="宋体" w:eastAsia="宋体" w:cs="宋体"/>
                <w:sz w:val="21"/>
                <w:szCs w:val="21"/>
                <w:highlight w:val="none"/>
                <w:lang w:val="en-US" w:eastAsia="zh-CN"/>
              </w:rPr>
              <w:t>六</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安装要求及安全要求</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13EBBB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本项目所有搬运、运输、装卸、现场排布、安装调试、现场保管、垃圾清运、安全布设等全部工作均属于展陈服务内容，所有相关费用均包含在合同固定总价包干范围内，履约期间不另行计价、不调价。</w:t>
            </w:r>
          </w:p>
          <w:p w14:paraId="B082EEC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1.安装实施要求</w:t>
            </w:r>
          </w:p>
          <w:p w14:paraId="C0EC8D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（1）成交供应商全权负责本项目全部材料、成品、设备的包装、保险、运输、装卸、现场搬运、二次转运等全过程工作及费用，全程承担物资转运安全、破损、遗失风险及责任。</w:t>
            </w:r>
          </w:p>
          <w:p w14:paraId="7140D7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2）成交供应商负责所有材料、成品进场安装、布设、调试工作，同步负责服务实施全过程产生的施工杂物、建筑垃圾、废弃包装、废料残渣的统一清理、分类清运及场地复原，确保每日工完场清，所有清运及场地整理费用全部包干包含。</w:t>
            </w:r>
          </w:p>
          <w:p w14:paraId="A4542F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（3）项目实施全过程的现场物资、成品、半成品、材料设备保管看护工作由成交供应商全权负责，承担移交前全部保管责任、损耗责任、破损责任，直至本项目整体安装完成、验收合格、正式移交采购人为止。</w:t>
            </w:r>
          </w:p>
          <w:p w14:paraId="F7D3E0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4）采购人根据项目实施需求，向成交供应商移交本项目配套专用设备（详见附件清单），双方现场逐一核对、清点型号数量、核验外观状态，签署正式《设备交接清单》。自交接完成之日起至项目整体验收交付前，由成交供应商承担设备妥善保管、规范安装、正确调试义务。因完成本项设备安装、适配调试、点位调整、接口对接、成品保护所产生的全部配套费用，均已纳入合同固定总价包干范围，履约期内不作任何上调。</w:t>
            </w:r>
          </w:p>
          <w:p w14:paraId="25089E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 xml:space="preserve">因成交供应商保管不当、搬运不当、安装操作失误、防护不到位造成设备损坏、变形、故障、遗失的，由成交供应商承担全部维修、更换、等价赔偿责任；因设备自身出厂故障、自然老化、采购人擅自挪动、不可抗力等非供应商原因造成的设备问题，不归属供应商责任。 </w:t>
            </w:r>
          </w:p>
          <w:p w14:paraId="E61DB6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2. 现场安全布设要求</w:t>
            </w:r>
          </w:p>
          <w:p w14:paraId="71BF52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bCs w:val="0"/>
                <w:kern w:val="0"/>
                <w:sz w:val="21"/>
                <w:szCs w:val="21"/>
                <w:highlight w:val="none"/>
                <w:lang w:val="en-US" w:eastAsia="zh-CN"/>
              </w:rPr>
            </w:pPr>
            <w:r>
              <w:rPr>
                <w:rFonts w:hint="default" w:ascii="宋体" w:hAnsi="宋体" w:eastAsia="宋体" w:cs="宋体"/>
                <w:b w:val="0"/>
                <w:bCs w:val="0"/>
                <w:kern w:val="0"/>
                <w:sz w:val="21"/>
                <w:szCs w:val="21"/>
                <w:highlight w:val="none"/>
                <w:lang w:val="en-US" w:eastAsia="zh-CN"/>
              </w:rPr>
              <w:t>成交供应商须严格遵照国家、行业、地方及桂林理工大学校园安全管理相关规范标准，在作业区域、危险点位、临边位置、用电点位、设备操作区域等关键位置规范布设标准化安全警示标识、安全防护设施。</w:t>
            </w:r>
          </w:p>
          <w:p w14:paraId="8B8032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Cs w:val="21"/>
                <w:highlight w:val="none"/>
                <w:lang w:val="en-US" w:eastAsia="zh-CN"/>
              </w:rPr>
            </w:pPr>
            <w:r>
              <w:rPr>
                <w:rFonts w:hint="default" w:ascii="宋体" w:hAnsi="宋体" w:eastAsia="宋体" w:cs="宋体"/>
                <w:b w:val="0"/>
                <w:bCs w:val="0"/>
                <w:kern w:val="0"/>
                <w:sz w:val="21"/>
                <w:szCs w:val="21"/>
                <w:highlight w:val="none"/>
                <w:lang w:val="en-US" w:eastAsia="zh-CN"/>
              </w:rPr>
              <w:t>所有安全标识须设置在固定、醒目、清晰易辨的永久位置，严禁设置在可移动物体上，避免遮挡、移位、失效，全面保障现场作业安全、师生通行安全及项目整体实施安全，全程落实文明施工、安全作业管理要求。</w:t>
            </w:r>
          </w:p>
        </w:tc>
      </w:tr>
      <w:tr w14:paraId="2AB06E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4705D59">
            <w:pPr>
              <w:pStyle w:val="77"/>
              <w:adjustRightInd w:val="0"/>
              <w:snapToGrid w:val="0"/>
              <w:spacing w:line="360" w:lineRule="auto"/>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szCs w:val="21"/>
                <w:highlight w:val="none"/>
              </w:rPr>
              <w:t>（</w:t>
            </w:r>
            <w:r>
              <w:rPr>
                <w:rFonts w:hint="default" w:ascii="宋体" w:hAnsi="宋体" w:eastAsia="宋体" w:cs="宋体"/>
                <w:szCs w:val="21"/>
                <w:highlight w:val="none"/>
                <w:lang w:val="en-US"/>
              </w:rPr>
              <w:t>七</w:t>
            </w:r>
            <w:r>
              <w:rPr>
                <w:rFonts w:hint="eastAsia" w:ascii="宋体" w:hAnsi="宋体" w:eastAsia="宋体" w:cs="宋体"/>
                <w:szCs w:val="21"/>
                <w:highlight w:val="none"/>
              </w:rPr>
              <w:t>）保险</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6E95498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Cs/>
                <w:kern w:val="0"/>
                <w:sz w:val="21"/>
                <w:szCs w:val="21"/>
                <w:highlight w:val="none"/>
                <w:lang w:val="en-US" w:eastAsia="zh-CN"/>
              </w:rPr>
              <w:t>供应商</w:t>
            </w:r>
            <w:r>
              <w:rPr>
                <w:rFonts w:hint="eastAsia" w:ascii="宋体" w:hAnsi="宋体" w:cs="宋体"/>
                <w:bCs/>
                <w:kern w:val="0"/>
                <w:sz w:val="21"/>
                <w:szCs w:val="21"/>
                <w:highlight w:val="none"/>
                <w:lang w:val="en-US" w:eastAsia="zh-CN"/>
              </w:rPr>
              <w:t>须</w:t>
            </w:r>
            <w:r>
              <w:rPr>
                <w:rFonts w:hint="eastAsia" w:ascii="宋体" w:hAnsi="宋体" w:eastAsia="宋体" w:cs="宋体"/>
                <w:bCs/>
                <w:kern w:val="0"/>
                <w:sz w:val="21"/>
                <w:szCs w:val="21"/>
                <w:highlight w:val="none"/>
              </w:rPr>
              <w:t>为本项目标的及标的涉及的相关材料、设备、人员、运输等购买保险的，相关费用由</w:t>
            </w:r>
            <w:r>
              <w:rPr>
                <w:rFonts w:hint="eastAsia" w:ascii="宋体" w:hAnsi="宋体" w:eastAsia="宋体" w:cs="宋体"/>
                <w:bCs/>
                <w:kern w:val="0"/>
                <w:sz w:val="21"/>
                <w:szCs w:val="21"/>
                <w:highlight w:val="none"/>
                <w:lang w:val="en-US" w:eastAsia="zh-CN"/>
              </w:rPr>
              <w:t>供应商</w:t>
            </w:r>
            <w:r>
              <w:rPr>
                <w:rFonts w:hint="eastAsia" w:ascii="宋体" w:hAnsi="宋体" w:eastAsia="宋体" w:cs="宋体"/>
                <w:bCs/>
                <w:kern w:val="0"/>
                <w:sz w:val="21"/>
                <w:szCs w:val="21"/>
                <w:highlight w:val="none"/>
              </w:rPr>
              <w:t>自行承担。</w:t>
            </w:r>
          </w:p>
        </w:tc>
      </w:tr>
      <w:tr w14:paraId="CC6DD6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C557A30">
            <w:pPr>
              <w:pStyle w:val="77"/>
              <w:adjustRightInd w:val="0"/>
              <w:snapToGrid w:val="0"/>
              <w:spacing w:line="360" w:lineRule="auto"/>
              <w:ind w:firstLine="0" w:firstLineChars="0"/>
              <w:jc w:val="center"/>
              <w:rPr>
                <w:rFonts w:hint="eastAsia" w:ascii="宋体" w:hAnsi="宋体" w:eastAsia="宋体" w:cs="宋体"/>
                <w:bCs/>
                <w:kern w:val="0"/>
                <w:szCs w:val="21"/>
                <w:highlight w:val="none"/>
              </w:rPr>
            </w:pPr>
            <w:r>
              <w:rPr>
                <w:rFonts w:hint="default" w:ascii="宋体" w:hAnsi="宋体" w:eastAsia="宋体" w:cs="宋体"/>
                <w:b w:val="0"/>
                <w:bCs w:val="0"/>
                <w:i w:val="0"/>
                <w:iCs w:val="0"/>
                <w:color w:val="auto"/>
                <w:kern w:val="0"/>
                <w:sz w:val="21"/>
                <w:szCs w:val="21"/>
                <w:highlight w:val="none"/>
                <w:vertAlign w:val="baseline"/>
                <w:lang w:val="en-US" w:eastAsia="zh-CN" w:bidi="ar-SA"/>
              </w:rPr>
              <w:t>（八）验收标准</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2B2774B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质量适用标准：本项目执行现行有效的国家标准、行业标准、地方标准。采购需求约定指标高于现行规范标准的，按采购需求执行；采购需求约定指标低于现行规范标准的，按现行规范标准执行。成交供应商提供的所有产品须为全新、完好、无破损、未经使用的原厂正品，符合厂家出厂质量标准；在规范安装、正常使用、妥善保养前提下，全生命周期各项指标满足使用要求。</w:t>
            </w:r>
          </w:p>
          <w:p w14:paraId="15BF3C7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产品到货后，采购人对照采购文件、成交供应商响应文件承诺逐项核验，必要时开展通电测试、功能试运行。核验不合格的，采购人有权不予验收，并按规定报送监管部门；由此造成采购人全部经济损失由成交供应商承担。</w:t>
            </w:r>
          </w:p>
          <w:p w14:paraId="4567858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3.设备通电开机试运行，全面测试各项技术参数、功能逻辑，确认全部功能正常；同步核查产品合格证、说明书、检测报告等随机资料完整齐全。</w:t>
            </w:r>
          </w:p>
          <w:p w14:paraId="B5046C6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验收阶段，采购人有权委托具备CMA资质的第三方检测机构开展现场检测、校准，相关全部费用由成交供应商承担（供应商报价时综合纳入磋商总价，采购人不再另行支付）；第三方检测结论不合格的，采购人不予组织验收。</w:t>
            </w:r>
          </w:p>
          <w:p w14:paraId="803E955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5.产品质量产生争议时，共同委托具备资质的第三方质量检测机构鉴定。鉴定结论符合标准的，鉴定费用由采购人承担；鉴定结论不符合标准的，鉴定费用由成交供应商承担。</w:t>
            </w:r>
          </w:p>
          <w:p w14:paraId="EE811E2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6. 验收程序</w:t>
            </w:r>
          </w:p>
          <w:p w14:paraId="DA71B49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（1）试运行阶段</w:t>
            </w:r>
          </w:p>
          <w:p w14:paraId="F068B81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成交供应商完成全部深化设计、供货、制作、安装、系统联调工作后，正式进入7个日历天试运行期。试运行覆盖学校教学时段、日常师生参观时段，全面检验设备在真实使用场景下的运行稳定性、可靠性，验证展陈叙事效果、数字内容播放、中控系统联动能力，满足学校教学、科研展示常态化运行强度。</w:t>
            </w:r>
          </w:p>
          <w:p w14:paraId="4713B3F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试运行期间成交供应商安排专业技术人员现场值守，及时处置各类故障，完整留存试运行台账。试运行期满，成交供应商向采购人提交加盖公章的正式《试运行报告》，内容包含：设备整体运行汇总、故障台账（故障类型、原因、处置措施）、师生使用意见及整改落实情况、数字内容优化情况、维保建议、项目正式投用评估结论。</w:t>
            </w:r>
          </w:p>
          <w:p w14:paraId="B8C3141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采购人结合试运行报告与现场实际运行情况评估是否具备验收条件。试运行期间发生重大故障、持续性质量缺陷的，成交供应商完成整改后试运行周期重新起算。试运行合格后方可启动正式验收。</w:t>
            </w:r>
          </w:p>
          <w:p w14:paraId="D1242DE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（2）正式验收</w:t>
            </w:r>
          </w:p>
          <w:p w14:paraId="4A0B291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① 验收前置条件</w:t>
            </w:r>
          </w:p>
          <w:p w14:paraId="6D1878B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1）项目完成7日历天试运行，运行稳定，无重大故障、安全隐患，展陈内容、数字化成果满足采购需求，试运行报告经采购人审核通过；</w:t>
            </w:r>
          </w:p>
          <w:p w14:paraId="71746C3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2）成交供应商完成室内空气CMA检测（满足GB 50325-2020Ⅰ类民用建筑工程限值）、用电安全、消防相关检测，全套检测报告齐全、结论合格；</w:t>
            </w:r>
          </w:p>
          <w:p w14:paraId="3F6805C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3）全部数字内容成片、全套工程源文件移交到位，著作权归属采购人，不存在版权纠纷；</w:t>
            </w:r>
          </w:p>
          <w:p w14:paraId="B327055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4）完整竣工资料整理完毕，真实、规范、齐全，满足高校档案归档要求。</w:t>
            </w:r>
          </w:p>
          <w:p w14:paraId="A9A7D4F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② 验收申请组织</w:t>
            </w:r>
          </w:p>
          <w:p w14:paraId="E901D27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达到前置条件后，成交供应商提交书面验收申请，附试运行报告、各项检测报告、资料移交清单、数字成果交付清单等佐证材料。采购人收到申请7个工作日内组织验收小组，成员包含校内业务部门、学科教师、安全管理人员，必要时邀请行业专家参与验收。</w:t>
            </w:r>
          </w:p>
          <w:p w14:paraId="E77343B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③ 验收实施流程</w:t>
            </w:r>
          </w:p>
          <w:p w14:paraId="F61F461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资料审查：核查竣工资料完整性、真实性，包含设计变更文件（须采购人书面确认）、材料进场验收记录、设备资质文件、检测报告、试运行台账、知识产权证明、展陈内容审核记录等。资料存在缺漏、不规范的，成交供应商须在3个工作日内补齐修正。</w:t>
            </w:r>
          </w:p>
          <w:p w14:paraId="E754329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2）试运行情况汇报：成交供应商汇报试运行运行数据、故障处置、意见整改、数字内容优化情况，采购人可调取运行日志、源文件进行复核。</w:t>
            </w:r>
          </w:p>
          <w:p w14:paraId="6FD1FE3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3）现场核查与性能抽检：采购人根据项目规模确定抽检范围，开展现场观感核查、设备功能现场测试。</w:t>
            </w:r>
          </w:p>
          <w:p w14:paraId="2EAD804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综合评定：结合资料审查、试运行情况、现场测试结果综合评定。全部指标满足采购文件、合同、规范要求的，出具验收合格意见；存在缺陷、未达标的，出具整改通知书，明确整改事项、时限。成交供应商完成整改后重新申请验收。</w:t>
            </w:r>
          </w:p>
          <w:p w14:paraId="BEF504D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7. 项目移交与资料归档</w:t>
            </w:r>
          </w:p>
          <w:p w14:paraId="242C125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验收合格后7个工作日内完成项目整体移交。移交内容：全部展陈实体、配套设备、备品备件、全套竣工资料、数字成片及工程源文件、设备操作手册、维保手册、各项检测报告、软件源文件等。同步完成现场操作培训，确保校方管理人员独立运维。</w:t>
            </w:r>
          </w:p>
          <w:p w14:paraId="0CFE795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竣工档案一式两份装订归档，具体包含：</w:t>
            </w:r>
          </w:p>
          <w:p w14:paraId="E6D4EF2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（1）全套深化设计成果（图纸、展陈方案、安全专项设计、结构计算资料）；</w:t>
            </w:r>
          </w:p>
          <w:p w14:paraId="A636687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（2）数字展陈成品、工程源文件；</w:t>
            </w:r>
          </w:p>
          <w:p w14:paraId="2031EB8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（3）产品合格证、说明书、各类CMA检测报告；</w:t>
            </w:r>
          </w:p>
          <w:p w14:paraId="C827769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（4）实施过程资料：施工日志、整改记录、试运行报告、知识产权授权文件；</w:t>
            </w:r>
          </w:p>
          <w:p w14:paraId="3D745CC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（5）展陈内容审核意见、修改痕迹资料。</w:t>
            </w:r>
          </w:p>
          <w:p w14:paraId="4E93180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6</w:t>
            </w:r>
            <w:r>
              <w:rPr>
                <w:rFonts w:hint="default"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其他必要的资料。</w:t>
            </w:r>
          </w:p>
          <w:p w14:paraId="DD053FE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8</w:t>
            </w:r>
            <w:r>
              <w:rPr>
                <w:rFonts w:hint="default" w:ascii="宋体" w:hAnsi="宋体" w:eastAsia="宋体" w:cs="宋体"/>
                <w:sz w:val="21"/>
                <w:szCs w:val="21"/>
                <w:highlight w:val="none"/>
                <w:lang w:val="en-US" w:eastAsia="zh-CN"/>
              </w:rPr>
              <w:t>. 通用验收要求</w:t>
            </w:r>
          </w:p>
          <w:p w14:paraId="552A7FB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深化设计、制作布展、安装调试服务须满足采购人使用需求；所有材料、设备符合国家现行安全、环保、消防相关标准。</w:t>
            </w:r>
          </w:p>
          <w:p w14:paraId="94910D1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9</w:t>
            </w:r>
            <w:r>
              <w:rPr>
                <w:rFonts w:hint="default" w:ascii="宋体" w:hAnsi="宋体" w:eastAsia="宋体" w:cs="宋体"/>
                <w:sz w:val="21"/>
                <w:szCs w:val="21"/>
                <w:highlight w:val="none"/>
                <w:lang w:val="en-US" w:eastAsia="zh-CN"/>
              </w:rPr>
              <w:t>. 室内环保专项验收要求</w:t>
            </w:r>
          </w:p>
          <w:p w14:paraId="291629D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（1）竣工阶段CMA室内空气检测，甲醛指标＞0.07mg/m³（GB 50325-2020Ⅰ类民用建筑），判定验收不合格。成交供应商须在15日历天内完成治理、更换超标材料、增设通风设施，整改完成后重新委托CMA复测，全部检测、治理费用由成交供应商承担。</w:t>
            </w:r>
          </w:p>
          <w:p w14:paraId="1D58E0C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2）经两次复测仍无法达到标准，采购人有权采取以下措施：①要求拆除相关木质展陈、装饰构件，并退还对应分项合同价款；②按合同约定扣除履约保证金；③收取合同总价10%环保专项违约金；④顺延质保期直至室内空气指标持续达标。</w:t>
            </w:r>
          </w:p>
          <w:p w14:paraId="3F5CB2C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（3）2年质保期内，采购人可随时委托第三方复测；若因成交供应商提供材料持续释放污染物超标，成交供应商免费治理、更换材料，承担全部检测费用，并额外延长1年质保期。</w:t>
            </w:r>
          </w:p>
          <w:p w14:paraId="0E0AA8A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10</w:t>
            </w:r>
            <w:r>
              <w:rPr>
                <w:rFonts w:hint="default" w:ascii="宋体" w:hAnsi="宋体" w:eastAsia="宋体" w:cs="宋体"/>
                <w:sz w:val="21"/>
                <w:szCs w:val="21"/>
                <w:highlight w:val="none"/>
                <w:lang w:val="en-US" w:eastAsia="zh-CN"/>
              </w:rPr>
              <w:t>. 防雷与绿色建材要求</w:t>
            </w:r>
          </w:p>
          <w:p w14:paraId="7D7677D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 xml:space="preserve">展厅强弱电系统、大屏、中控系统配套等电位、防雷接地，满足《建筑物防雷设计规范》（GB 50057）。展厅饰面、装修用材优先选用具备十环认证绿色建材产品。 </w:t>
            </w:r>
          </w:p>
          <w:p w14:paraId="7815B07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1</w:t>
            </w:r>
            <w:r>
              <w:rPr>
                <w:rFonts w:hint="default" w:ascii="宋体" w:hAnsi="宋体" w:eastAsia="宋体" w:cs="宋体"/>
                <w:sz w:val="21"/>
                <w:szCs w:val="21"/>
                <w:highlight w:val="none"/>
                <w:lang w:val="en-US" w:eastAsia="zh-CN"/>
              </w:rPr>
              <w:t xml:space="preserve">. 消防验收配合义务 </w:t>
            </w:r>
          </w:p>
          <w:p w14:paraId="8E67088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项目竣工后，成交供应商全力配合校内消防查验工作，完整提交消防专项图纸、防火材料CMA检测报告、设备调试记录，确保展厅满足校园消防安全管理规定。</w:t>
            </w:r>
          </w:p>
          <w:p w14:paraId="75CBEC0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1</w:t>
            </w:r>
            <w:r>
              <w:rPr>
                <w:rFonts w:hint="eastAsia" w:ascii="宋体" w:hAnsi="宋体" w:cs="宋体"/>
                <w:sz w:val="21"/>
                <w:szCs w:val="21"/>
                <w:highlight w:val="none"/>
                <w:lang w:val="en-US" w:eastAsia="zh-CN"/>
              </w:rPr>
              <w:t>2</w:t>
            </w:r>
            <w:r>
              <w:rPr>
                <w:rFonts w:hint="default" w:ascii="宋体" w:hAnsi="宋体" w:eastAsia="宋体" w:cs="宋体"/>
                <w:sz w:val="21"/>
                <w:szCs w:val="21"/>
                <w:highlight w:val="none"/>
                <w:lang w:val="en-US" w:eastAsia="zh-CN"/>
              </w:rPr>
              <w:t>. 残值处置</w:t>
            </w:r>
          </w:p>
          <w:p w14:paraId="077653B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项目实施产生废弃板材、包装废料、淘汰旧设备残值归属成交供应商，由成交供应商统一清运离场，清运、处置全部费用纳入包干总价。</w:t>
            </w:r>
          </w:p>
        </w:tc>
      </w:tr>
      <w:tr w14:paraId="602D1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71462DBA">
            <w:pPr>
              <w:pStyle w:val="77"/>
              <w:adjustRightInd w:val="0"/>
              <w:snapToGrid w:val="0"/>
              <w:spacing w:line="360" w:lineRule="auto"/>
              <w:ind w:firstLine="0" w:firstLineChars="0"/>
              <w:jc w:val="center"/>
              <w:rPr>
                <w:rFonts w:hint="eastAsia" w:ascii="宋体" w:hAnsi="宋体" w:eastAsia="宋体" w:cs="宋体"/>
                <w:bCs/>
                <w:kern w:val="0"/>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十</w:t>
            </w:r>
            <w:r>
              <w:rPr>
                <w:rFonts w:hint="eastAsia" w:ascii="宋体" w:hAnsi="宋体" w:eastAsia="宋体" w:cs="宋体"/>
                <w:szCs w:val="21"/>
                <w:highlight w:val="none"/>
              </w:rPr>
              <w:t>）知识产权</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6D08E1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eastAsia="zh-CN"/>
              </w:rPr>
            </w:pPr>
            <w:r>
              <w:rPr>
                <w:rFonts w:hint="default" w:ascii="宋体" w:hAnsi="宋体" w:eastAsia="宋体" w:cs="宋体"/>
                <w:sz w:val="21"/>
                <w:szCs w:val="21"/>
                <w:highlight w:val="none"/>
                <w:lang w:val="en-US" w:eastAsia="zh-CN"/>
              </w:rPr>
              <w:t>供应商须保证本项目所提供产品、设计成果、数字内容、软件及相关技术资料涉及的知识产权均合法取得。采购人正常使用本项目成果期间，不会侵害任何第三方专利权、商标权、著作权、外观设计权及其他知识产权，不会因采购人正常使用行为遭到第三方侵权追责。</w:t>
            </w:r>
          </w:p>
          <w:p w14:paraId="7B4C38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如发生第三方知识产权纠纷、索赔、诉讼等情况，全部协调处置工作由成交供应商承担，由此产生的全部赔偿费用、诉讼相关开支以及一切不利法律后果均由成交供应商承担，采购人有权依法追究成交供应商相应违约责任。</w:t>
            </w:r>
          </w:p>
        </w:tc>
      </w:tr>
      <w:tr w14:paraId="75D98F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0D7AE3D0">
            <w:pPr>
              <w:pStyle w:val="77"/>
              <w:adjustRightInd w:val="0"/>
              <w:snapToGrid w:val="0"/>
              <w:spacing w:line="360" w:lineRule="auto"/>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（十</w:t>
            </w:r>
            <w:r>
              <w:rPr>
                <w:rFonts w:hint="eastAsia" w:ascii="宋体" w:hAnsi="宋体" w:eastAsia="宋体" w:cs="宋体"/>
                <w:szCs w:val="21"/>
                <w:highlight w:val="none"/>
                <w:lang w:val="en-US" w:eastAsia="zh-CN"/>
              </w:rPr>
              <w:t>一</w:t>
            </w:r>
            <w:r>
              <w:rPr>
                <w:rFonts w:hint="eastAsia" w:ascii="宋体" w:hAnsi="宋体" w:eastAsia="宋体" w:cs="宋体"/>
                <w:szCs w:val="21"/>
                <w:highlight w:val="none"/>
              </w:rPr>
              <w:t>）履约保证金</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49DF2C5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履约保证金：在合同签订之前，</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供应商按成交金额的5%（如</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供应商为中小微企业的，按成交金额的2%）向采购人交纳履约保证金。履约保证金交纳方式：</w:t>
            </w:r>
            <w:r>
              <w:rPr>
                <w:rFonts w:hint="eastAsia" w:ascii="宋体" w:hAnsi="宋体" w:eastAsia="宋体" w:cs="宋体"/>
                <w:b w:val="0"/>
                <w:sz w:val="21"/>
                <w:szCs w:val="21"/>
                <w:highlight w:val="none"/>
              </w:rPr>
              <w:t>转账、电汇、银行保函、保险保函等非现金形式</w:t>
            </w:r>
            <w:r>
              <w:rPr>
                <w:rFonts w:hint="eastAsia" w:ascii="宋体" w:hAnsi="宋体" w:eastAsia="宋体" w:cs="宋体"/>
                <w:color w:val="auto"/>
                <w:sz w:val="21"/>
                <w:szCs w:val="21"/>
                <w:highlight w:val="none"/>
              </w:rPr>
              <w:t>。履约保证金指定账户【开户名称：桂林理工大学，开户银行：中国银行桂林分行，账号：613257488744】。</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供应商须按上述规定的金额、方式将履约保证金转入桂林理工大学账户。否则，不予签订合同。</w:t>
            </w:r>
          </w:p>
          <w:p w14:paraId="509975C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履约保证金在</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供应商履行完合同约定的权利义务（包括免费保修服务等）事项后7个工作日内，由</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供应商凭履约保证金的申请表及合同向采购人申请办理履约保证金退还手续，采购人在收到合格材料后5个工作日内以银行转账方式如数退还（不计利息）。</w:t>
            </w:r>
          </w:p>
        </w:tc>
      </w:tr>
      <w:tr w14:paraId="74A24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3751051D">
            <w:pPr>
              <w:pStyle w:val="77"/>
              <w:adjustRightInd w:val="0"/>
              <w:snapToGrid w:val="0"/>
              <w:spacing w:line="360" w:lineRule="auto"/>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（十</w:t>
            </w:r>
            <w:r>
              <w:rPr>
                <w:rFonts w:hint="eastAsia" w:ascii="宋体" w:hAnsi="宋体" w:eastAsia="宋体" w:cs="宋体"/>
                <w:szCs w:val="21"/>
                <w:highlight w:val="none"/>
                <w:lang w:val="en-US" w:eastAsia="zh-CN"/>
              </w:rPr>
              <w:t>二</w:t>
            </w:r>
            <w:r>
              <w:rPr>
                <w:rFonts w:hint="eastAsia" w:ascii="宋体" w:hAnsi="宋体" w:eastAsia="宋体" w:cs="宋体"/>
                <w:szCs w:val="21"/>
                <w:highlight w:val="none"/>
              </w:rPr>
              <w:t>）违约责任</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56A4146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本项目为展陈服务采购项目，采购人及成交供应商双方履约行为须严格遵守本采购文件、响应文件、合同约定及政府采购相关法律法规。成交供应商所有服务成果、设备材料、设计成果、数字内容、系统集成成果须完全响应采购需求承诺，凡存在履约不符、质量瑕疵、服务滞后、虚假响应、侵权违约、环保不达标的，均按本条款承担违约责任。</w:t>
            </w:r>
          </w:p>
          <w:p w14:paraId="D06EF55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1.成果与参数不符违约责任</w:t>
            </w:r>
          </w:p>
          <w:p w14:paraId="C011FC0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成交供应商交付的展陈成果、设备材料、软硬件参数、工艺标准、设计效果、数字化内容功能等，若与采购文件、响应文件承诺标准不符或质量不合格的，成交供应商须在2个日历天内无条件整改、更换、重做，直至达标；逾期未完成整改的，按逾期履约承担违约责任。采购人有权拒收不合格成果，如采购人根据实际情况同意酌情接收的，成交供应商须向采购人支付不符部分合同金额5%的违约金，并全额赔偿采购人由此产生的一切经济损失。</w:t>
            </w:r>
          </w:p>
          <w:p w14:paraId="47D91D5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2.知识产权侵权违约责任</w:t>
            </w:r>
          </w:p>
          <w:p w14:paraId="4735C4E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因成交供应商提供的设计方案、数字影片、动画素材、字体图片、软件程序、展陈内容、设备技术等存在知识产权瑕疵，引发第三方投诉、维权、诉讼、索赔的，全部纠纷处置、应诉、赔偿责任由成交供应商全权承担。给采购人造成声誉损失、经济赔付、行政处罚的，成交供应商全额兜底赔偿，采购人同时有权追究成交供应商合同违约责任。</w:t>
            </w:r>
          </w:p>
          <w:p w14:paraId="4EEB912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3.运输、包装、进场保管违约</w:t>
            </w:r>
          </w:p>
          <w:p w14:paraId="49B499C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项目实施全过程中，因成交供应商包装不当、运输不当、搬运不当、现场保管不善造成材料、设备、成品破损、磕碰、受潮、报废的，一律按质量不合格履约处理，由成交供应商无偿重做、更换、补齐，承担全部返工成本及工期延误责任。</w:t>
            </w:r>
          </w:p>
          <w:p w14:paraId="7339BEA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4.工期逾期履约违约责任</w:t>
            </w:r>
          </w:p>
          <w:p w14:paraId="A6D3B9C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采购人及成交供应商双方严格按照合同约定工期履约。</w:t>
            </w:r>
          </w:p>
          <w:p w14:paraId="0A6A4FA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1）成交供应商未按合同工期、节点要求完成设计、制作、安装、调试、整体交付的，每逾期一日，按合同总金额3‰支付违约金，违约金累计上限不超过合同总金额5%；逾期超过7日历天的，采购人有权单方解除合同，成交供应商须赔偿采购人全部经济损失。</w:t>
            </w:r>
          </w:p>
          <w:p w14:paraId="EF9448A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（2）采购人无正当理由无故拖延验收、无故延期接收合格成果的，每逾期一日按对应合同金额3‰支付违约金，累计不超过对应金额5%。</w:t>
            </w:r>
          </w:p>
          <w:p w14:paraId="1DFA279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（3）采购人按财政流程正常拨付资金的，不构成付款违约。</w:t>
            </w:r>
          </w:p>
          <w:p w14:paraId="2A3AEA5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5.售后服务违约</w:t>
            </w:r>
          </w:p>
          <w:p w14:paraId="8F0E135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成交供应商未按采购文件、响应文件、合同约定落实质保响应、远程支撑、上门维保、季度巡检、系统升级、故障处置、培训服务等售后承诺的，视为严重服务违约，采购人有权扣除合同总金额5%违约金，并有权扣除履约保证金、顺延质保期。</w:t>
            </w:r>
          </w:p>
          <w:p w14:paraId="DF0F98E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6.质保期质量缺陷违约</w:t>
            </w:r>
          </w:p>
          <w:p w14:paraId="41FF430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质保期内，因成交供应商深化设计缺陷、选材不当、工艺瑕疵、软件开发漏洞、集成施工失误等原因造成设备故障、展陈损坏、系统异常、无法正常开放使用的，由成交供应商无偿维修、更换、整改修复，产生全部费用由成交供应商自行承担，采购人有权从履约保证金、质保保证金中直接抵扣，不足部分成交供应商另行补足。</w:t>
            </w:r>
          </w:p>
          <w:p w14:paraId="7E6DC87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7.一般性违约责任</w:t>
            </w:r>
          </w:p>
          <w:p w14:paraId="6147218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成交供应商存在本条款未列明的其他违约行为，造成项目质量、效果、工期、运维、安全、声誉受损的，按对应违约内容金额5%支付违约金，并赔偿采购人全部直接及间接经济损失。</w:t>
            </w:r>
          </w:p>
          <w:p w14:paraId="CD831B9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8.虚假响应、参数不达标重大违约责任</w:t>
            </w:r>
          </w:p>
          <w:p w14:paraId="ECE961E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成交供应商在磋商响应阶段须对本项目全部技术参数、工艺标准、服务要求、软硬件配置、系统功能、成果标准作出真实、准确、有效响应。所有交付成果必须为全新正品、合规达标、符合国家及行业标准。</w:t>
            </w:r>
          </w:p>
          <w:p w14:paraId="D985974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项目验收、抽检、试运行、第三方检测过程中，若发现设备参数、系统功能、工艺质量、展陈标准、软件性能与响应文件承诺不符、虚高响应、虚假匹配的：</w:t>
            </w:r>
          </w:p>
          <w:p w14:paraId="3F84399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（1）采购人有权单方终止合同、全部返工、整体退货退场；</w:t>
            </w:r>
          </w:p>
          <w:p w14:paraId="80D9AB8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（2）成交供应商承担全部返工损失、工期损失、采购重置损失；</w:t>
            </w:r>
          </w:p>
          <w:p w14:paraId="A1AC4DE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（3）成交供应商须向采购人支付合同总金额</w:t>
            </w:r>
            <w:r>
              <w:rPr>
                <w:rFonts w:hint="eastAsia" w:ascii="宋体" w:hAnsi="宋体" w:cs="宋体"/>
                <w:sz w:val="21"/>
                <w:szCs w:val="21"/>
                <w:highlight w:val="none"/>
                <w:lang w:val="en-US" w:eastAsia="zh-CN"/>
              </w:rPr>
              <w:t>2</w:t>
            </w:r>
            <w:r>
              <w:rPr>
                <w:rFonts w:hint="default" w:ascii="宋体" w:hAnsi="宋体" w:eastAsia="宋体" w:cs="宋体"/>
                <w:sz w:val="21"/>
                <w:szCs w:val="21"/>
                <w:highlight w:val="none"/>
                <w:lang w:val="en-US"/>
              </w:rPr>
              <w:t>0%的重大违约赔偿金；</w:t>
            </w:r>
          </w:p>
          <w:p w14:paraId="82204931">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（4）双方存在争议的，以国家认可的CMA第三方检测结论为最终依据，全部检测费用由成交供应商承担；</w:t>
            </w:r>
          </w:p>
          <w:p w14:paraId="58821DB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（5）若查实存在虚假</w:t>
            </w:r>
            <w:r>
              <w:rPr>
                <w:rFonts w:hint="eastAsia" w:ascii="宋体" w:hAnsi="宋体" w:cs="宋体"/>
                <w:sz w:val="21"/>
                <w:szCs w:val="21"/>
                <w:highlight w:val="none"/>
                <w:lang w:val="en-US" w:eastAsia="zh-CN"/>
              </w:rPr>
              <w:t>竞</w:t>
            </w:r>
            <w:r>
              <w:rPr>
                <w:rFonts w:hint="default" w:ascii="宋体" w:hAnsi="宋体" w:eastAsia="宋体" w:cs="宋体"/>
                <w:sz w:val="21"/>
                <w:szCs w:val="21"/>
                <w:highlight w:val="none"/>
                <w:lang w:val="en-US"/>
              </w:rPr>
              <w:t>标、虚假响应、弄虚作假情形的，采购人有权上报政府采购监管部门，依法追究成交供应商政府采购违法责任。</w:t>
            </w:r>
          </w:p>
          <w:p w14:paraId="5594882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9.环保甲醛专项重大违约责任</w:t>
            </w:r>
          </w:p>
          <w:p w14:paraId="47F20D1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1）成交供应商进场材料、饰面板材、涂料、展柜用材、软装材料或竣工室内空气质量不满足本项目环保标准、GB50325Ⅰ类民用建筑要求、甲醛指标超标，或成交供应商提供虚假CMA检测报告、虚假材质合格证明的，属于实质性虚假履约、重大违约。</w:t>
            </w:r>
          </w:p>
          <w:p w14:paraId="D81D984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（2）采购人有权采取以下全部或部分追责措施：</w:t>
            </w:r>
          </w:p>
          <w:p w14:paraId="BC4F5BA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① 无条件拒收不合格材料、拆除已施工不合格展陈内容；</w:t>
            </w:r>
          </w:p>
          <w:p w14:paraId="EA10D06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② 全额扣除项目履约保证金；</w:t>
            </w:r>
          </w:p>
          <w:p w14:paraId="7D969D5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③ 向成交供应商收取合同总价30%环保专项违约金；</w:t>
            </w:r>
          </w:p>
          <w:p w14:paraId="D779F89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④ 单方面解除合同，终止项目履约；</w:t>
            </w:r>
          </w:p>
          <w:p w14:paraId="7B07E7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⑤ 成交供应商全额赔偿采购人工期延误损失、二次采购施工损失、教学科研展示停运损失、声誉损失等全部经济损失。</w:t>
            </w:r>
          </w:p>
          <w:p w14:paraId="D6CC52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10.转包、违法分包专项违约责任</w:t>
            </w:r>
          </w:p>
          <w:p w14:paraId="5AF207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 xml:space="preserve">成交供应商严禁将本项目整体转包，不得将项目主体、关键性工作违法分包给第三方；未经采购人书面许可擅自分包非主体、非关键性工作的，均构成严重违约。采购人有权单方解除合同、责令供应商全部退场，已完成工程量仅按50%结算，未完工部分不予结算；成交供应商须向采购人支付合同总金额20%违约金，因转包、违法分包引发的工期延误、质量缺陷、安全事故、知识产权纠纷、科研泄密等全部经济损失，均由成交供应商全额承担，采购人可直接从履约保证金抵扣全部违约金及损失，不足部分由成交供应商另行补足。 </w:t>
            </w:r>
          </w:p>
          <w:p w14:paraId="3A5D1B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11.损毁校园设施、地质标本专项违约责任</w:t>
            </w:r>
          </w:p>
          <w:p w14:paraId="804C90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项目实施、运输、施工、布展、维保全过程，因成交供应商搬运、操作、防护、保管不当，造成校园原有建筑结构、墙体、门窗、管线、配套设备、地质科研标本出现磕碰、破损、变形、受潮、损毁、丢失的，成交供应商承担全部赔偿责任：</w:t>
            </w:r>
          </w:p>
          <w:p w14:paraId="4759E2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（1）普通建筑、配套设施损坏，成交供应商须3日内无偿修复至原状，无法修复的按全新重置价全额赔偿；</w:t>
            </w:r>
          </w:p>
          <w:p w14:paraId="45DC54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（2）地质科研标本损坏，由双方共同委托具备资质的第三方地质文物鉴定机构定损，鉴定费、标本修复费全部由成交供应商承担；标本无法修复灭失的，按标本专业评估价值全额赔付；</w:t>
            </w:r>
          </w:p>
          <w:p w14:paraId="712060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（3）上述损毁造成展馆停运、教学科研接待中断的，成交供应商额外按每日合同总价0.5%支付停运补偿，补偿累计上限为合同总价10%；</w:t>
            </w:r>
          </w:p>
          <w:p w14:paraId="96BF9B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 xml:space="preserve">（4）修复、重置、停运补偿等全部费用，采购人均可直接从履约保证金、质保金中抵扣。 </w:t>
            </w:r>
          </w:p>
          <w:p w14:paraId="6E8699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12.软件系统持续故障、无法迭代专项违约责任</w:t>
            </w:r>
          </w:p>
          <w:p w14:paraId="2921F7A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质保期内，展厅中控系统、交互触控软件、数字内容发布后台、多媒体联动程序出现持续性卡顿、频繁闪退、画面失真、联动失效，经供应商2次上门维修、优化调试后仍无法稳定运行；或软件系统不支持采购人常态化新增、替换科创图文、视频成果，不满足采购文件约定的内容动态迭代更新要求的，视为严重违约：</w:t>
            </w:r>
          </w:p>
          <w:p w14:paraId="95194D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（1）采购人有权要求成交供应商7日内完成系统重构、优化升级、全套软件更换，全部成本由成交供应商自行承担，工期不予顺延；</w:t>
            </w:r>
          </w:p>
          <w:p w14:paraId="0C24732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rPr>
            </w:pPr>
            <w:r>
              <w:rPr>
                <w:rFonts w:hint="default" w:ascii="宋体" w:hAnsi="宋体" w:eastAsia="宋体" w:cs="宋体"/>
                <w:color w:val="auto"/>
                <w:sz w:val="21"/>
                <w:szCs w:val="21"/>
                <w:highlight w:val="none"/>
                <w:lang w:val="en-US"/>
              </w:rPr>
              <w:t>（2）逾期未整改达标，采购人可另行委托第三方实施改造优化，产生全部费用由原成交供应商承担，同时成交供应商支付合同总金额15%专项违约金；</w:t>
            </w:r>
          </w:p>
          <w:p w14:paraId="875E84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rPr>
              <w:t>（3）因软件故障导致展馆长期无法对外开放、影响校企对接、科普研学、政务接待的，采购人有权扣除当期质保服务费用，并整体顺延项目质保期1年。</w:t>
            </w:r>
          </w:p>
        </w:tc>
      </w:tr>
      <w:tr w14:paraId="E2A68B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0FF2E96C">
            <w:pPr>
              <w:pStyle w:val="77"/>
              <w:adjustRightInd w:val="0"/>
              <w:snapToGrid w:val="0"/>
              <w:spacing w:line="360" w:lineRule="auto"/>
              <w:ind w:firstLine="0" w:firstLineChars="0"/>
              <w:jc w:val="center"/>
              <w:rPr>
                <w:rFonts w:hint="eastAsia" w:ascii="宋体" w:hAnsi="宋体" w:eastAsia="宋体" w:cs="宋体"/>
                <w:b/>
                <w:bCs/>
                <w:kern w:val="0"/>
                <w:szCs w:val="21"/>
                <w:highlight w:val="none"/>
              </w:rPr>
            </w:pPr>
            <w:r>
              <w:rPr>
                <w:rFonts w:hint="eastAsia" w:ascii="宋体" w:hAnsi="宋体" w:cs="宋体"/>
                <w:b/>
                <w:bCs/>
                <w:kern w:val="0"/>
                <w:szCs w:val="21"/>
                <w:highlight w:val="none"/>
                <w:lang w:val="en-US" w:eastAsia="zh-CN"/>
              </w:rPr>
              <w:t>三、</w:t>
            </w:r>
            <w:r>
              <w:rPr>
                <w:rFonts w:hint="default" w:ascii="宋体" w:hAnsi="宋体" w:eastAsia="宋体" w:cs="宋体"/>
                <w:b/>
                <w:bCs/>
                <w:kern w:val="0"/>
                <w:szCs w:val="21"/>
                <w:highlight w:val="none"/>
                <w:lang w:val="en-US"/>
              </w:rPr>
              <w:t>采购预算（最高限价）</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B31ADCF1">
            <w:pPr>
              <w:wordWrap w:val="0"/>
              <w:topLinePunct/>
              <w:spacing w:line="360" w:lineRule="auto"/>
              <w:ind w:firstLine="420" w:firstLineChars="200"/>
              <w:jc w:val="left"/>
              <w:rPr>
                <w:rFonts w:hint="eastAsia" w:ascii="宋体" w:hAnsi="宋体" w:eastAsia="宋体" w:cs="宋体"/>
                <w:color w:val="auto"/>
                <w:szCs w:val="21"/>
                <w:highlight w:val="none"/>
              </w:rPr>
            </w:pPr>
            <w:r>
              <w:rPr>
                <w:rFonts w:hint="default" w:ascii="宋体" w:hAnsi="宋体" w:eastAsia="宋体" w:cs="宋体"/>
                <w:b w:val="0"/>
                <w:bCs w:val="0"/>
                <w:i w:val="0"/>
                <w:iCs w:val="0"/>
                <w:color w:val="auto"/>
                <w:kern w:val="2"/>
                <w:sz w:val="21"/>
                <w:szCs w:val="21"/>
                <w:highlight w:val="none"/>
                <w:vertAlign w:val="baseline"/>
                <w:lang w:val="en-US" w:eastAsia="zh-CN" w:bidi="ar-SA"/>
              </w:rPr>
              <w:t>本项目采购预算</w:t>
            </w:r>
            <w:r>
              <w:rPr>
                <w:rFonts w:hint="default" w:ascii="宋体" w:hAnsi="宋体" w:cs="宋体"/>
                <w:b w:val="0"/>
                <w:bCs w:val="0"/>
                <w:i w:val="0"/>
                <w:iCs w:val="0"/>
                <w:color w:val="auto"/>
                <w:kern w:val="2"/>
                <w:sz w:val="21"/>
                <w:szCs w:val="21"/>
                <w:highlight w:val="none"/>
                <w:vertAlign w:val="baseline"/>
                <w:lang w:val="en-US" w:eastAsia="zh-CN" w:bidi="ar-SA"/>
              </w:rPr>
              <w:t>（最高限价）</w:t>
            </w:r>
            <w:r>
              <w:rPr>
                <w:rFonts w:hint="default" w:ascii="宋体" w:hAnsi="宋体" w:eastAsia="宋体" w:cs="宋体"/>
                <w:b w:val="0"/>
                <w:bCs w:val="0"/>
                <w:i w:val="0"/>
                <w:iCs w:val="0"/>
                <w:color w:val="auto"/>
                <w:kern w:val="2"/>
                <w:sz w:val="21"/>
                <w:szCs w:val="21"/>
                <w:highlight w:val="none"/>
                <w:vertAlign w:val="baseline"/>
                <w:lang w:val="en-US" w:eastAsia="zh-CN" w:bidi="ar-SA"/>
              </w:rPr>
              <w:t>为</w:t>
            </w:r>
            <w:r>
              <w:rPr>
                <w:rFonts w:hint="default" w:ascii="宋体" w:hAnsi="宋体" w:eastAsia="宋体" w:cs="宋体"/>
                <w:b/>
                <w:bCs/>
                <w:i w:val="0"/>
                <w:iCs w:val="0"/>
                <w:color w:val="auto"/>
                <w:kern w:val="2"/>
                <w:sz w:val="21"/>
                <w:szCs w:val="21"/>
                <w:highlight w:val="none"/>
                <w:u w:val="single" w:color="auto"/>
                <w:vertAlign w:val="baseline"/>
                <w:lang w:val="en-US" w:eastAsia="zh-CN" w:bidi="ar-SA"/>
              </w:rPr>
              <w:t>贰佰叁拾陆万陆仟陆佰贰拾贰元叁角整（¥2366622.30）</w:t>
            </w:r>
            <w:r>
              <w:rPr>
                <w:rFonts w:hint="default" w:ascii="宋体" w:hAnsi="宋体" w:eastAsia="宋体" w:cs="宋体"/>
                <w:b w:val="0"/>
                <w:bCs w:val="0"/>
                <w:i w:val="0"/>
                <w:iCs w:val="0"/>
                <w:color w:val="auto"/>
                <w:kern w:val="2"/>
                <w:sz w:val="21"/>
                <w:szCs w:val="21"/>
                <w:highlight w:val="none"/>
                <w:vertAlign w:val="baseline"/>
                <w:lang w:val="en-US" w:eastAsia="zh-CN" w:bidi="ar-SA"/>
              </w:rPr>
              <w:t>，供应商竞争性磋商报价不得超出本项目预算金额</w:t>
            </w:r>
            <w:r>
              <w:rPr>
                <w:rFonts w:hint="default" w:ascii="宋体" w:hAnsi="宋体" w:cs="宋体"/>
                <w:b w:val="0"/>
                <w:bCs w:val="0"/>
                <w:i w:val="0"/>
                <w:iCs w:val="0"/>
                <w:color w:val="auto"/>
                <w:kern w:val="2"/>
                <w:sz w:val="21"/>
                <w:szCs w:val="21"/>
                <w:highlight w:val="none"/>
                <w:vertAlign w:val="baseline"/>
                <w:lang w:val="en-US" w:eastAsia="zh-CN" w:bidi="ar-SA"/>
              </w:rPr>
              <w:t>（最高限价）</w:t>
            </w:r>
            <w:r>
              <w:rPr>
                <w:rFonts w:hint="default" w:ascii="宋体" w:hAnsi="宋体" w:eastAsia="宋体" w:cs="宋体"/>
                <w:b w:val="0"/>
                <w:bCs w:val="0"/>
                <w:i w:val="0"/>
                <w:iCs w:val="0"/>
                <w:color w:val="auto"/>
                <w:kern w:val="2"/>
                <w:sz w:val="21"/>
                <w:szCs w:val="21"/>
                <w:highlight w:val="none"/>
                <w:vertAlign w:val="baseline"/>
                <w:lang w:val="en-US" w:eastAsia="zh-CN" w:bidi="ar-SA"/>
              </w:rPr>
              <w:t>，否则作无效响应处理。</w:t>
            </w:r>
          </w:p>
        </w:tc>
      </w:tr>
      <w:tr w14:paraId="05AA7C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5562CA82">
            <w:pPr>
              <w:pStyle w:val="77"/>
              <w:adjustRightInd w:val="0"/>
              <w:snapToGrid w:val="0"/>
              <w:spacing w:line="360" w:lineRule="auto"/>
              <w:ind w:firstLine="0" w:firstLineChars="0"/>
              <w:jc w:val="center"/>
              <w:rPr>
                <w:rFonts w:hint="eastAsia" w:ascii="宋体" w:hAnsi="宋体" w:eastAsia="宋体" w:cs="宋体"/>
                <w:b/>
                <w:szCs w:val="21"/>
                <w:highlight w:val="none"/>
              </w:rPr>
            </w:pPr>
            <w:r>
              <w:rPr>
                <w:rFonts w:hint="eastAsia" w:ascii="宋体" w:hAnsi="宋体" w:cs="宋体"/>
                <w:b/>
                <w:bCs/>
                <w:kern w:val="0"/>
                <w:szCs w:val="21"/>
                <w:highlight w:val="none"/>
                <w:lang w:val="en-US" w:eastAsia="zh-CN"/>
              </w:rPr>
              <w:t>四</w:t>
            </w:r>
            <w:r>
              <w:rPr>
                <w:rFonts w:hint="eastAsia" w:ascii="宋体" w:hAnsi="宋体" w:eastAsia="宋体" w:cs="宋体"/>
                <w:b/>
                <w:bCs/>
                <w:kern w:val="0"/>
                <w:szCs w:val="21"/>
                <w:highlight w:val="none"/>
              </w:rPr>
              <w:t>、其他要求</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58708718">
            <w:pPr>
              <w:spacing w:line="360" w:lineRule="auto"/>
              <w:ind w:firstLine="420" w:firstLineChars="200"/>
              <w:jc w:val="left"/>
              <w:rPr>
                <w:rFonts w:hint="default" w:ascii="宋体" w:hAnsi="宋体" w:eastAsia="宋体" w:cs="宋体"/>
                <w:color w:val="auto"/>
                <w:kern w:val="0"/>
                <w:szCs w:val="21"/>
                <w:highlight w:val="none"/>
                <w:lang w:val="en-US"/>
              </w:rPr>
            </w:pPr>
            <w:r>
              <w:rPr>
                <w:rFonts w:hint="default" w:ascii="宋体" w:hAnsi="宋体" w:eastAsia="宋体" w:cs="宋体"/>
                <w:color w:val="auto"/>
                <w:kern w:val="0"/>
                <w:szCs w:val="21"/>
                <w:highlight w:val="none"/>
                <w:lang w:val="en-US"/>
              </w:rPr>
              <w:t>1.报价要求</w:t>
            </w:r>
          </w:p>
          <w:p w14:paraId="8FC6F133">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（1）供应商报价为全费用固定总价包干报价，须充分预判合同履约周期内人工、材料、辅材、运输、市场波动、政策性调整、校园施工管控、风险兜底</w:t>
            </w:r>
            <w:r>
              <w:rPr>
                <w:rFonts w:hint="eastAsia" w:ascii="宋体" w:hAnsi="宋体" w:cs="宋体"/>
                <w:b w:val="0"/>
                <w:bCs w:val="0"/>
                <w:color w:val="auto"/>
                <w:kern w:val="0"/>
                <w:szCs w:val="21"/>
                <w:highlight w:val="none"/>
                <w:lang w:val="en-US" w:eastAsia="zh-CN"/>
              </w:rPr>
              <w:t>、</w:t>
            </w:r>
            <w:bookmarkStart w:id="148" w:name="_GoBack"/>
            <w:r>
              <w:rPr>
                <w:rFonts w:hint="eastAsia" w:ascii="宋体" w:hAnsi="宋体" w:cs="宋体"/>
                <w:b w:val="0"/>
                <w:bCs w:val="0"/>
                <w:color w:val="auto"/>
                <w:kern w:val="0"/>
                <w:szCs w:val="21"/>
                <w:highlight w:val="none"/>
                <w:lang w:val="en-US" w:eastAsia="zh-CN"/>
              </w:rPr>
              <w:t>招标代理服务费</w:t>
            </w:r>
            <w:r>
              <w:rPr>
                <w:rFonts w:hint="default" w:ascii="宋体" w:hAnsi="宋体" w:eastAsia="宋体" w:cs="宋体"/>
                <w:b w:val="0"/>
                <w:bCs w:val="0"/>
                <w:color w:val="auto"/>
                <w:kern w:val="0"/>
                <w:szCs w:val="21"/>
                <w:highlight w:val="none"/>
                <w:lang w:val="en-US"/>
              </w:rPr>
              <w:t>等全部潜在成本及风险因素，并统一计入磋商报价。除采购文件及合同明确约定的法</w:t>
            </w:r>
            <w:bookmarkEnd w:id="148"/>
            <w:r>
              <w:rPr>
                <w:rFonts w:hint="default" w:ascii="宋体" w:hAnsi="宋体" w:eastAsia="宋体" w:cs="宋体"/>
                <w:b w:val="0"/>
                <w:bCs w:val="0"/>
                <w:color w:val="auto"/>
                <w:kern w:val="0"/>
                <w:szCs w:val="21"/>
                <w:highlight w:val="none"/>
                <w:lang w:val="en-US"/>
              </w:rPr>
              <w:t>定变更情形外，履约全过程不接受任何调价、补差、增项申请。</w:t>
            </w:r>
          </w:p>
          <w:p w14:paraId="09DD803A">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2）磋商报价须全面覆盖本项目展陈服务全部工作内容，包含但不限于：展陈深化设计、内容策划、素材制作、数字化内容开发、软硬件集成、材料及配套物资采购、现场布设安装、水电耗材、成品保护、文明作业、垃圾清运、系统调试、试运行、预验收、竣工验收、专项检测（含CMA环保检测、安全检测等全部检测费用）、资料归档、技术培训、运维指导、项目管理、规费、税金、保险、合理利润、合同风险、质保期内免费维保、终身维修成本、智能化多媒体集成开发等完成本项目交付标准所需全部工作及费用，采购人履约期内不另行支付任何其他费用。</w:t>
            </w:r>
          </w:p>
          <w:p w14:paraId="2C35EC3D">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2.免费技术培训要求</w:t>
            </w:r>
          </w:p>
          <w:p w14:paraId="9EDCC44F">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成交供应商须免费为采购人指定管理人员、运维人员开展系统、完整的专项技术培训。培训内容涵盖：展厅整体系统原理、多媒体设备标准操作、后台内容更新、中控系统管控、日常运维保养、常见故障判断与简易排查、系统基础管理等。确保参训人员可独立开展日常运维、自主操作系统、处理常规故障，培训完成后提交培训台账及培训确认记录。</w:t>
            </w:r>
          </w:p>
          <w:p w14:paraId="91D88FB6">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3.免费安装调试服务要求</w:t>
            </w:r>
          </w:p>
          <w:p w14:paraId="9C9B7DEE">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成交供应商负责本项目全部展陈设施、硬件设备、软件系统、多媒体展项、中控集成系统的免费安装、精准布设、系统联调、整体试运行调试工作，直至全部功能达标、系统稳定、满足验收及开放使用标准，相关费用全部包含在包干总价内。</w:t>
            </w:r>
          </w:p>
          <w:p w14:paraId="856FEE06">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4.技术资料交付要求</w:t>
            </w:r>
          </w:p>
          <w:p w14:paraId="2256BE48">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成交供应商项目验收移交前，须完整交付全套正式技术资料，包含产品使用手册、设备操作手册、系统运维手册、故障排查手册、维保说明文档，所有资料纸质版、电子版齐全、规范，符合高校档案归档标准。</w:t>
            </w:r>
          </w:p>
          <w:p w14:paraId="DF972C24">
            <w:pPr>
              <w:spacing w:line="360" w:lineRule="auto"/>
              <w:ind w:firstLine="420" w:firstLineChars="200"/>
              <w:jc w:val="left"/>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5.工期免责协商机制</w:t>
            </w:r>
          </w:p>
          <w:p w14:paraId="6F0A2040">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bCs w:val="0"/>
                <w:color w:val="auto"/>
                <w:kern w:val="0"/>
                <w:szCs w:val="21"/>
                <w:highlight w:val="none"/>
                <w:lang w:val="en-US"/>
              </w:rPr>
            </w:pPr>
            <w:r>
              <w:rPr>
                <w:rFonts w:hint="default" w:ascii="宋体" w:hAnsi="宋体" w:eastAsia="宋体" w:cs="宋体"/>
                <w:b w:val="0"/>
                <w:bCs w:val="0"/>
                <w:color w:val="auto"/>
                <w:kern w:val="0"/>
                <w:szCs w:val="21"/>
                <w:highlight w:val="none"/>
                <w:lang w:val="en-US"/>
              </w:rPr>
              <w:t>因采购人现场场地、基础设施、现场实施条件不具备、校方教学管控安排等非供应商原因，导致成交供应商无法按原计划工期正常履约、安装、调试的，由甲乙双方书面协商顺延工期及验收节点，免除成交供应商逾期履约违约责任，以双方签字盖章的书面备忘、工期签证为唯一依据。</w:t>
            </w:r>
          </w:p>
          <w:p w14:paraId="CAC00DBD">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6.本项目定制数字内容、深化图纸、施工图、展厅VI视觉体系、空间整体设计方案全部著作权永久无偿归采购人所有。供应商仅为本项目实施使用，未经采购人书面同意，严禁将本项目空间设计方案、展厅视觉、图纸成果复用至其他项目、转让或提供给第三方。</w:t>
            </w:r>
          </w:p>
          <w:p w14:paraId="CB57D2A1">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7.项目所用图片、字体、音视频、三维模型等商用素材，供应商须提供无限期永久商用授权，采购人可不限场景、不限期限自主无偿使用，授权完整无附加限制，相关授权资料随竣工资料一并移交采购人。</w:t>
            </w:r>
          </w:p>
          <w:p w14:paraId="E31AF5A5">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8.成交供应商委托第三方开展设计、动画、数字内容外包制作的，对外包成果知识产权问题承担无限连带责任。外包素材、设计产生任何版权侵权纠纷，采购人直接向成交供应商追责，全部赔偿、诉讼、整改成本由成交供应商全额承担，成交供应商不得以外包为由免除自身责任，其与外包方内部责任划分不对抗采购人。</w:t>
            </w:r>
          </w:p>
        </w:tc>
      </w:tr>
      <w:tr w14:paraId="3A2B5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281" w:type="dxa"/>
            <w:gridSpan w:val="2"/>
            <w:tcBorders>
              <w:top w:val="single" w:color="auto" w:sz="4" w:space="0"/>
              <w:left w:val="single" w:color="auto" w:sz="4" w:space="0"/>
              <w:bottom w:val="single" w:color="auto" w:sz="4" w:space="0"/>
              <w:right w:val="single" w:color="auto" w:sz="4" w:space="0"/>
            </w:tcBorders>
            <w:vAlign w:val="center"/>
          </w:tcPr>
          <w:p w14:paraId="03F662D9">
            <w:pPr>
              <w:pStyle w:val="77"/>
              <w:adjustRightInd w:val="0"/>
              <w:snapToGrid w:val="0"/>
              <w:spacing w:line="360" w:lineRule="auto"/>
              <w:ind w:firstLine="0" w:firstLineChars="0"/>
              <w:jc w:val="center"/>
              <w:rPr>
                <w:rFonts w:hint="eastAsia" w:ascii="宋体" w:hAnsi="宋体" w:eastAsia="宋体" w:cs="宋体"/>
                <w:b/>
                <w:bCs/>
                <w:kern w:val="0"/>
                <w:szCs w:val="21"/>
                <w:highlight w:val="none"/>
              </w:rPr>
            </w:pPr>
            <w:r>
              <w:rPr>
                <w:rFonts w:hint="eastAsia" w:ascii="宋体" w:hAnsi="宋体" w:cs="宋体"/>
                <w:b/>
                <w:bCs w:val="0"/>
                <w:kern w:val="0"/>
                <w:szCs w:val="21"/>
                <w:highlight w:val="none"/>
                <w:lang w:val="en-US" w:eastAsia="zh-CN"/>
              </w:rPr>
              <w:t>五</w:t>
            </w:r>
            <w:r>
              <w:rPr>
                <w:rFonts w:hint="eastAsia" w:ascii="宋体" w:hAnsi="宋体" w:eastAsia="宋体" w:cs="宋体"/>
                <w:b/>
                <w:bCs w:val="0"/>
                <w:kern w:val="0"/>
                <w:szCs w:val="21"/>
                <w:highlight w:val="none"/>
                <w:lang w:val="en-US" w:eastAsia="zh-CN"/>
              </w:rPr>
              <w:t>、</w:t>
            </w:r>
            <w:r>
              <w:rPr>
                <w:rFonts w:hint="eastAsia" w:ascii="宋体" w:hAnsi="宋体" w:eastAsia="宋体"/>
                <w:b/>
                <w:bCs/>
                <w:sz w:val="21"/>
                <w:szCs w:val="21"/>
                <w:highlight w:val="none"/>
                <w:lang w:val="en-US" w:eastAsia="zh-CN"/>
              </w:rPr>
              <w:t>竞</w:t>
            </w:r>
            <w:r>
              <w:rPr>
                <w:rFonts w:hint="eastAsia" w:ascii="宋体" w:hAnsi="宋体" w:eastAsia="宋体"/>
                <w:b/>
                <w:bCs/>
                <w:sz w:val="21"/>
                <w:szCs w:val="21"/>
                <w:highlight w:val="none"/>
              </w:rPr>
              <w:t>标方案要求</w:t>
            </w:r>
          </w:p>
        </w:tc>
        <w:tc>
          <w:tcPr>
            <w:tcW w:w="7488" w:type="dxa"/>
            <w:gridSpan w:val="3"/>
            <w:tcBorders>
              <w:top w:val="single" w:color="auto" w:sz="4" w:space="0"/>
              <w:left w:val="single" w:color="auto" w:sz="4" w:space="0"/>
              <w:bottom w:val="single" w:color="auto" w:sz="4" w:space="0"/>
              <w:right w:val="single" w:color="auto" w:sz="4" w:space="0"/>
            </w:tcBorders>
            <w:vAlign w:val="center"/>
          </w:tcPr>
          <w:p w14:paraId="51679D04">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sz w:val="21"/>
                <w:szCs w:val="21"/>
                <w:highlight w:val="none"/>
                <w:lang w:val="en-US" w:eastAsia="zh-CN"/>
              </w:rPr>
              <w:t>供应商须根据本项目采购需求、现场实际情况、展厅空间特点及“无边界”展厅设计理念，自主、完整、详实编制项目竞标设计方案及配套佐证资料。竞标方案内容须全面响应本项目建设目标、项目定位、技术标准、实施要求及所有规范条款，方案深度满足评标评审、技术对比、可行性研判需求。竞标方案仅作为本次磋商评审依据，不作为最终落地实施方案，项目最终深化实施版本以采购人书面审核确认定稿为准。</w:t>
            </w:r>
          </w:p>
          <w:p w14:paraId="52DBF050">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1.</w:t>
            </w:r>
            <w:r>
              <w:rPr>
                <w:rFonts w:hint="default" w:ascii="宋体" w:hAnsi="宋体" w:eastAsia="宋体" w:cs="宋体"/>
                <w:bCs/>
                <w:kern w:val="0"/>
                <w:sz w:val="21"/>
                <w:szCs w:val="21"/>
                <w:highlight w:val="none"/>
                <w:lang w:val="en-US" w:eastAsia="zh-CN"/>
              </w:rPr>
              <w:t>整体形式设计深化方案</w:t>
            </w:r>
          </w:p>
          <w:p w14:paraId="551DFA97">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供应商须提交完整、系统、逻辑清晰的展厅整体展陈形式设计深化方案，全面覆盖展厅整体风格、空间氛围、主题叙事、色彩体系、材质体系、灯光体系、动线规划、展区布局、多媒体展项创意、视觉VI统一设计等全部内容，充分契合桂林理工大学“雁山智慧谷·桂工科创之窗”科创展示定位与办学特色。</w:t>
            </w:r>
          </w:p>
          <w:p w14:paraId="3B65FCE8">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2.</w:t>
            </w:r>
            <w:r>
              <w:rPr>
                <w:rFonts w:hint="default" w:ascii="宋体" w:hAnsi="宋体" w:eastAsia="宋体" w:cs="宋体"/>
                <w:bCs/>
                <w:kern w:val="0"/>
                <w:sz w:val="21"/>
                <w:szCs w:val="21"/>
                <w:highlight w:val="none"/>
                <w:lang w:val="en-US" w:eastAsia="zh-CN"/>
              </w:rPr>
              <w:t>总体设计说明及图纸体系</w:t>
            </w:r>
          </w:p>
          <w:p w14:paraId="4048BB71">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供应商须提交完整项目设计构思、创意理念、空间理解、展陈逻辑、内容叙事体系、整体效果把控说明，同时配套完整方案图纸，包含但不限于：</w:t>
            </w:r>
          </w:p>
          <w:p w14:paraId="1D8F1CA2">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（1）</w:t>
            </w:r>
            <w:r>
              <w:rPr>
                <w:rFonts w:hint="default" w:ascii="宋体" w:hAnsi="宋体" w:eastAsia="宋体" w:cs="宋体"/>
                <w:bCs/>
                <w:kern w:val="0"/>
                <w:sz w:val="21"/>
                <w:szCs w:val="21"/>
                <w:highlight w:val="none"/>
                <w:lang w:val="en-US" w:eastAsia="zh-CN"/>
              </w:rPr>
              <w:t>整体设计理念、项目理解、创意构思、展陈主题逻辑说明；</w:t>
            </w:r>
          </w:p>
          <w:p w14:paraId="0B178C9A">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（2）</w:t>
            </w:r>
            <w:r>
              <w:rPr>
                <w:rFonts w:hint="default" w:ascii="宋体" w:hAnsi="宋体" w:eastAsia="宋体" w:cs="宋体"/>
                <w:bCs/>
                <w:kern w:val="0"/>
                <w:sz w:val="21"/>
                <w:szCs w:val="21"/>
                <w:highlight w:val="none"/>
                <w:lang w:val="en-US" w:eastAsia="zh-CN"/>
              </w:rPr>
              <w:t>展厅平面布置图、参观动线分析图、功能分区图；</w:t>
            </w:r>
          </w:p>
          <w:p w14:paraId="0D03C1E5">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（3）</w:t>
            </w:r>
            <w:r>
              <w:rPr>
                <w:rFonts w:hint="default" w:ascii="宋体" w:hAnsi="宋体" w:eastAsia="宋体" w:cs="宋体"/>
                <w:bCs/>
                <w:kern w:val="0"/>
                <w:sz w:val="21"/>
                <w:szCs w:val="21"/>
                <w:highlight w:val="none"/>
                <w:lang w:val="en-US" w:eastAsia="zh-CN"/>
              </w:rPr>
              <w:t>地面材质布置图、顶面天花布置图、灯光点位布置图；</w:t>
            </w:r>
          </w:p>
          <w:p w14:paraId="55177024">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（4）</w:t>
            </w:r>
            <w:r>
              <w:rPr>
                <w:rFonts w:hint="default" w:ascii="宋体" w:hAnsi="宋体" w:eastAsia="宋体" w:cs="宋体"/>
                <w:bCs/>
                <w:kern w:val="0"/>
                <w:sz w:val="21"/>
                <w:szCs w:val="21"/>
                <w:highlight w:val="none"/>
                <w:lang w:val="en-US" w:eastAsia="zh-CN"/>
              </w:rPr>
              <w:t>各展区立面设计图、重点造型立面图；</w:t>
            </w:r>
          </w:p>
          <w:p w14:paraId="0D25B25C">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（5）</w:t>
            </w:r>
            <w:r>
              <w:rPr>
                <w:rFonts w:hint="default" w:ascii="宋体" w:hAnsi="宋体" w:eastAsia="宋体" w:cs="宋体"/>
                <w:bCs/>
                <w:kern w:val="0"/>
                <w:sz w:val="21"/>
                <w:szCs w:val="21"/>
                <w:highlight w:val="none"/>
                <w:lang w:val="en-US" w:eastAsia="zh-CN"/>
              </w:rPr>
              <w:t>多媒体设备点位规划图。</w:t>
            </w:r>
          </w:p>
          <w:p w14:paraId="347718DC">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所有图纸比例规范、标注完整、构图清晰，满足方案评审、落地深化参考标准。</w:t>
            </w:r>
          </w:p>
          <w:p w14:paraId="65C1A499">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3.</w:t>
            </w:r>
            <w:r>
              <w:rPr>
                <w:rFonts w:hint="default" w:ascii="宋体" w:hAnsi="宋体" w:eastAsia="宋体" w:cs="宋体"/>
                <w:bCs/>
                <w:kern w:val="0"/>
                <w:sz w:val="21"/>
                <w:szCs w:val="21"/>
                <w:highlight w:val="none"/>
                <w:lang w:val="en-US" w:eastAsia="zh-CN"/>
              </w:rPr>
              <w:t>专项创作设计成果内容</w:t>
            </w:r>
          </w:p>
          <w:p w14:paraId="0427D0F5">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（1）</w:t>
            </w:r>
            <w:r>
              <w:rPr>
                <w:rFonts w:hint="default" w:ascii="宋体" w:hAnsi="宋体" w:eastAsia="宋体" w:cs="宋体"/>
                <w:bCs/>
                <w:kern w:val="0"/>
                <w:sz w:val="21"/>
                <w:szCs w:val="21"/>
                <w:highlight w:val="none"/>
                <w:lang w:val="en-US" w:eastAsia="zh-CN"/>
              </w:rPr>
              <w:t>三维可视化效果图成果</w:t>
            </w:r>
          </w:p>
          <w:p w14:paraId="02B71208">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提供展厅整体及重点展区高清三维彩色效果图、创作设计图，画面真实还原材质、灯光、空间比例，不得过度美化、虚假渲染，客观反映设计落地效果。</w:t>
            </w:r>
          </w:p>
          <w:p w14:paraId="73B0B91A">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（2）</w:t>
            </w:r>
            <w:r>
              <w:rPr>
                <w:rFonts w:hint="default" w:ascii="宋体" w:hAnsi="宋体" w:eastAsia="宋体" w:cs="宋体"/>
                <w:bCs/>
                <w:kern w:val="0"/>
                <w:sz w:val="21"/>
                <w:szCs w:val="21"/>
                <w:highlight w:val="none"/>
                <w:lang w:val="en-US" w:eastAsia="zh-CN"/>
              </w:rPr>
              <w:t>设计创作依据说明</w:t>
            </w:r>
          </w:p>
          <w:p w14:paraId="5B11BC26">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详细阐述本次展陈设计的政策依据、校园文化依据、学科特色依据、空间条件依据、受众需求依据、科创展厅设计理念依据，体现方案针对性、适配性、独特性。</w:t>
            </w:r>
          </w:p>
          <w:p w14:paraId="601A20EE">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（3）</w:t>
            </w:r>
            <w:r>
              <w:rPr>
                <w:rFonts w:hint="default" w:ascii="宋体" w:hAnsi="宋体" w:eastAsia="宋体" w:cs="宋体"/>
                <w:bCs/>
                <w:kern w:val="0"/>
                <w:sz w:val="21"/>
                <w:szCs w:val="21"/>
                <w:highlight w:val="none"/>
                <w:lang w:val="en-US" w:eastAsia="zh-CN"/>
              </w:rPr>
              <w:t>展厅全景鸟瞰效果图</w:t>
            </w:r>
          </w:p>
          <w:p w14:paraId="50DC7548">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提交展厅整体全景彩色鸟瞰图，完整呈现展厅整体布局、空间节奏、展区分布及整体视觉风貌。</w:t>
            </w:r>
          </w:p>
          <w:p w14:paraId="7E63EB5B">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（4）</w:t>
            </w:r>
            <w:r>
              <w:rPr>
                <w:rFonts w:hint="default" w:ascii="宋体" w:hAnsi="宋体" w:eastAsia="宋体" w:cs="宋体"/>
                <w:bCs/>
                <w:kern w:val="0"/>
                <w:sz w:val="21"/>
                <w:szCs w:val="21"/>
                <w:highlight w:val="none"/>
                <w:lang w:val="en-US" w:eastAsia="zh-CN"/>
              </w:rPr>
              <w:t>多媒体展项专项设计方案</w:t>
            </w:r>
          </w:p>
          <w:p w14:paraId="19F02782">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针对本项目所有多媒体、数字化、互动科创展项编制专项设计方案，内容包含：</w:t>
            </w:r>
          </w:p>
          <w:p w14:paraId="564A8226">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①各多媒体展项主题内容、展示逻辑、交互方式、内容架构、科创知识点呈现方式；</w:t>
            </w:r>
          </w:p>
          <w:p w14:paraId="14901C31">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②各重点多媒体展项高清三维效果图、交互示意图；</w:t>
            </w:r>
          </w:p>
          <w:p w14:paraId="10D820A8">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（5）</w:t>
            </w:r>
            <w:r>
              <w:rPr>
                <w:rFonts w:hint="default" w:ascii="宋体" w:hAnsi="宋体" w:eastAsia="宋体" w:cs="宋体"/>
                <w:bCs/>
                <w:kern w:val="0"/>
                <w:sz w:val="21"/>
                <w:szCs w:val="21"/>
                <w:highlight w:val="none"/>
                <w:lang w:val="en-US" w:eastAsia="zh-CN"/>
              </w:rPr>
              <w:t>展区材料应用专项说明</w:t>
            </w:r>
          </w:p>
          <w:p w14:paraId="39AF70F7">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供应商须对全展厅主要装饰材料、展陈用材、展柜用材、饰面用材、灯光辅材进行专项说明：</w:t>
            </w:r>
          </w:p>
          <w:p w14:paraId="397BE234">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①提供各展区主要材料样式图、材质样板示意图；</w:t>
            </w:r>
          </w:p>
          <w:p w14:paraId="7104ACCF">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②详细列明材料技术参数、防火等级、环保等级、材质特性、工艺特点、适配场景；</w:t>
            </w:r>
          </w:p>
          <w:p w14:paraId="5F89E669">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（6）</w:t>
            </w:r>
            <w:r>
              <w:rPr>
                <w:rFonts w:hint="default" w:ascii="宋体" w:hAnsi="宋体" w:eastAsia="宋体" w:cs="宋体"/>
                <w:bCs/>
                <w:kern w:val="0"/>
                <w:sz w:val="21"/>
                <w:szCs w:val="21"/>
                <w:highlight w:val="none"/>
                <w:lang w:val="en-US" w:eastAsia="zh-CN"/>
              </w:rPr>
              <w:t>展具、灯光、陈列整体布置方案</w:t>
            </w:r>
          </w:p>
          <w:p w14:paraId="21BB692A">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提交完整展柜展台布置方案、展品陈列逻辑方案、整体灯光氛围设计方案、重点展项光影塑造方案，实现空间、展具、展品、灯光、氛围一体化统筹设计。</w:t>
            </w:r>
          </w:p>
          <w:p w14:paraId="7277D168">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（7）</w:t>
            </w:r>
            <w:r>
              <w:rPr>
                <w:rFonts w:hint="default" w:ascii="宋体" w:hAnsi="宋体" w:eastAsia="宋体" w:cs="宋体"/>
                <w:bCs/>
                <w:kern w:val="0"/>
                <w:sz w:val="21"/>
                <w:szCs w:val="21"/>
                <w:highlight w:val="none"/>
                <w:lang w:val="en-US" w:eastAsia="zh-CN"/>
              </w:rPr>
              <w:t>竞标方案效力说明</w:t>
            </w:r>
          </w:p>
          <w:p w14:paraId="14A4B9B4">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default" w:ascii="宋体" w:hAnsi="宋体" w:eastAsia="宋体" w:cs="宋体"/>
                <w:bCs/>
                <w:kern w:val="0"/>
                <w:sz w:val="21"/>
                <w:szCs w:val="21"/>
                <w:highlight w:val="none"/>
                <w:lang w:val="en-US" w:eastAsia="zh-CN"/>
              </w:rPr>
              <w:t>供应商在磋商阶段根据采购人采购文件、项目设计要求、现场实际条件编制的竞标设计方案，仅用于本次评审打分使用，不直接作为施工落地依据。成交后供应商须根据采购人意见完成多轮深化优化、整改完善，最终以采购人书面确认的深化设计成果为唯一实施依据。</w:t>
            </w:r>
          </w:p>
          <w:p w14:paraId="24188C9C">
            <w:pPr>
              <w:widowControl/>
              <w:wordWrap w:val="0"/>
              <w:topLinePunct/>
              <w:adjustRightInd/>
              <w:snapToGrid/>
              <w:spacing w:line="360" w:lineRule="auto"/>
              <w:ind w:firstLine="420" w:firstLineChars="200"/>
              <w:jc w:val="both"/>
              <w:textAlignment w:val="center"/>
              <w:rPr>
                <w:rFonts w:hint="default" w:ascii="宋体" w:hAnsi="宋体" w:eastAsia="宋体" w:cs="宋体"/>
                <w:bCs/>
                <w:kern w:val="0"/>
                <w:sz w:val="21"/>
                <w:szCs w:val="21"/>
                <w:highlight w:val="none"/>
                <w:lang w:val="en-US" w:eastAsia="zh-CN"/>
              </w:rPr>
            </w:pPr>
            <w:r>
              <w:rPr>
                <w:rFonts w:hint="eastAsia" w:ascii="宋体" w:hAnsi="宋体" w:cs="宋体"/>
                <w:bCs/>
                <w:kern w:val="0"/>
                <w:sz w:val="21"/>
                <w:szCs w:val="21"/>
                <w:highlight w:val="none"/>
                <w:lang w:val="en-US" w:eastAsia="zh-CN"/>
              </w:rPr>
              <w:t>（8）</w:t>
            </w:r>
            <w:r>
              <w:rPr>
                <w:rFonts w:hint="default" w:ascii="宋体" w:hAnsi="宋体" w:eastAsia="宋体" w:cs="宋体"/>
                <w:bCs/>
                <w:kern w:val="0"/>
                <w:sz w:val="21"/>
                <w:szCs w:val="21"/>
                <w:highlight w:val="none"/>
                <w:lang w:val="en-US" w:eastAsia="zh-CN"/>
              </w:rPr>
              <w:t>特殊场地设计要求</w:t>
            </w:r>
          </w:p>
          <w:p w14:paraId="51D6DD86">
            <w:pPr>
              <w:keepNext w:val="0"/>
              <w:keepLines w:val="0"/>
              <w:pageBreakBefore w:val="0"/>
              <w:widowControl/>
              <w:kinsoku/>
              <w:wordWrap w:val="0"/>
              <w:overflowPunct/>
              <w:topLinePunct/>
              <w:autoSpaceDE/>
              <w:autoSpaceDN/>
              <w:bidi w:val="0"/>
              <w:adjustRightInd/>
              <w:snapToGrid/>
              <w:spacing w:line="360" w:lineRule="auto"/>
              <w:ind w:firstLine="420" w:firstLineChars="200"/>
              <w:jc w:val="both"/>
              <w:textAlignment w:val="center"/>
              <w:rPr>
                <w:rFonts w:hint="default" w:ascii="宋体" w:hAnsi="宋体" w:eastAsia="宋体" w:cs="宋体"/>
                <w:color w:val="auto"/>
                <w:szCs w:val="21"/>
                <w:highlight w:val="none"/>
                <w:lang w:val="en-US" w:eastAsia="zh-CN"/>
              </w:rPr>
            </w:pPr>
            <w:r>
              <w:rPr>
                <w:rFonts w:hint="default" w:ascii="宋体" w:hAnsi="宋体" w:eastAsia="宋体" w:cs="宋体"/>
                <w:bCs/>
                <w:kern w:val="0"/>
                <w:sz w:val="21"/>
                <w:szCs w:val="21"/>
                <w:highlight w:val="none"/>
                <w:lang w:val="en-US" w:eastAsia="zh-CN"/>
              </w:rPr>
              <w:t>供应商设计方案须充分考虑本展厅“无边界展厅”空间特性，弱化区域隔断、强化整体连贯、统一视觉体系、优化空间通透感，确保整体科创展示氛围连贯、大气、现代化、整体性强。</w:t>
            </w:r>
          </w:p>
        </w:tc>
      </w:tr>
      <w:tr w14:paraId="0CBD4A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9769" w:type="dxa"/>
            <w:gridSpan w:val="5"/>
            <w:tcBorders>
              <w:top w:val="single" w:color="auto" w:sz="4" w:space="0"/>
              <w:left w:val="single" w:color="auto" w:sz="4" w:space="0"/>
              <w:bottom w:val="single" w:color="auto" w:sz="4" w:space="0"/>
              <w:right w:val="single" w:color="auto" w:sz="4" w:space="0"/>
            </w:tcBorders>
            <w:vAlign w:val="center"/>
          </w:tcPr>
          <w:p w14:paraId="84C941DE">
            <w:pPr>
              <w:wordWrap w:val="0"/>
              <w:topLinePunct/>
              <w:spacing w:line="360" w:lineRule="auto"/>
              <w:ind w:firstLine="0" w:firstLineChars="0"/>
              <w:jc w:val="left"/>
              <w:rPr>
                <w:rFonts w:hint="eastAsia" w:ascii="宋体" w:hAnsi="宋体" w:eastAsia="宋体" w:cs="宋体"/>
                <w:color w:val="auto"/>
                <w:szCs w:val="21"/>
                <w:highlight w:val="none"/>
              </w:rPr>
            </w:pPr>
            <w:r>
              <w:rPr>
                <w:rFonts w:hint="default" w:ascii="宋体" w:hAnsi="宋体" w:eastAsia="宋体" w:cs="宋体"/>
                <w:b/>
                <w:bCs/>
                <w:i w:val="0"/>
                <w:iCs w:val="0"/>
                <w:color w:val="auto"/>
                <w:kern w:val="0"/>
                <w:sz w:val="21"/>
                <w:szCs w:val="21"/>
                <w:highlight w:val="none"/>
                <w:vertAlign w:val="baseline"/>
                <w:lang w:val="en-US" w:eastAsia="zh-CN" w:bidi="ar-SA"/>
              </w:rPr>
              <w:t>注:《</w:t>
            </w:r>
            <w:r>
              <w:rPr>
                <w:rFonts w:hint="default" w:ascii="宋体" w:hAnsi="宋体" w:eastAsia="宋体" w:cs="宋体"/>
                <w:b/>
                <w:bCs/>
                <w:i w:val="0"/>
                <w:iCs w:val="0"/>
                <w:color w:val="auto"/>
                <w:kern w:val="2"/>
                <w:sz w:val="21"/>
                <w:szCs w:val="21"/>
                <w:highlight w:val="none"/>
                <w:vertAlign w:val="baseline"/>
                <w:lang w:val="en-US" w:eastAsia="zh-CN" w:bidi="ar-SA"/>
              </w:rPr>
              <w:t>采购需求</w:t>
            </w:r>
            <w:r>
              <w:rPr>
                <w:rFonts w:hint="default" w:ascii="宋体" w:hAnsi="宋体" w:eastAsia="宋体" w:cs="宋体"/>
                <w:b/>
                <w:bCs/>
                <w:i w:val="0"/>
                <w:iCs w:val="0"/>
                <w:color w:val="auto"/>
                <w:kern w:val="0"/>
                <w:sz w:val="21"/>
                <w:szCs w:val="21"/>
                <w:highlight w:val="none"/>
                <w:vertAlign w:val="baseline"/>
                <w:lang w:val="en-US" w:eastAsia="zh-CN" w:bidi="ar-SA"/>
              </w:rPr>
              <w:t>》均为实质性要求，出现任意一项实质性条款负偏离的，其响应文件按无效响应处理。</w:t>
            </w:r>
          </w:p>
        </w:tc>
      </w:tr>
    </w:tbl>
    <w:p w14:paraId="494A3C08">
      <w:pPr>
        <w:pStyle w:val="18"/>
        <w:spacing w:line="360" w:lineRule="auto"/>
        <w:jc w:val="left"/>
        <w:rPr>
          <w:rFonts w:hint="eastAsia" w:ascii="宋体" w:hAnsi="宋体" w:eastAsia="宋体" w:cs="宋体"/>
          <w:color w:val="auto"/>
          <w:sz w:val="32"/>
          <w:szCs w:val="32"/>
          <w:highlight w:val="none"/>
        </w:rPr>
      </w:pPr>
      <w:r>
        <w:rPr>
          <w:rFonts w:hint="eastAsia" w:hAnsi="宋体" w:cs="宋体"/>
          <w:bCs/>
          <w:color w:val="auto"/>
          <w:sz w:val="24"/>
          <w:highlight w:val="none"/>
          <w:u w:val="single"/>
        </w:rPr>
        <w:br w:type="page"/>
      </w:r>
      <w:r>
        <w:rPr>
          <w:rFonts w:hint="eastAsia" w:ascii="宋体" w:hAnsi="宋体" w:eastAsia="宋体" w:cs="宋体"/>
          <w:color w:val="auto"/>
          <w:sz w:val="32"/>
          <w:szCs w:val="32"/>
          <w:highlight w:val="none"/>
        </w:rPr>
        <w:t>附件</w:t>
      </w:r>
      <w:r>
        <w:rPr>
          <w:rFonts w:hint="eastAsia" w:hAnsi="宋体" w:cs="宋体"/>
          <w:color w:val="auto"/>
          <w:sz w:val="32"/>
          <w:szCs w:val="32"/>
          <w:highlight w:val="none"/>
          <w:lang w:val="en-US" w:eastAsia="zh-CN"/>
        </w:rPr>
        <w:t>2</w:t>
      </w:r>
      <w:r>
        <w:rPr>
          <w:rFonts w:hint="eastAsia" w:ascii="宋体" w:hAnsi="宋体" w:eastAsia="宋体" w:cs="宋体"/>
          <w:color w:val="auto"/>
          <w:sz w:val="32"/>
          <w:szCs w:val="32"/>
          <w:highlight w:val="none"/>
        </w:rPr>
        <w:t>：</w:t>
      </w:r>
    </w:p>
    <w:p w14:paraId="7D304A19">
      <w:pPr>
        <w:jc w:val="center"/>
        <w:rPr>
          <w:rFonts w:hint="eastAsia"/>
          <w:sz w:val="36"/>
          <w:szCs w:val="36"/>
          <w:highlight w:val="none"/>
        </w:rPr>
      </w:pPr>
      <w:bookmarkStart w:id="36" w:name="_Toc28426"/>
      <w:bookmarkStart w:id="37" w:name="_Toc12540"/>
      <w:bookmarkStart w:id="38" w:name="_Toc2882"/>
      <w:bookmarkStart w:id="39" w:name="_Toc3797"/>
      <w:bookmarkStart w:id="40" w:name="_Toc7416"/>
      <w:bookmarkStart w:id="41" w:name="_Toc17434"/>
      <w:r>
        <w:rPr>
          <w:rFonts w:hint="eastAsia"/>
          <w:sz w:val="36"/>
          <w:szCs w:val="36"/>
          <w:highlight w:val="none"/>
        </w:rPr>
        <w:t>中小微企业划型标准</w:t>
      </w:r>
      <w:bookmarkEnd w:id="36"/>
      <w:bookmarkEnd w:id="37"/>
      <w:bookmarkEnd w:id="38"/>
      <w:bookmarkEnd w:id="39"/>
      <w:bookmarkEnd w:id="40"/>
      <w:bookmarkEnd w:id="41"/>
    </w:p>
    <w:tbl>
      <w:tblPr>
        <w:tblStyle w:val="33"/>
        <w:tblW w:w="4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1347"/>
        <w:gridCol w:w="695"/>
        <w:gridCol w:w="1107"/>
        <w:gridCol w:w="1675"/>
        <w:gridCol w:w="1403"/>
        <w:gridCol w:w="975"/>
      </w:tblGrid>
      <w:tr w14:paraId="2D5A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1657" w:type="dxa"/>
            <w:noWrap w:val="0"/>
            <w:vAlign w:val="center"/>
          </w:tcPr>
          <w:p w14:paraId="52946D47">
            <w:pPr>
              <w:widowControl/>
              <w:spacing w:line="360" w:lineRule="auto"/>
              <w:jc w:val="center"/>
              <w:rPr>
                <w:rFonts w:hint="eastAsia"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06" w:type="dxa"/>
            <w:noWrap w:val="0"/>
            <w:vAlign w:val="center"/>
          </w:tcPr>
          <w:p w14:paraId="72041389">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674" w:type="dxa"/>
            <w:noWrap w:val="0"/>
            <w:vAlign w:val="center"/>
          </w:tcPr>
          <w:p w14:paraId="5D7D00FC">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计量</w:t>
            </w:r>
          </w:p>
          <w:p w14:paraId="58CBF5AF">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074" w:type="dxa"/>
            <w:noWrap w:val="0"/>
            <w:vAlign w:val="center"/>
          </w:tcPr>
          <w:p w14:paraId="23E8140B">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624" w:type="dxa"/>
            <w:noWrap w:val="0"/>
            <w:vAlign w:val="center"/>
          </w:tcPr>
          <w:p w14:paraId="44286440">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361" w:type="dxa"/>
            <w:noWrap w:val="0"/>
            <w:vAlign w:val="center"/>
          </w:tcPr>
          <w:p w14:paraId="443834AF">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46" w:type="dxa"/>
            <w:noWrap w:val="0"/>
            <w:vAlign w:val="center"/>
          </w:tcPr>
          <w:p w14:paraId="6593B823">
            <w:pPr>
              <w:widowControl/>
              <w:spacing w:line="360" w:lineRule="auto"/>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14:paraId="7A68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noWrap w:val="0"/>
            <w:vAlign w:val="center"/>
          </w:tcPr>
          <w:p w14:paraId="6666E9A7">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06" w:type="dxa"/>
            <w:noWrap w:val="0"/>
            <w:vAlign w:val="center"/>
          </w:tcPr>
          <w:p w14:paraId="132AF65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0C4D35C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58659EE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624" w:type="dxa"/>
            <w:noWrap w:val="0"/>
            <w:vAlign w:val="center"/>
          </w:tcPr>
          <w:p w14:paraId="24F735A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361" w:type="dxa"/>
            <w:noWrap w:val="0"/>
            <w:vAlign w:val="center"/>
          </w:tcPr>
          <w:p w14:paraId="59A2D1C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50≤Y＜500</w:t>
            </w:r>
          </w:p>
        </w:tc>
        <w:tc>
          <w:tcPr>
            <w:tcW w:w="946" w:type="dxa"/>
            <w:noWrap w:val="0"/>
            <w:vAlign w:val="center"/>
          </w:tcPr>
          <w:p w14:paraId="7B6138C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9A0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6502CF8D">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06" w:type="dxa"/>
            <w:noWrap w:val="0"/>
            <w:vAlign w:val="center"/>
          </w:tcPr>
          <w:p w14:paraId="651E3C0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79F8304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6B24AB6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624" w:type="dxa"/>
            <w:noWrap w:val="0"/>
            <w:vAlign w:val="center"/>
          </w:tcPr>
          <w:p w14:paraId="1542D61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361" w:type="dxa"/>
            <w:noWrap w:val="0"/>
            <w:vAlign w:val="center"/>
          </w:tcPr>
          <w:p w14:paraId="7FD52F8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46" w:type="dxa"/>
            <w:noWrap w:val="0"/>
            <w:vAlign w:val="center"/>
          </w:tcPr>
          <w:p w14:paraId="63ACE6F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05B7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431DECEF">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3A9CF75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103E5A9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2F36BD7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624" w:type="dxa"/>
            <w:noWrap w:val="0"/>
            <w:vAlign w:val="center"/>
          </w:tcPr>
          <w:p w14:paraId="44DB7BA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361" w:type="dxa"/>
            <w:noWrap w:val="0"/>
            <w:vAlign w:val="center"/>
          </w:tcPr>
          <w:p w14:paraId="4C65CC1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300≤Y＜2000</w:t>
            </w:r>
          </w:p>
        </w:tc>
        <w:tc>
          <w:tcPr>
            <w:tcW w:w="946" w:type="dxa"/>
            <w:noWrap w:val="0"/>
            <w:vAlign w:val="center"/>
          </w:tcPr>
          <w:p w14:paraId="35D9723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B40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exact"/>
          <w:jc w:val="center"/>
        </w:trPr>
        <w:tc>
          <w:tcPr>
            <w:tcW w:w="1657" w:type="dxa"/>
            <w:vMerge w:val="restart"/>
            <w:noWrap w:val="0"/>
            <w:vAlign w:val="center"/>
          </w:tcPr>
          <w:p w14:paraId="0C9D5966">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06" w:type="dxa"/>
            <w:noWrap w:val="0"/>
            <w:vAlign w:val="center"/>
          </w:tcPr>
          <w:p w14:paraId="3797B20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0491425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1F942F3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624" w:type="dxa"/>
            <w:noWrap w:val="0"/>
            <w:vAlign w:val="center"/>
          </w:tcPr>
          <w:p w14:paraId="0CDB5F1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361" w:type="dxa"/>
            <w:noWrap w:val="0"/>
            <w:vAlign w:val="center"/>
          </w:tcPr>
          <w:p w14:paraId="4A8FDE8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300≤Y＜6000</w:t>
            </w:r>
          </w:p>
        </w:tc>
        <w:tc>
          <w:tcPr>
            <w:tcW w:w="946" w:type="dxa"/>
            <w:noWrap w:val="0"/>
            <w:vAlign w:val="center"/>
          </w:tcPr>
          <w:p w14:paraId="2CE3BBB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C5B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657" w:type="dxa"/>
            <w:vMerge w:val="continue"/>
            <w:noWrap w:val="0"/>
            <w:vAlign w:val="center"/>
          </w:tcPr>
          <w:p w14:paraId="595D8875">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68BDAB5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674" w:type="dxa"/>
            <w:noWrap w:val="0"/>
            <w:vAlign w:val="center"/>
          </w:tcPr>
          <w:p w14:paraId="075BDBE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78C66DB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624" w:type="dxa"/>
            <w:noWrap w:val="0"/>
            <w:vAlign w:val="center"/>
          </w:tcPr>
          <w:p w14:paraId="3A425F0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361" w:type="dxa"/>
            <w:noWrap w:val="0"/>
            <w:vAlign w:val="center"/>
          </w:tcPr>
          <w:p w14:paraId="36DCC9D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300≤Z＜5000</w:t>
            </w:r>
          </w:p>
        </w:tc>
        <w:tc>
          <w:tcPr>
            <w:tcW w:w="946" w:type="dxa"/>
            <w:noWrap w:val="0"/>
            <w:vAlign w:val="center"/>
          </w:tcPr>
          <w:p w14:paraId="491C155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1FA4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12AFF635">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06" w:type="dxa"/>
            <w:noWrap w:val="0"/>
            <w:vAlign w:val="center"/>
          </w:tcPr>
          <w:p w14:paraId="3E1B6C0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334352B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1241C8F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624" w:type="dxa"/>
            <w:noWrap w:val="0"/>
            <w:vAlign w:val="center"/>
          </w:tcPr>
          <w:p w14:paraId="1E593DF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361" w:type="dxa"/>
            <w:noWrap w:val="0"/>
            <w:vAlign w:val="center"/>
          </w:tcPr>
          <w:p w14:paraId="4E3DF1B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5≤X＜20</w:t>
            </w:r>
          </w:p>
        </w:tc>
        <w:tc>
          <w:tcPr>
            <w:tcW w:w="946" w:type="dxa"/>
            <w:noWrap w:val="0"/>
            <w:vAlign w:val="center"/>
          </w:tcPr>
          <w:p w14:paraId="70E9494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C7FE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7DA7A41C">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168DC20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0A4E206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4DE9432F">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624" w:type="dxa"/>
            <w:noWrap w:val="0"/>
            <w:vAlign w:val="center"/>
          </w:tcPr>
          <w:p w14:paraId="474E9E7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361" w:type="dxa"/>
            <w:noWrap w:val="0"/>
            <w:vAlign w:val="center"/>
          </w:tcPr>
          <w:p w14:paraId="5434C945">
            <w:pPr>
              <w:widowControl/>
              <w:spacing w:line="360"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46" w:type="dxa"/>
            <w:noWrap w:val="0"/>
            <w:vAlign w:val="center"/>
          </w:tcPr>
          <w:p w14:paraId="457EF2A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6520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135207D6">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06" w:type="dxa"/>
            <w:noWrap w:val="0"/>
            <w:vAlign w:val="center"/>
          </w:tcPr>
          <w:p w14:paraId="530C416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557B0B1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59C1C5A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171C4DD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361" w:type="dxa"/>
            <w:noWrap w:val="0"/>
            <w:vAlign w:val="center"/>
          </w:tcPr>
          <w:p w14:paraId="61572B92">
            <w:pPr>
              <w:widowControl/>
              <w:spacing w:line="360"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46" w:type="dxa"/>
            <w:noWrap w:val="0"/>
            <w:vAlign w:val="center"/>
          </w:tcPr>
          <w:p w14:paraId="593F262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311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165BE16E">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1B012E7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483A7B8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74CEC54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624" w:type="dxa"/>
            <w:noWrap w:val="0"/>
            <w:vAlign w:val="center"/>
          </w:tcPr>
          <w:p w14:paraId="6F6F7C1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500≤Y＜20000</w:t>
            </w:r>
          </w:p>
        </w:tc>
        <w:tc>
          <w:tcPr>
            <w:tcW w:w="1361" w:type="dxa"/>
            <w:noWrap w:val="0"/>
            <w:vAlign w:val="center"/>
          </w:tcPr>
          <w:p w14:paraId="2B5E9968">
            <w:pPr>
              <w:widowControl/>
              <w:spacing w:line="360" w:lineRule="auto"/>
              <w:ind w:left="-1" w:leftChars="-1" w:hanging="1"/>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100≤Y＜500 </w:t>
            </w:r>
          </w:p>
        </w:tc>
        <w:tc>
          <w:tcPr>
            <w:tcW w:w="946" w:type="dxa"/>
            <w:noWrap w:val="0"/>
            <w:vAlign w:val="center"/>
          </w:tcPr>
          <w:p w14:paraId="486F2A9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D9C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50FFE814">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06" w:type="dxa"/>
            <w:noWrap w:val="0"/>
            <w:vAlign w:val="center"/>
          </w:tcPr>
          <w:p w14:paraId="41B951D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5B57D48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02F1A54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624" w:type="dxa"/>
            <w:noWrap w:val="0"/>
            <w:vAlign w:val="center"/>
          </w:tcPr>
          <w:p w14:paraId="1DC6943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361" w:type="dxa"/>
            <w:noWrap w:val="0"/>
            <w:vAlign w:val="center"/>
          </w:tcPr>
          <w:p w14:paraId="498FE12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46" w:type="dxa"/>
            <w:noWrap w:val="0"/>
            <w:vAlign w:val="center"/>
          </w:tcPr>
          <w:p w14:paraId="446718E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693E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6E5EDF11">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0CFB560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5FA6D86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7ACD2A4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624" w:type="dxa"/>
            <w:noWrap w:val="0"/>
            <w:vAlign w:val="center"/>
          </w:tcPr>
          <w:p w14:paraId="04E3C1B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361" w:type="dxa"/>
            <w:noWrap w:val="0"/>
            <w:vAlign w:val="center"/>
          </w:tcPr>
          <w:p w14:paraId="745695D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200≤Y＜3000</w:t>
            </w:r>
          </w:p>
        </w:tc>
        <w:tc>
          <w:tcPr>
            <w:tcW w:w="946" w:type="dxa"/>
            <w:noWrap w:val="0"/>
            <w:vAlign w:val="center"/>
          </w:tcPr>
          <w:p w14:paraId="5714655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858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19CBD397">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06" w:type="dxa"/>
            <w:noWrap w:val="0"/>
            <w:vAlign w:val="center"/>
          </w:tcPr>
          <w:p w14:paraId="6E01B65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09601DB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023A360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624" w:type="dxa"/>
            <w:noWrap w:val="0"/>
            <w:vAlign w:val="center"/>
          </w:tcPr>
          <w:p w14:paraId="31E2BC95">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361" w:type="dxa"/>
            <w:noWrap w:val="0"/>
            <w:vAlign w:val="center"/>
          </w:tcPr>
          <w:p w14:paraId="1EBF1C0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20≤X＜100</w:t>
            </w:r>
          </w:p>
        </w:tc>
        <w:tc>
          <w:tcPr>
            <w:tcW w:w="946" w:type="dxa"/>
            <w:noWrap w:val="0"/>
            <w:vAlign w:val="center"/>
          </w:tcPr>
          <w:p w14:paraId="15C7F81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DA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4DA93157">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6178B06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723CF39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4BF3410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624" w:type="dxa"/>
            <w:noWrap w:val="0"/>
            <w:vAlign w:val="center"/>
          </w:tcPr>
          <w:p w14:paraId="7EEEA5B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361" w:type="dxa"/>
            <w:noWrap w:val="0"/>
            <w:vAlign w:val="center"/>
          </w:tcPr>
          <w:p w14:paraId="4E16815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46" w:type="dxa"/>
            <w:noWrap w:val="0"/>
            <w:vAlign w:val="center"/>
          </w:tcPr>
          <w:p w14:paraId="2E5A171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F77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28FEADCD">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06" w:type="dxa"/>
            <w:noWrap w:val="0"/>
            <w:vAlign w:val="center"/>
          </w:tcPr>
          <w:p w14:paraId="025A716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2442327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6D00BE6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624" w:type="dxa"/>
            <w:noWrap w:val="0"/>
            <w:vAlign w:val="center"/>
          </w:tcPr>
          <w:p w14:paraId="0CBF91B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361" w:type="dxa"/>
            <w:noWrap w:val="0"/>
            <w:vAlign w:val="center"/>
          </w:tcPr>
          <w:p w14:paraId="6EBE082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20≤X＜300</w:t>
            </w:r>
          </w:p>
        </w:tc>
        <w:tc>
          <w:tcPr>
            <w:tcW w:w="946" w:type="dxa"/>
            <w:noWrap w:val="0"/>
            <w:vAlign w:val="center"/>
          </w:tcPr>
          <w:p w14:paraId="1D70D3D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514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18EA2974">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4BB38F0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73787CE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3AC527A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624" w:type="dxa"/>
            <w:noWrap w:val="0"/>
            <w:vAlign w:val="center"/>
          </w:tcPr>
          <w:p w14:paraId="5B331A3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361" w:type="dxa"/>
            <w:noWrap w:val="0"/>
            <w:vAlign w:val="center"/>
          </w:tcPr>
          <w:p w14:paraId="0ED3E13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46" w:type="dxa"/>
            <w:noWrap w:val="0"/>
            <w:vAlign w:val="center"/>
          </w:tcPr>
          <w:p w14:paraId="53B0D60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48E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323DF796">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06" w:type="dxa"/>
            <w:noWrap w:val="0"/>
            <w:vAlign w:val="center"/>
          </w:tcPr>
          <w:p w14:paraId="688F324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1D14881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349E7E8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175C45F2">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361" w:type="dxa"/>
            <w:noWrap w:val="0"/>
            <w:vAlign w:val="center"/>
          </w:tcPr>
          <w:p w14:paraId="5A54ED7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515B1C7F">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5E66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39A92206">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735991BF">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1656606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4C26EAB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624" w:type="dxa"/>
            <w:noWrap w:val="0"/>
            <w:vAlign w:val="center"/>
          </w:tcPr>
          <w:p w14:paraId="5D1FF70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361" w:type="dxa"/>
            <w:noWrap w:val="0"/>
            <w:vAlign w:val="center"/>
          </w:tcPr>
          <w:p w14:paraId="5B5E90E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46" w:type="dxa"/>
            <w:noWrap w:val="0"/>
            <w:vAlign w:val="center"/>
          </w:tcPr>
          <w:p w14:paraId="16FD8BC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A9B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19E3293E">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06" w:type="dxa"/>
            <w:noWrap w:val="0"/>
            <w:vAlign w:val="center"/>
          </w:tcPr>
          <w:p w14:paraId="7AD7EC8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5388175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5311491F">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686F5F3E">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361" w:type="dxa"/>
            <w:noWrap w:val="0"/>
            <w:vAlign w:val="center"/>
          </w:tcPr>
          <w:p w14:paraId="18B664C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1B129CB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553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373E32B6">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308B079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7BEDC30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221B287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624" w:type="dxa"/>
            <w:noWrap w:val="0"/>
            <w:vAlign w:val="center"/>
          </w:tcPr>
          <w:p w14:paraId="0208C40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361" w:type="dxa"/>
            <w:noWrap w:val="0"/>
            <w:vAlign w:val="center"/>
          </w:tcPr>
          <w:p w14:paraId="79FE90E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100≤Y＜2000</w:t>
            </w:r>
          </w:p>
        </w:tc>
        <w:tc>
          <w:tcPr>
            <w:tcW w:w="946" w:type="dxa"/>
            <w:noWrap w:val="0"/>
            <w:vAlign w:val="center"/>
          </w:tcPr>
          <w:p w14:paraId="2190A13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67D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restart"/>
            <w:noWrap w:val="0"/>
            <w:vAlign w:val="center"/>
          </w:tcPr>
          <w:p w14:paraId="643C2186">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06" w:type="dxa"/>
            <w:noWrap w:val="0"/>
            <w:vAlign w:val="center"/>
          </w:tcPr>
          <w:p w14:paraId="4EF5519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29B5CE2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6EFA0E3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624" w:type="dxa"/>
            <w:noWrap w:val="0"/>
            <w:vAlign w:val="center"/>
          </w:tcPr>
          <w:p w14:paraId="0ED818FF">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361" w:type="dxa"/>
            <w:noWrap w:val="0"/>
            <w:vAlign w:val="center"/>
          </w:tcPr>
          <w:p w14:paraId="5BDC4B2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37AE380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F8AB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vMerge w:val="continue"/>
            <w:noWrap w:val="0"/>
            <w:vAlign w:val="center"/>
          </w:tcPr>
          <w:p w14:paraId="17F24183">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1BAECE3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0926B50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164DE57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624" w:type="dxa"/>
            <w:noWrap w:val="0"/>
            <w:vAlign w:val="center"/>
          </w:tcPr>
          <w:p w14:paraId="3C2191D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1000≤Y＜100000</w:t>
            </w:r>
          </w:p>
        </w:tc>
        <w:tc>
          <w:tcPr>
            <w:tcW w:w="1361" w:type="dxa"/>
            <w:noWrap w:val="0"/>
            <w:vAlign w:val="center"/>
          </w:tcPr>
          <w:p w14:paraId="29527D0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46" w:type="dxa"/>
            <w:noWrap w:val="0"/>
            <w:vAlign w:val="center"/>
          </w:tcPr>
          <w:p w14:paraId="6A8E29B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8945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restart"/>
            <w:noWrap w:val="0"/>
            <w:vAlign w:val="center"/>
          </w:tcPr>
          <w:p w14:paraId="2C484248">
            <w:pPr>
              <w:widowControl/>
              <w:spacing w:line="360" w:lineRule="auto"/>
              <w:jc w:val="left"/>
              <w:rPr>
                <w:rFonts w:hint="eastAsia"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06" w:type="dxa"/>
            <w:noWrap w:val="0"/>
            <w:vAlign w:val="center"/>
          </w:tcPr>
          <w:p w14:paraId="75B874A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0EDD7D1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5058D02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76887553">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361" w:type="dxa"/>
            <w:noWrap w:val="0"/>
            <w:vAlign w:val="center"/>
          </w:tcPr>
          <w:p w14:paraId="5540FD2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42AC75D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3E2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continue"/>
            <w:noWrap w:val="0"/>
            <w:vAlign w:val="center"/>
          </w:tcPr>
          <w:p w14:paraId="06F38CC4">
            <w:pPr>
              <w:widowControl/>
              <w:spacing w:line="360" w:lineRule="auto"/>
              <w:jc w:val="left"/>
              <w:rPr>
                <w:rFonts w:hint="eastAsia" w:ascii="宋体" w:hAnsi="宋体" w:cs="宋体"/>
                <w:color w:val="auto"/>
                <w:spacing w:val="-12"/>
                <w:kern w:val="0"/>
                <w:sz w:val="18"/>
                <w:szCs w:val="18"/>
                <w:highlight w:val="none"/>
              </w:rPr>
            </w:pPr>
          </w:p>
        </w:tc>
        <w:tc>
          <w:tcPr>
            <w:tcW w:w="1306" w:type="dxa"/>
            <w:noWrap w:val="0"/>
            <w:vAlign w:val="center"/>
          </w:tcPr>
          <w:p w14:paraId="3B981774">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7BF3958A">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06A6D49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624" w:type="dxa"/>
            <w:noWrap w:val="0"/>
            <w:vAlign w:val="center"/>
          </w:tcPr>
          <w:p w14:paraId="75F128F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361" w:type="dxa"/>
            <w:noWrap w:val="0"/>
            <w:vAlign w:val="center"/>
          </w:tcPr>
          <w:p w14:paraId="2CE8BEC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50≤Y＜1000</w:t>
            </w:r>
          </w:p>
        </w:tc>
        <w:tc>
          <w:tcPr>
            <w:tcW w:w="946" w:type="dxa"/>
            <w:noWrap w:val="0"/>
            <w:vAlign w:val="center"/>
          </w:tcPr>
          <w:p w14:paraId="2833AA4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AFE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restart"/>
            <w:noWrap w:val="0"/>
            <w:vAlign w:val="center"/>
          </w:tcPr>
          <w:p w14:paraId="54FEA9FD">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06" w:type="dxa"/>
            <w:noWrap w:val="0"/>
            <w:vAlign w:val="center"/>
          </w:tcPr>
          <w:p w14:paraId="133CB32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6C82C2E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3F5CFCD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624" w:type="dxa"/>
            <w:noWrap w:val="0"/>
            <w:vAlign w:val="center"/>
          </w:tcPr>
          <w:p w14:paraId="5DC44EF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1000≤Y＜200000</w:t>
            </w:r>
          </w:p>
        </w:tc>
        <w:tc>
          <w:tcPr>
            <w:tcW w:w="1361" w:type="dxa"/>
            <w:noWrap w:val="0"/>
            <w:vAlign w:val="center"/>
          </w:tcPr>
          <w:p w14:paraId="6585816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100≤Y＜1000</w:t>
            </w:r>
          </w:p>
        </w:tc>
        <w:tc>
          <w:tcPr>
            <w:tcW w:w="946" w:type="dxa"/>
            <w:noWrap w:val="0"/>
            <w:vAlign w:val="center"/>
          </w:tcPr>
          <w:p w14:paraId="4FB43DD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DB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continue"/>
            <w:noWrap w:val="0"/>
            <w:vAlign w:val="center"/>
          </w:tcPr>
          <w:p w14:paraId="36FC121B">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0DC029B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674" w:type="dxa"/>
            <w:noWrap w:val="0"/>
            <w:vAlign w:val="center"/>
          </w:tcPr>
          <w:p w14:paraId="239BBBA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46F1805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624" w:type="dxa"/>
            <w:noWrap w:val="0"/>
            <w:vAlign w:val="center"/>
          </w:tcPr>
          <w:p w14:paraId="4ED1889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361" w:type="dxa"/>
            <w:noWrap w:val="0"/>
            <w:vAlign w:val="center"/>
          </w:tcPr>
          <w:p w14:paraId="2A31174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2000≤Z＜5000   </w:t>
            </w:r>
          </w:p>
        </w:tc>
        <w:tc>
          <w:tcPr>
            <w:tcW w:w="946" w:type="dxa"/>
            <w:noWrap w:val="0"/>
            <w:vAlign w:val="center"/>
          </w:tcPr>
          <w:p w14:paraId="74CBD46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14:paraId="70E2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restart"/>
            <w:noWrap w:val="0"/>
            <w:vAlign w:val="center"/>
          </w:tcPr>
          <w:p w14:paraId="795537E6">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06" w:type="dxa"/>
            <w:noWrap w:val="0"/>
            <w:vAlign w:val="center"/>
          </w:tcPr>
          <w:p w14:paraId="3921D69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3315D4D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791F93A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624" w:type="dxa"/>
            <w:noWrap w:val="0"/>
            <w:vAlign w:val="center"/>
          </w:tcPr>
          <w:p w14:paraId="64E80CC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361" w:type="dxa"/>
            <w:noWrap w:val="0"/>
            <w:vAlign w:val="center"/>
          </w:tcPr>
          <w:p w14:paraId="61BC780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946" w:type="dxa"/>
            <w:noWrap w:val="0"/>
            <w:vAlign w:val="center"/>
          </w:tcPr>
          <w:p w14:paraId="40A02E70">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15FB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continue"/>
            <w:noWrap w:val="0"/>
            <w:vAlign w:val="center"/>
          </w:tcPr>
          <w:p w14:paraId="20C3C2D3">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1050B6F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674" w:type="dxa"/>
            <w:noWrap w:val="0"/>
            <w:vAlign w:val="center"/>
          </w:tcPr>
          <w:p w14:paraId="052BBCC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7278EFA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624" w:type="dxa"/>
            <w:noWrap w:val="0"/>
            <w:vAlign w:val="center"/>
          </w:tcPr>
          <w:p w14:paraId="04F0E66C">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1000≤Y＜5000 </w:t>
            </w:r>
          </w:p>
        </w:tc>
        <w:tc>
          <w:tcPr>
            <w:tcW w:w="1361" w:type="dxa"/>
            <w:noWrap w:val="0"/>
            <w:vAlign w:val="center"/>
          </w:tcPr>
          <w:p w14:paraId="7B431BE9">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500≤Y＜1000</w:t>
            </w:r>
          </w:p>
        </w:tc>
        <w:tc>
          <w:tcPr>
            <w:tcW w:w="946" w:type="dxa"/>
            <w:noWrap w:val="0"/>
            <w:vAlign w:val="center"/>
          </w:tcPr>
          <w:p w14:paraId="6F466FD6">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4EA9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restart"/>
            <w:noWrap w:val="0"/>
            <w:vAlign w:val="center"/>
          </w:tcPr>
          <w:p w14:paraId="02FB9931">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06" w:type="dxa"/>
            <w:noWrap w:val="0"/>
            <w:vAlign w:val="center"/>
          </w:tcPr>
          <w:p w14:paraId="383C4E9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272DBC57">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69861F8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093F4669">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361" w:type="dxa"/>
            <w:noWrap w:val="0"/>
            <w:vAlign w:val="center"/>
          </w:tcPr>
          <w:p w14:paraId="2DFFEDC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686917F3">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262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57" w:type="dxa"/>
            <w:vMerge w:val="continue"/>
            <w:noWrap w:val="0"/>
            <w:vAlign w:val="center"/>
          </w:tcPr>
          <w:p w14:paraId="5E5F3723">
            <w:pPr>
              <w:widowControl/>
              <w:spacing w:line="360" w:lineRule="auto"/>
              <w:jc w:val="left"/>
              <w:rPr>
                <w:rFonts w:hint="eastAsia" w:ascii="宋体" w:hAnsi="宋体" w:cs="宋体"/>
                <w:color w:val="auto"/>
                <w:kern w:val="0"/>
                <w:sz w:val="18"/>
                <w:szCs w:val="18"/>
                <w:highlight w:val="none"/>
              </w:rPr>
            </w:pPr>
          </w:p>
        </w:tc>
        <w:tc>
          <w:tcPr>
            <w:tcW w:w="1306" w:type="dxa"/>
            <w:noWrap w:val="0"/>
            <w:vAlign w:val="center"/>
          </w:tcPr>
          <w:p w14:paraId="59DBE768">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674" w:type="dxa"/>
            <w:noWrap w:val="0"/>
            <w:vAlign w:val="center"/>
          </w:tcPr>
          <w:p w14:paraId="66A5C9CC">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074" w:type="dxa"/>
            <w:noWrap w:val="0"/>
            <w:vAlign w:val="center"/>
          </w:tcPr>
          <w:p w14:paraId="0A4E471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624" w:type="dxa"/>
            <w:noWrap w:val="0"/>
            <w:vAlign w:val="center"/>
          </w:tcPr>
          <w:p w14:paraId="5A65BFAB">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8000≤Z＜120000</w:t>
            </w:r>
          </w:p>
        </w:tc>
        <w:tc>
          <w:tcPr>
            <w:tcW w:w="1361" w:type="dxa"/>
            <w:noWrap w:val="0"/>
            <w:vAlign w:val="center"/>
          </w:tcPr>
          <w:p w14:paraId="7B1E5D9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100≤Z＜8000</w:t>
            </w:r>
          </w:p>
        </w:tc>
        <w:tc>
          <w:tcPr>
            <w:tcW w:w="946" w:type="dxa"/>
            <w:noWrap w:val="0"/>
            <w:vAlign w:val="center"/>
          </w:tcPr>
          <w:p w14:paraId="7A92C9F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14:paraId="5399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57" w:type="dxa"/>
            <w:noWrap w:val="0"/>
            <w:vAlign w:val="center"/>
          </w:tcPr>
          <w:p w14:paraId="2F5FCFF5">
            <w:pPr>
              <w:widowControl/>
              <w:spacing w:line="360" w:lineRule="auto"/>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06" w:type="dxa"/>
            <w:noWrap w:val="0"/>
            <w:vAlign w:val="center"/>
          </w:tcPr>
          <w:p w14:paraId="6903CA7E">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674" w:type="dxa"/>
            <w:noWrap w:val="0"/>
            <w:vAlign w:val="center"/>
          </w:tcPr>
          <w:p w14:paraId="63B30702">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074" w:type="dxa"/>
            <w:noWrap w:val="0"/>
            <w:vAlign w:val="center"/>
          </w:tcPr>
          <w:p w14:paraId="6FEBB1B1">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624" w:type="dxa"/>
            <w:noWrap w:val="0"/>
            <w:vAlign w:val="center"/>
          </w:tcPr>
          <w:p w14:paraId="1DBD5540">
            <w:pPr>
              <w:widowControl/>
              <w:spacing w:line="360" w:lineRule="auto"/>
              <w:ind w:left="1" w:leftChars="-51" w:hanging="108" w:hangingChars="60"/>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361" w:type="dxa"/>
            <w:noWrap w:val="0"/>
            <w:vAlign w:val="center"/>
          </w:tcPr>
          <w:p w14:paraId="08DC9FBD">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 10≤X＜100</w:t>
            </w:r>
          </w:p>
        </w:tc>
        <w:tc>
          <w:tcPr>
            <w:tcW w:w="946" w:type="dxa"/>
            <w:noWrap w:val="0"/>
            <w:vAlign w:val="center"/>
          </w:tcPr>
          <w:p w14:paraId="5E302625">
            <w:pPr>
              <w:widowControl/>
              <w:spacing w:line="360" w:lineRule="auto"/>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2AAF5430">
      <w:pPr>
        <w:spacing w:line="360" w:lineRule="auto"/>
        <w:jc w:val="left"/>
        <w:rPr>
          <w:rFonts w:hint="eastAsia" w:ascii="宋体" w:hAnsi="宋体" w:eastAsia="宋体" w:cs="宋体"/>
          <w:color w:val="auto"/>
          <w:szCs w:val="21"/>
          <w:highlight w:val="none"/>
        </w:rPr>
      </w:pPr>
    </w:p>
    <w:p w14:paraId="1E7FD299">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6C18E91C">
      <w:pPr>
        <w:numPr>
          <w:ilvl w:val="0"/>
          <w:numId w:val="0"/>
        </w:num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上述标准参照《关于印发中小企业划型标准规定的通知》（工信部联企业[2011]300号），大型、中型和小型企业须同时满足所列指标的下限，否则下划一档；微型企业</w:t>
      </w:r>
      <w:r>
        <w:rPr>
          <w:rFonts w:hint="eastAsia" w:ascii="宋体" w:hAnsi="宋体" w:eastAsia="宋体" w:cs="宋体"/>
          <w:color w:val="auto"/>
          <w:szCs w:val="21"/>
          <w:highlight w:val="none"/>
          <w:lang w:eastAsia="zh-CN"/>
        </w:rPr>
        <w:t>只需</w:t>
      </w:r>
      <w:r>
        <w:rPr>
          <w:rFonts w:hint="eastAsia" w:ascii="宋体" w:hAnsi="宋体" w:eastAsia="宋体" w:cs="宋体"/>
          <w:color w:val="auto"/>
          <w:szCs w:val="21"/>
          <w:highlight w:val="none"/>
        </w:rPr>
        <w:t>满足所列指标中的一项即可。</w:t>
      </w:r>
    </w:p>
    <w:p w14:paraId="25E25E58">
      <w:pPr>
        <w:spacing w:line="360" w:lineRule="auto"/>
        <w:ind w:firstLine="525" w:firstLineChars="250"/>
        <w:rPr>
          <w:rFonts w:ascii="楷体" w:hAnsi="楷体" w:eastAsia="楷体" w:cs="宋体"/>
          <w:color w:val="auto"/>
          <w:szCs w:val="21"/>
          <w:highlight w:val="none"/>
        </w:rPr>
      </w:pPr>
    </w:p>
    <w:p w14:paraId="10A82E31">
      <w:pPr>
        <w:rPr>
          <w:rFonts w:hint="eastAsia" w:ascii="宋体" w:hAnsi="宋体" w:cs="宋体"/>
          <w:color w:val="auto"/>
          <w:highlight w:val="none"/>
        </w:rPr>
      </w:pPr>
      <w:r>
        <w:rPr>
          <w:rFonts w:hint="eastAsia" w:ascii="宋体" w:hAnsi="宋体" w:cs="宋体"/>
          <w:color w:val="auto"/>
          <w:highlight w:val="none"/>
        </w:rPr>
        <w:br w:type="page"/>
      </w:r>
      <w:bookmarkStart w:id="42" w:name="_Toc25718"/>
    </w:p>
    <w:p w14:paraId="3CA1EC31">
      <w:pPr>
        <w:pStyle w:val="2"/>
        <w:jc w:val="center"/>
        <w:rPr>
          <w:rFonts w:ascii="宋体" w:hAnsi="宋体" w:cs="宋体"/>
          <w:color w:val="auto"/>
          <w:highlight w:val="none"/>
        </w:rPr>
      </w:pPr>
      <w:r>
        <w:rPr>
          <w:rFonts w:hint="eastAsia" w:ascii="宋体" w:hAnsi="宋体" w:cs="宋体"/>
          <w:color w:val="auto"/>
          <w:highlight w:val="none"/>
        </w:rPr>
        <w:t>第四章</w:t>
      </w:r>
      <w:r>
        <w:rPr>
          <w:rFonts w:hint="eastAsia" w:ascii="宋体" w:hAnsi="宋体" w:cs="宋体"/>
          <w:color w:val="auto"/>
          <w:highlight w:val="none"/>
          <w:lang w:eastAsia="zh-CN"/>
        </w:rPr>
        <w:t>、</w:t>
      </w:r>
      <w:r>
        <w:rPr>
          <w:rFonts w:hint="eastAsia" w:ascii="宋体" w:hAnsi="宋体" w:cs="宋体"/>
          <w:color w:val="auto"/>
          <w:highlight w:val="none"/>
        </w:rPr>
        <w:t>评审程序、评审方法和评审标准</w:t>
      </w:r>
      <w:bookmarkEnd w:id="42"/>
    </w:p>
    <w:p w14:paraId="2AEEF7AF">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2CA0ACEC">
      <w:pPr>
        <w:spacing w:line="360" w:lineRule="auto"/>
        <w:ind w:firstLine="482" w:firstLineChars="200"/>
        <w:rPr>
          <w:rFonts w:ascii="宋体" w:hAnsi="宋体" w:cs="宋体"/>
          <w:b/>
          <w:bCs/>
          <w:color w:val="auto"/>
          <w:sz w:val="24"/>
          <w:highlight w:val="none"/>
        </w:rPr>
      </w:pPr>
    </w:p>
    <w:p w14:paraId="2B16A3FD">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1.资格审查</w:t>
      </w:r>
    </w:p>
    <w:p w14:paraId="1E9DFAFA">
      <w:pPr>
        <w:snapToGrid w:val="0"/>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1.1响应文件开启后，磋商小组依法对供应商的资格证明文件进行审查。</w:t>
      </w:r>
    </w:p>
    <w:p w14:paraId="2DB20909">
      <w:pPr>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（1）查询渠道：“信用中国”网站（www.creditchina.gov.cn）、中国政府采购网（</w:t>
      </w:r>
      <w:r>
        <w:rPr>
          <w:color w:val="auto"/>
          <w:szCs w:val="21"/>
          <w:highlight w:val="none"/>
        </w:rPr>
        <w:fldChar w:fldCharType="begin"/>
      </w:r>
      <w:r>
        <w:rPr>
          <w:color w:val="auto"/>
          <w:szCs w:val="21"/>
          <w:highlight w:val="none"/>
        </w:rPr>
        <w:instrText xml:space="preserve"> HYPERLINK "http://www.ccgp.gov.cn" </w:instrText>
      </w:r>
      <w:r>
        <w:rPr>
          <w:color w:val="auto"/>
          <w:szCs w:val="21"/>
          <w:highlight w:val="none"/>
        </w:rPr>
        <w:fldChar w:fldCharType="separate"/>
      </w:r>
      <w:r>
        <w:rPr>
          <w:rFonts w:hint="eastAsia" w:ascii="宋体" w:hAnsi="宋体" w:cs="宋体"/>
          <w:color w:val="auto"/>
          <w:sz w:val="21"/>
          <w:szCs w:val="21"/>
          <w:highlight w:val="none"/>
        </w:rPr>
        <w:t>www.ccgp.gov.cn</w: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w:t>
      </w:r>
    </w:p>
    <w:p w14:paraId="22116B4C">
      <w:pPr>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（2）信用查询截止时点：资格审查结束前</w:t>
      </w:r>
    </w:p>
    <w:p w14:paraId="114E11F6">
      <w:pPr>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（3）查询记录和证据留存方式：将查询网站中的查询记录截图并作为评审资料保存。</w:t>
      </w:r>
    </w:p>
    <w:p w14:paraId="7B13CB8D">
      <w:pPr>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（4）信用信息使用规则：根据财政部《关于在政府采购活动中查询及使用信用记录有关问题的通知》（财库〔2016〕125号）的规定，对在“信用中国”网站(www.creditchina.gov.cn)、中国政府采购网(www.ccgp.gov.cn)</w:t>
      </w:r>
      <w:r>
        <w:rPr>
          <w:rFonts w:hint="eastAsia" w:ascii="宋体" w:hAnsi="宋体" w:cs="宋体"/>
          <w:color w:val="auto"/>
          <w:sz w:val="21"/>
          <w:szCs w:val="21"/>
          <w:highlight w:val="none"/>
          <w:lang w:eastAsia="zh-CN"/>
        </w:rPr>
        <w:t>、中国执行信息公开网（https://zxgk.court.gov.cn/）</w:t>
      </w:r>
      <w:r>
        <w:rPr>
          <w:rFonts w:hint="eastAsia" w:ascii="宋体" w:hAnsi="宋体" w:cs="宋体"/>
          <w:color w:val="auto"/>
          <w:sz w:val="21"/>
          <w:szCs w:val="21"/>
          <w:highlight w:val="none"/>
        </w:rPr>
        <w:t>被列入失信被执行人、重大税收违法失信主体、政府采购严重违法失信行为记录名单及其他不符合《中华人民共和国政府采购法》第二十二条规定条件的供应商，不得参与政府采购活动。</w:t>
      </w:r>
    </w:p>
    <w:p w14:paraId="4174E179">
      <w:pPr>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1.2资格审查标准为本磋商文件中载明对供应商资格要求的条件。资格审查采用合格制，凡符合磋商文件规定的供应商资格要求的响应文件均通过资格审查。</w:t>
      </w:r>
    </w:p>
    <w:p w14:paraId="3BFAC58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1.3供应商有下列情形之一的，资格审查不通过，其响应文件按无效响应处理：</w:t>
      </w:r>
    </w:p>
    <w:p w14:paraId="1E78E5C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（1）不具备磋商文件中规定的资格要求的；</w:t>
      </w:r>
    </w:p>
    <w:p w14:paraId="1F14927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（2）响应文件的资格证明文件缺少任一项“供应商须知前附表”资格证明文件规定的“必须提供”的文件资料的；</w:t>
      </w:r>
    </w:p>
    <w:p w14:paraId="73437A0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（3）响应文件中的资格证明文件出现任一项不符合“供应商须知前附表”资格证明文件规定的“必须提供”的文件资料要求或者无效的；</w:t>
      </w:r>
    </w:p>
    <w:p w14:paraId="7EAE45F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7EBF480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1.4通过资格审查的合格供应商不足3家的，不得进入符合性审查环节，采购人或者采购代理机构应当重新开展采购活动。</w:t>
      </w:r>
    </w:p>
    <w:p w14:paraId="0B3B4E60">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2.符合性审查</w:t>
      </w:r>
    </w:p>
    <w:p w14:paraId="7D3A68E7">
      <w:pPr>
        <w:spacing w:line="360" w:lineRule="auto"/>
        <w:ind w:firstLine="420" w:firstLineChars="200"/>
        <w:rPr>
          <w:rFonts w:ascii="宋体" w:hAnsi="宋体" w:cs="宋体"/>
          <w:color w:val="auto"/>
          <w:sz w:val="21"/>
          <w:szCs w:val="21"/>
          <w:highlight w:val="none"/>
        </w:rPr>
      </w:pPr>
      <w:bookmarkStart w:id="43" w:name="_Hlk42528882"/>
      <w:r>
        <w:rPr>
          <w:rFonts w:hint="eastAsia" w:ascii="宋体" w:hAnsi="宋体" w:cs="宋体"/>
          <w:color w:val="auto"/>
          <w:sz w:val="21"/>
          <w:szCs w:val="21"/>
          <w:highlight w:val="none"/>
        </w:rPr>
        <w:t>2.1由磋商小组对资格审查的合格供应商的响应文件的竞争性磋商报价、商务、技术等实质性要求进行符合性审查，以确定其是否满足磋商文件的实质性要求。</w:t>
      </w:r>
    </w:p>
    <w:bookmarkEnd w:id="43"/>
    <w:p w14:paraId="44D7505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3310A92">
      <w:pPr>
        <w:spacing w:line="360" w:lineRule="auto"/>
        <w:ind w:firstLine="420" w:firstLineChars="200"/>
        <w:rPr>
          <w:rFonts w:ascii="宋体" w:hAnsi="宋体" w:cs="宋体"/>
          <w:color w:val="auto"/>
          <w:spacing w:val="-6"/>
          <w:sz w:val="21"/>
          <w:szCs w:val="21"/>
          <w:highlight w:val="none"/>
        </w:rPr>
      </w:pPr>
      <w:r>
        <w:rPr>
          <w:rFonts w:hint="eastAsia" w:ascii="宋体" w:hAnsi="宋体" w:cs="宋体"/>
          <w:color w:val="auto"/>
          <w:sz w:val="21"/>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w:t>
      </w:r>
      <w:r>
        <w:rPr>
          <w:rFonts w:hint="eastAsia" w:ascii="宋体" w:hAnsi="宋体" w:cs="宋体"/>
          <w:color w:val="auto"/>
          <w:spacing w:val="-6"/>
          <w:sz w:val="21"/>
          <w:szCs w:val="21"/>
          <w:highlight w:val="none"/>
        </w:rPr>
        <w:t>。供应商为自然人的，必须由本人签字并附身份证明。</w:t>
      </w:r>
    </w:p>
    <w:p w14:paraId="5B6F4008">
      <w:pPr>
        <w:spacing w:line="360" w:lineRule="auto"/>
        <w:ind w:firstLine="396" w:firstLineChars="200"/>
        <w:rPr>
          <w:rFonts w:ascii="宋体" w:hAnsi="宋体" w:cs="宋体"/>
          <w:color w:val="auto"/>
          <w:sz w:val="21"/>
          <w:szCs w:val="21"/>
          <w:highlight w:val="none"/>
        </w:rPr>
      </w:pPr>
      <w:r>
        <w:rPr>
          <w:rFonts w:hint="eastAsia" w:ascii="宋体" w:hAnsi="宋体" w:cs="宋体"/>
          <w:color w:val="auto"/>
          <w:spacing w:val="-6"/>
          <w:sz w:val="21"/>
          <w:szCs w:val="21"/>
          <w:highlight w:val="none"/>
        </w:rPr>
        <w:t>2.4</w:t>
      </w:r>
      <w:r>
        <w:rPr>
          <w:rFonts w:hint="eastAsia" w:ascii="宋体" w:hAnsi="宋体" w:cs="宋体"/>
          <w:color w:val="auto"/>
          <w:sz w:val="21"/>
          <w:szCs w:val="21"/>
          <w:highlight w:val="none"/>
        </w:rPr>
        <w:t xml:space="preserve">首次响应文件报价出现前后不一致的，按照下列规定修正： </w:t>
      </w:r>
    </w:p>
    <w:p w14:paraId="55F8473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（1）响应文件中报价表内容与响应文件中相应内容不一致的，以报价表为准；</w:t>
      </w:r>
    </w:p>
    <w:p w14:paraId="30D056A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（2）大写金额和小写金额不一致的，以大写金额为准；</w:t>
      </w:r>
    </w:p>
    <w:p w14:paraId="439835E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（3）单价金额小数点或者百分比有明显错位的，以报价表的总价为准，并修改单价；</w:t>
      </w:r>
    </w:p>
    <w:p w14:paraId="4159C45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（4）总价金额与按单价汇总金额不一致的，以单价金额计算结果为准。</w:t>
      </w:r>
    </w:p>
    <w:p w14:paraId="2BCD8E5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同时出现两种以上不一致的，按照以上（1）-（4）规定的顺序逐条进行修正。修正后的报价经供应商确认后产生约束力，供应商不确认的，其响应文件按无效响应处理。</w:t>
      </w:r>
    </w:p>
    <w:p w14:paraId="07D9EEC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2.5商务技术报价评审</w:t>
      </w:r>
    </w:p>
    <w:p w14:paraId="4EA92B7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在评审时，如发现下列情形之一的，将被视为响应文件无效响应处理：</w:t>
      </w:r>
    </w:p>
    <w:p w14:paraId="4AF56DC4">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（1）商务服务评审</w:t>
      </w:r>
    </w:p>
    <w:p w14:paraId="4480C38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1）响应文件未按磋商文件要求签署、盖章；</w:t>
      </w:r>
    </w:p>
    <w:p w14:paraId="1AD91AC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2）委托代理人未能出具有效身份证或者出具的身份证与授权委托书中的信息不符的； </w:t>
      </w:r>
    </w:p>
    <w:p w14:paraId="15E457B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3）提交的磋商保证金无效的或者未按照磋商文件的规定提交磋商保证金；</w:t>
      </w:r>
    </w:p>
    <w:p w14:paraId="7406267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4）响应文件中的报价商务服务文件出现任一项不符合“供应商须知前附表”中“必须提供”或者“委托时必须提供”文件资料要求的规定或者提供的报价商务服务文件无效。</w:t>
      </w:r>
    </w:p>
    <w:p w14:paraId="2AFF011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5）商务条款中标“▲”的条款发生负偏离或者允许负偏离的条款数超过“供应商须知前附表”规定项数的；</w:t>
      </w:r>
    </w:p>
    <w:p w14:paraId="13D9C96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6）未对竞争性磋商有效期作出响应或者响应文件承诺的竞争性磋商有效期不满足磋商文件要求；</w:t>
      </w:r>
    </w:p>
    <w:p w14:paraId="2510BD3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7）响应文件的实质性内容未使用中文表述、使用计量单位不符合磋商文件要求；</w:t>
      </w:r>
    </w:p>
    <w:p w14:paraId="0E382C1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8）响应文件中的文件资料因填写不齐全或者内容虚假或者出现其他情形而导致被磋商小组认定无效；</w:t>
      </w:r>
    </w:p>
    <w:p w14:paraId="1C0150C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9）响应文件含有采购人不能接受的附加条件；</w:t>
      </w:r>
    </w:p>
    <w:p w14:paraId="79844F2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10）属于“供应商须知正文”第7.5条情形；</w:t>
      </w:r>
    </w:p>
    <w:p w14:paraId="63DEB21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11）技术要求中标“▲”的条款发生负偏离或允许负偏离的条款数超过“供应商须知前附表”规定项数的；</w:t>
      </w:r>
    </w:p>
    <w:p w14:paraId="7161F08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12）虚假响应，或者出现其他情形而导致被磋商小组认定无效；</w:t>
      </w:r>
    </w:p>
    <w:p w14:paraId="5555F17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13）</w:t>
      </w:r>
      <w:bookmarkStart w:id="44" w:name="_Hlk71704147"/>
      <w:r>
        <w:rPr>
          <w:rFonts w:hint="eastAsia" w:ascii="宋体" w:hAnsi="宋体" w:cs="宋体"/>
          <w:color w:val="auto"/>
          <w:sz w:val="21"/>
          <w:szCs w:val="21"/>
          <w:highlight w:val="none"/>
        </w:rPr>
        <w:t>磋商文件未载明允许提供备选（替代）响应方案或明确不允许提供备选（替代）响应方案时，供应商提供了备选（替代）响应方案的；</w:t>
      </w:r>
      <w:bookmarkEnd w:id="44"/>
    </w:p>
    <w:p w14:paraId="5D1C5A1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14）响应文件标注的项目名称或者项目编号与磋商文件标注的项目名称或者项目编号不一致的；</w:t>
      </w:r>
    </w:p>
    <w:p w14:paraId="23B8D64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15）竞争性磋商文件明确不允许分包，响应文件拟分包的；</w:t>
      </w:r>
    </w:p>
    <w:p w14:paraId="05007AC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16）未响应磋商文件实质性要求；</w:t>
      </w:r>
    </w:p>
    <w:p w14:paraId="7E72946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17）法律、法规和磋商文件规定的其他无效情形。</w:t>
      </w:r>
    </w:p>
    <w:p w14:paraId="0CB4468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（2）报价评审</w:t>
      </w:r>
    </w:p>
    <w:p w14:paraId="7B018BEA">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1）响应文件未提供“供应商须知前附表”报价商务服务文件中规定的“竞争性磋商报价表”；</w:t>
      </w:r>
    </w:p>
    <w:p w14:paraId="0561940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2）未采用人民币报价或者未按照磋商文件标明的币种报价；</w:t>
      </w:r>
    </w:p>
    <w:p w14:paraId="0B78D2D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供应商未就所参与竞争性磋商分标进行报价或者存在漏项报价；供应商未就所参与竞争性磋商分标的单项内容作唯一报价；供应商未就所参与竞争性磋商分标的全部内容作完整唯一总价报价；供应商响应文件中存在有选择、有条件报价的（磋商文件允许有备选方案或者其他约定的除外）；</w:t>
      </w:r>
    </w:p>
    <w:p w14:paraId="5A5E60FB">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4）竞争性磋商报价（包含首次报价、最后报价）超过所参与竞争性磋商分标规定的采购预算金额或者最高限价的（如本项目公布了最高限价），其响应文件将按无效响应处理；</w:t>
      </w:r>
    </w:p>
    <w:p w14:paraId="5BBE4FDD">
      <w:pPr>
        <w:spacing w:line="360" w:lineRule="auto"/>
        <w:ind w:firstLine="420" w:firstLineChars="200"/>
        <w:rPr>
          <w:color w:val="auto"/>
          <w:szCs w:val="21"/>
          <w:highlight w:val="none"/>
        </w:rPr>
      </w:pPr>
      <w:r>
        <w:rPr>
          <w:rFonts w:hint="eastAsia" w:ascii="宋体" w:hAnsi="宋体" w:cs="宋体"/>
          <w:color w:val="auto"/>
          <w:sz w:val="21"/>
          <w:szCs w:val="21"/>
          <w:highlight w:val="none"/>
        </w:rPr>
        <w:t>5）竞争性磋商报价（包含首次报价、最后报价）超过分项采购预算金额或者最高限价的（如本项目公布了最高限价），其响应文件将按无效处理；</w:t>
      </w:r>
    </w:p>
    <w:p w14:paraId="13020AC8">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6</w:t>
      </w:r>
      <w:r>
        <w:rPr>
          <w:rFonts w:hint="eastAsia" w:ascii="宋体" w:hAnsi="宋体" w:cs="宋体"/>
          <w:color w:val="auto"/>
          <w:sz w:val="21"/>
          <w:szCs w:val="21"/>
          <w:highlight w:val="none"/>
        </w:rPr>
        <w:t>）修正后的报价，供应商不确认的；或者经供应商确认修正后的最后报价超过所 竞争性磋商分标规定的采购预算金额或者最高限价（如本项目公布了最高限价）；</w:t>
      </w:r>
    </w:p>
    <w:p w14:paraId="50644D02">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7</w:t>
      </w:r>
      <w:r>
        <w:rPr>
          <w:rFonts w:hint="eastAsia" w:ascii="宋体" w:hAnsi="宋体" w:cs="宋体"/>
          <w:color w:val="auto"/>
          <w:sz w:val="21"/>
          <w:szCs w:val="21"/>
          <w:highlight w:val="none"/>
        </w:rPr>
        <w:t>）响应文件响应的标的数量及单位与竞争性磋商采购文件要求实质性不一致的。</w:t>
      </w:r>
    </w:p>
    <w:p w14:paraId="32EB21F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2.6磋商小组对响应文件进行评审，未实质性响应磋商文件的响应文件按无效响应处理，磋商小组应当将资格和符合性不通过的情况告知有关供应商。磋商小组从符合磋商文件规定的相应资格条件的供应商名单中确定不少于3家的供应商参加磋商。</w:t>
      </w:r>
    </w:p>
    <w:p w14:paraId="0182CB3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2.7非政府购买服务项目，通过符合性审查的合格供应商不足3家的，不得进入磋商环节，采购人或者采购代理机构应当重新开展采购活动。</w:t>
      </w:r>
      <w:r>
        <w:rPr>
          <w:rFonts w:hint="eastAsia" w:ascii="宋体" w:hAnsi="宋体" w:cs="宋体"/>
          <w:b/>
          <w:color w:val="auto"/>
          <w:sz w:val="21"/>
          <w:szCs w:val="21"/>
          <w:highlight w:val="none"/>
        </w:rPr>
        <w:t>政府购买服务项目，按《财政部关于政府采购竞争性磋商采购方式管理暂行办法有关问题的补充通知》（财库〔</w:t>
      </w:r>
      <w:r>
        <w:rPr>
          <w:rFonts w:ascii="宋体" w:hAnsi="宋体" w:cs="宋体"/>
          <w:b/>
          <w:color w:val="auto"/>
          <w:sz w:val="21"/>
          <w:szCs w:val="21"/>
          <w:highlight w:val="none"/>
        </w:rPr>
        <w:t>2015〕124号）规定，采购过程中通过符合性审查的供应商（社会资本）只有2家的，磋商采购活动可以继续进行。</w:t>
      </w:r>
    </w:p>
    <w:p w14:paraId="11BA9F3A">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3.磋商程序</w:t>
      </w:r>
    </w:p>
    <w:p w14:paraId="3F7B27EC">
      <w:pPr>
        <w:spacing w:line="360" w:lineRule="auto"/>
        <w:ind w:firstLine="420" w:firstLineChars="200"/>
        <w:rPr>
          <w:rFonts w:ascii="宋体" w:hAnsi="宋体" w:cs="宋体"/>
          <w:color w:val="auto"/>
          <w:sz w:val="21"/>
          <w:szCs w:val="21"/>
          <w:highlight w:val="none"/>
        </w:rPr>
      </w:pPr>
      <w:r>
        <w:rPr>
          <w:rFonts w:hint="eastAsia" w:ascii="宋体" w:hAnsi="宋体" w:cs="宋体"/>
          <w:color w:val="auto"/>
          <w:kern w:val="0"/>
          <w:sz w:val="21"/>
          <w:szCs w:val="21"/>
          <w:highlight w:val="none"/>
        </w:rPr>
        <w:t>3.1磋商小组按照“供应商须知前附表”确定的</w:t>
      </w:r>
      <w:r>
        <w:rPr>
          <w:rFonts w:hint="eastAsia" w:ascii="宋体" w:hAnsi="宋体" w:cs="宋体"/>
          <w:color w:val="auto"/>
          <w:sz w:val="21"/>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72B7626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046437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3.3对磋商文件作出的实质性变动是磋商文件的有效组成部分，由磋商小组及时以电子磋商记录形式同时通知所有参加磋商的供应商。</w:t>
      </w:r>
    </w:p>
    <w:p w14:paraId="2295E0A7">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3.4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w:t>
      </w:r>
    </w:p>
    <w:p w14:paraId="6AD82CA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3.5磋商中，</w:t>
      </w:r>
      <w:r>
        <w:rPr>
          <w:rFonts w:hint="eastAsia" w:ascii="宋体" w:hAnsi="宋体" w:cs="宋体"/>
          <w:color w:val="auto"/>
          <w:spacing w:val="-6"/>
          <w:sz w:val="21"/>
          <w:szCs w:val="21"/>
          <w:highlight w:val="none"/>
        </w:rPr>
        <w:t>磋商的任何一方不得透露与磋商有关的其他供应商的技术资料、价格和其他信息。</w:t>
      </w:r>
    </w:p>
    <w:p w14:paraId="0235DD8F">
      <w:pPr>
        <w:tabs>
          <w:tab w:val="left" w:pos="2835"/>
        </w:tabs>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3.6对磋商过程提交的响应文件进行有效性、完整性和响应程度审查，通过审查的合格供应商不足3家的，采购人或者采购代理机构应当重新开展采购活动。</w:t>
      </w:r>
    </w:p>
    <w:p w14:paraId="7AC09EC9">
      <w:pPr>
        <w:widowControl/>
        <w:tabs>
          <w:tab w:val="left" w:pos="540"/>
        </w:tabs>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w:t>
      </w:r>
    </w:p>
    <w:p w14:paraId="67817729">
      <w:pPr>
        <w:widowControl/>
        <w:tabs>
          <w:tab w:val="left" w:pos="540"/>
        </w:tabs>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采购过程中符合要求的供应商（社会资本）只有1家的，采购人（项目实施机构）或者采购代理机构应当终止竞争性磋商采购活动，发布项目终止公告并说明原因，重新开展采购活动。</w:t>
      </w:r>
    </w:p>
    <w:p w14:paraId="6CC55349">
      <w:pPr>
        <w:spacing w:line="360" w:lineRule="auto"/>
        <w:ind w:firstLine="422" w:firstLineChars="200"/>
        <w:rPr>
          <w:rFonts w:ascii="宋体" w:hAnsi="宋体" w:cs="宋体"/>
          <w:color w:val="auto"/>
          <w:sz w:val="21"/>
          <w:szCs w:val="21"/>
          <w:highlight w:val="none"/>
        </w:rPr>
      </w:pPr>
      <w:r>
        <w:rPr>
          <w:rFonts w:hint="eastAsia" w:ascii="宋体" w:hAnsi="宋体" w:cs="宋体"/>
          <w:b/>
          <w:bCs/>
          <w:color w:val="auto"/>
          <w:sz w:val="21"/>
          <w:szCs w:val="21"/>
          <w:highlight w:val="none"/>
        </w:rPr>
        <w:t>4.最后报价</w:t>
      </w:r>
    </w:p>
    <w:p w14:paraId="6918FD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4.1磋商文件能够详细列明技术、服务要求的，磋商结束后，由磋商小组要求所有继续参加磋商的供应商在规定时间内以电子文件形式提交最后报价，</w:t>
      </w:r>
      <w:r>
        <w:rPr>
          <w:rFonts w:hint="eastAsia" w:ascii="宋体" w:hAnsi="宋体" w:cs="宋体"/>
          <w:b/>
          <w:color w:val="auto"/>
          <w:sz w:val="21"/>
          <w:szCs w:val="21"/>
          <w:highlight w:val="none"/>
        </w:rPr>
        <w:t>除本章第</w:t>
      </w:r>
      <w:r>
        <w:rPr>
          <w:rFonts w:ascii="宋体" w:hAnsi="宋体" w:cs="宋体"/>
          <w:b/>
          <w:color w:val="auto"/>
          <w:sz w:val="21"/>
          <w:szCs w:val="21"/>
          <w:highlight w:val="none"/>
        </w:rPr>
        <w:t>2.7、3.7、4.3条外，提交最后报价的供应商不得少于3家，否则必须重新采购。</w:t>
      </w:r>
    </w:p>
    <w:p w14:paraId="7ED032A5">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4.2磋商文件不能详细列明技术、服务要求，需经磋商由供应商提供最后设计方案或者解决方案的，磋商结束后，由磋商小组按照少数服从多数的原则投票推荐3家以上供应商的设计方案或者解决方案，并要求其在规定时间内以电子文件形式提交最后报价。</w:t>
      </w:r>
    </w:p>
    <w:p w14:paraId="1433CD9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4.3最后报价是供应商响应文件的有效组成部分。</w:t>
      </w:r>
      <w:r>
        <w:rPr>
          <w:rFonts w:hint="eastAsia" w:ascii="宋体" w:hAnsi="宋体" w:cs="宋体"/>
          <w:b/>
          <w:color w:val="auto"/>
          <w:sz w:val="21"/>
          <w:szCs w:val="21"/>
          <w:highlight w:val="none"/>
        </w:rPr>
        <w:t>符合《政府采购竞争性磋商采购方式管理暂行办法》（财库〔</w:t>
      </w:r>
      <w:r>
        <w:rPr>
          <w:rFonts w:ascii="宋体" w:hAnsi="宋体" w:cs="宋体"/>
          <w:b/>
          <w:color w:val="auto"/>
          <w:sz w:val="21"/>
          <w:szCs w:val="21"/>
          <w:highlight w:val="none"/>
        </w:rPr>
        <w:t>2014〕214号）第三条第四项“市场竞争不充分的科研项目，以及需要扶持的科技成果转化项目”和本章第3.7</w:t>
      </w:r>
      <w:r>
        <w:rPr>
          <w:rFonts w:hint="eastAsia" w:ascii="宋体" w:hAnsi="宋体" w:cs="宋体"/>
          <w:b/>
          <w:color w:val="auto"/>
          <w:sz w:val="21"/>
          <w:szCs w:val="21"/>
          <w:highlight w:val="none"/>
        </w:rPr>
        <w:t>条情形的，提交最后报价的供应商可以为</w:t>
      </w:r>
      <w:r>
        <w:rPr>
          <w:rFonts w:ascii="宋体" w:hAnsi="宋体" w:cs="宋体"/>
          <w:b/>
          <w:color w:val="auto"/>
          <w:sz w:val="21"/>
          <w:szCs w:val="21"/>
          <w:highlight w:val="none"/>
        </w:rPr>
        <w:t>2家。</w:t>
      </w:r>
    </w:p>
    <w:p w14:paraId="2262F83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49D83D9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4.5供应商未在规定时间内提交最后报价的，视同退出磋商。</w:t>
      </w:r>
    </w:p>
    <w:p w14:paraId="07BF1F13">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4.6磋商小组收齐某一分标最后报价后或达到规定时间后统一开启，磋商小组对最后报价进行有效性、完整性和响应程度的审查。</w:t>
      </w:r>
    </w:p>
    <w:p w14:paraId="4A17DA3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 xml:space="preserve">4.7响应文件最后报价出现前后不一致的，按照本章第2.4条的规定修正。 </w:t>
      </w:r>
    </w:p>
    <w:p w14:paraId="101C5B29">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4.8经供应商确认修正后的最后报价作为评审及签订合同的依据。</w:t>
      </w:r>
    </w:p>
    <w:p w14:paraId="2AE1F72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4.9供应商出现最后报价按无效响应处理或者响应文件按无效响应处理时，磋商小组应当告知有关供应商。</w:t>
      </w:r>
    </w:p>
    <w:p w14:paraId="39D47DE6">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4.10最后报价结束后，磋商小组不得再与供应商进行任何形式的商谈。</w:t>
      </w:r>
    </w:p>
    <w:p w14:paraId="27EEA065">
      <w:pPr>
        <w:spacing w:line="360" w:lineRule="auto"/>
        <w:ind w:firstLine="422" w:firstLineChars="200"/>
        <w:rPr>
          <w:rFonts w:ascii="宋体" w:hAnsi="宋体" w:cs="宋体"/>
          <w:b/>
          <w:bCs/>
          <w:color w:val="auto"/>
          <w:sz w:val="21"/>
          <w:szCs w:val="21"/>
          <w:highlight w:val="none"/>
        </w:rPr>
      </w:pPr>
      <w:r>
        <w:rPr>
          <w:rFonts w:hint="eastAsia" w:ascii="宋体" w:hAnsi="宋体" w:cs="宋体"/>
          <w:b/>
          <w:bCs/>
          <w:color w:val="auto"/>
          <w:sz w:val="21"/>
          <w:szCs w:val="21"/>
          <w:highlight w:val="none"/>
        </w:rPr>
        <w:t>5.比较与评价</w:t>
      </w:r>
    </w:p>
    <w:p w14:paraId="088C133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5.1评审方法：综合评分法。</w:t>
      </w:r>
    </w:p>
    <w:p w14:paraId="00CAEF1E">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5.2经磋商确定最终采购需求和提交最后报价的供应商后，由磋商小组采用综合评分法对提交最后报价的供应商的响应文件和最后报价进行综合评分。</w:t>
      </w:r>
    </w:p>
    <w:p w14:paraId="0444113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5.3评审时，磋商小组各成员应当独立对每个有效响应的文件进行评价、打分，然后汇总每个供应商每项评分因素的得分。</w:t>
      </w:r>
    </w:p>
    <w:p w14:paraId="05ECD34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政府采购评审中出现下列情形之一的，磋商小组应当启动异常低价投标（响应）审查程序：</w:t>
      </w:r>
    </w:p>
    <w:p w14:paraId="4D5CC2CF">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1）投标（响应）报价低于全部通过符合性审查供应商投标（响应）报价平均值</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%的，即投标（响应）报价&lt;全部通过符合性审查供应商投标（响应）报价平均值×</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w:t>
      </w:r>
    </w:p>
    <w:p w14:paraId="1D62BB8E">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2</w:t>
      </w:r>
      <w:r>
        <w:rPr>
          <w:rFonts w:hint="eastAsia" w:ascii="宋体" w:hAnsi="宋体" w:cs="宋体"/>
          <w:color w:val="auto"/>
          <w:sz w:val="21"/>
          <w:szCs w:val="21"/>
          <w:highlight w:val="none"/>
        </w:rPr>
        <w:t>）投标（响应）报价低于通过符合性审查的次低报价供应商投标（响应）报价</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%的，即投标（响应）报价&lt;通过符合性审查的次低报价供应商投标（响应）报价×</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w:t>
      </w:r>
    </w:p>
    <w:p w14:paraId="1F8870B4">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3</w:t>
      </w:r>
      <w:r>
        <w:rPr>
          <w:rFonts w:hint="eastAsia" w:ascii="宋体" w:hAnsi="宋体" w:cs="宋体"/>
          <w:color w:val="auto"/>
          <w:sz w:val="21"/>
          <w:szCs w:val="21"/>
          <w:highlight w:val="none"/>
        </w:rPr>
        <w:t>）投标（响应）报价低于采购项目最高限价</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%的，即投标（响应）报价&lt;采购项目最高限价×</w:t>
      </w:r>
      <w:r>
        <w:rPr>
          <w:rFonts w:hint="eastAsia" w:ascii="宋体" w:hAnsi="宋体" w:cs="宋体"/>
          <w:color w:val="auto"/>
          <w:sz w:val="21"/>
          <w:szCs w:val="21"/>
          <w:highlight w:val="none"/>
          <w:lang w:val="en-US" w:eastAsia="zh-CN"/>
        </w:rPr>
        <w:t>65</w:t>
      </w:r>
      <w:r>
        <w:rPr>
          <w:rFonts w:hint="eastAsia" w:ascii="宋体" w:hAnsi="宋体" w:cs="宋体"/>
          <w:color w:val="auto"/>
          <w:sz w:val="21"/>
          <w:szCs w:val="21"/>
          <w:highlight w:val="none"/>
        </w:rPr>
        <w:t>%；</w:t>
      </w:r>
    </w:p>
    <w:p w14:paraId="5077F590">
      <w:pPr>
        <w:spacing w:line="360" w:lineRule="auto"/>
        <w:ind w:firstLine="420" w:firstLineChars="200"/>
        <w:rPr>
          <w:rFonts w:ascii="宋体" w:hAnsi="宋体" w:cs="宋体"/>
          <w:color w:val="auto"/>
          <w:sz w:val="21"/>
          <w:szCs w:val="21"/>
          <w:highlight w:val="none"/>
        </w:rPr>
      </w:pPr>
      <w:r>
        <w:rPr>
          <w:rFonts w:ascii="宋体" w:hAnsi="宋体" w:cs="宋体"/>
          <w:color w:val="auto"/>
          <w:sz w:val="21"/>
          <w:szCs w:val="21"/>
          <w:highlight w:val="none"/>
        </w:rPr>
        <w:t>4</w:t>
      </w:r>
      <w:r>
        <w:rPr>
          <w:rFonts w:hint="eastAsia" w:ascii="宋体" w:hAnsi="宋体" w:cs="宋体"/>
          <w:color w:val="auto"/>
          <w:sz w:val="21"/>
          <w:szCs w:val="21"/>
          <w:highlight w:val="none"/>
        </w:rPr>
        <w:t>）磋商小组基于专业判断，认为供应商报价过低，有可能影响产品质量或者不能诚信履约的其他情形。</w:t>
      </w:r>
    </w:p>
    <w:p w14:paraId="2A8FB63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8AC0551">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1A5BBEB0">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73A2297C">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异常低价投标（响应）审查的启动原因、审查意见和审查结果应当在评审报告中记录，并随供应商提供的相关书面说明及证明材料，以及磋商小组有关互联网浏览、查询历史一并归档。</w:t>
      </w:r>
    </w:p>
    <w:p w14:paraId="4255311D">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2</w:t>
      </w:r>
      <w:r>
        <w:rPr>
          <w:rFonts w:hint="eastAsia" w:ascii="宋体" w:hAnsi="宋体" w:cs="宋体"/>
          <w:color w:val="auto"/>
          <w:sz w:val="21"/>
          <w:szCs w:val="21"/>
          <w:highlight w:val="none"/>
        </w:rPr>
        <w:t>）磋商小组按照磋商文件中规定的评审标准计算各供应商的报价得分。项目评审过程中，不得去掉最后报价中的最高报价和最低报价。</w:t>
      </w:r>
    </w:p>
    <w:p w14:paraId="594A0B78">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w:t>
      </w:r>
      <w:r>
        <w:rPr>
          <w:rFonts w:ascii="宋体" w:hAnsi="宋体" w:cs="宋体"/>
          <w:color w:val="auto"/>
          <w:sz w:val="21"/>
          <w:szCs w:val="21"/>
          <w:highlight w:val="none"/>
        </w:rPr>
        <w:t>3</w:t>
      </w:r>
      <w:r>
        <w:rPr>
          <w:rFonts w:hint="eastAsia" w:ascii="宋体" w:hAnsi="宋体" w:cs="宋体"/>
          <w:color w:val="auto"/>
          <w:sz w:val="21"/>
          <w:szCs w:val="21"/>
          <w:highlight w:val="none"/>
        </w:rPr>
        <w:t>）各供应商的得分为磋商小组所有成员的有效评分的算术平均数。</w:t>
      </w:r>
    </w:p>
    <w:p w14:paraId="08A6E4B2">
      <w:pPr>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5.4评标价为供应商的最后报价进行政策性扣除后的价格，评标价只是作为评审时使用。最终成交供应商的成交金额等于最后报价（如有修正，以确认修正后的最后报价为准）。</w:t>
      </w:r>
    </w:p>
    <w:p w14:paraId="352B3FF9">
      <w:pPr>
        <w:spacing w:line="360" w:lineRule="auto"/>
        <w:ind w:firstLine="420" w:firstLineChars="200"/>
        <w:rPr>
          <w:rFonts w:hint="eastAsia" w:ascii="宋体" w:hAnsi="宋体" w:cs="宋体"/>
          <w:color w:val="auto"/>
          <w:kern w:val="0"/>
          <w:sz w:val="21"/>
          <w:szCs w:val="21"/>
          <w:highlight w:val="none"/>
        </w:rPr>
      </w:pPr>
      <w:r>
        <w:rPr>
          <w:rFonts w:hint="eastAsia" w:ascii="宋体" w:hAnsi="宋体" w:cs="宋体"/>
          <w:color w:val="auto"/>
          <w:sz w:val="21"/>
          <w:szCs w:val="21"/>
          <w:highlight w:val="none"/>
        </w:rPr>
        <w:t>5.5</w:t>
      </w:r>
      <w:r>
        <w:rPr>
          <w:rFonts w:hint="eastAsia" w:ascii="宋体" w:hAnsi="宋体"/>
          <w:bCs/>
          <w:color w:val="auto"/>
          <w:szCs w:val="21"/>
          <w:highlight w:val="none"/>
        </w:rPr>
        <w:t>由磋商小组根据综合评分情况，按照评审得分由高到低顺序推荐3名以上成交候选供应商，并编写评审报告。符合本章第</w:t>
      </w:r>
      <w:r>
        <w:rPr>
          <w:rFonts w:hint="eastAsia" w:ascii="宋体" w:hAnsi="宋体"/>
          <w:bCs/>
          <w:color w:val="auto"/>
          <w:szCs w:val="21"/>
          <w:highlight w:val="none"/>
          <w:lang w:val="en-US" w:eastAsia="zh-CN"/>
        </w:rPr>
        <w:t>3.7</w:t>
      </w:r>
      <w:r>
        <w:rPr>
          <w:rFonts w:hint="eastAsia" w:ascii="宋体" w:hAnsi="宋体"/>
          <w:bCs/>
          <w:color w:val="auto"/>
          <w:szCs w:val="21"/>
          <w:highlight w:val="none"/>
        </w:rPr>
        <w:t>条情形的，可以推荐2家成交候选供应商。评审得分相同的，按照最后报价（不计算价格折扣）由</w:t>
      </w:r>
      <w:r>
        <w:rPr>
          <w:rFonts w:hint="eastAsia" w:ascii="宋体" w:hAnsi="宋体"/>
          <w:bCs/>
          <w:color w:val="auto"/>
          <w:szCs w:val="21"/>
          <w:highlight w:val="none"/>
          <w:lang w:val="en-US" w:eastAsia="zh-CN"/>
        </w:rPr>
        <w:t>低到高</w:t>
      </w:r>
      <w:r>
        <w:rPr>
          <w:rFonts w:hint="eastAsia" w:ascii="宋体" w:hAnsi="宋体"/>
          <w:bCs/>
          <w:color w:val="auto"/>
          <w:szCs w:val="21"/>
          <w:highlight w:val="none"/>
        </w:rPr>
        <w:t>的顺序推荐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评审得分且最后报价（不计算价格折扣）相同的，按照技术得分由高至低顺序推荐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评审得分且最后报价（不计算价格折扣）相同的</w:t>
      </w:r>
      <w:r>
        <w:rPr>
          <w:rFonts w:hint="eastAsia" w:ascii="宋体" w:hAnsi="宋体"/>
          <w:bCs/>
          <w:color w:val="auto"/>
          <w:szCs w:val="21"/>
          <w:highlight w:val="none"/>
          <w:lang w:eastAsia="zh-CN"/>
        </w:rPr>
        <w:t>、</w:t>
      </w:r>
      <w:r>
        <w:rPr>
          <w:rFonts w:hint="eastAsia" w:ascii="宋体" w:hAnsi="宋体"/>
          <w:bCs/>
          <w:color w:val="auto"/>
          <w:szCs w:val="21"/>
          <w:highlight w:val="none"/>
        </w:rPr>
        <w:t>技术得分相同的</w:t>
      </w:r>
      <w:r>
        <w:rPr>
          <w:rFonts w:hint="eastAsia" w:ascii="宋体" w:hAnsi="宋体"/>
          <w:bCs/>
          <w:color w:val="auto"/>
          <w:szCs w:val="21"/>
          <w:highlight w:val="none"/>
          <w:lang w:eastAsia="zh-CN"/>
        </w:rPr>
        <w:t>，</w:t>
      </w:r>
      <w:r>
        <w:rPr>
          <w:rFonts w:hint="eastAsia" w:ascii="宋体" w:hAnsi="宋体"/>
          <w:bCs/>
          <w:color w:val="auto"/>
          <w:szCs w:val="21"/>
          <w:highlight w:val="none"/>
        </w:rPr>
        <w:t>按照</w:t>
      </w:r>
      <w:r>
        <w:rPr>
          <w:rFonts w:hint="eastAsia" w:ascii="宋体" w:hAnsi="宋体" w:cs="宋体"/>
          <w:color w:val="auto"/>
          <w:szCs w:val="21"/>
          <w:highlight w:val="none"/>
          <w:lang w:val="en-US" w:eastAsia="zh-CN"/>
        </w:rPr>
        <w:t>商务</w:t>
      </w:r>
      <w:r>
        <w:rPr>
          <w:rFonts w:hint="eastAsia" w:ascii="宋体" w:hAnsi="宋体" w:cs="宋体"/>
          <w:color w:val="auto"/>
          <w:kern w:val="0"/>
          <w:szCs w:val="21"/>
          <w:highlight w:val="none"/>
        </w:rPr>
        <w:t>得分</w:t>
      </w:r>
      <w:r>
        <w:rPr>
          <w:rFonts w:hint="eastAsia" w:ascii="宋体" w:hAnsi="宋体"/>
          <w:bCs/>
          <w:color w:val="auto"/>
          <w:szCs w:val="21"/>
          <w:highlight w:val="none"/>
        </w:rPr>
        <w:t>由高至低顺序推荐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评审得分、最后报价（不计算价格折扣）、技术得分、</w:t>
      </w:r>
      <w:r>
        <w:rPr>
          <w:rFonts w:hint="eastAsia" w:ascii="宋体" w:hAnsi="宋体" w:cs="宋体"/>
          <w:color w:val="auto"/>
          <w:szCs w:val="21"/>
          <w:highlight w:val="none"/>
          <w:lang w:val="en-US" w:eastAsia="zh-CN"/>
        </w:rPr>
        <w:t>商务</w:t>
      </w:r>
      <w:r>
        <w:rPr>
          <w:rFonts w:hint="eastAsia" w:ascii="宋体" w:hAnsi="宋体" w:cs="宋体"/>
          <w:color w:val="auto"/>
          <w:kern w:val="0"/>
          <w:szCs w:val="21"/>
          <w:highlight w:val="none"/>
        </w:rPr>
        <w:t>得分</w:t>
      </w:r>
      <w:r>
        <w:rPr>
          <w:rFonts w:hint="eastAsia" w:ascii="宋体" w:hAnsi="宋体"/>
          <w:bCs/>
          <w:color w:val="auto"/>
          <w:szCs w:val="21"/>
          <w:highlight w:val="none"/>
        </w:rPr>
        <w:t>均相同的，由磋商小组随机抽取推荐。</w:t>
      </w:r>
    </w:p>
    <w:p w14:paraId="6F280D4C">
      <w:pPr>
        <w:spacing w:line="360" w:lineRule="auto"/>
        <w:ind w:firstLine="420" w:firstLineChars="200"/>
        <w:jc w:val="left"/>
        <w:rPr>
          <w:rFonts w:ascii="宋体" w:hAnsi="宋体" w:cs="宋体"/>
          <w:b/>
          <w:color w:val="auto"/>
          <w:sz w:val="32"/>
          <w:szCs w:val="32"/>
          <w:highlight w:val="none"/>
        </w:rPr>
      </w:pPr>
      <w:r>
        <w:rPr>
          <w:rFonts w:hint="eastAsia" w:ascii="宋体" w:hAnsi="宋体" w:cs="宋体"/>
          <w:color w:val="auto"/>
          <w:kern w:val="0"/>
          <w:sz w:val="21"/>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s="宋体"/>
          <w:b/>
          <w:color w:val="auto"/>
          <w:sz w:val="24"/>
          <w:highlight w:val="none"/>
        </w:rPr>
        <w:br w:type="page"/>
      </w:r>
      <w:r>
        <w:rPr>
          <w:rFonts w:hint="eastAsia" w:ascii="宋体" w:hAnsi="宋体" w:cs="宋体"/>
          <w:b/>
          <w:color w:val="auto"/>
          <w:sz w:val="32"/>
          <w:szCs w:val="32"/>
          <w:highlight w:val="none"/>
        </w:rPr>
        <w:t>二、评审标准</w:t>
      </w:r>
    </w:p>
    <w:p w14:paraId="1BB6F578">
      <w:pPr>
        <w:spacing w:line="360" w:lineRule="auto"/>
        <w:ind w:firstLine="420" w:firstLineChars="200"/>
        <w:rPr>
          <w:rFonts w:ascii="宋体" w:hAnsi="宋体" w:cs="宋体"/>
          <w:bCs/>
          <w:color w:val="auto"/>
          <w:sz w:val="21"/>
          <w:szCs w:val="21"/>
          <w:highlight w:val="none"/>
        </w:rPr>
      </w:pPr>
      <w:r>
        <w:rPr>
          <w:rFonts w:ascii="宋体" w:hAnsi="宋体" w:cs="宋体"/>
          <w:bCs/>
          <w:color w:val="auto"/>
          <w:sz w:val="21"/>
          <w:szCs w:val="21"/>
          <w:highlight w:val="none"/>
        </w:rPr>
        <w:t>评审依据：磋商小组将以磋商响应文件为评审依据，对供应商的报价、商务</w:t>
      </w:r>
      <w:r>
        <w:rPr>
          <w:rFonts w:hint="eastAsia" w:ascii="宋体" w:hAnsi="宋体" w:cs="宋体"/>
          <w:bCs/>
          <w:color w:val="auto"/>
          <w:sz w:val="21"/>
          <w:szCs w:val="21"/>
          <w:highlight w:val="none"/>
        </w:rPr>
        <w:t>、服务要求</w:t>
      </w:r>
      <w:r>
        <w:rPr>
          <w:rFonts w:ascii="宋体" w:hAnsi="宋体" w:cs="宋体"/>
          <w:bCs/>
          <w:color w:val="auto"/>
          <w:sz w:val="21"/>
          <w:szCs w:val="21"/>
          <w:highlight w:val="none"/>
        </w:rPr>
        <w:t>等方面内容按百分制打分。（计分方法按四舍五入取至百分位）</w:t>
      </w:r>
    </w:p>
    <w:tbl>
      <w:tblPr>
        <w:tblStyle w:val="33"/>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11"/>
        <w:gridCol w:w="1199"/>
        <w:gridCol w:w="6606"/>
      </w:tblGrid>
      <w:tr w14:paraId="67A9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Borders>
              <w:top w:val="single" w:color="auto" w:sz="4" w:space="0"/>
              <w:left w:val="single" w:color="auto" w:sz="4" w:space="0"/>
              <w:bottom w:val="single" w:color="auto" w:sz="4" w:space="0"/>
              <w:right w:val="single" w:color="auto" w:sz="4" w:space="0"/>
            </w:tcBorders>
            <w:vAlign w:val="center"/>
          </w:tcPr>
          <w:p w14:paraId="3EE20CBA">
            <w:pPr>
              <w:adjustRightInd w:val="0"/>
              <w:spacing w:line="360" w:lineRule="auto"/>
              <w:jc w:val="center"/>
              <w:textAlignment w:val="baseline"/>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1211" w:type="dxa"/>
            <w:tcBorders>
              <w:top w:val="single" w:color="auto" w:sz="4" w:space="0"/>
              <w:left w:val="single" w:color="auto" w:sz="4" w:space="0"/>
              <w:bottom w:val="single" w:color="auto" w:sz="4" w:space="0"/>
              <w:right w:val="single" w:color="auto" w:sz="4" w:space="0"/>
            </w:tcBorders>
            <w:vAlign w:val="center"/>
          </w:tcPr>
          <w:p w14:paraId="5F2B4618">
            <w:pPr>
              <w:adjustRightInd w:val="0"/>
              <w:spacing w:line="360" w:lineRule="auto"/>
              <w:jc w:val="center"/>
              <w:textAlignment w:val="baseline"/>
              <w:rPr>
                <w:rFonts w:ascii="宋体" w:hAnsi="宋体" w:cs="宋体"/>
                <w:b/>
                <w:bCs/>
                <w:color w:val="auto"/>
                <w:sz w:val="21"/>
                <w:szCs w:val="21"/>
                <w:highlight w:val="none"/>
              </w:rPr>
            </w:pPr>
            <w:r>
              <w:rPr>
                <w:rFonts w:hint="eastAsia" w:ascii="宋体" w:hAnsi="宋体" w:cs="宋体"/>
                <w:b/>
                <w:bCs/>
                <w:color w:val="auto"/>
                <w:sz w:val="21"/>
                <w:szCs w:val="21"/>
                <w:highlight w:val="none"/>
              </w:rPr>
              <w:t>评审因素</w:t>
            </w:r>
          </w:p>
        </w:tc>
        <w:tc>
          <w:tcPr>
            <w:tcW w:w="1199" w:type="dxa"/>
            <w:tcBorders>
              <w:top w:val="single" w:color="auto" w:sz="4" w:space="0"/>
              <w:left w:val="single" w:color="auto" w:sz="4" w:space="0"/>
              <w:bottom w:val="single" w:color="auto" w:sz="4" w:space="0"/>
              <w:right w:val="single" w:color="auto" w:sz="4" w:space="0"/>
            </w:tcBorders>
            <w:vAlign w:val="center"/>
          </w:tcPr>
          <w:p w14:paraId="5D47D1FD">
            <w:pPr>
              <w:adjustRightInd w:val="0"/>
              <w:spacing w:line="360" w:lineRule="auto"/>
              <w:jc w:val="center"/>
              <w:textAlignment w:val="baseline"/>
              <w:rPr>
                <w:rFonts w:ascii="宋体" w:hAnsi="宋体" w:cs="宋体"/>
                <w:b/>
                <w:bCs/>
                <w:color w:val="auto"/>
                <w:sz w:val="21"/>
                <w:szCs w:val="21"/>
                <w:highlight w:val="none"/>
              </w:rPr>
            </w:pPr>
            <w:r>
              <w:rPr>
                <w:rFonts w:hint="eastAsia" w:ascii="宋体" w:hAnsi="宋体" w:cs="宋体"/>
                <w:b/>
                <w:bCs/>
                <w:color w:val="auto"/>
                <w:sz w:val="21"/>
                <w:szCs w:val="21"/>
                <w:highlight w:val="none"/>
              </w:rPr>
              <w:t>分值</w:t>
            </w:r>
          </w:p>
        </w:tc>
        <w:tc>
          <w:tcPr>
            <w:tcW w:w="6606" w:type="dxa"/>
            <w:tcBorders>
              <w:top w:val="single" w:color="auto" w:sz="4" w:space="0"/>
              <w:left w:val="single" w:color="auto" w:sz="4" w:space="0"/>
              <w:bottom w:val="single" w:color="auto" w:sz="4" w:space="0"/>
              <w:right w:val="single" w:color="auto" w:sz="4" w:space="0"/>
            </w:tcBorders>
            <w:vAlign w:val="center"/>
          </w:tcPr>
          <w:p w14:paraId="493DF127">
            <w:pPr>
              <w:pStyle w:val="18"/>
              <w:spacing w:line="360" w:lineRule="auto"/>
              <w:jc w:val="center"/>
              <w:rPr>
                <w:rFonts w:hAnsi="宋体" w:cs="宋体"/>
                <w:b/>
                <w:bCs/>
                <w:color w:val="auto"/>
                <w:kern w:val="2"/>
                <w:sz w:val="21"/>
                <w:szCs w:val="21"/>
                <w:highlight w:val="none"/>
              </w:rPr>
            </w:pPr>
            <w:r>
              <w:rPr>
                <w:rFonts w:hint="eastAsia" w:hAnsi="宋体" w:cs="宋体"/>
                <w:b/>
                <w:bCs/>
                <w:color w:val="auto"/>
                <w:kern w:val="2"/>
                <w:sz w:val="21"/>
                <w:szCs w:val="21"/>
                <w:highlight w:val="none"/>
              </w:rPr>
              <w:t>评分标准</w:t>
            </w:r>
          </w:p>
        </w:tc>
      </w:tr>
      <w:tr w14:paraId="2E213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7D00E3D4">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r>
              <w:rPr>
                <w:rFonts w:hint="eastAsia" w:ascii="宋体" w:hAnsi="宋体" w:cs="宋体"/>
                <w:b/>
                <w:bCs w:val="0"/>
                <w:color w:val="auto"/>
                <w:sz w:val="21"/>
                <w:szCs w:val="21"/>
                <w:highlight w:val="none"/>
              </w:rPr>
              <w:t>1</w:t>
            </w:r>
          </w:p>
        </w:tc>
        <w:tc>
          <w:tcPr>
            <w:tcW w:w="1211" w:type="dxa"/>
            <w:tcBorders>
              <w:top w:val="single" w:color="auto" w:sz="4" w:space="0"/>
              <w:left w:val="single" w:color="auto" w:sz="4" w:space="0"/>
              <w:bottom w:val="single" w:color="auto" w:sz="4" w:space="0"/>
              <w:right w:val="single" w:color="auto" w:sz="4" w:space="0"/>
            </w:tcBorders>
            <w:vAlign w:val="center"/>
          </w:tcPr>
          <w:p w14:paraId="784932FE">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b/>
                <w:bCs/>
                <w:color w:val="auto"/>
                <w:sz w:val="21"/>
                <w:szCs w:val="21"/>
                <w:highlight w:val="none"/>
              </w:rPr>
            </w:pPr>
            <w:r>
              <w:rPr>
                <w:rFonts w:hint="eastAsia" w:ascii="宋体" w:hAnsi="宋体"/>
                <w:b/>
                <w:bCs/>
                <w:color w:val="auto"/>
                <w:sz w:val="21"/>
                <w:szCs w:val="21"/>
                <w:highlight w:val="none"/>
              </w:rPr>
              <w:t>价格分</w:t>
            </w:r>
          </w:p>
          <w:p w14:paraId="53784BE8">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r>
              <w:rPr>
                <w:rFonts w:hint="eastAsia" w:ascii="宋体" w:hAnsi="宋体"/>
                <w:b/>
                <w:bCs/>
                <w:color w:val="auto"/>
                <w:sz w:val="21"/>
                <w:szCs w:val="21"/>
                <w:highlight w:val="none"/>
              </w:rPr>
              <w:t>（满分</w:t>
            </w:r>
            <w:r>
              <w:rPr>
                <w:rFonts w:hint="eastAsia" w:ascii="宋体" w:hAnsi="宋体"/>
                <w:b/>
                <w:bCs/>
                <w:color w:val="auto"/>
                <w:sz w:val="21"/>
                <w:szCs w:val="21"/>
                <w:highlight w:val="none"/>
                <w:u w:val="none"/>
                <w:lang w:val="en-US" w:eastAsia="zh-CN"/>
              </w:rPr>
              <w:t>10</w:t>
            </w:r>
            <w:r>
              <w:rPr>
                <w:rFonts w:hint="eastAsia" w:ascii="宋体" w:hAnsi="宋体"/>
                <w:b/>
                <w:bCs/>
                <w:color w:val="auto"/>
                <w:sz w:val="21"/>
                <w:szCs w:val="21"/>
                <w:highlight w:val="none"/>
              </w:rPr>
              <w:t>分）</w:t>
            </w:r>
          </w:p>
        </w:tc>
        <w:tc>
          <w:tcPr>
            <w:tcW w:w="1199" w:type="dxa"/>
            <w:tcBorders>
              <w:top w:val="single" w:color="auto" w:sz="4" w:space="0"/>
              <w:left w:val="single" w:color="auto" w:sz="4" w:space="0"/>
              <w:bottom w:val="single" w:color="auto" w:sz="4" w:space="0"/>
              <w:right w:val="single" w:color="auto" w:sz="4" w:space="0"/>
            </w:tcBorders>
            <w:vAlign w:val="center"/>
          </w:tcPr>
          <w:p w14:paraId="2BB5C10F">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r>
              <w:rPr>
                <w:rFonts w:hint="eastAsia" w:ascii="宋体" w:hAnsi="宋体"/>
                <w:b/>
                <w:bCs/>
                <w:color w:val="auto"/>
                <w:sz w:val="21"/>
                <w:szCs w:val="21"/>
                <w:highlight w:val="none"/>
              </w:rPr>
              <w:t>报价（满分</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3F489F67">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1.评审价为供应商的最后报价进行政策性扣除后的价格，评审价只是作为评审时使用。最终成交供应商的成交金额等于最后报价。</w:t>
            </w:r>
          </w:p>
          <w:p w14:paraId="439D7919">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2.政府采购政策性扣除计算方法</w:t>
            </w:r>
          </w:p>
          <w:p w14:paraId="1A86138C">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根据《政府采购促进中小企业发展管理办法》（财库〔2020〕46号）及《广西壮族自治区财政厅关于持续优化政府采购营商环境推动高质量发展的通知》（桂财采〔2024〕55号）的规定，供应商属于《政府采购促进中小企业发展管理办法》规定的小微企业的，在其响应文件中提供《中小企业声明函》，且服务全部由小微企业承接，对供应商的竞争性磋商报价给予10%的扣除，扣除后的价格为评审价，即评审价=竞争性磋商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 %的扣除，用扣除后的价格参加评审，扣除后的价格为评审价，即评审价=竞争性磋商报价×（1-6%）。除上述情况外，评审价=竞争性磋商报价。</w:t>
            </w:r>
          </w:p>
          <w:p w14:paraId="344A8D8D">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042AAFA3">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66115D9">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5.</w:t>
            </w:r>
            <w:r>
              <w:rPr>
                <w:rFonts w:hint="eastAsia" w:ascii="宋体" w:hAnsi="宋体" w:cs="宋体"/>
                <w:bCs/>
                <w:color w:val="auto"/>
                <w:sz w:val="21"/>
                <w:szCs w:val="21"/>
                <w:highlight w:val="none"/>
              </w:rPr>
              <w:t>以进入评标有效报价的最后报价最低的供应商的价格为磋商基准价，价格分满分为</w:t>
            </w:r>
            <w:r>
              <w:rPr>
                <w:rFonts w:hint="eastAsia" w:ascii="宋体" w:hAnsi="宋体" w:cs="宋体"/>
                <w:bCs/>
                <w:color w:val="auto"/>
                <w:sz w:val="21"/>
                <w:szCs w:val="21"/>
                <w:highlight w:val="none"/>
                <w:lang w:val="en-US" w:eastAsia="zh-CN"/>
              </w:rPr>
              <w:t>1</w:t>
            </w:r>
            <w:r>
              <w:rPr>
                <w:rFonts w:hint="eastAsia" w:ascii="宋体" w:hAnsi="宋体" w:cs="宋体"/>
                <w:bCs/>
                <w:color w:val="auto"/>
                <w:sz w:val="21"/>
                <w:szCs w:val="21"/>
                <w:highlight w:val="none"/>
              </w:rPr>
              <w:t>0分。</w:t>
            </w:r>
          </w:p>
          <w:p w14:paraId="61D3089E">
            <w:pPr>
              <w:keepNext w:val="0"/>
              <w:keepLines w:val="0"/>
              <w:pageBreakBefore w:val="0"/>
              <w:widowControl w:val="0"/>
              <w:kinsoku/>
              <w:wordWrap/>
              <w:overflowPunct/>
              <w:topLinePunct w:val="0"/>
              <w:autoSpaceDE/>
              <w:autoSpaceDN/>
              <w:bidi w:val="0"/>
              <w:spacing w:line="360" w:lineRule="auto"/>
              <w:ind w:firstLine="420" w:firstLineChars="200"/>
              <w:rPr>
                <w:rFonts w:ascii="宋体" w:hAnsi="宋体" w:cs="宋体"/>
                <w:bCs/>
                <w:color w:val="auto"/>
                <w:sz w:val="21"/>
                <w:szCs w:val="21"/>
                <w:highlight w:val="none"/>
              </w:rPr>
            </w:pPr>
            <w:r>
              <w:rPr>
                <w:rFonts w:hint="eastAsia" w:ascii="宋体" w:hAnsi="宋体" w:cs="宋体"/>
                <w:bCs/>
                <w:color w:val="auto"/>
                <w:sz w:val="21"/>
                <w:szCs w:val="21"/>
                <w:highlight w:val="none"/>
                <w:lang w:val="en-US" w:eastAsia="zh-CN"/>
              </w:rPr>
              <w:t>6.报价得分=（最低报价/供应商最终报价）×10分</w:t>
            </w:r>
          </w:p>
        </w:tc>
      </w:tr>
      <w:tr w14:paraId="3554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tcBorders>
              <w:top w:val="single" w:color="auto" w:sz="4" w:space="0"/>
              <w:left w:val="single" w:color="auto" w:sz="4" w:space="0"/>
              <w:right w:val="single" w:color="auto" w:sz="4" w:space="0"/>
            </w:tcBorders>
            <w:vAlign w:val="center"/>
          </w:tcPr>
          <w:p w14:paraId="1CDCBA16">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
                <w:bCs w:val="0"/>
                <w:color w:val="auto"/>
                <w:sz w:val="21"/>
                <w:szCs w:val="21"/>
                <w:highlight w:val="none"/>
              </w:rPr>
            </w:pPr>
            <w:r>
              <w:rPr>
                <w:rFonts w:hint="eastAsia" w:ascii="宋体" w:hAnsi="宋体" w:cs="宋体"/>
                <w:b/>
                <w:bCs w:val="0"/>
                <w:color w:val="auto"/>
                <w:sz w:val="21"/>
                <w:szCs w:val="21"/>
                <w:highlight w:val="none"/>
              </w:rPr>
              <w:t>2</w:t>
            </w:r>
          </w:p>
        </w:tc>
        <w:tc>
          <w:tcPr>
            <w:tcW w:w="1211" w:type="dxa"/>
            <w:vMerge w:val="restart"/>
            <w:tcBorders>
              <w:top w:val="single" w:color="auto" w:sz="4" w:space="0"/>
              <w:left w:val="single" w:color="auto" w:sz="4" w:space="0"/>
              <w:right w:val="single" w:color="auto" w:sz="4" w:space="0"/>
            </w:tcBorders>
            <w:vAlign w:val="center"/>
          </w:tcPr>
          <w:p w14:paraId="5723B209">
            <w:pPr>
              <w:keepNext w:val="0"/>
              <w:keepLines w:val="0"/>
              <w:pageBreakBefore w:val="0"/>
              <w:widowControl w:val="0"/>
              <w:kinsoku/>
              <w:wordWrap/>
              <w:overflowPunct/>
              <w:topLinePunct w:val="0"/>
              <w:autoSpaceDE/>
              <w:autoSpaceDN/>
              <w:bidi w:val="0"/>
              <w:adjustRightInd w:val="0"/>
              <w:snapToGrid w:val="0"/>
              <w:spacing w:line="360" w:lineRule="auto"/>
              <w:ind w:left="-105" w:leftChars="-50" w:right="-105" w:rightChars="-50"/>
              <w:jc w:val="center"/>
              <w:textAlignment w:val="baseline"/>
              <w:rPr>
                <w:rFonts w:ascii="宋体" w:hAnsi="宋体"/>
                <w:b/>
                <w:bCs w:val="0"/>
                <w:color w:val="auto"/>
                <w:sz w:val="21"/>
                <w:szCs w:val="21"/>
                <w:highlight w:val="none"/>
              </w:rPr>
            </w:pPr>
            <w:r>
              <w:rPr>
                <w:rFonts w:hint="default" w:ascii="宋体" w:hAnsi="宋体"/>
                <w:b/>
                <w:bCs w:val="0"/>
                <w:color w:val="auto"/>
                <w:sz w:val="21"/>
                <w:szCs w:val="21"/>
                <w:highlight w:val="none"/>
                <w:lang w:val="en-US"/>
              </w:rPr>
              <w:t>技术分</w:t>
            </w:r>
          </w:p>
          <w:p w14:paraId="4CA0397A">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
                <w:bCs w:val="0"/>
                <w:color w:val="auto"/>
                <w:sz w:val="21"/>
                <w:szCs w:val="21"/>
                <w:highlight w:val="none"/>
              </w:rPr>
            </w:pPr>
            <w:r>
              <w:rPr>
                <w:rFonts w:hint="eastAsia" w:ascii="宋体" w:hAnsi="宋体"/>
                <w:b/>
                <w:bCs w:val="0"/>
                <w:color w:val="auto"/>
                <w:sz w:val="21"/>
                <w:szCs w:val="21"/>
                <w:highlight w:val="none"/>
              </w:rPr>
              <w:t>（满分</w:t>
            </w:r>
            <w:r>
              <w:rPr>
                <w:rFonts w:hint="eastAsia" w:ascii="宋体" w:hAnsi="宋体"/>
                <w:b/>
                <w:bCs w:val="0"/>
                <w:color w:val="auto"/>
                <w:sz w:val="21"/>
                <w:szCs w:val="21"/>
                <w:highlight w:val="none"/>
                <w:u w:val="none"/>
                <w:lang w:val="en-US" w:eastAsia="zh-CN"/>
              </w:rPr>
              <w:t>6</w:t>
            </w:r>
            <w:r>
              <w:rPr>
                <w:rFonts w:hint="default" w:ascii="宋体" w:hAnsi="宋体"/>
                <w:b/>
                <w:bCs w:val="0"/>
                <w:color w:val="auto"/>
                <w:sz w:val="21"/>
                <w:szCs w:val="21"/>
                <w:highlight w:val="none"/>
                <w:u w:val="none"/>
                <w:lang w:val="en-US" w:eastAsia="zh-CN"/>
              </w:rPr>
              <w:t>5</w:t>
            </w:r>
            <w:r>
              <w:rPr>
                <w:rFonts w:hint="eastAsia" w:ascii="宋体" w:hAnsi="宋体"/>
                <w:b/>
                <w:bCs w:val="0"/>
                <w:color w:val="auto"/>
                <w:sz w:val="21"/>
                <w:szCs w:val="21"/>
                <w:highlight w:val="none"/>
              </w:rPr>
              <w:t>分）</w:t>
            </w:r>
          </w:p>
        </w:tc>
        <w:tc>
          <w:tcPr>
            <w:tcW w:w="1199" w:type="dxa"/>
            <w:tcBorders>
              <w:top w:val="single" w:color="auto" w:sz="4" w:space="0"/>
              <w:left w:val="single" w:color="auto" w:sz="4" w:space="0"/>
              <w:bottom w:val="single" w:color="auto" w:sz="4" w:space="0"/>
              <w:right w:val="single" w:color="auto" w:sz="4" w:space="0"/>
            </w:tcBorders>
            <w:vAlign w:val="center"/>
          </w:tcPr>
          <w:p w14:paraId="32F8F959">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r>
              <w:rPr>
                <w:rFonts w:hint="eastAsia" w:ascii="宋体" w:hAnsi="宋体" w:eastAsia="宋体"/>
                <w:kern w:val="0"/>
                <w:szCs w:val="21"/>
                <w:highlight w:val="none"/>
              </w:rPr>
              <w:t>项目理解（满分1</w:t>
            </w:r>
            <w:r>
              <w:rPr>
                <w:rFonts w:hint="eastAsia" w:ascii="宋体" w:hAnsi="宋体" w:eastAsia="宋体"/>
                <w:kern w:val="0"/>
                <w:szCs w:val="21"/>
                <w:highlight w:val="none"/>
                <w:lang w:val="en-US" w:eastAsia="zh-CN"/>
              </w:rPr>
              <w:t>0</w:t>
            </w:r>
            <w:r>
              <w:rPr>
                <w:rFonts w:hint="eastAsia" w:ascii="宋体" w:hAnsi="宋体" w:eastAsia="宋体"/>
                <w:kern w:val="0"/>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2B74FA52">
            <w:pPr>
              <w:pStyle w:val="18"/>
              <w:spacing w:line="360" w:lineRule="auto"/>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一档（0分）：仅简单复制采购文件文字，无独立项目认知；对雁山智慧谷布局、694㎡无边界展厅空间、学校“地质报国”科创办学定位、成果展示+育人接待双重功能理解存在明显错误；完全未梳理项目设计、施工、数字化、运维重难点，无对应分析思路，无法判断供应商实施认知水平。</w:t>
            </w:r>
          </w:p>
          <w:p w14:paraId="51F19A64">
            <w:pPr>
              <w:numPr>
                <w:ilvl w:val="0"/>
                <w:numId w:val="0"/>
              </w:numPr>
              <w:spacing w:line="360" w:lineRule="auto"/>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二档（3分）：能够简单阐述项目基础信息，知晓展厅基础功能，但对桂工优势学科、无边界展厅设计理念、新生研学/政企接待多场景使用需求理解浅显；项目重难点仅零散罗列，分析维度单一，缺少落地思考，但全部采购基础硬性要求均做到响应，无实质性负偏离。</w:t>
            </w:r>
          </w:p>
          <w:p w14:paraId="ED17E704">
            <w:pPr>
              <w:numPr>
                <w:ilvl w:val="0"/>
                <w:numId w:val="0"/>
              </w:numPr>
              <w:spacing w:line="360" w:lineRule="auto"/>
              <w:ind w:firstLine="420" w:firstLineChars="20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三档（7分）：清晰完整阐述项目整体背景、建设目标、展厅694㎡空间规模与无边界布局特点，精准把握地质、材料、土木优势学科展示核心定位</w:t>
            </w:r>
            <w:r>
              <w:rPr>
                <w:rFonts w:hint="eastAsia" w:ascii="宋体" w:hAnsi="宋体" w:cs="宋体"/>
                <w:color w:val="auto"/>
                <w:sz w:val="21"/>
                <w:highlight w:val="none"/>
                <w:lang w:val="en-US" w:eastAsia="zh-CN"/>
              </w:rPr>
              <w:t>，项目重点难点分析到位</w:t>
            </w:r>
            <w:r>
              <w:rPr>
                <w:rFonts w:hint="eastAsia" w:ascii="宋体" w:hAnsi="宋体" w:eastAsia="宋体" w:cs="宋体"/>
                <w:color w:val="auto"/>
                <w:sz w:val="21"/>
                <w:highlight w:val="none"/>
                <w:lang w:val="en-US" w:eastAsia="zh-CN"/>
              </w:rPr>
              <w:t>。</w:t>
            </w:r>
          </w:p>
          <w:p w14:paraId="EECB03F0">
            <w:pPr>
              <w:numPr>
                <w:ilvl w:val="0"/>
                <w:numId w:val="0"/>
              </w:numPr>
              <w:spacing w:line="360" w:lineRule="auto"/>
              <w:ind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四档（10分）：深度结合桂林理工大学办学历史、地质特色科创成果、雁山智慧谷整体规划，精准解读展厅成果转化、思政科普、校企交流、新生实景课堂多重功能；系统梳理空间布局、展陈叙事、多媒体集成、后期常态化运维四大类重难点，开展系统性拆解，内容完整、逻辑通顺；方案贴合校方长期运营需求，认知深入、落地性强。</w:t>
            </w:r>
          </w:p>
          <w:p w14:paraId="56AE6E9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未提供的不得分</w:t>
            </w:r>
            <w:r>
              <w:rPr>
                <w:rFonts w:hint="eastAsia" w:hAnsi="宋体"/>
                <w:b/>
                <w:bCs/>
                <w:color w:val="auto"/>
                <w:sz w:val="21"/>
                <w:highlight w:val="none"/>
              </w:rPr>
              <w:t>。</w:t>
            </w:r>
          </w:p>
        </w:tc>
      </w:tr>
      <w:tr w14:paraId="0718F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tcBorders>
              <w:left w:val="single" w:color="auto" w:sz="4" w:space="0"/>
              <w:right w:val="single" w:color="auto" w:sz="4" w:space="0"/>
            </w:tcBorders>
            <w:vAlign w:val="center"/>
          </w:tcPr>
          <w:p w14:paraId="4EF153A4">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p>
        </w:tc>
        <w:tc>
          <w:tcPr>
            <w:tcW w:w="1211" w:type="dxa"/>
            <w:vMerge w:val="continue"/>
            <w:tcBorders>
              <w:left w:val="single" w:color="auto" w:sz="4" w:space="0"/>
              <w:right w:val="single" w:color="auto" w:sz="4" w:space="0"/>
            </w:tcBorders>
            <w:vAlign w:val="center"/>
          </w:tcPr>
          <w:p w14:paraId="105EB384">
            <w:pPr>
              <w:keepNext w:val="0"/>
              <w:keepLines w:val="0"/>
              <w:pageBreakBefore w:val="0"/>
              <w:widowControl w:val="0"/>
              <w:kinsoku/>
              <w:wordWrap/>
              <w:overflowPunct/>
              <w:topLinePunct w:val="0"/>
              <w:autoSpaceDE/>
              <w:autoSpaceDN/>
              <w:bidi w:val="0"/>
              <w:adjustRightInd w:val="0"/>
              <w:snapToGrid w:val="0"/>
              <w:spacing w:line="360" w:lineRule="auto"/>
              <w:ind w:left="-105" w:leftChars="-50" w:right="-105" w:rightChars="-50"/>
              <w:jc w:val="center"/>
              <w:textAlignment w:val="baseline"/>
              <w:rPr>
                <w:rFonts w:ascii="宋体" w:hAnsi="宋体"/>
                <w:bCs/>
                <w:color w:val="auto"/>
                <w:sz w:val="21"/>
                <w:szCs w:val="21"/>
                <w:highlight w:val="none"/>
              </w:rPr>
            </w:pPr>
          </w:p>
        </w:tc>
        <w:tc>
          <w:tcPr>
            <w:tcW w:w="1199" w:type="dxa"/>
            <w:tcBorders>
              <w:top w:val="single" w:color="auto" w:sz="4" w:space="0"/>
              <w:left w:val="single" w:color="auto" w:sz="4" w:space="0"/>
              <w:bottom w:val="single" w:color="auto" w:sz="4" w:space="0"/>
              <w:right w:val="single" w:color="auto" w:sz="4" w:space="0"/>
            </w:tcBorders>
            <w:vAlign w:val="center"/>
          </w:tcPr>
          <w:p w14:paraId="76B83CCC">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深化设计方案</w:t>
            </w:r>
            <w:r>
              <w:rPr>
                <w:rFonts w:hint="eastAsia" w:ascii="宋体" w:hAnsi="宋体" w:eastAsia="宋体" w:cs="宋体"/>
                <w:kern w:val="0"/>
                <w:szCs w:val="21"/>
                <w:highlight w:val="none"/>
              </w:rPr>
              <w:t>（满分</w:t>
            </w:r>
            <w:r>
              <w:rPr>
                <w:rFonts w:hint="default" w:ascii="宋体" w:hAnsi="宋体" w:eastAsia="宋体" w:cs="宋体"/>
                <w:kern w:val="0"/>
                <w:szCs w:val="21"/>
                <w:highlight w:val="none"/>
                <w:lang w:val="en-US" w:eastAsia="zh-CN"/>
              </w:rPr>
              <w:t>20</w:t>
            </w:r>
            <w:r>
              <w:rPr>
                <w:rFonts w:hint="eastAsia" w:ascii="宋体" w:hAnsi="宋体" w:eastAsia="宋体" w:cs="宋体"/>
                <w:kern w:val="0"/>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382139B5">
            <w:pPr>
              <w:keepNext w:val="0"/>
              <w:keepLines w:val="0"/>
              <w:pageBreakBefore w:val="0"/>
              <w:widowControl w:val="0"/>
              <w:kinsoku/>
              <w:wordWrap/>
              <w:overflowPunct/>
              <w:topLinePunct w:val="0"/>
              <w:autoSpaceDE/>
              <w:autoSpaceDN/>
              <w:bidi w:val="0"/>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一档（0分）：设计方案勉强贴合项目基础要求；方案贴合主题、具备原创性，仅能达到教育基地最低准入设计标准。提供设计效果草图，但画面质量普通，板块排布混乱，各板块内容缺失较多、完整性不足；整体策划内容漏洞多，落地可实施性弱。</w:t>
            </w:r>
          </w:p>
          <w:p w14:paraId="697F9D2E">
            <w:pPr>
              <w:keepNext w:val="0"/>
              <w:keepLines w:val="0"/>
              <w:pageBreakBefore w:val="0"/>
              <w:widowControl w:val="0"/>
              <w:kinsoku/>
              <w:wordWrap/>
              <w:overflowPunct/>
              <w:topLinePunct w:val="0"/>
              <w:autoSpaceDE/>
              <w:autoSpaceDN/>
              <w:bidi w:val="0"/>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二档（6分）：设计方案符合项目整体要求，设计思路、理念基本合理，设计依据、设计说明、落地可行性、视觉效果均满足基础标准，方案可落地执行。适配主题定位，</w:t>
            </w:r>
            <w:r>
              <w:rPr>
                <w:rFonts w:hint="eastAsia" w:ascii="宋体" w:hAnsi="宋体" w:cs="宋体"/>
                <w:color w:val="auto"/>
                <w:szCs w:val="21"/>
                <w:highlight w:val="none"/>
                <w:lang w:val="en-US" w:eastAsia="zh-CN"/>
              </w:rPr>
              <w:t>具</w:t>
            </w:r>
            <w:r>
              <w:rPr>
                <w:rFonts w:hint="default" w:ascii="宋体" w:hAnsi="宋体" w:eastAsia="宋体" w:cs="宋体"/>
                <w:color w:val="auto"/>
                <w:szCs w:val="21"/>
                <w:highlight w:val="none"/>
                <w:lang w:val="en-US" w:eastAsia="zh-CN"/>
              </w:rPr>
              <w:t>有原创性，满足教育基地常规设计需求；按要求提供版块平面布置草图、俯视图草图，草图观感尚可，板块分布较合理，分区设计较为完整，制图有基本规范性，具备基础专业能力。策划方案完整度一般，具备可实施性。</w:t>
            </w:r>
          </w:p>
          <w:p w14:paraId="56433BF8">
            <w:pPr>
              <w:keepNext w:val="0"/>
              <w:keepLines w:val="0"/>
              <w:pageBreakBefore w:val="0"/>
              <w:widowControl w:val="0"/>
              <w:kinsoku/>
              <w:wordWrap/>
              <w:overflowPunct/>
              <w:topLinePunct w:val="0"/>
              <w:autoSpaceDE/>
              <w:autoSpaceDN/>
              <w:bidi w:val="0"/>
              <w:spacing w:line="360" w:lineRule="auto"/>
              <w:ind w:firstLine="420" w:firstLineChars="200"/>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val="en-US" w:eastAsia="zh-CN"/>
              </w:rPr>
              <w:t>三档（14分）：设计思路贴合桂工科创展厅定位，完整规划参观动线与功能分区；全套图纸包含平面、天花、地面、主要立面、多视角效果图、整体鸟瞰图；针对多媒体大屏、互动触控、专业展陈灯光、基础标本展柜配套独立设计说明；数字化系统架构清晰。</w:t>
            </w:r>
          </w:p>
          <w:p w14:paraId="96E46330">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宋体"/>
                <w:color w:val="auto"/>
                <w:szCs w:val="21"/>
                <w:highlight w:val="none"/>
              </w:rPr>
            </w:pPr>
            <w:r>
              <w:rPr>
                <w:rFonts w:hint="default" w:ascii="宋体" w:hAnsi="宋体" w:eastAsia="宋体" w:cs="宋体"/>
                <w:color w:val="auto"/>
                <w:szCs w:val="21"/>
                <w:highlight w:val="none"/>
                <w:lang w:val="en-US" w:eastAsia="zh-CN"/>
              </w:rPr>
              <w:t>四档（20分）：</w:t>
            </w:r>
            <w:r>
              <w:rPr>
                <w:rFonts w:hint="eastAsia" w:ascii="宋体" w:hAnsi="宋体" w:cs="宋体"/>
                <w:color w:val="auto"/>
                <w:szCs w:val="21"/>
                <w:highlight w:val="none"/>
                <w:lang w:val="en-US" w:eastAsia="zh-CN"/>
              </w:rPr>
              <w:t>在三档的基础上，</w:t>
            </w:r>
            <w:r>
              <w:rPr>
                <w:rFonts w:hint="default" w:ascii="宋体" w:hAnsi="宋体" w:eastAsia="宋体" w:cs="宋体"/>
                <w:color w:val="auto"/>
                <w:szCs w:val="21"/>
                <w:highlight w:val="none"/>
                <w:lang w:val="en-US" w:eastAsia="zh-CN"/>
              </w:rPr>
              <w:t>方案精准匹配主题，原创亮点丰富，全面满足教育基地设计各项要求；深度理解项目定位，选用技术适配项目特点。空间叙事层次丰富，依托学校地质科研元素打造专属视觉体系；展厅动线科学流畅，设计新颖出彩，多媒体互动设计丰富完善；图纸材料齐全，除版块平面布置草图、俯视图草图外，额外配备室内照明线路草图，图纸完整度高、排版清晰，符合行业制图规范。能结合使用需求提供多项落地优化建议，专业设计能力突出；整套设计完整、精细、可直接用于现场施工，全面响应采购全部设计专项条款。</w:t>
            </w:r>
          </w:p>
          <w:p w14:paraId="6C3EB595">
            <w:pPr>
              <w:keepNext w:val="0"/>
              <w:keepLines w:val="0"/>
              <w:pageBreakBefore w:val="0"/>
              <w:widowControl w:val="0"/>
              <w:kinsoku/>
              <w:wordWrap/>
              <w:overflowPunct/>
              <w:topLinePunct w:val="0"/>
              <w:autoSpaceDE/>
              <w:autoSpaceDN/>
              <w:bidi w:val="0"/>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未提供的不得分</w:t>
            </w:r>
            <w:r>
              <w:rPr>
                <w:rFonts w:hint="eastAsia" w:ascii="宋体" w:hAnsi="宋体" w:eastAsia="宋体" w:cs="宋体"/>
                <w:b/>
                <w:bCs/>
                <w:color w:val="auto"/>
                <w:sz w:val="21"/>
                <w:highlight w:val="none"/>
              </w:rPr>
              <w:t>。</w:t>
            </w:r>
          </w:p>
        </w:tc>
      </w:tr>
      <w:tr w14:paraId="4C4F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tcBorders>
              <w:left w:val="single" w:color="auto" w:sz="4" w:space="0"/>
              <w:right w:val="single" w:color="auto" w:sz="4" w:space="0"/>
            </w:tcBorders>
            <w:vAlign w:val="center"/>
          </w:tcPr>
          <w:p w14:paraId="3A7CDCB8">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p>
        </w:tc>
        <w:tc>
          <w:tcPr>
            <w:tcW w:w="1211" w:type="dxa"/>
            <w:vMerge w:val="continue"/>
            <w:tcBorders>
              <w:left w:val="single" w:color="auto" w:sz="4" w:space="0"/>
              <w:right w:val="single" w:color="auto" w:sz="4" w:space="0"/>
            </w:tcBorders>
            <w:vAlign w:val="center"/>
          </w:tcPr>
          <w:p w14:paraId="4E437562">
            <w:pPr>
              <w:keepNext w:val="0"/>
              <w:keepLines w:val="0"/>
              <w:pageBreakBefore w:val="0"/>
              <w:widowControl w:val="0"/>
              <w:kinsoku/>
              <w:wordWrap/>
              <w:overflowPunct/>
              <w:topLinePunct w:val="0"/>
              <w:autoSpaceDE/>
              <w:autoSpaceDN/>
              <w:bidi w:val="0"/>
              <w:adjustRightInd w:val="0"/>
              <w:snapToGrid w:val="0"/>
              <w:spacing w:line="360" w:lineRule="auto"/>
              <w:ind w:left="-105" w:leftChars="-50" w:right="-105" w:rightChars="-50"/>
              <w:jc w:val="center"/>
              <w:textAlignment w:val="baseline"/>
              <w:rPr>
                <w:rFonts w:ascii="宋体" w:hAnsi="宋体"/>
                <w:bCs/>
                <w:color w:val="auto"/>
                <w:sz w:val="21"/>
                <w:szCs w:val="21"/>
                <w:highlight w:val="none"/>
              </w:rPr>
            </w:pPr>
          </w:p>
        </w:tc>
        <w:tc>
          <w:tcPr>
            <w:tcW w:w="1199" w:type="dxa"/>
            <w:vMerge w:val="restart"/>
            <w:tcBorders>
              <w:top w:val="single" w:color="auto" w:sz="4" w:space="0"/>
              <w:left w:val="single" w:color="auto" w:sz="4" w:space="0"/>
              <w:right w:val="single" w:color="auto" w:sz="4" w:space="0"/>
            </w:tcBorders>
            <w:vAlign w:val="center"/>
          </w:tcPr>
          <w:p w14:paraId="3B8DC1B3">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r>
              <w:rPr>
                <w:rFonts w:hint="eastAsia" w:ascii="宋体" w:hAnsi="宋体" w:eastAsia="宋体"/>
                <w:kern w:val="0"/>
                <w:szCs w:val="21"/>
                <w:highlight w:val="none"/>
              </w:rPr>
              <w:t>项目实施方案</w:t>
            </w:r>
            <w:r>
              <w:rPr>
                <w:rFonts w:hint="eastAsia" w:ascii="宋体" w:hAnsi="宋体" w:eastAsia="宋体" w:cs="宋体"/>
                <w:kern w:val="0"/>
                <w:szCs w:val="21"/>
                <w:highlight w:val="none"/>
              </w:rPr>
              <w:t>（</w:t>
            </w:r>
            <w:r>
              <w:rPr>
                <w:rFonts w:hint="eastAsia" w:ascii="宋体" w:hAnsi="宋体" w:eastAsia="宋体"/>
                <w:kern w:val="0"/>
                <w:szCs w:val="21"/>
                <w:highlight w:val="none"/>
              </w:rPr>
              <w:t>满分</w:t>
            </w:r>
            <w:r>
              <w:rPr>
                <w:rFonts w:hint="eastAsia" w:ascii="宋体" w:hAnsi="宋体" w:eastAsia="宋体"/>
                <w:kern w:val="0"/>
                <w:szCs w:val="21"/>
                <w:highlight w:val="none"/>
                <w:lang w:val="en-US" w:eastAsia="zh-CN"/>
              </w:rPr>
              <w:t>3</w:t>
            </w:r>
            <w:r>
              <w:rPr>
                <w:rFonts w:hint="default" w:ascii="宋体" w:hAnsi="宋体"/>
                <w:kern w:val="0"/>
                <w:szCs w:val="21"/>
                <w:highlight w:val="none"/>
                <w:lang w:val="en-US" w:eastAsia="zh-CN"/>
              </w:rPr>
              <w:t>5</w:t>
            </w:r>
            <w:r>
              <w:rPr>
                <w:rFonts w:hint="eastAsia" w:ascii="宋体" w:hAnsi="宋体" w:eastAsia="宋体"/>
                <w:kern w:val="0"/>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6A3B48E7">
            <w:pPr>
              <w:pStyle w:val="18"/>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cs="宋体"/>
                <w:b w:val="0"/>
                <w:bCs w:val="0"/>
                <w:color w:val="auto"/>
                <w:sz w:val="21"/>
                <w:szCs w:val="21"/>
                <w:highlight w:val="none"/>
              </w:rPr>
            </w:pPr>
            <w:r>
              <w:rPr>
                <w:rFonts w:hint="eastAsia" w:hAnsi="宋体" w:cs="宋体"/>
                <w:b w:val="0"/>
                <w:bCs w:val="0"/>
                <w:color w:val="auto"/>
                <w:sz w:val="21"/>
                <w:szCs w:val="21"/>
                <w:highlight w:val="none"/>
                <w:lang w:eastAsia="zh-CN"/>
              </w:rPr>
              <w:t>（</w:t>
            </w:r>
            <w:r>
              <w:rPr>
                <w:rFonts w:hint="eastAsia" w:hAnsi="宋体" w:cs="宋体"/>
                <w:b w:val="0"/>
                <w:bCs w:val="0"/>
                <w:color w:val="auto"/>
                <w:sz w:val="21"/>
                <w:szCs w:val="21"/>
                <w:highlight w:val="none"/>
                <w:lang w:val="en-US" w:eastAsia="zh-CN"/>
              </w:rPr>
              <w:t>1</w:t>
            </w:r>
            <w:r>
              <w:rPr>
                <w:rFonts w:hint="eastAsia"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rPr>
              <w:t>质量保障方案</w:t>
            </w:r>
            <w:r>
              <w:rPr>
                <w:rFonts w:hint="eastAsia" w:hAnsi="宋体" w:cs="宋体"/>
                <w:b w:val="0"/>
                <w:bCs w:val="0"/>
                <w:color w:val="auto"/>
                <w:sz w:val="21"/>
                <w:szCs w:val="21"/>
                <w:highlight w:val="none"/>
                <w:lang w:eastAsia="zh-CN"/>
              </w:rPr>
              <w:t>（</w:t>
            </w:r>
            <w:r>
              <w:rPr>
                <w:rFonts w:hint="eastAsia" w:hAnsi="宋体" w:cs="宋体"/>
                <w:b w:val="0"/>
                <w:bCs w:val="0"/>
                <w:color w:val="auto"/>
                <w:sz w:val="21"/>
                <w:szCs w:val="21"/>
                <w:highlight w:val="none"/>
                <w:lang w:val="en-US" w:eastAsia="zh-CN"/>
              </w:rPr>
              <w:t>满分10分</w:t>
            </w:r>
            <w:r>
              <w:rPr>
                <w:rFonts w:hint="eastAsia" w:hAnsi="宋体" w:cs="宋体"/>
                <w:b w:val="0"/>
                <w:bCs w:val="0"/>
                <w:color w:val="auto"/>
                <w:sz w:val="21"/>
                <w:szCs w:val="21"/>
                <w:highlight w:val="none"/>
                <w:lang w:eastAsia="zh-CN"/>
              </w:rPr>
              <w:t>）</w:t>
            </w:r>
          </w:p>
          <w:p w14:paraId="38153CB5">
            <w:pPr>
              <w:pStyle w:val="1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hAnsi="宋体"/>
                <w:color w:val="auto"/>
                <w:sz w:val="21"/>
                <w:highlight w:val="none"/>
                <w:lang w:val="en-US" w:eastAsia="zh-CN"/>
              </w:rPr>
            </w:pPr>
            <w:r>
              <w:rPr>
                <w:rFonts w:hint="default" w:hAnsi="宋体"/>
                <w:color w:val="auto"/>
                <w:sz w:val="21"/>
                <w:highlight w:val="none"/>
                <w:lang w:val="en-US" w:eastAsia="zh-CN"/>
              </w:rPr>
              <w:t>一档（0分）：无系统质量管理架构，无分阶段管控流程，未设置材料、工序、竣工检查机制，无问题整改闭环措施，无法体现全过程质量管控能力。</w:t>
            </w:r>
          </w:p>
          <w:p w14:paraId="98F4D9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二档（3分）：能够区分供货、安装、调试、竣工四大基础阶段，列明基础质量目标与岗位分工，达到基础履约管控标准；但缺少主材封样验收、隐蔽工程检查、7天试运行专项管控等核心环节，质量管控措施笼统，未针对标本、多媒体设备设置专项质控手段。</w:t>
            </w:r>
          </w:p>
          <w:p w14:paraId="72FA1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宋体" w:hAnsi="宋体" w:cs="宋体"/>
                <w:b w:val="0"/>
                <w:bCs w:val="0"/>
                <w:color w:val="auto"/>
                <w:sz w:val="21"/>
                <w:szCs w:val="21"/>
                <w:highlight w:val="none"/>
                <w:lang w:val="en-US" w:eastAsia="zh-CN"/>
              </w:rPr>
            </w:pPr>
            <w:r>
              <w:rPr>
                <w:rFonts w:hint="default" w:ascii="宋体" w:hAnsi="宋体" w:cs="宋体"/>
                <w:b w:val="0"/>
                <w:bCs w:val="0"/>
                <w:color w:val="auto"/>
                <w:sz w:val="21"/>
                <w:szCs w:val="21"/>
                <w:highlight w:val="none"/>
                <w:lang w:val="en-US" w:eastAsia="zh-CN"/>
              </w:rPr>
              <w:t>三档（7分）：建立全流程闭环质量管控体系：材料进场100%核验资质、样品封样留存；关键工序分段验收、全程施工巡检；明确7个日历天完整试运行值守、每日运行记录、试运行报告编制要求；覆盖成品保护、施工问题销项整改全流程，管控逻辑完整，可落地执行。</w:t>
            </w:r>
          </w:p>
          <w:p w14:paraId="020D87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val="0"/>
                <w:color w:val="auto"/>
                <w:sz w:val="21"/>
                <w:szCs w:val="21"/>
                <w:highlight w:val="none"/>
              </w:rPr>
            </w:pPr>
            <w:r>
              <w:rPr>
                <w:rFonts w:hint="default" w:ascii="宋体" w:hAnsi="宋体" w:cs="宋体"/>
                <w:b w:val="0"/>
                <w:bCs w:val="0"/>
                <w:color w:val="auto"/>
                <w:sz w:val="21"/>
                <w:szCs w:val="21"/>
                <w:highlight w:val="none"/>
                <w:lang w:val="en-US" w:eastAsia="zh-CN"/>
              </w:rPr>
              <w:t>四档（10分）：在三档全部管控内容基础上，增设隐蔽工程专项验收、数字内容逐帧质检、地质标本进场隔离保护专项质控措施；细化材料环保复检、竣工资料分册归档、质保期定期质量回访机制；针对大屏、中控、标本恒温设备等高价值核心设备制定独立质量管控细则，所有质控环节设置书面记录表单模板，管控节点全覆盖，贴合展厅精品工程建设标准。</w:t>
            </w:r>
          </w:p>
          <w:p w14:paraId="2A8311DD">
            <w:pPr>
              <w:keepNext w:val="0"/>
              <w:keepLines w:val="0"/>
              <w:pageBreakBefore w:val="0"/>
              <w:widowControl w:val="0"/>
              <w:kinsoku/>
              <w:wordWrap/>
              <w:overflowPunct/>
              <w:topLinePunct w:val="0"/>
              <w:autoSpaceDE/>
              <w:autoSpaceDN/>
              <w:bidi w:val="0"/>
              <w:spacing w:line="360" w:lineRule="auto"/>
              <w:ind w:firstLine="422" w:firstLineChars="200"/>
              <w:rPr>
                <w:color w:val="auto"/>
                <w:szCs w:val="21"/>
                <w:highlight w:val="none"/>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未提供的不得分</w:t>
            </w:r>
            <w:r>
              <w:rPr>
                <w:rFonts w:hint="eastAsia" w:hAnsi="宋体"/>
                <w:b/>
                <w:bCs/>
                <w:color w:val="auto"/>
                <w:sz w:val="21"/>
                <w:highlight w:val="none"/>
              </w:rPr>
              <w:t>。</w:t>
            </w:r>
          </w:p>
        </w:tc>
      </w:tr>
      <w:tr w14:paraId="0A41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tcBorders>
              <w:left w:val="single" w:color="auto" w:sz="4" w:space="0"/>
              <w:right w:val="single" w:color="auto" w:sz="4" w:space="0"/>
            </w:tcBorders>
            <w:vAlign w:val="center"/>
          </w:tcPr>
          <w:p w14:paraId="46660D31">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p>
        </w:tc>
        <w:tc>
          <w:tcPr>
            <w:tcW w:w="1211" w:type="dxa"/>
            <w:vMerge w:val="continue"/>
            <w:tcBorders>
              <w:left w:val="single" w:color="auto" w:sz="4" w:space="0"/>
              <w:right w:val="single" w:color="auto" w:sz="4" w:space="0"/>
            </w:tcBorders>
            <w:vAlign w:val="center"/>
          </w:tcPr>
          <w:p w14:paraId="1A7E32F3">
            <w:pPr>
              <w:keepNext w:val="0"/>
              <w:keepLines w:val="0"/>
              <w:pageBreakBefore w:val="0"/>
              <w:widowControl w:val="0"/>
              <w:kinsoku/>
              <w:wordWrap/>
              <w:overflowPunct/>
              <w:topLinePunct w:val="0"/>
              <w:autoSpaceDE/>
              <w:autoSpaceDN/>
              <w:bidi w:val="0"/>
              <w:adjustRightInd w:val="0"/>
              <w:snapToGrid w:val="0"/>
              <w:spacing w:line="360" w:lineRule="auto"/>
              <w:ind w:left="-105" w:leftChars="-50" w:right="-105" w:rightChars="-50"/>
              <w:jc w:val="center"/>
              <w:textAlignment w:val="baseline"/>
              <w:rPr>
                <w:rFonts w:ascii="宋体" w:hAnsi="宋体"/>
                <w:bCs/>
                <w:color w:val="auto"/>
                <w:sz w:val="21"/>
                <w:szCs w:val="21"/>
                <w:highlight w:val="none"/>
              </w:rPr>
            </w:pPr>
          </w:p>
        </w:tc>
        <w:tc>
          <w:tcPr>
            <w:tcW w:w="1199" w:type="dxa"/>
            <w:vMerge w:val="continue"/>
            <w:tcBorders>
              <w:left w:val="single" w:color="auto" w:sz="4" w:space="0"/>
              <w:right w:val="single" w:color="auto" w:sz="4" w:space="0"/>
            </w:tcBorders>
            <w:vAlign w:val="center"/>
          </w:tcPr>
          <w:p w14:paraId="59CDEC9E">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default" w:ascii="宋体" w:hAnsi="宋体" w:eastAsia="宋体" w:cs="宋体"/>
                <w:bCs/>
                <w:color w:val="auto"/>
                <w:sz w:val="21"/>
                <w:szCs w:val="21"/>
                <w:highlight w:val="none"/>
                <w:lang w:val="en-US" w:eastAsia="zh-CN"/>
              </w:rPr>
            </w:pPr>
          </w:p>
        </w:tc>
        <w:tc>
          <w:tcPr>
            <w:tcW w:w="6606" w:type="dxa"/>
            <w:tcBorders>
              <w:top w:val="single" w:color="auto" w:sz="4" w:space="0"/>
              <w:left w:val="single" w:color="auto" w:sz="4" w:space="0"/>
              <w:bottom w:val="single" w:color="auto" w:sz="4" w:space="0"/>
              <w:right w:val="single" w:color="auto" w:sz="4" w:space="0"/>
            </w:tcBorders>
            <w:vAlign w:val="center"/>
          </w:tcPr>
          <w:p w14:paraId="23922556">
            <w:pPr>
              <w:keepNext w:val="0"/>
              <w:keepLines w:val="0"/>
              <w:pageBreakBefore w:val="0"/>
              <w:widowControl w:val="0"/>
              <w:numPr>
                <w:ilvl w:val="-1"/>
                <w:numId w:val="0"/>
              </w:numPr>
              <w:kinsoku/>
              <w:wordWrap w:val="0"/>
              <w:overflowPunct/>
              <w:topLinePunct/>
              <w:autoSpaceDE/>
              <w:autoSpaceDN/>
              <w:bidi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）制作及安装方案</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满分1</w:t>
            </w:r>
            <w:r>
              <w:rPr>
                <w:rFonts w:hint="default" w:ascii="宋体"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分</w:t>
            </w:r>
            <w:r>
              <w:rPr>
                <w:rFonts w:hint="eastAsia" w:ascii="宋体" w:hAnsi="宋体" w:eastAsia="宋体" w:cs="宋体"/>
                <w:b w:val="0"/>
                <w:bCs w:val="0"/>
                <w:color w:val="auto"/>
                <w:sz w:val="21"/>
                <w:szCs w:val="21"/>
                <w:highlight w:val="none"/>
                <w:lang w:eastAsia="zh-CN"/>
              </w:rPr>
              <w:t>）</w:t>
            </w:r>
          </w:p>
          <w:p w14:paraId="7668B126">
            <w:pPr>
              <w:pStyle w:val="29"/>
              <w:keepNext w:val="0"/>
              <w:keepLines w:val="0"/>
              <w:widowControl/>
              <w:suppressLineNumbers w:val="0"/>
              <w:spacing w:beforeAutospacing="0" w:afterAutospacing="0" w:line="360" w:lineRule="auto"/>
              <w:ind w:firstLine="420" w:firstLineChars="200"/>
              <w:rPr>
                <w:rFonts w:ascii="宋体" w:hAnsi="宋体" w:eastAsia="宋体" w:cs="宋体"/>
                <w:sz w:val="21"/>
                <w:szCs w:val="21"/>
                <w:highlight w:val="none"/>
                <w:lang w:val="en-US"/>
              </w:rPr>
            </w:pPr>
            <w:r>
              <w:rPr>
                <w:rFonts w:ascii="宋体" w:hAnsi="宋体" w:eastAsia="宋体" w:cs="宋体"/>
                <w:sz w:val="21"/>
                <w:szCs w:val="21"/>
                <w:highlight w:val="none"/>
                <w:lang w:val="en-US"/>
              </w:rPr>
              <w:t>一档（0分）：</w:t>
            </w:r>
            <w:r>
              <w:rPr>
                <w:rFonts w:hint="eastAsia" w:ascii="宋体" w:hAnsi="宋体" w:eastAsia="宋体" w:cs="宋体"/>
                <w:sz w:val="21"/>
                <w:szCs w:val="21"/>
                <w:highlight w:val="none"/>
                <w:lang w:val="en-US"/>
              </w:rPr>
              <w:t>无完整施工组织设计，未说明制作、运输、安装、调试任一环节流程，无工期规划、现场安全、文明施工管理内容，无法判断实施组织能力。</w:t>
            </w:r>
          </w:p>
          <w:p w14:paraId="5A2F03AA">
            <w:pPr>
              <w:pStyle w:val="29"/>
              <w:keepNext w:val="0"/>
              <w:keepLines w:val="0"/>
              <w:widowControl/>
              <w:suppressLineNumbers w:val="0"/>
              <w:spacing w:beforeAutospacing="0" w:afterAutospacing="0" w:line="360" w:lineRule="auto"/>
              <w:ind w:firstLine="420" w:firstLineChars="200"/>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二档（5分）：明确项目</w:t>
            </w:r>
            <w:r>
              <w:rPr>
                <w:rFonts w:hint="eastAsia" w:ascii="宋体" w:hAnsi="宋体" w:cs="宋体"/>
                <w:sz w:val="21"/>
                <w:szCs w:val="21"/>
                <w:highlight w:val="none"/>
                <w:lang w:val="en-US" w:eastAsia="zh-CN"/>
              </w:rPr>
              <w:t>7</w:t>
            </w:r>
            <w:r>
              <w:rPr>
                <w:rFonts w:hint="default" w:ascii="宋体" w:hAnsi="宋体" w:eastAsia="宋体" w:cs="宋体"/>
                <w:sz w:val="21"/>
                <w:szCs w:val="21"/>
                <w:highlight w:val="none"/>
                <w:lang w:val="en-US"/>
              </w:rPr>
              <w:t>0日历天整体总工期，简单划分制作、现场安装两大阶段，基础履约要求全部响应；但缺少工厂预制、专业包装运输、进场成品保护、多专业交叉协调、教学时段降噪施工等关键内容，工序衔接规划简略，未针对标本、大型多媒体设备制定专项安装方案。</w:t>
            </w:r>
          </w:p>
          <w:p w14:paraId="344E5F62">
            <w:pPr>
              <w:pStyle w:val="29"/>
              <w:keepNext w:val="0"/>
              <w:keepLines w:val="0"/>
              <w:widowControl/>
              <w:suppressLineNumbers w:val="0"/>
              <w:spacing w:beforeAutospacing="0" w:afterAutospacing="0" w:line="360" w:lineRule="auto"/>
              <w:ind w:firstLine="420" w:firstLineChars="200"/>
              <w:rPr>
                <w:rFonts w:hint="default" w:ascii="宋体" w:hAnsi="宋体" w:eastAsia="宋体" w:cs="宋体"/>
                <w:sz w:val="21"/>
                <w:szCs w:val="21"/>
                <w:highlight w:val="none"/>
                <w:lang w:val="en-US"/>
              </w:rPr>
            </w:pPr>
            <w:r>
              <w:rPr>
                <w:rFonts w:hint="default" w:ascii="宋体" w:hAnsi="宋体" w:eastAsia="宋体" w:cs="宋体"/>
                <w:sz w:val="21"/>
                <w:szCs w:val="21"/>
                <w:highlight w:val="none"/>
                <w:lang w:val="en-US"/>
              </w:rPr>
              <w:t>三档（10分）：完整覆盖深化定稿、工厂加工、带保险专业运输、现场成品防护、分区域安装、强弱电敷设、软硬件联调、7天试运行、竣工验收全流程；</w:t>
            </w:r>
            <w:r>
              <w:rPr>
                <w:rFonts w:hint="eastAsia" w:ascii="宋体" w:hAnsi="宋体" w:cs="宋体"/>
                <w:sz w:val="21"/>
                <w:szCs w:val="21"/>
                <w:highlight w:val="none"/>
                <w:lang w:val="en-US" w:eastAsia="zh-CN"/>
              </w:rPr>
              <w:t>7</w:t>
            </w:r>
            <w:r>
              <w:rPr>
                <w:rFonts w:hint="default" w:ascii="宋体" w:hAnsi="宋体" w:eastAsia="宋体" w:cs="宋体"/>
                <w:sz w:val="21"/>
                <w:szCs w:val="21"/>
                <w:highlight w:val="none"/>
                <w:lang w:val="en-US"/>
              </w:rPr>
              <w:t>0日历天拆解分阶段关键节点；严格落实教学时段禁止高噪声施工、建筑垃圾当日清运、施工人员入校备案、现场硬质围挡等校园管理要求；人员分工、安全文明施工、多方协调机制完善，实施流程完整可行。</w:t>
            </w:r>
          </w:p>
          <w:p w14:paraId="6E069019">
            <w:pPr>
              <w:pStyle w:val="29"/>
              <w:keepNext w:val="0"/>
              <w:keepLines w:val="0"/>
              <w:widowControl/>
              <w:suppressLineNumbers w:val="0"/>
              <w:spacing w:beforeAutospacing="0" w:afterAutospacing="0" w:line="360" w:lineRule="auto"/>
              <w:ind w:firstLine="420" w:firstLineChars="200"/>
              <w:rPr>
                <w:rFonts w:hint="eastAsia" w:ascii="宋体" w:hAnsi="宋体" w:eastAsia="宋体" w:cs="宋体"/>
                <w:sz w:val="21"/>
                <w:szCs w:val="21"/>
                <w:highlight w:val="none"/>
              </w:rPr>
            </w:pPr>
            <w:r>
              <w:rPr>
                <w:rFonts w:hint="default" w:ascii="宋体" w:hAnsi="宋体" w:eastAsia="宋体" w:cs="宋体"/>
                <w:sz w:val="21"/>
                <w:szCs w:val="21"/>
                <w:highlight w:val="none"/>
                <w:lang w:val="en-US"/>
              </w:rPr>
              <w:t>四档（15分）：在三档全部内容基础上，细化跨工种交叉施工统筹、声光互动与中控系统专项安装调试方案；明确运输磕碰48小时内无偿置换、进度滞后2日内出具纠偏方案；配套标本专用缓冲包装、隔离存放、轻量拆装保护措施；提供标准化施工进度表、材料进场报验单、设备调试记录表模板，校园文明施工、成品保护、工期管控措施细致周全，落地保障充分。</w:t>
            </w:r>
          </w:p>
          <w:p w14:paraId="14863566">
            <w:pPr>
              <w:keepNext w:val="0"/>
              <w:keepLines w:val="0"/>
              <w:pageBreakBefore w:val="0"/>
              <w:widowControl w:val="0"/>
              <w:numPr>
                <w:ilvl w:val="-1"/>
                <w:numId w:val="0"/>
              </w:numPr>
              <w:kinsoku/>
              <w:wordWrap/>
              <w:overflowPunct/>
              <w:topLinePunct w:val="0"/>
              <w:autoSpaceDE/>
              <w:autoSpaceDN/>
              <w:bidi w:val="0"/>
              <w:spacing w:line="360" w:lineRule="auto"/>
              <w:ind w:firstLine="422" w:firstLineChars="200"/>
              <w:jc w:val="left"/>
              <w:rPr>
                <w:rFonts w:hint="eastAsia"/>
                <w:color w:val="auto"/>
                <w:szCs w:val="21"/>
                <w:highlight w:val="none"/>
                <w:lang w:eastAsia="zh-CN"/>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未提供的不得分</w:t>
            </w:r>
            <w:r>
              <w:rPr>
                <w:rFonts w:hint="eastAsia" w:ascii="宋体" w:hAnsi="宋体" w:eastAsia="宋体" w:cs="宋体"/>
                <w:b/>
                <w:bCs/>
                <w:color w:val="auto"/>
                <w:sz w:val="21"/>
                <w:highlight w:val="none"/>
              </w:rPr>
              <w:t>。</w:t>
            </w:r>
          </w:p>
        </w:tc>
      </w:tr>
      <w:tr w14:paraId="4A6A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tcBorders>
              <w:left w:val="single" w:color="auto" w:sz="4" w:space="0"/>
              <w:bottom w:val="single" w:color="auto" w:sz="4" w:space="0"/>
              <w:right w:val="single" w:color="auto" w:sz="4" w:space="0"/>
            </w:tcBorders>
            <w:vAlign w:val="center"/>
          </w:tcPr>
          <w:p w14:paraId="5BD99D06">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ascii="宋体" w:hAnsi="宋体" w:cs="宋体"/>
                <w:bCs/>
                <w:color w:val="auto"/>
                <w:sz w:val="21"/>
                <w:szCs w:val="21"/>
                <w:highlight w:val="none"/>
              </w:rPr>
            </w:pPr>
          </w:p>
        </w:tc>
        <w:tc>
          <w:tcPr>
            <w:tcW w:w="1211" w:type="dxa"/>
            <w:vMerge w:val="continue"/>
            <w:tcBorders>
              <w:left w:val="single" w:color="auto" w:sz="4" w:space="0"/>
              <w:bottom w:val="single" w:color="auto" w:sz="4" w:space="0"/>
              <w:right w:val="single" w:color="auto" w:sz="4" w:space="0"/>
            </w:tcBorders>
            <w:vAlign w:val="center"/>
          </w:tcPr>
          <w:p w14:paraId="1BB374EE">
            <w:pPr>
              <w:keepNext w:val="0"/>
              <w:keepLines w:val="0"/>
              <w:pageBreakBefore w:val="0"/>
              <w:widowControl w:val="0"/>
              <w:kinsoku/>
              <w:wordWrap/>
              <w:overflowPunct/>
              <w:topLinePunct w:val="0"/>
              <w:autoSpaceDE/>
              <w:autoSpaceDN/>
              <w:bidi w:val="0"/>
              <w:adjustRightInd w:val="0"/>
              <w:snapToGrid w:val="0"/>
              <w:spacing w:line="360" w:lineRule="auto"/>
              <w:ind w:left="-105" w:leftChars="-50" w:right="-105" w:rightChars="-50"/>
              <w:jc w:val="center"/>
              <w:textAlignment w:val="baseline"/>
              <w:rPr>
                <w:rFonts w:ascii="宋体" w:hAnsi="宋体"/>
                <w:bCs/>
                <w:color w:val="auto"/>
                <w:sz w:val="21"/>
                <w:szCs w:val="21"/>
                <w:highlight w:val="none"/>
              </w:rPr>
            </w:pPr>
          </w:p>
        </w:tc>
        <w:tc>
          <w:tcPr>
            <w:tcW w:w="1199" w:type="dxa"/>
            <w:vMerge w:val="continue"/>
            <w:tcBorders>
              <w:left w:val="single" w:color="auto" w:sz="4" w:space="0"/>
              <w:bottom w:val="single" w:color="auto" w:sz="4" w:space="0"/>
              <w:right w:val="single" w:color="auto" w:sz="4" w:space="0"/>
            </w:tcBorders>
            <w:vAlign w:val="center"/>
          </w:tcPr>
          <w:p w14:paraId="37D8B9B1">
            <w:pPr>
              <w:keepNext w:val="0"/>
              <w:keepLines w:val="0"/>
              <w:pageBreakBefore w:val="0"/>
              <w:widowControl w:val="0"/>
              <w:kinsoku/>
              <w:wordWrap/>
              <w:overflowPunct/>
              <w:topLinePunct w:val="0"/>
              <w:autoSpaceDE/>
              <w:autoSpaceDN/>
              <w:bidi w:val="0"/>
              <w:adjustRightInd w:val="0"/>
              <w:spacing w:line="360" w:lineRule="auto"/>
              <w:jc w:val="center"/>
              <w:textAlignment w:val="baseline"/>
              <w:rPr>
                <w:rFonts w:hint="eastAsia" w:hAnsi="宋体" w:cs="宋体"/>
                <w:bCs/>
                <w:color w:val="auto"/>
                <w:kern w:val="2"/>
                <w:sz w:val="21"/>
                <w:szCs w:val="21"/>
                <w:highlight w:val="none"/>
                <w:lang w:eastAsia="zh-CN"/>
              </w:rPr>
            </w:pPr>
          </w:p>
        </w:tc>
        <w:tc>
          <w:tcPr>
            <w:tcW w:w="6606" w:type="dxa"/>
            <w:tcBorders>
              <w:top w:val="single" w:color="auto" w:sz="4" w:space="0"/>
              <w:left w:val="single" w:color="auto" w:sz="4" w:space="0"/>
              <w:bottom w:val="single" w:color="auto" w:sz="4" w:space="0"/>
              <w:right w:val="single" w:color="auto" w:sz="4" w:space="0"/>
            </w:tcBorders>
            <w:vAlign w:val="center"/>
          </w:tcPr>
          <w:p w14:paraId="251C8CF1">
            <w:pPr>
              <w:pStyle w:val="18"/>
              <w:spacing w:line="360" w:lineRule="auto"/>
              <w:ind w:firstLine="0" w:firstLineChars="0"/>
              <w:jc w:val="both"/>
              <w:rPr>
                <w:rFonts w:hint="eastAsia" w:ascii="宋体" w:hAnsi="宋体" w:eastAsia="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lang w:val="en-US" w:eastAsia="zh-CN"/>
              </w:rPr>
              <w:t>3</w:t>
            </w:r>
            <w:r>
              <w:rPr>
                <w:rFonts w:hint="eastAsia" w:hAnsi="宋体" w:cs="宋体"/>
                <w:color w:val="auto"/>
                <w:sz w:val="21"/>
                <w:highlight w:val="none"/>
                <w:lang w:eastAsia="zh-CN"/>
              </w:rPr>
              <w:t>）</w:t>
            </w:r>
            <w:r>
              <w:rPr>
                <w:rFonts w:hint="eastAsia" w:ascii="宋体" w:hAnsi="宋体" w:eastAsia="宋体" w:cs="宋体"/>
                <w:color w:val="auto"/>
                <w:sz w:val="21"/>
                <w:highlight w:val="none"/>
              </w:rPr>
              <w:t>应急保障方案</w:t>
            </w:r>
            <w:r>
              <w:rPr>
                <w:rFonts w:hint="eastAsia" w:hAnsi="宋体" w:cs="宋体"/>
                <w:b w:val="0"/>
                <w:bCs w:val="0"/>
                <w:color w:val="auto"/>
                <w:sz w:val="21"/>
                <w:szCs w:val="21"/>
                <w:highlight w:val="none"/>
                <w:lang w:eastAsia="zh-CN"/>
              </w:rPr>
              <w:t>（</w:t>
            </w:r>
            <w:r>
              <w:rPr>
                <w:rFonts w:hint="eastAsia" w:hAnsi="宋体" w:cs="宋体"/>
                <w:b w:val="0"/>
                <w:bCs w:val="0"/>
                <w:color w:val="auto"/>
                <w:sz w:val="21"/>
                <w:szCs w:val="21"/>
                <w:highlight w:val="none"/>
                <w:lang w:val="en-US" w:eastAsia="zh-CN"/>
              </w:rPr>
              <w:t>满分10分</w:t>
            </w:r>
            <w:r>
              <w:rPr>
                <w:rFonts w:hint="eastAsia" w:hAnsi="宋体" w:cs="宋体"/>
                <w:b w:val="0"/>
                <w:bCs w:val="0"/>
                <w:color w:val="auto"/>
                <w:sz w:val="21"/>
                <w:szCs w:val="21"/>
                <w:highlight w:val="none"/>
                <w:lang w:eastAsia="zh-CN"/>
              </w:rPr>
              <w:t>）</w:t>
            </w:r>
          </w:p>
          <w:p w14:paraId="04C59D21">
            <w:pPr>
              <w:pStyle w:val="18"/>
              <w:wordWrap w:val="0"/>
              <w:topLinePunct/>
              <w:spacing w:line="360" w:lineRule="auto"/>
              <w:ind w:firstLine="420" w:firstLineChars="200"/>
              <w:jc w:val="both"/>
              <w:rPr>
                <w:rFonts w:hint="default" w:ascii="宋体" w:hAnsi="宋体" w:eastAsia="宋体" w:cs="宋体"/>
                <w:color w:val="auto"/>
                <w:sz w:val="21"/>
                <w:highlight w:val="none"/>
                <w:lang w:val="en-US"/>
              </w:rPr>
            </w:pPr>
            <w:r>
              <w:rPr>
                <w:rFonts w:hint="default" w:ascii="宋体" w:hAnsi="宋体" w:eastAsia="宋体" w:cs="宋体"/>
                <w:color w:val="auto"/>
                <w:sz w:val="21"/>
                <w:highlight w:val="none"/>
                <w:lang w:val="en-US"/>
              </w:rPr>
              <w:t>一档（0分）：未划分任何故障场景，无应急联络人、处置流程、备用保障措施，无事后整改复盘机制，不具备应急处置可行性。</w:t>
            </w:r>
          </w:p>
          <w:p w14:paraId="6712A2FA">
            <w:pPr>
              <w:numPr>
                <w:ilvl w:val="0"/>
                <w:numId w:val="0"/>
              </w:numPr>
              <w:wordWrap w:val="0"/>
              <w:topLinePunct/>
              <w:spacing w:line="360" w:lineRule="auto"/>
              <w:ind w:firstLine="420" w:firstLineChars="200"/>
              <w:jc w:val="both"/>
              <w:rPr>
                <w:rFonts w:hint="default" w:ascii="宋体" w:hAnsi="宋体" w:eastAsia="宋体" w:cs="宋体"/>
                <w:color w:val="auto"/>
                <w:sz w:val="21"/>
                <w:highlight w:val="none"/>
                <w:lang w:val="en-US"/>
              </w:rPr>
            </w:pPr>
            <w:r>
              <w:rPr>
                <w:rFonts w:hint="default" w:ascii="宋体" w:hAnsi="宋体" w:eastAsia="宋体" w:cs="宋体"/>
                <w:color w:val="auto"/>
                <w:sz w:val="21"/>
                <w:highlight w:val="none"/>
                <w:lang w:val="en-US"/>
              </w:rPr>
              <w:t>二档（3分）：仅简单列明硬件设备故障单一处置方式，设置基础对接联系人，达到基础应急保障标准；但未覆盖软件、网络、停电、数字素材故障，无备用设备、事后整改闭环设计，风险覆盖范围狭窄，保障措施单薄。</w:t>
            </w:r>
          </w:p>
          <w:p w14:paraId="132C037A">
            <w:pPr>
              <w:numPr>
                <w:ilvl w:val="0"/>
                <w:numId w:val="0"/>
              </w:numPr>
              <w:wordWrap w:val="0"/>
              <w:topLinePunct/>
              <w:spacing w:line="360" w:lineRule="auto"/>
              <w:ind w:firstLine="420" w:firstLineChars="200"/>
              <w:jc w:val="both"/>
              <w:rPr>
                <w:rFonts w:hint="default" w:ascii="宋体" w:hAnsi="宋体" w:eastAsia="宋体" w:cs="宋体"/>
                <w:color w:val="auto"/>
                <w:sz w:val="21"/>
                <w:highlight w:val="none"/>
                <w:lang w:val="en-US"/>
              </w:rPr>
            </w:pPr>
            <w:r>
              <w:rPr>
                <w:rFonts w:hint="default" w:ascii="宋体" w:hAnsi="宋体" w:eastAsia="宋体" w:cs="宋体"/>
                <w:color w:val="auto"/>
                <w:sz w:val="21"/>
                <w:highlight w:val="none"/>
                <w:lang w:val="en-US"/>
              </w:rPr>
              <w:t>三档（7分）：完整梳理硬件损坏、软件卡顿、网络中断、供电故障、数字播放失效、运输破损六大类常见突发场景；设立固定24小时应急对接人员，明确接报、现场处置、备品调配、故障上报、问题整改全闭环流程，可覆盖展厅日常开放绝大多数突发问题。</w:t>
            </w:r>
          </w:p>
          <w:p w14:paraId="5F462E31">
            <w:pPr>
              <w:numPr>
                <w:ilvl w:val="0"/>
                <w:numId w:val="0"/>
              </w:numPr>
              <w:wordWrap w:val="0"/>
              <w:topLinePunct/>
              <w:spacing w:line="360" w:lineRule="auto"/>
              <w:ind w:firstLine="420" w:firstLineChars="200"/>
              <w:jc w:val="both"/>
              <w:rPr>
                <w:rFonts w:hint="eastAsia" w:ascii="宋体" w:hAnsi="宋体" w:eastAsia="宋体" w:cs="宋体"/>
                <w:color w:val="auto"/>
                <w:sz w:val="21"/>
                <w:highlight w:val="none"/>
              </w:rPr>
            </w:pPr>
            <w:r>
              <w:rPr>
                <w:rFonts w:hint="default" w:ascii="宋体" w:hAnsi="宋体" w:eastAsia="宋体" w:cs="宋体"/>
                <w:color w:val="auto"/>
                <w:sz w:val="21"/>
                <w:highlight w:val="none"/>
                <w:lang w:val="en-US"/>
              </w:rPr>
              <w:t>四档（10分）：在三档全部基础上建立故障分级处置机制，区分普通设备故障、影响展厅对外开放重大故障两套处置流程；承诺项目实施阶段组织不少于1次应急桌面推演；配套应急联络表、故障处置单、事后复盘记录表标准化模板，实现风险前置预判、事中快速处置、事后优化改进完整闭环。</w:t>
            </w:r>
          </w:p>
          <w:p w14:paraId="2054F0FF">
            <w:pPr>
              <w:widowControl/>
              <w:spacing w:line="360" w:lineRule="auto"/>
              <w:ind w:firstLine="422" w:firstLineChars="200"/>
              <w:jc w:val="left"/>
              <w:rPr>
                <w:rFonts w:hint="default"/>
                <w:color w:val="auto"/>
                <w:highlight w:val="none"/>
                <w:lang w:val="en-US" w:eastAsia="zh-CN"/>
              </w:rPr>
            </w:pPr>
            <w:r>
              <w:rPr>
                <w:rFonts w:hint="eastAsia" w:ascii="宋体" w:hAnsi="宋体" w:cs="宋体"/>
                <w:b/>
                <w:bCs/>
                <w:color w:val="auto"/>
                <w:sz w:val="21"/>
                <w:szCs w:val="21"/>
                <w:highlight w:val="none"/>
              </w:rPr>
              <w:t>注：</w:t>
            </w:r>
            <w:r>
              <w:rPr>
                <w:rFonts w:hint="eastAsia" w:ascii="宋体" w:hAnsi="宋体" w:cs="宋体"/>
                <w:b/>
                <w:bCs/>
                <w:color w:val="auto"/>
                <w:sz w:val="21"/>
                <w:szCs w:val="21"/>
                <w:highlight w:val="none"/>
                <w:lang w:val="en-US" w:eastAsia="zh-CN"/>
              </w:rPr>
              <w:t>未提供的不得分</w:t>
            </w:r>
            <w:r>
              <w:rPr>
                <w:rFonts w:hint="eastAsia" w:hAnsi="宋体"/>
                <w:b/>
                <w:bCs/>
                <w:color w:val="auto"/>
                <w:sz w:val="21"/>
                <w:highlight w:val="none"/>
              </w:rPr>
              <w:t>。</w:t>
            </w:r>
          </w:p>
        </w:tc>
      </w:tr>
      <w:tr w14:paraId="6720F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704" w:type="dxa"/>
            <w:vMerge w:val="restart"/>
            <w:tcBorders>
              <w:top w:val="single" w:color="auto" w:sz="4" w:space="0"/>
              <w:left w:val="single" w:color="auto" w:sz="4" w:space="0"/>
              <w:right w:val="single" w:color="auto" w:sz="4" w:space="0"/>
            </w:tcBorders>
            <w:vAlign w:val="center"/>
          </w:tcPr>
          <w:p w14:paraId="611A8DD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ascii="宋体" w:hAnsi="宋体" w:cs="宋体"/>
                <w:bCs/>
                <w:color w:val="auto"/>
                <w:sz w:val="21"/>
                <w:szCs w:val="21"/>
                <w:highlight w:val="none"/>
              </w:rPr>
            </w:pPr>
            <w:r>
              <w:rPr>
                <w:rFonts w:hint="eastAsia" w:ascii="宋体" w:hAnsi="宋体" w:cs="宋体"/>
                <w:bCs/>
                <w:color w:val="auto"/>
                <w:sz w:val="21"/>
                <w:szCs w:val="21"/>
                <w:highlight w:val="none"/>
              </w:rPr>
              <w:t>3</w:t>
            </w:r>
          </w:p>
        </w:tc>
        <w:tc>
          <w:tcPr>
            <w:tcW w:w="1211" w:type="dxa"/>
            <w:vMerge w:val="restart"/>
            <w:tcBorders>
              <w:top w:val="single" w:color="auto" w:sz="4" w:space="0"/>
              <w:left w:val="single" w:color="auto" w:sz="4" w:space="0"/>
              <w:right w:val="single" w:color="auto" w:sz="4" w:space="0"/>
            </w:tcBorders>
            <w:vAlign w:val="center"/>
          </w:tcPr>
          <w:p w14:paraId="129EA25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商务分</w:t>
            </w:r>
          </w:p>
          <w:p w14:paraId="36DBFBF9">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u w:val="none"/>
              </w:rPr>
              <w:t>（</w:t>
            </w:r>
            <w:r>
              <w:rPr>
                <w:rFonts w:hint="eastAsia" w:ascii="宋体" w:hAnsi="宋体" w:eastAsia="宋体" w:cs="宋体"/>
                <w:color w:val="auto"/>
                <w:sz w:val="21"/>
                <w:szCs w:val="21"/>
                <w:highlight w:val="none"/>
                <w:u w:val="none"/>
              </w:rPr>
              <w:t>满分</w:t>
            </w:r>
            <w:r>
              <w:rPr>
                <w:rFonts w:hint="eastAsia" w:ascii="宋体" w:hAnsi="宋体" w:cs="宋体"/>
                <w:color w:val="auto"/>
                <w:sz w:val="21"/>
                <w:szCs w:val="21"/>
                <w:highlight w:val="none"/>
                <w:u w:val="none"/>
                <w:lang w:val="en-US" w:eastAsia="zh-CN"/>
              </w:rPr>
              <w:t>25</w:t>
            </w:r>
            <w:r>
              <w:rPr>
                <w:rFonts w:hint="eastAsia" w:ascii="宋体" w:hAnsi="宋体" w:eastAsia="宋体" w:cs="宋体"/>
                <w:color w:val="auto"/>
                <w:sz w:val="21"/>
                <w:szCs w:val="21"/>
                <w:highlight w:val="none"/>
                <w:u w:val="none"/>
              </w:rPr>
              <w:t>分</w:t>
            </w:r>
            <w:r>
              <w:rPr>
                <w:rFonts w:hint="eastAsia" w:ascii="宋体" w:hAnsi="宋体" w:eastAsia="宋体" w:cs="宋体"/>
                <w:bCs/>
                <w:color w:val="auto"/>
                <w:sz w:val="21"/>
                <w:szCs w:val="21"/>
                <w:highlight w:val="none"/>
                <w:u w:val="none"/>
              </w:rPr>
              <w:t>）</w:t>
            </w:r>
          </w:p>
        </w:tc>
        <w:tc>
          <w:tcPr>
            <w:tcW w:w="1199" w:type="dxa"/>
            <w:tcBorders>
              <w:top w:val="single" w:color="auto" w:sz="4" w:space="0"/>
              <w:left w:val="single" w:color="auto" w:sz="4" w:space="0"/>
              <w:right w:val="single" w:color="auto" w:sz="4" w:space="0"/>
            </w:tcBorders>
            <w:vAlign w:val="center"/>
          </w:tcPr>
          <w:p w14:paraId="05396AF4">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项目售后服务（满分1</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077CA2B2">
            <w:pPr>
              <w:spacing w:line="360" w:lineRule="auto"/>
              <w:ind w:firstLine="420"/>
              <w:rPr>
                <w:rFonts w:hint="default" w:ascii="宋体" w:hAnsi="宋体" w:eastAsia="宋体" w:cs="宋体"/>
                <w:color w:val="auto"/>
                <w:szCs w:val="21"/>
                <w:highlight w:val="none"/>
                <w:lang w:val="en-US"/>
              </w:rPr>
            </w:pPr>
            <w:r>
              <w:rPr>
                <w:rFonts w:hint="default" w:ascii="宋体" w:hAnsi="宋体" w:eastAsia="宋体" w:cs="宋体"/>
                <w:color w:val="auto"/>
                <w:szCs w:val="21"/>
                <w:highlight w:val="none"/>
                <w:lang w:val="en-US"/>
              </w:rPr>
              <w:t>一档（0分）：售后服务内容空洞，未明确质保年限、故障响应方式、上门维修、巡检、培训任意一项核心内容，无实质服务保障措施。</w:t>
            </w:r>
          </w:p>
          <w:p w14:paraId="C26B33BB">
            <w:pPr>
              <w:spacing w:line="360" w:lineRule="auto"/>
              <w:ind w:firstLine="420"/>
              <w:rPr>
                <w:rFonts w:hint="default" w:ascii="宋体" w:hAnsi="宋体" w:eastAsia="宋体" w:cs="宋体"/>
                <w:color w:val="auto"/>
                <w:szCs w:val="21"/>
                <w:highlight w:val="none"/>
                <w:lang w:val="en-US"/>
              </w:rPr>
            </w:pPr>
            <w:r>
              <w:rPr>
                <w:rFonts w:hint="default" w:ascii="宋体" w:hAnsi="宋体" w:eastAsia="宋体" w:cs="宋体"/>
                <w:color w:val="auto"/>
                <w:szCs w:val="21"/>
                <w:highlight w:val="none"/>
                <w:lang w:val="en-US"/>
              </w:rPr>
              <w:t>二档（4分）：承诺不少于2年全范围质保，列明基础报修、上门维修流程，全部最低售后硬性要求均响应；但季度巡检、分层培训、关键备件储备、回访台账等增值服务内容表述单薄，无细化落地安排。</w:t>
            </w:r>
          </w:p>
          <w:p w14:paraId="0E7BE0EB">
            <w:pPr>
              <w:spacing w:line="360" w:lineRule="auto"/>
              <w:ind w:firstLine="420"/>
              <w:rPr>
                <w:rFonts w:hint="default" w:ascii="宋体" w:hAnsi="宋体" w:eastAsia="宋体" w:cs="宋体"/>
                <w:color w:val="auto"/>
                <w:szCs w:val="21"/>
                <w:highlight w:val="none"/>
                <w:lang w:val="en-US"/>
              </w:rPr>
            </w:pPr>
            <w:r>
              <w:rPr>
                <w:rFonts w:hint="default" w:ascii="宋体" w:hAnsi="宋体" w:eastAsia="宋体" w:cs="宋体"/>
                <w:color w:val="auto"/>
                <w:szCs w:val="21"/>
                <w:highlight w:val="none"/>
                <w:lang w:val="en-US"/>
              </w:rPr>
              <w:t>三档（8分）：完整落实采购全部强制售后标准：质保覆盖全部展陈装饰、多媒体硬件、中控、定制软件、全套数字内容；7×12小时全天候远程技术支撑；质保期每季度上门全面巡检并出具书面记录；软件BUG修复、功能优化永久免费；提供设备操作、后台运维不少于2场专项培训；建立故障登记、处置销项闭环台账，服务流程规范完整。</w:t>
            </w:r>
          </w:p>
          <w:p w14:paraId="C042FEB8">
            <w:pPr>
              <w:spacing w:line="360" w:lineRule="auto"/>
              <w:ind w:firstLine="420"/>
              <w:rPr>
                <w:rFonts w:hint="eastAsia" w:ascii="宋体" w:hAnsi="宋体" w:eastAsia="宋体" w:cs="宋体"/>
                <w:color w:val="auto"/>
                <w:szCs w:val="21"/>
                <w:highlight w:val="none"/>
              </w:rPr>
            </w:pPr>
            <w:r>
              <w:rPr>
                <w:rFonts w:hint="default" w:ascii="宋体" w:hAnsi="宋体" w:eastAsia="宋体" w:cs="宋体"/>
                <w:color w:val="auto"/>
                <w:szCs w:val="21"/>
                <w:highlight w:val="none"/>
                <w:lang w:val="en-US"/>
              </w:rPr>
              <w:t>四档（12分）：在三档全部要求之上，进一步提升服务保障力度：明确桂林市城区故障24小时内工程师到场处置；灯光、控制、传感等关键易损设备配套备用备件；每次巡检形成完整巡检报告，同步给出设备优化建议；区分普通操作人员、专业运维管理人员两套分层培训；提供报修单、巡检台账、客户回访全套标准化模板，适配高校展厅长期高频开放运维需求，服务体系成熟完善。</w:t>
            </w:r>
          </w:p>
          <w:p w14:paraId="6A7B45B4">
            <w:pPr>
              <w:pStyle w:val="16"/>
              <w:numPr>
                <w:ilvl w:val="-1"/>
                <w:numId w:val="0"/>
              </w:numPr>
              <w:spacing w:after="0" w:line="360" w:lineRule="auto"/>
              <w:ind w:firstLine="422" w:firstLineChars="200"/>
              <w:rPr>
                <w:rFonts w:hint="eastAsia" w:ascii="宋体" w:hAnsi="宋体" w:eastAsia="宋体" w:cs="宋体"/>
                <w:color w:val="auto"/>
                <w:highlight w:val="none"/>
                <w:lang w:eastAsia="zh-CN"/>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未提供的不得分</w:t>
            </w:r>
            <w:r>
              <w:rPr>
                <w:rFonts w:hint="eastAsia" w:ascii="宋体" w:hAnsi="宋体" w:eastAsia="宋体" w:cs="宋体"/>
                <w:b/>
                <w:bCs/>
                <w:color w:val="auto"/>
                <w:sz w:val="21"/>
                <w:highlight w:val="none"/>
              </w:rPr>
              <w:t>。</w:t>
            </w:r>
          </w:p>
        </w:tc>
      </w:tr>
      <w:tr w14:paraId="73C9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6" w:hRule="atLeast"/>
          <w:jc w:val="center"/>
        </w:trPr>
        <w:tc>
          <w:tcPr>
            <w:tcW w:w="704" w:type="dxa"/>
            <w:vMerge w:val="continue"/>
            <w:tcBorders>
              <w:left w:val="single" w:color="auto" w:sz="4" w:space="0"/>
              <w:right w:val="single" w:color="auto" w:sz="4" w:space="0"/>
            </w:tcBorders>
            <w:vAlign w:val="center"/>
          </w:tcPr>
          <w:p w14:paraId="029ABCC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cs="宋体"/>
                <w:bCs/>
                <w:color w:val="auto"/>
                <w:sz w:val="21"/>
                <w:szCs w:val="21"/>
                <w:highlight w:val="none"/>
              </w:rPr>
            </w:pPr>
          </w:p>
        </w:tc>
        <w:tc>
          <w:tcPr>
            <w:tcW w:w="1211" w:type="dxa"/>
            <w:vMerge w:val="continue"/>
            <w:tcBorders>
              <w:left w:val="single" w:color="auto" w:sz="4" w:space="0"/>
              <w:right w:val="single" w:color="auto" w:sz="4" w:space="0"/>
            </w:tcBorders>
            <w:vAlign w:val="center"/>
          </w:tcPr>
          <w:p w14:paraId="3B5EAD4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hint="eastAsia" w:ascii="宋体" w:hAnsi="宋体" w:eastAsia="宋体" w:cs="宋体"/>
                <w:bCs/>
                <w:color w:val="auto"/>
                <w:sz w:val="21"/>
                <w:szCs w:val="21"/>
                <w:highlight w:val="none"/>
                <w:u w:val="none"/>
              </w:rPr>
            </w:pPr>
          </w:p>
        </w:tc>
        <w:tc>
          <w:tcPr>
            <w:tcW w:w="1199" w:type="dxa"/>
            <w:tcBorders>
              <w:top w:val="single" w:color="auto" w:sz="4" w:space="0"/>
              <w:left w:val="single" w:color="auto" w:sz="4" w:space="0"/>
              <w:right w:val="single" w:color="auto" w:sz="4" w:space="0"/>
            </w:tcBorders>
            <w:vAlign w:val="center"/>
          </w:tcPr>
          <w:p w14:paraId="477AB07A">
            <w:pPr>
              <w:keepNext w:val="0"/>
              <w:keepLines w:val="0"/>
              <w:pageBreakBefore w:val="0"/>
              <w:widowControl w:val="0"/>
              <w:kinsoku/>
              <w:wordWrap/>
              <w:overflowPunct/>
              <w:topLinePunct w:val="0"/>
              <w:autoSpaceDE/>
              <w:autoSpaceDN/>
              <w:bidi w:val="0"/>
              <w:spacing w:line="360" w:lineRule="auto"/>
              <w:jc w:val="center"/>
              <w:rPr>
                <w:rFonts w:hint="eastAsia" w:ascii="宋体" w:hAnsi="宋体" w:eastAsia="宋体" w:cs="宋体"/>
                <w:bCs/>
                <w:color w:val="auto"/>
                <w:sz w:val="21"/>
                <w:szCs w:val="21"/>
                <w:highlight w:val="none"/>
              </w:rPr>
            </w:pPr>
            <w:r>
              <w:rPr>
                <w:rFonts w:hint="eastAsia" w:ascii="宋体" w:hAnsi="宋体"/>
                <w:bCs/>
                <w:color w:val="auto"/>
                <w:szCs w:val="21"/>
                <w:highlight w:val="none"/>
              </w:rPr>
              <w:t>拟投入项目管理团队配置（</w:t>
            </w:r>
            <w:r>
              <w:rPr>
                <w:rFonts w:hint="eastAsia" w:ascii="宋体" w:hAnsi="宋体" w:cs="宋体"/>
                <w:bCs/>
                <w:color w:val="auto"/>
                <w:szCs w:val="21"/>
                <w:highlight w:val="none"/>
              </w:rPr>
              <w:t>满分</w:t>
            </w:r>
            <w:r>
              <w:rPr>
                <w:rFonts w:hint="eastAsia" w:ascii="宋体" w:hAnsi="宋体"/>
                <w:bCs/>
                <w:color w:val="auto"/>
                <w:szCs w:val="21"/>
                <w:highlight w:val="none"/>
                <w:lang w:val="en-US" w:eastAsia="zh-CN"/>
              </w:rPr>
              <w:t>10</w:t>
            </w:r>
            <w:r>
              <w:rPr>
                <w:rFonts w:hint="eastAsia" w:ascii="宋体" w:hAnsi="宋体"/>
                <w:bCs/>
                <w:color w:val="auto"/>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5397AC6C">
            <w:pPr>
              <w:pStyle w:val="16"/>
              <w:numPr>
                <w:ilvl w:val="0"/>
                <w:numId w:val="0"/>
              </w:numPr>
              <w:spacing w:after="0" w:line="360" w:lineRule="auto"/>
              <w:ind w:firstLine="412" w:firstLineChars="200"/>
              <w:rPr>
                <w:rFonts w:hint="eastAsia" w:ascii="宋体" w:hAnsi="宋体" w:cs="微软雅黑"/>
                <w:spacing w:val="-2"/>
                <w:szCs w:val="21"/>
                <w:highlight w:val="none"/>
              </w:rPr>
            </w:pPr>
            <w:r>
              <w:rPr>
                <w:rFonts w:hint="eastAsia" w:ascii="宋体" w:hAnsi="宋体" w:cs="微软雅黑"/>
                <w:spacing w:val="-2"/>
                <w:szCs w:val="21"/>
                <w:highlight w:val="none"/>
                <w:lang w:val="en-US" w:eastAsia="zh-CN"/>
              </w:rPr>
              <w:t>一档</w:t>
            </w:r>
            <w:r>
              <w:rPr>
                <w:rFonts w:hint="eastAsia" w:ascii="宋体" w:hAnsi="宋体" w:cs="微软雅黑"/>
                <w:spacing w:val="-2"/>
                <w:szCs w:val="21"/>
                <w:highlight w:val="none"/>
              </w:rPr>
              <w:t>（</w:t>
            </w:r>
            <w:r>
              <w:rPr>
                <w:rFonts w:hint="eastAsia" w:ascii="宋体" w:hAnsi="宋体" w:cs="微软雅黑"/>
                <w:spacing w:val="-2"/>
                <w:szCs w:val="21"/>
                <w:highlight w:val="none"/>
                <w:lang w:val="en-US" w:eastAsia="zh-CN"/>
              </w:rPr>
              <w:t>3</w:t>
            </w:r>
            <w:r>
              <w:rPr>
                <w:rFonts w:hint="eastAsia" w:ascii="宋体" w:hAnsi="宋体" w:cs="微软雅黑"/>
                <w:spacing w:val="-2"/>
                <w:szCs w:val="21"/>
                <w:highlight w:val="none"/>
              </w:rPr>
              <w:t>分）：项目团队总人数不少于6人（含项目负责人1名），分工基本明确，能提供人员名册及身份证</w:t>
            </w:r>
            <w:r>
              <w:rPr>
                <w:rFonts w:hint="eastAsia" w:ascii="宋体" w:hAnsi="宋体" w:cs="微软雅黑"/>
                <w:spacing w:val="-2"/>
                <w:szCs w:val="21"/>
                <w:highlight w:val="none"/>
                <w:lang w:val="en-US" w:eastAsia="zh-CN"/>
              </w:rPr>
              <w:t>扫描件</w:t>
            </w:r>
            <w:r>
              <w:rPr>
                <w:rFonts w:hint="eastAsia" w:ascii="宋体" w:hAnsi="宋体" w:cs="微软雅黑"/>
                <w:spacing w:val="-2"/>
                <w:szCs w:val="21"/>
                <w:highlight w:val="none"/>
              </w:rPr>
              <w:t>。</w:t>
            </w:r>
          </w:p>
          <w:p w14:paraId="1B664799">
            <w:pPr>
              <w:pStyle w:val="16"/>
              <w:numPr>
                <w:ilvl w:val="0"/>
                <w:numId w:val="0"/>
              </w:numPr>
              <w:spacing w:after="0" w:line="360" w:lineRule="auto"/>
              <w:ind w:firstLine="412" w:firstLineChars="200"/>
              <w:rPr>
                <w:rFonts w:hint="eastAsia" w:ascii="宋体" w:hAnsi="宋体" w:cs="微软雅黑"/>
                <w:spacing w:val="-2"/>
                <w:szCs w:val="21"/>
                <w:highlight w:val="none"/>
              </w:rPr>
            </w:pPr>
            <w:r>
              <w:rPr>
                <w:rFonts w:hint="eastAsia" w:ascii="宋体" w:hAnsi="宋体" w:cs="微软雅黑"/>
                <w:spacing w:val="-2"/>
                <w:szCs w:val="21"/>
                <w:highlight w:val="none"/>
                <w:lang w:val="en-US" w:eastAsia="zh-CN"/>
              </w:rPr>
              <w:t>二档</w:t>
            </w:r>
            <w:r>
              <w:rPr>
                <w:rFonts w:hint="eastAsia" w:ascii="宋体" w:hAnsi="宋体" w:cs="微软雅黑"/>
                <w:spacing w:val="-2"/>
                <w:szCs w:val="21"/>
                <w:highlight w:val="none"/>
              </w:rPr>
              <w:t>（</w:t>
            </w:r>
            <w:r>
              <w:rPr>
                <w:rFonts w:hint="eastAsia" w:ascii="宋体" w:hAnsi="宋体" w:cs="微软雅黑"/>
                <w:spacing w:val="-2"/>
                <w:szCs w:val="21"/>
                <w:highlight w:val="none"/>
                <w:lang w:val="en-US" w:eastAsia="zh-CN"/>
              </w:rPr>
              <w:t>5</w:t>
            </w:r>
            <w:r>
              <w:rPr>
                <w:rFonts w:hint="eastAsia" w:ascii="宋体" w:hAnsi="宋体" w:cs="微软雅黑"/>
                <w:spacing w:val="-2"/>
                <w:szCs w:val="21"/>
                <w:highlight w:val="none"/>
              </w:rPr>
              <w:t>分）：在一档基础上，团队总人数达到7人及以上，且团队中包含至少1名具有艺术设计、展览展示设计、环境艺术设计或多媒体相关专业背景（提供学历证书或职称证书</w:t>
            </w:r>
            <w:r>
              <w:rPr>
                <w:rFonts w:hint="eastAsia" w:ascii="宋体" w:hAnsi="宋体" w:cs="微软雅黑"/>
                <w:spacing w:val="-2"/>
                <w:szCs w:val="21"/>
                <w:highlight w:val="none"/>
                <w:lang w:val="en-US" w:eastAsia="zh-CN"/>
              </w:rPr>
              <w:t>或执业证书</w:t>
            </w:r>
            <w:r>
              <w:rPr>
                <w:rFonts w:hint="eastAsia" w:ascii="宋体" w:hAnsi="宋体" w:cs="微软雅黑"/>
                <w:spacing w:val="-2"/>
                <w:szCs w:val="21"/>
                <w:highlight w:val="none"/>
              </w:rPr>
              <w:t>）的人员。</w:t>
            </w:r>
          </w:p>
          <w:p w14:paraId="3F2D0E4D">
            <w:pPr>
              <w:pStyle w:val="16"/>
              <w:numPr>
                <w:ilvl w:val="0"/>
                <w:numId w:val="0"/>
              </w:numPr>
              <w:spacing w:after="0" w:line="360" w:lineRule="auto"/>
              <w:ind w:firstLine="412" w:firstLineChars="200"/>
              <w:rPr>
                <w:rFonts w:hint="eastAsia" w:ascii="宋体" w:hAnsi="宋体" w:cs="微软雅黑"/>
                <w:spacing w:val="-2"/>
                <w:szCs w:val="21"/>
                <w:highlight w:val="none"/>
              </w:rPr>
            </w:pPr>
            <w:r>
              <w:rPr>
                <w:rFonts w:hint="eastAsia" w:ascii="宋体" w:hAnsi="宋体" w:cs="微软雅黑"/>
                <w:spacing w:val="-2"/>
                <w:szCs w:val="21"/>
                <w:highlight w:val="none"/>
                <w:lang w:val="en-US" w:eastAsia="zh-CN"/>
              </w:rPr>
              <w:t>三档</w:t>
            </w:r>
            <w:r>
              <w:rPr>
                <w:rFonts w:hint="eastAsia" w:ascii="宋体" w:hAnsi="宋体" w:cs="微软雅黑"/>
                <w:spacing w:val="-2"/>
                <w:szCs w:val="21"/>
                <w:highlight w:val="none"/>
              </w:rPr>
              <w:t>（</w:t>
            </w:r>
            <w:r>
              <w:rPr>
                <w:rFonts w:hint="eastAsia" w:ascii="宋体" w:hAnsi="宋体" w:cs="微软雅黑"/>
                <w:spacing w:val="-2"/>
                <w:szCs w:val="21"/>
                <w:highlight w:val="none"/>
                <w:lang w:val="en-US" w:eastAsia="zh-CN"/>
              </w:rPr>
              <w:t>8</w:t>
            </w:r>
            <w:r>
              <w:rPr>
                <w:rFonts w:hint="eastAsia" w:ascii="宋体" w:hAnsi="宋体" w:cs="微软雅黑"/>
                <w:spacing w:val="-2"/>
                <w:szCs w:val="21"/>
                <w:highlight w:val="none"/>
              </w:rPr>
              <w:t>分）：在二档基础上，团队总人数达到8人及以上，且包含至少2名上述设计类专业人员，拟投入的展陈实施管理人员不少于3人，职责分工明确。</w:t>
            </w:r>
          </w:p>
          <w:p w14:paraId="64618712">
            <w:pPr>
              <w:pStyle w:val="16"/>
              <w:numPr>
                <w:ilvl w:val="-1"/>
                <w:numId w:val="0"/>
              </w:numPr>
              <w:spacing w:after="0" w:line="360" w:lineRule="auto"/>
              <w:ind w:firstLine="412" w:firstLineChars="200"/>
              <w:rPr>
                <w:rFonts w:hint="eastAsia" w:ascii="宋体" w:hAnsi="宋体" w:eastAsia="宋体" w:cs="宋体"/>
                <w:b/>
                <w:bCs/>
                <w:sz w:val="21"/>
                <w:szCs w:val="21"/>
                <w:highlight w:val="none"/>
                <w:lang w:val="en-US" w:eastAsia="zh-CN"/>
              </w:rPr>
            </w:pPr>
            <w:r>
              <w:rPr>
                <w:rFonts w:hint="eastAsia" w:ascii="宋体" w:hAnsi="宋体" w:cs="微软雅黑"/>
                <w:spacing w:val="-2"/>
                <w:szCs w:val="21"/>
                <w:highlight w:val="none"/>
                <w:lang w:val="en-US" w:eastAsia="zh-CN"/>
              </w:rPr>
              <w:t>四档</w:t>
            </w:r>
            <w:r>
              <w:rPr>
                <w:rFonts w:hint="eastAsia" w:ascii="宋体" w:hAnsi="宋体" w:cs="微软雅黑"/>
                <w:spacing w:val="-2"/>
                <w:szCs w:val="21"/>
                <w:highlight w:val="none"/>
              </w:rPr>
              <w:t>（1</w:t>
            </w:r>
            <w:r>
              <w:rPr>
                <w:rFonts w:hint="eastAsia" w:ascii="宋体" w:hAnsi="宋体" w:cs="微软雅黑"/>
                <w:spacing w:val="-2"/>
                <w:szCs w:val="21"/>
                <w:highlight w:val="none"/>
                <w:lang w:val="en-US" w:eastAsia="zh-CN"/>
              </w:rPr>
              <w:t>0</w:t>
            </w:r>
            <w:r>
              <w:rPr>
                <w:rFonts w:hint="eastAsia" w:ascii="宋体" w:hAnsi="宋体" w:cs="微软雅黑"/>
                <w:spacing w:val="-2"/>
                <w:szCs w:val="21"/>
                <w:highlight w:val="none"/>
              </w:rPr>
              <w:t>分）：在三档基础上，团队总人数达到9人及以上，且包含至少3名上述设计类专业人员，拟派项目负责人具有本科及以上学历或中级及以上职称（提供证书），展陈实施管理人员专业覆盖深化设计、多媒体集成、布展实施等领域，职责分工清晰</w:t>
            </w:r>
            <w:r>
              <w:rPr>
                <w:rFonts w:hint="eastAsia" w:ascii="宋体" w:hAnsi="宋体" w:cs="微软雅黑"/>
                <w:spacing w:val="-2"/>
                <w:szCs w:val="21"/>
                <w:highlight w:val="none"/>
                <w:lang w:eastAsia="zh-CN"/>
              </w:rPr>
              <w:t>。</w:t>
            </w:r>
          </w:p>
          <w:p w14:paraId="2FAEB3ED">
            <w:pPr>
              <w:pStyle w:val="16"/>
              <w:numPr>
                <w:ilvl w:val="-1"/>
                <w:numId w:val="0"/>
              </w:numPr>
              <w:spacing w:after="0" w:line="360" w:lineRule="auto"/>
              <w:ind w:firstLine="422" w:firstLineChars="200"/>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备注：①上述各岗位须配置独立人员，人员不得跨岗位兼任、不得重复计分。② 项目负责人、设计人员、展陈实施管理人员须由不同人员担任，不得相互兼任。③响应文件中须提供拟投入人员的名册（内容至少包括：姓名、身份证号、在本项目中的职务/岗位、相关人员的职业资格证书或岗位证书</w:t>
            </w:r>
            <w:r>
              <w:rPr>
                <w:rFonts w:hint="eastAsia" w:ascii="宋体" w:hAnsi="宋体" w:cs="宋体"/>
                <w:b/>
                <w:bCs/>
                <w:sz w:val="21"/>
                <w:szCs w:val="21"/>
                <w:highlight w:val="none"/>
                <w:lang w:val="en-US" w:eastAsia="zh-CN"/>
              </w:rPr>
              <w:t>或职称证书</w:t>
            </w:r>
            <w:r>
              <w:rPr>
                <w:rFonts w:hint="eastAsia" w:ascii="宋体" w:hAnsi="宋体" w:eastAsia="宋体" w:cs="宋体"/>
                <w:b/>
                <w:bCs/>
                <w:sz w:val="21"/>
                <w:szCs w:val="21"/>
                <w:highlight w:val="none"/>
                <w:lang w:val="en-US" w:eastAsia="zh-CN"/>
              </w:rPr>
              <w:t>（如有）），否则对应档次不得分。④ 供应商须承诺拟投入人员全程在岗履职，未经采购人书面同意不得随意更换（提供承诺函加盖公章），否则不得分。</w:t>
            </w:r>
          </w:p>
        </w:tc>
      </w:tr>
      <w:tr w14:paraId="48A6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04" w:type="dxa"/>
            <w:vMerge w:val="continue"/>
            <w:tcBorders>
              <w:left w:val="single" w:color="auto" w:sz="4" w:space="0"/>
              <w:right w:val="single" w:color="auto" w:sz="4" w:space="0"/>
            </w:tcBorders>
            <w:vAlign w:val="center"/>
          </w:tcPr>
          <w:p w14:paraId="353804E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ascii="宋体" w:hAnsi="宋体" w:cs="宋体"/>
                <w:bCs/>
                <w:color w:val="auto"/>
                <w:sz w:val="21"/>
                <w:szCs w:val="21"/>
                <w:highlight w:val="none"/>
              </w:rPr>
            </w:pPr>
          </w:p>
        </w:tc>
        <w:tc>
          <w:tcPr>
            <w:tcW w:w="1211" w:type="dxa"/>
            <w:vMerge w:val="continue"/>
            <w:tcBorders>
              <w:left w:val="single" w:color="auto" w:sz="4" w:space="0"/>
              <w:right w:val="single" w:color="auto" w:sz="4" w:space="0"/>
            </w:tcBorders>
            <w:vAlign w:val="center"/>
          </w:tcPr>
          <w:p w14:paraId="2388620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baseline"/>
              <w:rPr>
                <w:rFonts w:ascii="宋体" w:hAnsi="宋体"/>
                <w:color w:val="auto"/>
                <w:sz w:val="21"/>
                <w:szCs w:val="21"/>
                <w:highlight w:val="none"/>
              </w:rPr>
            </w:pPr>
          </w:p>
        </w:tc>
        <w:tc>
          <w:tcPr>
            <w:tcW w:w="1199" w:type="dxa"/>
            <w:tcBorders>
              <w:top w:val="single" w:color="auto" w:sz="4" w:space="0"/>
              <w:left w:val="single" w:color="auto" w:sz="4" w:space="0"/>
              <w:bottom w:val="single" w:color="auto" w:sz="4" w:space="0"/>
              <w:right w:val="single" w:color="auto" w:sz="4" w:space="0"/>
            </w:tcBorders>
            <w:vAlign w:val="center"/>
          </w:tcPr>
          <w:p w14:paraId="7D200C61">
            <w:pPr>
              <w:keepNext w:val="0"/>
              <w:keepLines w:val="0"/>
              <w:pageBreakBefore w:val="0"/>
              <w:widowControl/>
              <w:kinsoku/>
              <w:wordWrap/>
              <w:overflowPunct/>
              <w:topLinePunct w:val="0"/>
              <w:autoSpaceDE/>
              <w:autoSpaceDN/>
              <w:bidi w:val="0"/>
              <w:adjustRightInd w:val="0"/>
              <w:spacing w:line="360" w:lineRule="auto"/>
              <w:jc w:val="center"/>
              <w:textAlignment w:val="baseline"/>
              <w:rPr>
                <w:rFonts w:ascii="宋体" w:hAnsi="宋体" w:cs="微软雅黑"/>
                <w:bCs/>
                <w:color w:val="auto"/>
                <w:sz w:val="21"/>
                <w:szCs w:val="21"/>
                <w:highlight w:val="none"/>
              </w:rPr>
            </w:pPr>
            <w:r>
              <w:rPr>
                <w:rFonts w:hint="eastAsia" w:ascii="宋体" w:hAnsi="宋体"/>
                <w:bCs/>
                <w:color w:val="auto"/>
                <w:szCs w:val="21"/>
                <w:highlight w:val="none"/>
              </w:rPr>
              <w:t>履约能力分（</w:t>
            </w:r>
            <w:r>
              <w:rPr>
                <w:rFonts w:hint="eastAsia" w:ascii="宋体" w:hAnsi="宋体" w:cs="宋体"/>
                <w:bCs/>
                <w:color w:val="auto"/>
                <w:szCs w:val="21"/>
                <w:highlight w:val="none"/>
              </w:rPr>
              <w:t>满分</w:t>
            </w:r>
            <w:r>
              <w:rPr>
                <w:rFonts w:hint="eastAsia" w:ascii="宋体" w:hAnsi="宋体"/>
                <w:bCs/>
                <w:color w:val="auto"/>
                <w:szCs w:val="21"/>
                <w:highlight w:val="none"/>
                <w:lang w:val="en-US" w:eastAsia="zh-CN"/>
              </w:rPr>
              <w:t>3</w:t>
            </w:r>
            <w:r>
              <w:rPr>
                <w:rFonts w:hint="eastAsia" w:ascii="宋体" w:hAnsi="宋体"/>
                <w:bCs/>
                <w:color w:val="auto"/>
                <w:szCs w:val="21"/>
                <w:highlight w:val="none"/>
              </w:rPr>
              <w:t>分）</w:t>
            </w:r>
          </w:p>
        </w:tc>
        <w:tc>
          <w:tcPr>
            <w:tcW w:w="6606" w:type="dxa"/>
            <w:tcBorders>
              <w:top w:val="single" w:color="auto" w:sz="4" w:space="0"/>
              <w:left w:val="single" w:color="auto" w:sz="4" w:space="0"/>
              <w:bottom w:val="single" w:color="auto" w:sz="4" w:space="0"/>
              <w:right w:val="single" w:color="auto" w:sz="4" w:space="0"/>
            </w:tcBorders>
            <w:vAlign w:val="center"/>
          </w:tcPr>
          <w:p w14:paraId="58D50136">
            <w:pPr>
              <w:keepNext w:val="0"/>
              <w:keepLines w:val="0"/>
              <w:pageBreakBefore w:val="0"/>
              <w:widowControl w:val="0"/>
              <w:kinsoku/>
              <w:wordWrap/>
              <w:overflowPunct/>
              <w:topLinePunct w:val="0"/>
              <w:autoSpaceDE/>
              <w:autoSpaceDN/>
              <w:bidi w:val="0"/>
              <w:spacing w:line="360" w:lineRule="auto"/>
              <w:ind w:firstLine="420" w:firstLineChars="200"/>
              <w:rPr>
                <w:rFonts w:hint="eastAsia" w:ascii="宋体" w:hAnsi="宋体" w:eastAsia="宋体" w:cs="微软雅黑"/>
                <w:bCs/>
                <w:color w:val="auto"/>
                <w:sz w:val="21"/>
                <w:szCs w:val="21"/>
                <w:highlight w:val="none"/>
                <w:lang w:eastAsia="zh-CN"/>
              </w:rPr>
            </w:pPr>
            <w:r>
              <w:rPr>
                <w:rFonts w:hint="eastAsia" w:ascii="宋体" w:hAnsi="宋体" w:eastAsia="宋体" w:cs="宋体"/>
                <w:bCs/>
                <w:color w:val="auto"/>
                <w:szCs w:val="21"/>
                <w:highlight w:val="none"/>
                <w:lang w:val="en-US" w:eastAsia="zh-CN"/>
              </w:rPr>
              <w:t>供应商自</w:t>
            </w:r>
            <w:r>
              <w:rPr>
                <w:rFonts w:hint="eastAsia" w:ascii="宋体" w:hAnsi="宋体" w:eastAsia="宋体" w:cs="宋体"/>
                <w:bCs/>
                <w:color w:val="auto"/>
                <w:szCs w:val="21"/>
                <w:highlight w:val="none"/>
              </w:rPr>
              <w:t>202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年1月1日以来具有</w:t>
            </w:r>
            <w:r>
              <w:rPr>
                <w:rFonts w:hint="eastAsia" w:ascii="宋体" w:hAnsi="宋体" w:eastAsia="宋体" w:cs="宋体"/>
                <w:bCs/>
                <w:color w:val="auto"/>
                <w:szCs w:val="21"/>
                <w:highlight w:val="none"/>
                <w:lang w:val="en-US" w:eastAsia="zh-CN"/>
              </w:rPr>
              <w:t>类似项目</w:t>
            </w:r>
            <w:r>
              <w:rPr>
                <w:rFonts w:hint="eastAsia" w:ascii="宋体" w:hAnsi="宋体" w:eastAsia="宋体" w:cs="宋体"/>
                <w:bCs/>
                <w:color w:val="auto"/>
                <w:szCs w:val="21"/>
                <w:highlight w:val="none"/>
              </w:rPr>
              <w:t>业绩（以中标/成交通知书或签订的合同为准，并能清晰反映合同标的，</w:t>
            </w:r>
            <w:r>
              <w:rPr>
                <w:rFonts w:hint="eastAsia" w:ascii="宋体" w:hAnsi="宋体" w:eastAsia="宋体" w:cs="宋体"/>
                <w:color w:val="auto"/>
                <w:szCs w:val="21"/>
                <w:highlight w:val="none"/>
              </w:rPr>
              <w:t>同一项目不得重复计分</w:t>
            </w:r>
            <w:r>
              <w:rPr>
                <w:rFonts w:hint="eastAsia" w:ascii="宋体" w:hAnsi="宋体" w:eastAsia="宋体" w:cs="宋体"/>
                <w:bCs/>
                <w:color w:val="auto"/>
                <w:szCs w:val="21"/>
                <w:highlight w:val="none"/>
              </w:rPr>
              <w:t>），每提供1个业绩得</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分，最多得</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分。</w:t>
            </w:r>
          </w:p>
        </w:tc>
      </w:tr>
      <w:tr w14:paraId="25C2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720" w:type="dxa"/>
            <w:gridSpan w:val="4"/>
            <w:tcBorders>
              <w:top w:val="single" w:color="auto" w:sz="4" w:space="0"/>
              <w:left w:val="single" w:color="auto" w:sz="4" w:space="0"/>
              <w:bottom w:val="single" w:color="auto" w:sz="4" w:space="0"/>
              <w:right w:val="single" w:color="auto" w:sz="4" w:space="0"/>
            </w:tcBorders>
            <w:vAlign w:val="center"/>
          </w:tcPr>
          <w:p w14:paraId="75FBCBB0">
            <w:pPr>
              <w:snapToGrid w:val="0"/>
              <w:spacing w:line="360" w:lineRule="auto"/>
              <w:jc w:val="both"/>
              <w:rPr>
                <w:rFonts w:ascii="宋体" w:hAnsi="宋体" w:cs="宋体"/>
                <w:bCs/>
                <w:color w:val="auto"/>
                <w:sz w:val="21"/>
                <w:szCs w:val="21"/>
                <w:highlight w:val="none"/>
              </w:rPr>
            </w:pPr>
            <w:r>
              <w:rPr>
                <w:rFonts w:hint="eastAsia" w:ascii="宋体" w:hAnsi="宋体" w:cs="宋体"/>
                <w:b/>
                <w:color w:val="auto"/>
                <w:sz w:val="21"/>
                <w:szCs w:val="21"/>
                <w:highlight w:val="none"/>
              </w:rPr>
              <w:t>总得分=1+2+3</w:t>
            </w:r>
          </w:p>
        </w:tc>
      </w:tr>
      <w:tr w14:paraId="3C52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720" w:type="dxa"/>
            <w:gridSpan w:val="4"/>
            <w:tcBorders>
              <w:top w:val="single" w:color="auto" w:sz="4" w:space="0"/>
              <w:left w:val="single" w:color="auto" w:sz="4" w:space="0"/>
              <w:bottom w:val="single" w:color="auto" w:sz="4" w:space="0"/>
              <w:right w:val="single" w:color="auto" w:sz="4" w:space="0"/>
            </w:tcBorders>
            <w:vAlign w:val="center"/>
          </w:tcPr>
          <w:p w14:paraId="02FBB578">
            <w:pPr>
              <w:widowControl/>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p w14:paraId="6C570647">
            <w:pPr>
              <w:snapToGrid w:val="0"/>
              <w:spacing w:line="360" w:lineRule="auto"/>
              <w:jc w:val="both"/>
              <w:rPr>
                <w:rFonts w:hint="eastAsia" w:ascii="宋体" w:hAnsi="宋体" w:cs="宋体"/>
                <w:b/>
                <w:color w:val="auto"/>
                <w:sz w:val="21"/>
                <w:szCs w:val="21"/>
                <w:highlight w:val="none"/>
              </w:rPr>
            </w:pPr>
            <w:r>
              <w:rPr>
                <w:rFonts w:hint="eastAsia" w:ascii="宋体" w:hAnsi="宋体" w:eastAsia="宋体" w:cs="宋体"/>
                <w:color w:val="auto"/>
                <w:sz w:val="21"/>
                <w:szCs w:val="21"/>
                <w:highlight w:val="none"/>
                <w:lang w:val="en-US" w:eastAsia="zh-CN"/>
              </w:rPr>
              <w:t>本项目为服务采购项目，不属于财政部规定的节能产品和环境标志产品范畴，不适用财库〔2019〕9号及财库〔2019〕19号文件规定，也不适用《广西壮族自治区人民政府办公厅关于印发招标采购促进广西工业产品产销对接实施细则的通知》（桂政办发【2015】78号）的相关规定。</w:t>
            </w:r>
          </w:p>
        </w:tc>
      </w:tr>
    </w:tbl>
    <w:p w14:paraId="51E7F020">
      <w:pPr>
        <w:spacing w:line="360" w:lineRule="auto"/>
        <w:ind w:firstLine="420" w:firstLineChars="200"/>
        <w:rPr>
          <w:rFonts w:ascii="宋体" w:hAnsi="宋体" w:cs="宋体"/>
          <w:color w:val="auto"/>
          <w:sz w:val="24"/>
          <w:highlight w:val="none"/>
        </w:rPr>
      </w:pPr>
      <w:r>
        <w:rPr>
          <w:rFonts w:hint="eastAsia" w:ascii="宋体" w:hAnsi="宋体"/>
          <w:bCs/>
          <w:color w:val="auto"/>
          <w:szCs w:val="21"/>
          <w:highlight w:val="none"/>
        </w:rPr>
        <w:t>由磋商小组根据综合评分情况，按照评审得分由高到低顺序推荐3名以上成交候选供应商，并编写评审报告。符合本章第</w:t>
      </w:r>
      <w:r>
        <w:rPr>
          <w:rFonts w:hint="eastAsia" w:ascii="宋体" w:hAnsi="宋体"/>
          <w:bCs/>
          <w:color w:val="auto"/>
          <w:szCs w:val="21"/>
          <w:highlight w:val="none"/>
          <w:lang w:val="en-US" w:eastAsia="zh-CN"/>
        </w:rPr>
        <w:t>3.7</w:t>
      </w:r>
      <w:r>
        <w:rPr>
          <w:rFonts w:hint="eastAsia" w:ascii="宋体" w:hAnsi="宋体"/>
          <w:bCs/>
          <w:color w:val="auto"/>
          <w:szCs w:val="21"/>
          <w:highlight w:val="none"/>
        </w:rPr>
        <w:t>条情形的，可以推荐2家成交候选供应商。评审得分相同的，按照最后报价（不计算价格折扣）由</w:t>
      </w:r>
      <w:r>
        <w:rPr>
          <w:rFonts w:hint="eastAsia" w:ascii="宋体" w:hAnsi="宋体"/>
          <w:bCs/>
          <w:color w:val="auto"/>
          <w:szCs w:val="21"/>
          <w:highlight w:val="none"/>
          <w:lang w:val="en-US" w:eastAsia="zh-CN"/>
        </w:rPr>
        <w:t>低到高</w:t>
      </w:r>
      <w:r>
        <w:rPr>
          <w:rFonts w:hint="eastAsia" w:ascii="宋体" w:hAnsi="宋体"/>
          <w:bCs/>
          <w:color w:val="auto"/>
          <w:szCs w:val="21"/>
          <w:highlight w:val="none"/>
        </w:rPr>
        <w:t>的顺序推荐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评审得分且最后报价（不计算价格折扣）相同的，按照技术得分由高至低顺序推荐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评审得分且最后报价（不计算价格折扣）相同的</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服务</w:t>
      </w:r>
      <w:r>
        <w:rPr>
          <w:rFonts w:hint="eastAsia" w:ascii="宋体" w:hAnsi="宋体"/>
          <w:bCs/>
          <w:color w:val="auto"/>
          <w:szCs w:val="21"/>
          <w:highlight w:val="none"/>
        </w:rPr>
        <w:t>得分相同的</w:t>
      </w:r>
      <w:r>
        <w:rPr>
          <w:rFonts w:hint="eastAsia" w:ascii="宋体" w:hAnsi="宋体"/>
          <w:bCs/>
          <w:color w:val="auto"/>
          <w:szCs w:val="21"/>
          <w:highlight w:val="none"/>
          <w:lang w:eastAsia="zh-CN"/>
        </w:rPr>
        <w:t>，</w:t>
      </w:r>
      <w:r>
        <w:rPr>
          <w:rFonts w:hint="eastAsia" w:ascii="宋体" w:hAnsi="宋体"/>
          <w:bCs/>
          <w:color w:val="auto"/>
          <w:szCs w:val="21"/>
          <w:highlight w:val="none"/>
        </w:rPr>
        <w:t>按照</w:t>
      </w:r>
      <w:r>
        <w:rPr>
          <w:rFonts w:hint="eastAsia" w:ascii="宋体" w:hAnsi="宋体" w:cs="宋体"/>
          <w:color w:val="auto"/>
          <w:szCs w:val="21"/>
          <w:highlight w:val="none"/>
          <w:lang w:val="en-US" w:eastAsia="zh-CN"/>
        </w:rPr>
        <w:t>商务</w:t>
      </w:r>
      <w:r>
        <w:rPr>
          <w:rFonts w:hint="eastAsia" w:ascii="宋体" w:hAnsi="宋体" w:cs="宋体"/>
          <w:color w:val="auto"/>
          <w:kern w:val="0"/>
          <w:szCs w:val="21"/>
          <w:highlight w:val="none"/>
        </w:rPr>
        <w:t>得分</w:t>
      </w:r>
      <w:r>
        <w:rPr>
          <w:rFonts w:hint="eastAsia" w:ascii="宋体" w:hAnsi="宋体"/>
          <w:bCs/>
          <w:color w:val="auto"/>
          <w:szCs w:val="21"/>
          <w:highlight w:val="none"/>
        </w:rPr>
        <w:t>由高至低顺序推荐</w:t>
      </w:r>
      <w:r>
        <w:rPr>
          <w:rFonts w:hint="eastAsia" w:ascii="宋体" w:hAnsi="宋体"/>
          <w:bCs/>
          <w:color w:val="auto"/>
          <w:szCs w:val="21"/>
          <w:highlight w:val="none"/>
          <w:lang w:eastAsia="zh-CN"/>
        </w:rPr>
        <w:t>；</w:t>
      </w:r>
      <w:r>
        <w:rPr>
          <w:rFonts w:hint="eastAsia" w:ascii="宋体" w:hAnsi="宋体"/>
          <w:bCs/>
          <w:color w:val="auto"/>
          <w:szCs w:val="21"/>
          <w:highlight w:val="none"/>
        </w:rPr>
        <w:t>评审得分、最后报价（不计算价格折扣）、</w:t>
      </w:r>
      <w:r>
        <w:rPr>
          <w:rFonts w:hint="eastAsia" w:ascii="宋体" w:hAnsi="宋体"/>
          <w:bCs/>
          <w:color w:val="auto"/>
          <w:szCs w:val="21"/>
          <w:highlight w:val="none"/>
          <w:lang w:val="en-US" w:eastAsia="zh-CN"/>
        </w:rPr>
        <w:t>技术</w:t>
      </w:r>
      <w:r>
        <w:rPr>
          <w:rFonts w:hint="eastAsia" w:ascii="宋体" w:hAnsi="宋体"/>
          <w:bCs/>
          <w:color w:val="auto"/>
          <w:szCs w:val="21"/>
          <w:highlight w:val="none"/>
        </w:rPr>
        <w:t>得分、</w:t>
      </w:r>
      <w:r>
        <w:rPr>
          <w:rFonts w:hint="eastAsia" w:ascii="宋体" w:hAnsi="宋体" w:cs="宋体"/>
          <w:color w:val="auto"/>
          <w:szCs w:val="21"/>
          <w:highlight w:val="none"/>
          <w:lang w:val="en-US" w:eastAsia="zh-CN"/>
        </w:rPr>
        <w:t>商务</w:t>
      </w:r>
      <w:r>
        <w:rPr>
          <w:rFonts w:hint="eastAsia" w:ascii="宋体" w:hAnsi="宋体" w:cs="宋体"/>
          <w:color w:val="auto"/>
          <w:kern w:val="0"/>
          <w:szCs w:val="21"/>
          <w:highlight w:val="none"/>
        </w:rPr>
        <w:t>得分</w:t>
      </w:r>
      <w:r>
        <w:rPr>
          <w:rFonts w:hint="eastAsia" w:ascii="宋体" w:hAnsi="宋体"/>
          <w:bCs/>
          <w:color w:val="auto"/>
          <w:szCs w:val="21"/>
          <w:highlight w:val="none"/>
        </w:rPr>
        <w:t>均相同的，由磋商小组随机抽取推荐。</w:t>
      </w:r>
    </w:p>
    <w:p w14:paraId="49F3E0DA">
      <w:pPr>
        <w:spacing w:line="360" w:lineRule="auto"/>
        <w:ind w:firstLine="480" w:firstLineChars="200"/>
        <w:rPr>
          <w:rFonts w:ascii="宋体" w:hAnsi="宋体" w:cs="宋体"/>
          <w:color w:val="auto"/>
          <w:sz w:val="24"/>
          <w:highlight w:val="none"/>
        </w:rPr>
      </w:pPr>
    </w:p>
    <w:p w14:paraId="2C05F43F">
      <w:pPr>
        <w:rPr>
          <w:rFonts w:ascii="宋体" w:hAnsi="宋体" w:cs="宋体"/>
          <w:color w:val="auto"/>
          <w:highlight w:val="none"/>
        </w:rPr>
      </w:pPr>
    </w:p>
    <w:p w14:paraId="7B77E1AF">
      <w:pPr>
        <w:rPr>
          <w:rFonts w:ascii="宋体" w:hAnsi="宋体" w:cs="宋体"/>
          <w:color w:val="auto"/>
          <w:highlight w:val="none"/>
        </w:rPr>
      </w:pPr>
    </w:p>
    <w:p w14:paraId="4119FDBF">
      <w:pPr>
        <w:rPr>
          <w:rFonts w:ascii="宋体" w:hAnsi="宋体" w:cs="宋体"/>
          <w:color w:val="auto"/>
          <w:highlight w:val="none"/>
        </w:rPr>
      </w:pPr>
    </w:p>
    <w:p w14:paraId="3B6AA694">
      <w:pPr>
        <w:pStyle w:val="2"/>
        <w:jc w:val="center"/>
        <w:rPr>
          <w:rFonts w:ascii="宋体" w:hAnsi="宋体" w:cs="宋体"/>
          <w:color w:val="auto"/>
          <w:highlight w:val="none"/>
        </w:rPr>
      </w:pPr>
      <w:r>
        <w:rPr>
          <w:rFonts w:hint="eastAsia" w:ascii="宋体" w:hAnsi="宋体" w:cs="宋体"/>
          <w:color w:val="auto"/>
          <w:highlight w:val="none"/>
        </w:rPr>
        <w:br w:type="page"/>
      </w:r>
      <w:bookmarkStart w:id="45" w:name="_Toc11741"/>
      <w:r>
        <w:rPr>
          <w:rFonts w:hint="eastAsia" w:ascii="宋体" w:hAnsi="宋体" w:cs="宋体"/>
          <w:color w:val="auto"/>
          <w:highlight w:val="none"/>
        </w:rPr>
        <w:t>第五章</w:t>
      </w:r>
      <w:r>
        <w:rPr>
          <w:rFonts w:hint="eastAsia" w:ascii="宋体" w:hAnsi="宋体" w:cs="宋体"/>
          <w:color w:val="auto"/>
          <w:highlight w:val="none"/>
          <w:lang w:eastAsia="zh-CN"/>
        </w:rPr>
        <w:t>、</w:t>
      </w:r>
      <w:r>
        <w:rPr>
          <w:rFonts w:hint="eastAsia" w:ascii="宋体" w:hAnsi="宋体" w:cs="宋体"/>
          <w:color w:val="auto"/>
          <w:highlight w:val="none"/>
        </w:rPr>
        <w:t>响应文件格式</w:t>
      </w:r>
      <w:bookmarkEnd w:id="45"/>
    </w:p>
    <w:p w14:paraId="05855AC7">
      <w:pPr>
        <w:spacing w:line="240" w:lineRule="atLeast"/>
        <w:rPr>
          <w:rFonts w:ascii="宋体" w:hAnsi="宋体" w:cs="宋体"/>
          <w:b/>
          <w:color w:val="auto"/>
          <w:sz w:val="32"/>
          <w:szCs w:val="32"/>
          <w:highlight w:val="none"/>
        </w:rPr>
      </w:pPr>
    </w:p>
    <w:p w14:paraId="67F8440E">
      <w:pPr>
        <w:spacing w:line="240" w:lineRule="atLeast"/>
        <w:rPr>
          <w:rFonts w:ascii="宋体" w:hAnsi="宋体" w:cs="宋体"/>
          <w:bCs/>
          <w:color w:val="auto"/>
          <w:sz w:val="32"/>
          <w:szCs w:val="32"/>
          <w:highlight w:val="none"/>
        </w:rPr>
      </w:pPr>
    </w:p>
    <w:p w14:paraId="3A57BD08">
      <w:pPr>
        <w:jc w:val="center"/>
        <w:rPr>
          <w:rFonts w:ascii="宋体" w:hAnsi="宋体" w:cs="宋体"/>
          <w:b/>
          <w:color w:val="auto"/>
          <w:sz w:val="32"/>
          <w:szCs w:val="32"/>
          <w:highlight w:val="none"/>
        </w:rPr>
      </w:pPr>
      <w:bookmarkStart w:id="46" w:name="_Toc35611438"/>
      <w:bookmarkStart w:id="47" w:name="_Toc31723070"/>
      <w:bookmarkStart w:id="48" w:name="_Toc35611516"/>
      <w:bookmarkStart w:id="49" w:name="_Toc44229899"/>
      <w:bookmarkStart w:id="50" w:name="_Toc31728084"/>
      <w:bookmarkStart w:id="51" w:name="_Toc71365925"/>
      <w:r>
        <w:rPr>
          <w:rFonts w:hint="eastAsia" w:ascii="宋体" w:hAnsi="宋体" w:cs="宋体"/>
          <w:b/>
          <w:color w:val="auto"/>
          <w:sz w:val="32"/>
          <w:szCs w:val="32"/>
          <w:highlight w:val="none"/>
        </w:rPr>
        <w:t>一、资格证明文件格式</w:t>
      </w:r>
      <w:bookmarkEnd w:id="46"/>
      <w:bookmarkEnd w:id="47"/>
      <w:bookmarkEnd w:id="48"/>
      <w:bookmarkEnd w:id="49"/>
      <w:bookmarkEnd w:id="50"/>
      <w:bookmarkEnd w:id="51"/>
    </w:p>
    <w:p w14:paraId="52FB9D9E">
      <w:pPr>
        <w:snapToGrid w:val="0"/>
        <w:spacing w:before="156" w:beforeLines="50" w:after="50" w:line="360" w:lineRule="auto"/>
        <w:jc w:val="center"/>
        <w:rPr>
          <w:rFonts w:ascii="宋体" w:hAnsi="宋体" w:cs="宋体"/>
          <w:b/>
          <w:color w:val="auto"/>
          <w:sz w:val="24"/>
          <w:highlight w:val="none"/>
        </w:rPr>
      </w:pPr>
      <w:r>
        <w:rPr>
          <w:rFonts w:hint="eastAsia" w:ascii="宋体" w:hAnsi="宋体" w:cs="宋体"/>
          <w:b/>
          <w:color w:val="auto"/>
          <w:sz w:val="32"/>
          <w:szCs w:val="32"/>
          <w:highlight w:val="none"/>
        </w:rPr>
        <w:t>资格证明文件封面格式：</w:t>
      </w:r>
    </w:p>
    <w:p w14:paraId="19DA9BB4">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7294120B">
      <w:pPr>
        <w:snapToGrid w:val="0"/>
        <w:spacing w:before="156" w:beforeLines="50" w:after="50"/>
        <w:rPr>
          <w:rFonts w:ascii="宋体" w:hAnsi="宋体" w:cs="宋体"/>
          <w:color w:val="auto"/>
          <w:sz w:val="24"/>
          <w:szCs w:val="20"/>
          <w:highlight w:val="none"/>
        </w:rPr>
      </w:pPr>
    </w:p>
    <w:p w14:paraId="35851F0A">
      <w:pPr>
        <w:snapToGrid w:val="0"/>
        <w:spacing w:before="156" w:beforeLines="50" w:after="50"/>
        <w:jc w:val="center"/>
        <w:rPr>
          <w:rFonts w:ascii="宋体" w:hAnsi="宋体" w:cs="宋体"/>
          <w:bCs/>
          <w:color w:val="auto"/>
          <w:sz w:val="72"/>
          <w:szCs w:val="72"/>
          <w:highlight w:val="none"/>
        </w:rPr>
      </w:pPr>
      <w:r>
        <w:rPr>
          <w:rFonts w:hint="eastAsia" w:ascii="宋体" w:hAnsi="宋体" w:cs="宋体"/>
          <w:bCs/>
          <w:color w:val="auto"/>
          <w:sz w:val="72"/>
          <w:szCs w:val="72"/>
          <w:highlight w:val="none"/>
        </w:rPr>
        <w:t>响  应  文  件</w:t>
      </w:r>
    </w:p>
    <w:p w14:paraId="4F04A3F7">
      <w:pPr>
        <w:snapToGrid w:val="0"/>
        <w:spacing w:before="156" w:beforeLines="50" w:after="50"/>
        <w:jc w:val="center"/>
        <w:rPr>
          <w:rFonts w:ascii="宋体" w:hAnsi="宋体" w:cs="宋体"/>
          <w:bCs/>
          <w:color w:val="auto"/>
          <w:sz w:val="44"/>
          <w:szCs w:val="44"/>
          <w:highlight w:val="none"/>
        </w:rPr>
      </w:pPr>
    </w:p>
    <w:p w14:paraId="001312B3">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76C119F1">
      <w:pPr>
        <w:snapToGrid w:val="0"/>
        <w:spacing w:before="156" w:beforeLines="50" w:after="50"/>
        <w:rPr>
          <w:rFonts w:ascii="宋体" w:hAnsi="宋体" w:cs="宋体"/>
          <w:bCs/>
          <w:color w:val="auto"/>
          <w:sz w:val="24"/>
          <w:szCs w:val="20"/>
          <w:highlight w:val="none"/>
        </w:rPr>
      </w:pPr>
    </w:p>
    <w:p w14:paraId="690D263D">
      <w:pPr>
        <w:snapToGrid w:val="0"/>
        <w:spacing w:before="156" w:beforeLines="50" w:after="50"/>
        <w:rPr>
          <w:rFonts w:ascii="宋体" w:hAnsi="宋体" w:cs="宋体"/>
          <w:bCs/>
          <w:color w:val="auto"/>
          <w:sz w:val="22"/>
          <w:szCs w:val="18"/>
          <w:highlight w:val="none"/>
        </w:rPr>
      </w:pPr>
    </w:p>
    <w:p w14:paraId="3880EB2C">
      <w:pPr>
        <w:snapToGrid w:val="0"/>
        <w:spacing w:before="156" w:beforeLines="50" w:after="50"/>
        <w:rPr>
          <w:rFonts w:ascii="宋体" w:hAnsi="宋体" w:cs="宋体"/>
          <w:bCs/>
          <w:color w:val="auto"/>
          <w:sz w:val="22"/>
          <w:szCs w:val="18"/>
          <w:highlight w:val="none"/>
        </w:rPr>
      </w:pPr>
    </w:p>
    <w:p w14:paraId="44CAB7DF">
      <w:pPr>
        <w:snapToGrid w:val="0"/>
        <w:spacing w:before="156"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2FFCCB64">
      <w:pPr>
        <w:snapToGrid w:val="0"/>
        <w:spacing w:before="156" w:beforeLines="50" w:after="50"/>
        <w:ind w:firstLine="2396" w:firstLineChars="856"/>
        <w:rPr>
          <w:rFonts w:ascii="宋体" w:hAnsi="宋体" w:cs="宋体"/>
          <w:bCs/>
          <w:color w:val="auto"/>
          <w:sz w:val="28"/>
          <w:szCs w:val="28"/>
          <w:highlight w:val="none"/>
        </w:rPr>
      </w:pPr>
      <w:r>
        <w:rPr>
          <w:rFonts w:hint="eastAsia" w:ascii="宋体" w:hAnsi="宋体" w:cs="宋体"/>
          <w:bCs/>
          <w:color w:val="auto"/>
          <w:sz w:val="28"/>
          <w:szCs w:val="28"/>
          <w:highlight w:val="none"/>
        </w:rPr>
        <w:t>项目编号：</w:t>
      </w:r>
    </w:p>
    <w:p w14:paraId="10138BF4">
      <w:pPr>
        <w:snapToGrid w:val="0"/>
        <w:spacing w:before="156" w:beforeLines="50" w:after="50"/>
        <w:ind w:firstLine="2396" w:firstLineChars="85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所竞分标（如有）：</w:t>
      </w:r>
    </w:p>
    <w:p w14:paraId="58ECD433">
      <w:pPr>
        <w:snapToGrid w:val="0"/>
        <w:spacing w:before="156" w:beforeLines="50" w:after="50"/>
        <w:ind w:firstLine="2396" w:firstLineChars="856"/>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供应商名称：</w:t>
      </w:r>
    </w:p>
    <w:p w14:paraId="10958A16">
      <w:pPr>
        <w:pStyle w:val="7"/>
        <w:snapToGrid w:val="0"/>
        <w:spacing w:before="50" w:after="50"/>
        <w:ind w:firstLine="630" w:firstLineChars="225"/>
        <w:rPr>
          <w:rFonts w:ascii="宋体" w:hAnsi="宋体" w:cs="宋体"/>
          <w:bCs/>
          <w:color w:val="auto"/>
          <w:sz w:val="28"/>
          <w:szCs w:val="28"/>
          <w:highlight w:val="none"/>
        </w:rPr>
      </w:pPr>
    </w:p>
    <w:p w14:paraId="53DF3480">
      <w:pPr>
        <w:pStyle w:val="7"/>
        <w:snapToGrid w:val="0"/>
        <w:spacing w:before="50" w:after="50"/>
        <w:ind w:firstLine="630" w:firstLineChars="225"/>
        <w:rPr>
          <w:rFonts w:ascii="宋体" w:hAnsi="宋体" w:cs="宋体"/>
          <w:bCs/>
          <w:color w:val="auto"/>
          <w:sz w:val="28"/>
          <w:szCs w:val="28"/>
          <w:highlight w:val="none"/>
        </w:rPr>
      </w:pPr>
    </w:p>
    <w:p w14:paraId="34EDE96B">
      <w:pPr>
        <w:pStyle w:val="7"/>
        <w:snapToGrid w:val="0"/>
        <w:spacing w:before="50" w:after="50"/>
        <w:ind w:firstLine="1120" w:firstLineChars="400"/>
        <w:rPr>
          <w:rFonts w:ascii="宋体" w:hAnsi="宋体" w:cs="宋体"/>
          <w:bCs/>
          <w:color w:val="auto"/>
          <w:sz w:val="28"/>
          <w:szCs w:val="28"/>
          <w:highlight w:val="none"/>
        </w:rPr>
      </w:pPr>
    </w:p>
    <w:p w14:paraId="26207C53">
      <w:pPr>
        <w:snapToGrid w:val="0"/>
        <w:spacing w:before="156" w:beforeLines="50" w:after="5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474E3672">
      <w:pPr>
        <w:snapToGrid w:val="0"/>
        <w:spacing w:before="156" w:beforeLines="50" w:after="50"/>
        <w:ind w:left="142"/>
        <w:jc w:val="left"/>
        <w:rPr>
          <w:rFonts w:ascii="宋体" w:hAnsi="宋体" w:cs="宋体"/>
          <w:b/>
          <w:bCs/>
          <w:color w:val="auto"/>
          <w:sz w:val="32"/>
          <w:szCs w:val="32"/>
          <w:highlight w:val="none"/>
        </w:rPr>
      </w:pPr>
      <w:r>
        <w:rPr>
          <w:rFonts w:hint="eastAsia" w:ascii="宋体" w:hAnsi="宋体" w:cs="宋体"/>
          <w:color w:val="auto"/>
          <w:sz w:val="22"/>
          <w:szCs w:val="22"/>
          <w:highlight w:val="none"/>
        </w:rPr>
        <w:br w:type="page"/>
      </w:r>
      <w:r>
        <w:rPr>
          <w:rFonts w:hint="eastAsia" w:ascii="宋体" w:hAnsi="宋体" w:cs="宋体"/>
          <w:b/>
          <w:bCs/>
          <w:color w:val="auto"/>
          <w:sz w:val="32"/>
          <w:szCs w:val="32"/>
          <w:highlight w:val="none"/>
        </w:rPr>
        <w:t>资格证明文件目录</w:t>
      </w:r>
    </w:p>
    <w:p w14:paraId="1E8B9965">
      <w:pPr>
        <w:snapToGrid w:val="0"/>
        <w:spacing w:before="156" w:beforeLines="50" w:after="50" w:line="360" w:lineRule="auto"/>
        <w:ind w:firstLine="0"/>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6C887355">
      <w:pPr>
        <w:snapToGrid w:val="0"/>
        <w:spacing w:before="156" w:beforeLines="50" w:after="50"/>
        <w:rPr>
          <w:rFonts w:ascii="宋体" w:hAnsi="宋体" w:cs="宋体"/>
          <w:color w:val="auto"/>
          <w:szCs w:val="21"/>
          <w:highlight w:val="none"/>
        </w:rPr>
      </w:pPr>
      <w:r>
        <w:rPr>
          <w:rFonts w:hint="eastAsia" w:ascii="宋体" w:hAnsi="宋体" w:cs="宋体"/>
          <w:color w:val="auto"/>
          <w:sz w:val="22"/>
          <w:szCs w:val="18"/>
          <w:highlight w:val="none"/>
        </w:rPr>
        <w:t xml:space="preserve"> </w:t>
      </w:r>
    </w:p>
    <w:p w14:paraId="49BD7432">
      <w:pPr>
        <w:spacing w:line="300" w:lineRule="auto"/>
        <w:rPr>
          <w:rFonts w:ascii="宋体" w:hAnsi="宋体" w:cs="宋体"/>
          <w:color w:val="auto"/>
          <w:szCs w:val="21"/>
          <w:highlight w:val="none"/>
        </w:rPr>
      </w:pPr>
    </w:p>
    <w:p w14:paraId="041F86CC">
      <w:pPr>
        <w:spacing w:line="300" w:lineRule="auto"/>
        <w:rPr>
          <w:rFonts w:ascii="宋体" w:hAnsi="宋体" w:cs="宋体"/>
          <w:color w:val="auto"/>
          <w:szCs w:val="21"/>
          <w:highlight w:val="none"/>
        </w:rPr>
      </w:pPr>
    </w:p>
    <w:p w14:paraId="4882F169">
      <w:pPr>
        <w:spacing w:line="300" w:lineRule="auto"/>
        <w:rPr>
          <w:rFonts w:ascii="宋体" w:hAnsi="宋体" w:cs="宋体"/>
          <w:color w:val="auto"/>
          <w:szCs w:val="21"/>
          <w:highlight w:val="none"/>
        </w:rPr>
      </w:pPr>
    </w:p>
    <w:p w14:paraId="627436EA">
      <w:pPr>
        <w:spacing w:line="300" w:lineRule="auto"/>
        <w:rPr>
          <w:rFonts w:ascii="宋体" w:hAnsi="宋体" w:cs="宋体"/>
          <w:color w:val="auto"/>
          <w:szCs w:val="21"/>
          <w:highlight w:val="none"/>
        </w:rPr>
      </w:pPr>
    </w:p>
    <w:p w14:paraId="1F6B8CD2">
      <w:pPr>
        <w:spacing w:line="300" w:lineRule="auto"/>
        <w:rPr>
          <w:rFonts w:ascii="宋体" w:hAnsi="宋体" w:cs="宋体"/>
          <w:color w:val="auto"/>
          <w:szCs w:val="21"/>
          <w:highlight w:val="none"/>
        </w:rPr>
      </w:pPr>
    </w:p>
    <w:p w14:paraId="7C0617A5">
      <w:pPr>
        <w:spacing w:line="300" w:lineRule="auto"/>
        <w:rPr>
          <w:rFonts w:ascii="宋体" w:hAnsi="宋体" w:cs="宋体"/>
          <w:color w:val="auto"/>
          <w:szCs w:val="21"/>
          <w:highlight w:val="none"/>
        </w:rPr>
      </w:pPr>
    </w:p>
    <w:p w14:paraId="10C62076">
      <w:pPr>
        <w:jc w:val="center"/>
        <w:rPr>
          <w:rFonts w:ascii="宋体" w:hAnsi="宋体" w:cs="宋体"/>
          <w:b/>
          <w:color w:val="auto"/>
          <w:sz w:val="32"/>
          <w:szCs w:val="32"/>
          <w:highlight w:val="none"/>
        </w:rPr>
      </w:pPr>
      <w:r>
        <w:rPr>
          <w:rFonts w:hint="eastAsia" w:ascii="宋体" w:hAnsi="宋体" w:cs="宋体"/>
          <w:color w:val="auto"/>
          <w:szCs w:val="21"/>
          <w:highlight w:val="none"/>
        </w:rPr>
        <w:br w:type="page"/>
      </w:r>
    </w:p>
    <w:p w14:paraId="3B88C019">
      <w:pPr>
        <w:snapToGrid w:val="0"/>
        <w:spacing w:line="360" w:lineRule="auto"/>
        <w:ind w:firstLine="0" w:firstLineChars="0"/>
        <w:rPr>
          <w:rFonts w:hint="eastAsia" w:ascii="宋体" w:hAnsi="宋体" w:eastAsia="宋体" w:cs="宋体"/>
          <w:color w:val="auto"/>
          <w:sz w:val="28"/>
          <w:szCs w:val="28"/>
          <w:highlight w:val="none"/>
          <w:lang w:eastAsia="zh-CN"/>
        </w:rPr>
      </w:pPr>
      <w:r>
        <w:rPr>
          <w:rFonts w:hint="eastAsia" w:ascii="宋体" w:hAnsi="宋体" w:eastAsia="宋体" w:cs="宋体"/>
          <w:b/>
          <w:bCs/>
          <w:color w:val="auto"/>
          <w:sz w:val="28"/>
          <w:szCs w:val="28"/>
          <w:highlight w:val="none"/>
        </w:rPr>
        <w:t>1.供应商为法人或者其他组织的，证明文件为其营业执照（如营业执照或者事业单位法人证书或者执业许可证等）；供应商为自然人的，证明文件为其身份证</w:t>
      </w:r>
      <w:r>
        <w:rPr>
          <w:rFonts w:hint="eastAsia" w:ascii="宋体" w:hAnsi="宋体" w:cs="宋体"/>
          <w:b/>
          <w:bCs/>
          <w:color w:val="auto"/>
          <w:sz w:val="28"/>
          <w:szCs w:val="28"/>
          <w:highlight w:val="none"/>
          <w:lang w:val="en-US" w:eastAsia="zh-CN"/>
        </w:rPr>
        <w:t>正反面</w:t>
      </w:r>
    </w:p>
    <w:p w14:paraId="03B26C73">
      <w:pPr>
        <w:spacing w:line="360" w:lineRule="auto"/>
        <w:ind w:firstLine="560" w:firstLineChars="200"/>
        <w:contextualSpacing/>
        <w:jc w:val="left"/>
        <w:rPr>
          <w:rFonts w:hint="eastAsia" w:ascii="宋体" w:hAnsi="宋体" w:eastAsia="宋体" w:cs="宋体"/>
          <w:color w:val="auto"/>
          <w:sz w:val="28"/>
          <w:szCs w:val="28"/>
          <w:highlight w:val="none"/>
        </w:rPr>
      </w:pPr>
    </w:p>
    <w:p w14:paraId="64454106">
      <w:pPr>
        <w:snapToGrid w:val="0"/>
        <w:spacing w:line="360" w:lineRule="auto"/>
        <w:ind w:firstLine="0" w:firstLineChars="0"/>
        <w:contextualSpacing w:val="0"/>
        <w:jc w:val="left"/>
        <w:rPr>
          <w:rFonts w:hint="eastAsia" w:ascii="宋体" w:hAnsi="宋体" w:eastAsia="宋体" w:cs="宋体"/>
          <w:b/>
          <w:bCs/>
          <w:color w:val="auto"/>
          <w:sz w:val="28"/>
          <w:szCs w:val="28"/>
          <w:highlight w:val="none"/>
        </w:rPr>
      </w:pPr>
    </w:p>
    <w:p w14:paraId="4CAD0065">
      <w:pPr>
        <w:snapToGrid w:val="0"/>
        <w:spacing w:line="360" w:lineRule="auto"/>
        <w:ind w:firstLine="0" w:firstLineChars="0"/>
        <w:contextualSpacing w:val="0"/>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2.供应商依法缴纳税收的相关材料</w:t>
      </w:r>
    </w:p>
    <w:p w14:paraId="7D384279">
      <w:pPr>
        <w:spacing w:line="360" w:lineRule="auto"/>
        <w:ind w:firstLine="560" w:firstLineChars="200"/>
        <w:contextualSpacing/>
        <w:jc w:val="left"/>
        <w:rPr>
          <w:rFonts w:hint="eastAsia" w:ascii="宋体" w:hAnsi="宋体" w:eastAsia="宋体" w:cs="宋体"/>
          <w:color w:val="auto"/>
          <w:sz w:val="28"/>
          <w:szCs w:val="28"/>
          <w:highlight w:val="none"/>
        </w:rPr>
      </w:pPr>
    </w:p>
    <w:p w14:paraId="0D661C80">
      <w:pPr>
        <w:spacing w:line="360" w:lineRule="auto"/>
        <w:ind w:firstLine="560" w:firstLineChars="200"/>
        <w:contextualSpacing/>
        <w:jc w:val="left"/>
        <w:rPr>
          <w:rFonts w:hint="eastAsia" w:ascii="宋体" w:hAnsi="宋体" w:eastAsia="宋体" w:cs="宋体"/>
          <w:color w:val="auto"/>
          <w:sz w:val="28"/>
          <w:szCs w:val="28"/>
          <w:highlight w:val="none"/>
        </w:rPr>
      </w:pPr>
    </w:p>
    <w:p w14:paraId="29BBA5AC">
      <w:pPr>
        <w:snapToGrid w:val="0"/>
        <w:spacing w:line="360" w:lineRule="auto"/>
        <w:ind w:firstLine="0" w:firstLineChars="0"/>
        <w:contextualSpacing w:val="0"/>
        <w:jc w:val="left"/>
        <w:rPr>
          <w:rFonts w:hint="eastAsia" w:ascii="宋体" w:hAnsi="宋体" w:eastAsia="宋体" w:cs="宋体"/>
          <w:b/>
          <w:bCs/>
          <w:color w:val="auto"/>
          <w:sz w:val="28"/>
          <w:szCs w:val="28"/>
          <w:highlight w:val="none"/>
        </w:rPr>
      </w:pPr>
    </w:p>
    <w:p w14:paraId="6E0C4267">
      <w:pPr>
        <w:snapToGrid w:val="0"/>
        <w:spacing w:line="360" w:lineRule="auto"/>
        <w:ind w:firstLine="0" w:firstLineChars="0"/>
        <w:contextualSpacing w:val="0"/>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3.供应商依法缴纳社会保障资金的相关材料</w:t>
      </w:r>
    </w:p>
    <w:p w14:paraId="22354C91">
      <w:pPr>
        <w:spacing w:line="360" w:lineRule="auto"/>
        <w:ind w:firstLine="0" w:firstLineChars="0"/>
        <w:contextualSpacing/>
        <w:jc w:val="left"/>
        <w:rPr>
          <w:rFonts w:hint="eastAsia" w:ascii="宋体" w:hAnsi="宋体" w:eastAsia="宋体" w:cs="宋体"/>
          <w:color w:val="auto"/>
          <w:sz w:val="28"/>
          <w:szCs w:val="28"/>
          <w:highlight w:val="none"/>
        </w:rPr>
      </w:pPr>
    </w:p>
    <w:p w14:paraId="4A1B2EB4">
      <w:pPr>
        <w:spacing w:line="360" w:lineRule="auto"/>
        <w:ind w:firstLine="0" w:firstLineChars="0"/>
        <w:contextualSpacing/>
        <w:jc w:val="left"/>
        <w:rPr>
          <w:rFonts w:hint="eastAsia" w:ascii="宋体" w:hAnsi="宋体" w:eastAsia="宋体" w:cs="宋体"/>
          <w:color w:val="auto"/>
          <w:sz w:val="28"/>
          <w:szCs w:val="28"/>
          <w:highlight w:val="none"/>
        </w:rPr>
      </w:pPr>
    </w:p>
    <w:p w14:paraId="5A5A2AC1">
      <w:pPr>
        <w:snapToGrid w:val="0"/>
        <w:spacing w:line="360" w:lineRule="auto"/>
        <w:ind w:firstLine="0" w:firstLineChars="0"/>
        <w:jc w:val="left"/>
        <w:rPr>
          <w:rFonts w:hint="eastAsia" w:ascii="宋体" w:hAnsi="宋体" w:eastAsia="宋体" w:cs="宋体"/>
          <w:b/>
          <w:bCs/>
          <w:color w:val="auto"/>
          <w:sz w:val="28"/>
          <w:szCs w:val="28"/>
          <w:highlight w:val="none"/>
        </w:rPr>
      </w:pPr>
    </w:p>
    <w:p w14:paraId="560811D1">
      <w:pPr>
        <w:snapToGrid w:val="0"/>
        <w:spacing w:line="360" w:lineRule="auto"/>
        <w:ind w:firstLine="0" w:firstLineChars="0"/>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4.供应商财务状况报告</w:t>
      </w:r>
    </w:p>
    <w:p w14:paraId="40DC88F2">
      <w:pPr>
        <w:jc w:val="left"/>
        <w:rPr>
          <w:rFonts w:hint="eastAsia" w:ascii="宋体" w:hAnsi="宋体" w:cs="宋体"/>
          <w:b/>
          <w:color w:val="auto"/>
          <w:sz w:val="32"/>
          <w:szCs w:val="32"/>
          <w:highlight w:val="none"/>
        </w:rPr>
      </w:pPr>
    </w:p>
    <w:p w14:paraId="5166E301">
      <w:pPr>
        <w:jc w:val="left"/>
        <w:rPr>
          <w:rFonts w:hint="eastAsia" w:ascii="宋体" w:hAnsi="宋体" w:cs="宋体"/>
          <w:b/>
          <w:color w:val="auto"/>
          <w:sz w:val="32"/>
          <w:szCs w:val="32"/>
          <w:highlight w:val="none"/>
        </w:rPr>
      </w:pPr>
    </w:p>
    <w:p w14:paraId="0D16072F">
      <w:pPr>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1BD80ABD">
      <w:pPr>
        <w:jc w:val="both"/>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供应商直接控股、管理关系信息表</w:t>
      </w:r>
    </w:p>
    <w:p w14:paraId="395C9499">
      <w:pPr>
        <w:jc w:val="center"/>
        <w:rPr>
          <w:rFonts w:hint="eastAsia" w:ascii="宋体" w:hAnsi="宋体" w:cs="宋体"/>
          <w:b/>
          <w:color w:val="auto"/>
          <w:sz w:val="32"/>
          <w:szCs w:val="32"/>
          <w:highlight w:val="none"/>
        </w:rPr>
      </w:pPr>
    </w:p>
    <w:p w14:paraId="4A20AD28">
      <w:pPr>
        <w:jc w:val="center"/>
        <w:rPr>
          <w:rFonts w:ascii="宋体" w:hAnsi="宋体" w:cs="宋体"/>
          <w:b/>
          <w:color w:val="auto"/>
          <w:sz w:val="28"/>
          <w:szCs w:val="28"/>
          <w:highlight w:val="none"/>
        </w:rPr>
      </w:pPr>
      <w:r>
        <w:rPr>
          <w:rFonts w:hint="eastAsia" w:ascii="宋体" w:hAnsi="宋体" w:cs="宋体"/>
          <w:b/>
          <w:color w:val="auto"/>
          <w:sz w:val="28"/>
          <w:szCs w:val="28"/>
          <w:highlight w:val="none"/>
        </w:rPr>
        <w:t>供应商</w:t>
      </w:r>
      <w:r>
        <w:rPr>
          <w:rFonts w:hint="eastAsia" w:ascii="宋体" w:hAnsi="宋体" w:cs="宋体"/>
          <w:b/>
          <w:color w:val="auto"/>
          <w:kern w:val="0"/>
          <w:sz w:val="28"/>
          <w:szCs w:val="28"/>
          <w:highlight w:val="none"/>
        </w:rPr>
        <w:t>直接控股股东信息表</w:t>
      </w:r>
    </w:p>
    <w:p w14:paraId="23251E08">
      <w:pPr>
        <w:spacing w:line="360" w:lineRule="auto"/>
        <w:contextualSpacing/>
        <w:jc w:val="center"/>
        <w:rPr>
          <w:rFonts w:ascii="宋体" w:hAnsi="宋体" w:cs="宋体"/>
          <w:b/>
          <w:color w:val="auto"/>
          <w:sz w:val="24"/>
          <w:highlight w:val="none"/>
        </w:rPr>
      </w:pPr>
    </w:p>
    <w:tbl>
      <w:tblPr>
        <w:tblStyle w:val="33"/>
        <w:tblW w:w="9557" w:type="dxa"/>
        <w:jc w:val="center"/>
        <w:shd w:val="clear" w:color="auto" w:fill="FBFBFB"/>
        <w:tblLayout w:type="fixed"/>
        <w:tblCellMar>
          <w:top w:w="0" w:type="dxa"/>
          <w:left w:w="0" w:type="dxa"/>
          <w:bottom w:w="0" w:type="dxa"/>
          <w:right w:w="0" w:type="dxa"/>
        </w:tblCellMar>
      </w:tblPr>
      <w:tblGrid>
        <w:gridCol w:w="828"/>
        <w:gridCol w:w="2500"/>
        <w:gridCol w:w="1371"/>
        <w:gridCol w:w="4039"/>
        <w:gridCol w:w="819"/>
      </w:tblGrid>
      <w:tr w14:paraId="2BED2EE4">
        <w:tblPrEx>
          <w:shd w:val="clear" w:color="auto" w:fill="FBFBFB"/>
          <w:tblCellMar>
            <w:top w:w="0" w:type="dxa"/>
            <w:left w:w="0" w:type="dxa"/>
            <w:bottom w:w="0" w:type="dxa"/>
            <w:right w:w="0" w:type="dxa"/>
          </w:tblCellMar>
        </w:tblPrEx>
        <w:trPr>
          <w:trHeight w:val="532" w:hRule="atLeast"/>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FDD9DE">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C05FE">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直接控股股东名称</w:t>
            </w: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69ED424">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出资比例</w:t>
            </w: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3D2E03">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身份证号码或者统一社会信用代码</w:t>
            </w: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41B0720">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167CB0A0">
        <w:tblPrEx>
          <w:shd w:val="clear" w:color="auto" w:fill="FBFBFB"/>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2CB99E">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D9C59A">
            <w:pPr>
              <w:widowControl/>
              <w:spacing w:line="360" w:lineRule="auto"/>
              <w:contextualSpacing/>
              <w:jc w:val="center"/>
              <w:rPr>
                <w:rFonts w:ascii="宋体" w:hAnsi="宋体" w:cs="宋体"/>
                <w:color w:val="auto"/>
                <w:kern w:val="0"/>
                <w:sz w:val="21"/>
                <w:szCs w:val="21"/>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7E91AB">
            <w:pPr>
              <w:widowControl/>
              <w:spacing w:line="360" w:lineRule="auto"/>
              <w:contextualSpacing/>
              <w:jc w:val="center"/>
              <w:rPr>
                <w:rFonts w:ascii="宋体" w:hAnsi="宋体" w:cs="宋体"/>
                <w:color w:val="auto"/>
                <w:kern w:val="0"/>
                <w:sz w:val="21"/>
                <w:szCs w:val="21"/>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2A7161A">
            <w:pPr>
              <w:widowControl/>
              <w:spacing w:line="360" w:lineRule="auto"/>
              <w:contextualSpacing/>
              <w:jc w:val="center"/>
              <w:rPr>
                <w:rFonts w:ascii="宋体" w:hAnsi="宋体" w:cs="宋体"/>
                <w:color w:val="auto"/>
                <w:kern w:val="0"/>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F07BA23">
            <w:pPr>
              <w:widowControl/>
              <w:spacing w:line="360" w:lineRule="auto"/>
              <w:contextualSpacing/>
              <w:jc w:val="center"/>
              <w:rPr>
                <w:rFonts w:ascii="宋体" w:hAnsi="宋体" w:cs="宋体"/>
                <w:color w:val="auto"/>
                <w:kern w:val="0"/>
                <w:sz w:val="21"/>
                <w:szCs w:val="21"/>
                <w:highlight w:val="none"/>
              </w:rPr>
            </w:pPr>
          </w:p>
        </w:tc>
      </w:tr>
      <w:tr w14:paraId="4C332662">
        <w:tblPrEx>
          <w:shd w:val="clear" w:color="auto" w:fill="FBFBFB"/>
          <w:tblCellMar>
            <w:top w:w="0" w:type="dxa"/>
            <w:left w:w="0" w:type="dxa"/>
            <w:bottom w:w="0" w:type="dxa"/>
            <w:right w:w="0" w:type="dxa"/>
          </w:tblCellMar>
        </w:tblPrEx>
        <w:trPr>
          <w:trHeight w:val="532"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890B0C8">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DACD82">
            <w:pPr>
              <w:widowControl/>
              <w:spacing w:line="360" w:lineRule="auto"/>
              <w:contextualSpacing/>
              <w:jc w:val="center"/>
              <w:rPr>
                <w:rFonts w:ascii="宋体" w:hAnsi="宋体" w:cs="宋体"/>
                <w:color w:val="auto"/>
                <w:kern w:val="0"/>
                <w:sz w:val="21"/>
                <w:szCs w:val="21"/>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0AE0CC">
            <w:pPr>
              <w:widowControl/>
              <w:spacing w:line="360" w:lineRule="auto"/>
              <w:contextualSpacing/>
              <w:jc w:val="center"/>
              <w:rPr>
                <w:rFonts w:ascii="宋体" w:hAnsi="宋体" w:cs="宋体"/>
                <w:color w:val="auto"/>
                <w:kern w:val="0"/>
                <w:sz w:val="21"/>
                <w:szCs w:val="21"/>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5ED398">
            <w:pPr>
              <w:widowControl/>
              <w:spacing w:line="360" w:lineRule="auto"/>
              <w:contextualSpacing/>
              <w:jc w:val="center"/>
              <w:rPr>
                <w:rFonts w:ascii="宋体" w:hAnsi="宋体" w:cs="宋体"/>
                <w:color w:val="auto"/>
                <w:kern w:val="0"/>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E82DD6">
            <w:pPr>
              <w:widowControl/>
              <w:spacing w:line="360" w:lineRule="auto"/>
              <w:contextualSpacing/>
              <w:jc w:val="center"/>
              <w:rPr>
                <w:rFonts w:ascii="宋体" w:hAnsi="宋体" w:cs="宋体"/>
                <w:color w:val="auto"/>
                <w:kern w:val="0"/>
                <w:sz w:val="21"/>
                <w:szCs w:val="21"/>
                <w:highlight w:val="none"/>
              </w:rPr>
            </w:pPr>
          </w:p>
        </w:tc>
      </w:tr>
      <w:tr w14:paraId="4E92B671">
        <w:tblPrEx>
          <w:shd w:val="clear" w:color="auto" w:fill="FBFBFB"/>
          <w:tblCellMar>
            <w:top w:w="0" w:type="dxa"/>
            <w:left w:w="0" w:type="dxa"/>
            <w:bottom w:w="0" w:type="dxa"/>
            <w:right w:w="0" w:type="dxa"/>
          </w:tblCellMar>
        </w:tblPrEx>
        <w:trPr>
          <w:trHeight w:val="544" w:hRule="atLeast"/>
          <w:jc w:val="center"/>
        </w:trPr>
        <w:tc>
          <w:tcPr>
            <w:tcW w:w="82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546DEB">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25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09B4EC">
            <w:pPr>
              <w:widowControl/>
              <w:spacing w:line="360" w:lineRule="auto"/>
              <w:contextualSpacing/>
              <w:jc w:val="center"/>
              <w:rPr>
                <w:rFonts w:ascii="宋体" w:hAnsi="宋体" w:cs="宋体"/>
                <w:color w:val="auto"/>
                <w:kern w:val="0"/>
                <w:sz w:val="21"/>
                <w:szCs w:val="21"/>
                <w:highlight w:val="none"/>
              </w:rPr>
            </w:pPr>
          </w:p>
        </w:tc>
        <w:tc>
          <w:tcPr>
            <w:tcW w:w="137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6EB8CC">
            <w:pPr>
              <w:widowControl/>
              <w:spacing w:line="360" w:lineRule="auto"/>
              <w:contextualSpacing/>
              <w:jc w:val="center"/>
              <w:rPr>
                <w:rFonts w:ascii="宋体" w:hAnsi="宋体" w:cs="宋体"/>
                <w:color w:val="auto"/>
                <w:kern w:val="0"/>
                <w:sz w:val="21"/>
                <w:szCs w:val="21"/>
                <w:highlight w:val="none"/>
              </w:rPr>
            </w:pPr>
          </w:p>
        </w:tc>
        <w:tc>
          <w:tcPr>
            <w:tcW w:w="403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CB435B6">
            <w:pPr>
              <w:widowControl/>
              <w:spacing w:line="360" w:lineRule="auto"/>
              <w:contextualSpacing/>
              <w:jc w:val="center"/>
              <w:rPr>
                <w:rFonts w:ascii="宋体" w:hAnsi="宋体" w:cs="宋体"/>
                <w:color w:val="auto"/>
                <w:kern w:val="0"/>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7D6B86">
            <w:pPr>
              <w:widowControl/>
              <w:spacing w:line="360" w:lineRule="auto"/>
              <w:contextualSpacing/>
              <w:jc w:val="center"/>
              <w:rPr>
                <w:rFonts w:ascii="宋体" w:hAnsi="宋体" w:cs="宋体"/>
                <w:color w:val="auto"/>
                <w:kern w:val="0"/>
                <w:sz w:val="21"/>
                <w:szCs w:val="21"/>
                <w:highlight w:val="none"/>
              </w:rPr>
            </w:pPr>
          </w:p>
        </w:tc>
      </w:tr>
    </w:tbl>
    <w:p w14:paraId="6D6DE0D1">
      <w:pPr>
        <w:spacing w:line="360" w:lineRule="auto"/>
        <w:contextualSpacing/>
        <w:jc w:val="left"/>
        <w:rPr>
          <w:rFonts w:ascii="楷体" w:hAnsi="楷体" w:eastAsia="楷体" w:cs="宋体"/>
          <w:b/>
          <w:color w:val="auto"/>
          <w:sz w:val="21"/>
          <w:szCs w:val="21"/>
          <w:highlight w:val="none"/>
        </w:rPr>
      </w:pPr>
      <w:r>
        <w:rPr>
          <w:rFonts w:hint="eastAsia" w:ascii="楷体" w:hAnsi="楷体" w:eastAsia="楷体" w:cs="宋体"/>
          <w:b/>
          <w:color w:val="auto"/>
          <w:sz w:val="21"/>
          <w:szCs w:val="21"/>
          <w:highlight w:val="none"/>
        </w:rPr>
        <w:t>注：</w:t>
      </w:r>
    </w:p>
    <w:p w14:paraId="2B56B4FA">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869A8D2">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2.本表所指的控股关系仅限于直接控股关系，不包括间接的控股关系。公司实际控制人与公司之间的关系不属于本表所指的直接控股关系。</w:t>
      </w:r>
    </w:p>
    <w:p w14:paraId="487E5D80">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3.供应商不存在直接控股股东的，则填“无”。</w:t>
      </w:r>
    </w:p>
    <w:p w14:paraId="32D5CFD7">
      <w:pPr>
        <w:snapToGrid w:val="0"/>
        <w:spacing w:line="360" w:lineRule="auto"/>
        <w:jc w:val="left"/>
        <w:rPr>
          <w:rFonts w:ascii="宋体" w:hAnsi="宋体" w:cs="宋体"/>
          <w:color w:val="auto"/>
          <w:sz w:val="21"/>
          <w:szCs w:val="21"/>
          <w:highlight w:val="none"/>
        </w:rPr>
      </w:pPr>
    </w:p>
    <w:p w14:paraId="4F934ADD">
      <w:pPr>
        <w:snapToGrid w:val="0"/>
        <w:spacing w:line="360" w:lineRule="auto"/>
        <w:jc w:val="left"/>
        <w:rPr>
          <w:rFonts w:ascii="宋体" w:hAnsi="宋体" w:cs="宋体"/>
          <w:color w:val="auto"/>
          <w:sz w:val="21"/>
          <w:szCs w:val="21"/>
          <w:highlight w:val="none"/>
        </w:rPr>
      </w:pPr>
    </w:p>
    <w:p w14:paraId="60ABDF5E">
      <w:pPr>
        <w:snapToGrid w:val="0"/>
        <w:spacing w:line="360" w:lineRule="auto"/>
        <w:jc w:val="left"/>
        <w:rPr>
          <w:rFonts w:ascii="宋体" w:hAnsi="宋体" w:cs="宋体"/>
          <w:color w:val="auto"/>
          <w:sz w:val="21"/>
          <w:szCs w:val="21"/>
          <w:highlight w:val="none"/>
        </w:rPr>
      </w:pPr>
    </w:p>
    <w:p w14:paraId="3CA5063F">
      <w:pPr>
        <w:snapToGrid w:val="0"/>
        <w:spacing w:before="156" w:beforeLines="50" w:line="360" w:lineRule="auto"/>
        <w:ind w:right="480" w:firstLine="3045" w:firstLineChars="1450"/>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法定代表人或者委托代理人（</w:t>
      </w:r>
      <w:r>
        <w:rPr>
          <w:rFonts w:hint="eastAsia" w:ascii="宋体" w:hAnsi="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21ED6459">
      <w:pPr>
        <w:snapToGrid w:val="0"/>
        <w:spacing w:before="156" w:beforeLines="50" w:after="50" w:line="360" w:lineRule="auto"/>
        <w:ind w:right="480" w:firstLine="3045" w:firstLineChars="1450"/>
        <w:rPr>
          <w:rFonts w:ascii="宋体" w:hAnsi="宋体" w:cs="宋体"/>
          <w:color w:val="auto"/>
          <w:sz w:val="21"/>
          <w:szCs w:val="21"/>
          <w:highlight w:val="none"/>
          <w:u w:val="single"/>
        </w:rPr>
      </w:pPr>
      <w:r>
        <w:rPr>
          <w:rFonts w:hint="eastAsia" w:ascii="宋体" w:hAnsi="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2B2F6C6C">
      <w:pPr>
        <w:snapToGrid w:val="0"/>
        <w:spacing w:before="156" w:beforeLines="50" w:after="50" w:line="360" w:lineRule="auto"/>
        <w:ind w:right="480" w:firstLine="3150" w:firstLineChars="1500"/>
        <w:rPr>
          <w:rFonts w:ascii="宋体" w:hAnsi="宋体" w:cs="宋体"/>
          <w:color w:val="auto"/>
          <w:sz w:val="21"/>
          <w:szCs w:val="21"/>
          <w:highlight w:val="none"/>
        </w:rPr>
      </w:pPr>
      <w:r>
        <w:rPr>
          <w:rFonts w:hint="eastAsia" w:hAnsi="宋体" w:cs="宋体"/>
          <w:color w:val="auto"/>
          <w:sz w:val="21"/>
          <w:szCs w:val="21"/>
          <w:highlight w:val="none"/>
        </w:rPr>
        <w:t>日期：</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555F26A7">
      <w:pPr>
        <w:snapToGrid w:val="0"/>
        <w:jc w:val="center"/>
        <w:rPr>
          <w:rFonts w:ascii="宋体" w:hAnsi="宋体" w:cs="宋体"/>
          <w:b/>
          <w:color w:val="auto"/>
          <w:sz w:val="28"/>
          <w:szCs w:val="28"/>
          <w:highlight w:val="none"/>
        </w:rPr>
      </w:pPr>
      <w:r>
        <w:rPr>
          <w:rFonts w:hint="eastAsia" w:ascii="宋体" w:hAnsi="宋体" w:cs="宋体"/>
          <w:b/>
          <w:color w:val="auto"/>
          <w:sz w:val="21"/>
          <w:szCs w:val="21"/>
          <w:highlight w:val="none"/>
        </w:rPr>
        <w:br w:type="page"/>
      </w:r>
    </w:p>
    <w:p w14:paraId="3E5AB015">
      <w:pPr>
        <w:jc w:val="center"/>
        <w:rPr>
          <w:rFonts w:ascii="宋体" w:hAnsi="宋体" w:cs="宋体"/>
          <w:b/>
          <w:color w:val="auto"/>
          <w:sz w:val="28"/>
          <w:szCs w:val="28"/>
          <w:highlight w:val="none"/>
        </w:rPr>
      </w:pPr>
      <w:r>
        <w:rPr>
          <w:rFonts w:hint="eastAsia" w:ascii="宋体" w:hAnsi="宋体" w:cs="宋体"/>
          <w:b/>
          <w:color w:val="auto"/>
          <w:sz w:val="28"/>
          <w:szCs w:val="28"/>
          <w:highlight w:val="none"/>
        </w:rPr>
        <w:t>供应商直接管理关系信息表</w:t>
      </w:r>
    </w:p>
    <w:p w14:paraId="3821E02F">
      <w:pPr>
        <w:snapToGrid w:val="0"/>
        <w:spacing w:line="360" w:lineRule="auto"/>
        <w:jc w:val="center"/>
        <w:rPr>
          <w:rFonts w:ascii="宋体" w:hAnsi="宋体" w:cs="宋体"/>
          <w:b/>
          <w:color w:val="auto"/>
          <w:sz w:val="24"/>
          <w:highlight w:val="none"/>
        </w:rPr>
      </w:pPr>
    </w:p>
    <w:tbl>
      <w:tblPr>
        <w:tblStyle w:val="33"/>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4AB5762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6A23AA7">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8B0C866">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104BF94">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367864">
            <w:pPr>
              <w:widowControl/>
              <w:spacing w:line="360" w:lineRule="auto"/>
              <w:contextualSpacing/>
              <w:jc w:val="center"/>
              <w:rPr>
                <w:rFonts w:ascii="宋体" w:hAnsi="宋体" w:cs="宋体"/>
                <w:b/>
                <w:bCs/>
                <w:color w:val="auto"/>
                <w:kern w:val="0"/>
                <w:sz w:val="21"/>
                <w:szCs w:val="21"/>
                <w:highlight w:val="none"/>
              </w:rPr>
            </w:pPr>
            <w:r>
              <w:rPr>
                <w:rFonts w:hint="eastAsia" w:ascii="宋体" w:hAnsi="宋体" w:cs="宋体"/>
                <w:b/>
                <w:bCs/>
                <w:color w:val="auto"/>
                <w:kern w:val="0"/>
                <w:sz w:val="21"/>
                <w:szCs w:val="21"/>
                <w:highlight w:val="none"/>
              </w:rPr>
              <w:t>备注</w:t>
            </w:r>
          </w:p>
        </w:tc>
      </w:tr>
      <w:tr w14:paraId="53327DC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E83CB75">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210DF1">
            <w:pPr>
              <w:widowControl/>
              <w:spacing w:line="360" w:lineRule="auto"/>
              <w:contextualSpacing/>
              <w:jc w:val="center"/>
              <w:rPr>
                <w:rFonts w:ascii="宋体" w:hAnsi="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C208023">
            <w:pPr>
              <w:widowControl/>
              <w:spacing w:line="360" w:lineRule="auto"/>
              <w:contextualSpacing/>
              <w:jc w:val="center"/>
              <w:rPr>
                <w:rFonts w:ascii="宋体" w:hAnsi="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5E09149">
            <w:pPr>
              <w:widowControl/>
              <w:spacing w:line="360" w:lineRule="auto"/>
              <w:contextualSpacing/>
              <w:jc w:val="center"/>
              <w:rPr>
                <w:rFonts w:ascii="宋体" w:hAnsi="宋体" w:cs="宋体"/>
                <w:color w:val="auto"/>
                <w:kern w:val="0"/>
                <w:sz w:val="21"/>
                <w:szCs w:val="21"/>
                <w:highlight w:val="none"/>
              </w:rPr>
            </w:pPr>
          </w:p>
        </w:tc>
      </w:tr>
      <w:tr w14:paraId="419E7F2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110AF9">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DEC2B4">
            <w:pPr>
              <w:widowControl/>
              <w:spacing w:line="360" w:lineRule="auto"/>
              <w:contextualSpacing/>
              <w:jc w:val="center"/>
              <w:rPr>
                <w:rFonts w:ascii="宋体" w:hAnsi="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E061D6">
            <w:pPr>
              <w:widowControl/>
              <w:spacing w:line="360" w:lineRule="auto"/>
              <w:contextualSpacing/>
              <w:jc w:val="center"/>
              <w:rPr>
                <w:rFonts w:ascii="宋体" w:hAnsi="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161E8A">
            <w:pPr>
              <w:widowControl/>
              <w:spacing w:line="360" w:lineRule="auto"/>
              <w:contextualSpacing/>
              <w:jc w:val="center"/>
              <w:rPr>
                <w:rFonts w:ascii="宋体" w:hAnsi="宋体" w:cs="宋体"/>
                <w:color w:val="auto"/>
                <w:kern w:val="0"/>
                <w:sz w:val="21"/>
                <w:szCs w:val="21"/>
                <w:highlight w:val="none"/>
              </w:rPr>
            </w:pPr>
          </w:p>
        </w:tc>
      </w:tr>
      <w:tr w14:paraId="0E0F4DE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7FFD83">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12D7357">
            <w:pPr>
              <w:widowControl/>
              <w:spacing w:line="360" w:lineRule="auto"/>
              <w:contextualSpacing/>
              <w:jc w:val="center"/>
              <w:rPr>
                <w:rFonts w:ascii="宋体" w:hAnsi="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AEA80C">
            <w:pPr>
              <w:widowControl/>
              <w:spacing w:line="360" w:lineRule="auto"/>
              <w:contextualSpacing/>
              <w:jc w:val="center"/>
              <w:rPr>
                <w:rFonts w:ascii="宋体" w:hAnsi="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71AD39">
            <w:pPr>
              <w:widowControl/>
              <w:spacing w:line="360" w:lineRule="auto"/>
              <w:contextualSpacing/>
              <w:jc w:val="center"/>
              <w:rPr>
                <w:rFonts w:ascii="宋体" w:hAnsi="宋体" w:cs="宋体"/>
                <w:color w:val="auto"/>
                <w:kern w:val="0"/>
                <w:sz w:val="21"/>
                <w:szCs w:val="21"/>
                <w:highlight w:val="none"/>
              </w:rPr>
            </w:pPr>
          </w:p>
        </w:tc>
      </w:tr>
      <w:tr w14:paraId="21889097">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2B9969">
            <w:pPr>
              <w:widowControl/>
              <w:spacing w:line="360" w:lineRule="auto"/>
              <w:contextualSpacing/>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A947D5">
            <w:pPr>
              <w:widowControl/>
              <w:spacing w:line="360" w:lineRule="auto"/>
              <w:contextualSpacing/>
              <w:jc w:val="center"/>
              <w:rPr>
                <w:rFonts w:ascii="宋体" w:hAnsi="宋体" w:cs="宋体"/>
                <w:color w:val="auto"/>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35856F">
            <w:pPr>
              <w:widowControl/>
              <w:spacing w:line="360" w:lineRule="auto"/>
              <w:contextualSpacing/>
              <w:jc w:val="center"/>
              <w:rPr>
                <w:rFonts w:ascii="宋体" w:hAnsi="宋体" w:cs="宋体"/>
                <w:color w:val="auto"/>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C4C98A3">
            <w:pPr>
              <w:widowControl/>
              <w:spacing w:line="360" w:lineRule="auto"/>
              <w:contextualSpacing/>
              <w:jc w:val="center"/>
              <w:rPr>
                <w:rFonts w:ascii="宋体" w:hAnsi="宋体" w:cs="宋体"/>
                <w:color w:val="auto"/>
                <w:kern w:val="0"/>
                <w:sz w:val="21"/>
                <w:szCs w:val="21"/>
                <w:highlight w:val="none"/>
              </w:rPr>
            </w:pPr>
          </w:p>
        </w:tc>
      </w:tr>
    </w:tbl>
    <w:p w14:paraId="0F1FAF93">
      <w:pPr>
        <w:spacing w:line="360" w:lineRule="auto"/>
        <w:contextualSpacing/>
        <w:jc w:val="left"/>
        <w:rPr>
          <w:rFonts w:ascii="楷体" w:hAnsi="楷体" w:eastAsia="楷体" w:cs="宋体"/>
          <w:b/>
          <w:color w:val="auto"/>
          <w:sz w:val="21"/>
          <w:szCs w:val="21"/>
          <w:highlight w:val="none"/>
        </w:rPr>
      </w:pPr>
      <w:r>
        <w:rPr>
          <w:rFonts w:hint="eastAsia" w:ascii="楷体" w:hAnsi="楷体" w:eastAsia="楷体" w:cs="宋体"/>
          <w:b/>
          <w:color w:val="auto"/>
          <w:sz w:val="21"/>
          <w:szCs w:val="21"/>
          <w:highlight w:val="none"/>
        </w:rPr>
        <w:t>注：</w:t>
      </w:r>
    </w:p>
    <w:p w14:paraId="4D9F4F27">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1.管理关系：是指不具有出资持股关系的其他单位之间存在的管理与被管理关系，如一些上下级关系的事业单位和团体组织。</w:t>
      </w:r>
    </w:p>
    <w:p w14:paraId="73AC6035">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2.</w:t>
      </w:r>
      <w:r>
        <w:rPr>
          <w:rFonts w:hint="eastAsia" w:ascii="楷体" w:hAnsi="楷体" w:eastAsia="楷体" w:cs="宋体"/>
          <w:color w:val="auto"/>
          <w:spacing w:val="-6"/>
          <w:sz w:val="21"/>
          <w:szCs w:val="21"/>
          <w:highlight w:val="none"/>
        </w:rPr>
        <w:t>本表所指的管理关系仅限于直接管理关系，不包括间接的管理关系。</w:t>
      </w:r>
    </w:p>
    <w:p w14:paraId="36F3D7AD">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3.供应商不存在直接管理关系的，则填“无”。</w:t>
      </w:r>
    </w:p>
    <w:p w14:paraId="43A5DC97">
      <w:pPr>
        <w:spacing w:line="360" w:lineRule="auto"/>
        <w:contextualSpacing/>
        <w:jc w:val="left"/>
        <w:rPr>
          <w:rFonts w:ascii="宋体" w:hAnsi="宋体" w:cs="宋体"/>
          <w:color w:val="auto"/>
          <w:sz w:val="21"/>
          <w:szCs w:val="21"/>
          <w:highlight w:val="none"/>
        </w:rPr>
      </w:pPr>
    </w:p>
    <w:p w14:paraId="4D0C7767">
      <w:pPr>
        <w:spacing w:line="360" w:lineRule="auto"/>
        <w:contextualSpacing/>
        <w:jc w:val="left"/>
        <w:rPr>
          <w:rFonts w:ascii="宋体" w:hAnsi="宋体" w:cs="宋体"/>
          <w:color w:val="auto"/>
          <w:sz w:val="21"/>
          <w:szCs w:val="21"/>
          <w:highlight w:val="none"/>
        </w:rPr>
      </w:pPr>
    </w:p>
    <w:p w14:paraId="724D8F7E">
      <w:pPr>
        <w:spacing w:line="360" w:lineRule="auto"/>
        <w:contextualSpacing/>
        <w:jc w:val="left"/>
        <w:rPr>
          <w:rFonts w:ascii="宋体" w:hAnsi="宋体" w:cs="宋体"/>
          <w:color w:val="auto"/>
          <w:sz w:val="21"/>
          <w:szCs w:val="21"/>
          <w:highlight w:val="none"/>
        </w:rPr>
      </w:pPr>
    </w:p>
    <w:p w14:paraId="2486D640">
      <w:pPr>
        <w:spacing w:line="360" w:lineRule="auto"/>
        <w:contextualSpacing/>
        <w:jc w:val="left"/>
        <w:rPr>
          <w:rFonts w:ascii="宋体" w:hAnsi="宋体" w:cs="宋体"/>
          <w:color w:val="auto"/>
          <w:sz w:val="21"/>
          <w:szCs w:val="21"/>
          <w:highlight w:val="none"/>
        </w:rPr>
      </w:pPr>
    </w:p>
    <w:p w14:paraId="63D62A4B">
      <w:pPr>
        <w:spacing w:line="360" w:lineRule="auto"/>
        <w:contextualSpacing/>
        <w:jc w:val="left"/>
        <w:rPr>
          <w:rFonts w:ascii="宋体" w:hAnsi="宋体" w:cs="宋体"/>
          <w:color w:val="auto"/>
          <w:sz w:val="21"/>
          <w:szCs w:val="21"/>
          <w:highlight w:val="none"/>
        </w:rPr>
      </w:pPr>
    </w:p>
    <w:p w14:paraId="2A215F4E">
      <w:pPr>
        <w:spacing w:line="360" w:lineRule="auto"/>
        <w:contextualSpacing/>
        <w:jc w:val="left"/>
        <w:rPr>
          <w:rFonts w:ascii="宋体" w:hAnsi="宋体" w:cs="宋体"/>
          <w:color w:val="auto"/>
          <w:sz w:val="21"/>
          <w:szCs w:val="21"/>
          <w:highlight w:val="none"/>
        </w:rPr>
      </w:pPr>
    </w:p>
    <w:p w14:paraId="5D5207EE">
      <w:pPr>
        <w:spacing w:line="360" w:lineRule="auto"/>
        <w:ind w:right="480" w:firstLine="2940" w:firstLineChars="1400"/>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法定代表人或者委托代理人（</w:t>
      </w:r>
      <w:r>
        <w:rPr>
          <w:rFonts w:hint="eastAsia" w:ascii="宋体" w:hAnsi="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2F071213">
      <w:pPr>
        <w:spacing w:line="360" w:lineRule="auto"/>
        <w:ind w:right="480" w:firstLine="2940" w:firstLineChars="1400"/>
        <w:contextualSpacing/>
        <w:rPr>
          <w:rFonts w:ascii="宋体" w:hAnsi="宋体" w:cs="宋体"/>
          <w:color w:val="auto"/>
          <w:sz w:val="21"/>
          <w:szCs w:val="21"/>
          <w:highlight w:val="none"/>
        </w:rPr>
      </w:pPr>
      <w:r>
        <w:rPr>
          <w:rFonts w:hint="eastAsia" w:ascii="宋体" w:hAnsi="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3D4D29DC">
      <w:pPr>
        <w:spacing w:line="360" w:lineRule="auto"/>
        <w:ind w:right="480" w:firstLine="210" w:firstLineChars="100"/>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hAnsi="宋体" w:cs="宋体"/>
          <w:color w:val="auto"/>
          <w:sz w:val="21"/>
          <w:szCs w:val="21"/>
          <w:highlight w:val="none"/>
        </w:rPr>
        <w:t>日期：</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7B820011">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2F38D295">
      <w:pPr>
        <w:jc w:val="both"/>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6.</w:t>
      </w:r>
      <w:r>
        <w:rPr>
          <w:rFonts w:hint="eastAsia" w:ascii="宋体" w:hAnsi="宋体" w:eastAsia="宋体" w:cs="宋体"/>
          <w:b/>
          <w:bCs/>
          <w:color w:val="auto"/>
          <w:sz w:val="28"/>
          <w:szCs w:val="28"/>
          <w:highlight w:val="none"/>
          <w:lang w:val="en-US" w:eastAsia="zh-CN"/>
        </w:rPr>
        <w:t>磋商保证金提交凭证；</w:t>
      </w:r>
    </w:p>
    <w:p w14:paraId="41A63151">
      <w:pPr>
        <w:jc w:val="left"/>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078DE641">
      <w:pPr>
        <w:jc w:val="both"/>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7.</w:t>
      </w:r>
      <w:r>
        <w:rPr>
          <w:rFonts w:hint="eastAsia" w:ascii="宋体" w:hAnsi="宋体" w:eastAsia="宋体" w:cs="宋体"/>
          <w:b/>
          <w:bCs/>
          <w:color w:val="auto"/>
          <w:sz w:val="28"/>
          <w:szCs w:val="28"/>
          <w:highlight w:val="none"/>
        </w:rPr>
        <w:t>参与竞争性磋商声明</w:t>
      </w:r>
    </w:p>
    <w:p w14:paraId="544BB749">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参与竞争性磋商声明</w:t>
      </w:r>
    </w:p>
    <w:p w14:paraId="77C3479A">
      <w:pPr>
        <w:spacing w:line="320" w:lineRule="exact"/>
        <w:jc w:val="center"/>
        <w:rPr>
          <w:rFonts w:ascii="宋体" w:hAnsi="宋体" w:cs="宋体"/>
          <w:color w:val="auto"/>
          <w:sz w:val="24"/>
          <w:szCs w:val="20"/>
          <w:highlight w:val="none"/>
        </w:rPr>
      </w:pPr>
    </w:p>
    <w:p w14:paraId="199EE837">
      <w:pPr>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致</w:t>
      </w:r>
      <w:r>
        <w:rPr>
          <w:rFonts w:hint="eastAsia" w:ascii="宋体" w:hAnsi="宋体" w:cs="宋体"/>
          <w:color w:val="auto"/>
          <w:sz w:val="21"/>
          <w:szCs w:val="21"/>
          <w:highlight w:val="none"/>
          <w:u w:val="single"/>
        </w:rPr>
        <w:t>（采购人名称）</w:t>
      </w:r>
      <w:r>
        <w:rPr>
          <w:rFonts w:hint="eastAsia" w:ascii="宋体" w:hAnsi="宋体" w:cs="宋体"/>
          <w:color w:val="auto"/>
          <w:sz w:val="21"/>
          <w:szCs w:val="21"/>
          <w:highlight w:val="none"/>
        </w:rPr>
        <w:t>：</w:t>
      </w:r>
    </w:p>
    <w:p w14:paraId="003F56D5">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u w:val="single"/>
        </w:rPr>
        <w:t>（供应商名称）</w:t>
      </w:r>
      <w:r>
        <w:rPr>
          <w:rFonts w:hint="eastAsia" w:ascii="宋体" w:hAnsi="宋体" w:cs="宋体"/>
          <w:color w:val="auto"/>
          <w:sz w:val="21"/>
          <w:szCs w:val="21"/>
          <w:highlight w:val="none"/>
        </w:rPr>
        <w:t>系中华人民共和国合法供应商，经营地址</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18F2DC7C">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我方愿意参加贵方组织的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项目的竞争性磋商，为便于贵方公正、择优地确定成交供应商及其参与竞争性磋商提供的产品和服务，我方就本次参与竞争性磋商有关事项郑重声明如下：</w:t>
      </w:r>
    </w:p>
    <w:p w14:paraId="38012FE1">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1.我方向贵方提交的所有响应文件、资料都是准确的和真实的。</w:t>
      </w:r>
    </w:p>
    <w:p w14:paraId="284EB73B">
      <w:pPr>
        <w:spacing w:before="156" w:beforeLines="50"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2.</w:t>
      </w:r>
      <w:r>
        <w:rPr>
          <w:rFonts w:hint="eastAsia" w:ascii="宋体" w:hAnsi="宋体" w:eastAsia="宋体" w:cs="宋体"/>
          <w:color w:val="auto"/>
          <w:sz w:val="21"/>
          <w:szCs w:val="21"/>
          <w:highlight w:val="none"/>
        </w:rPr>
        <w:t>我方不是</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的附属机构；不</w:t>
      </w:r>
      <w:r>
        <w:rPr>
          <w:rFonts w:hint="eastAsia" w:ascii="宋体" w:hAnsi="宋体" w:eastAsia="宋体" w:cs="宋体"/>
          <w:color w:val="auto"/>
          <w:sz w:val="21"/>
          <w:szCs w:val="21"/>
          <w:highlight w:val="none"/>
          <w:lang w:val="en-US" w:eastAsia="zh-CN"/>
        </w:rPr>
        <w:t>存在</w:t>
      </w:r>
      <w:r>
        <w:rPr>
          <w:rFonts w:hint="eastAsia" w:ascii="宋体" w:hAnsi="宋体" w:eastAsia="宋体" w:cs="宋体"/>
          <w:color w:val="auto"/>
          <w:sz w:val="21"/>
          <w:szCs w:val="21"/>
          <w:highlight w:val="none"/>
        </w:rPr>
        <w:t>为本次采购项目</w:t>
      </w:r>
      <w:r>
        <w:rPr>
          <w:rFonts w:hint="eastAsia" w:ascii="宋体" w:hAnsi="宋体" w:eastAsia="宋体" w:cs="宋体"/>
          <w:i w:val="0"/>
          <w:iCs w:val="0"/>
          <w:caps w:val="0"/>
          <w:color w:val="auto"/>
          <w:spacing w:val="0"/>
          <w:sz w:val="21"/>
          <w:szCs w:val="21"/>
          <w:highlight w:val="none"/>
        </w:rPr>
        <w:t>提供过整体设计、规范编制或者项目管理、监理、检测等服务，参加</w:t>
      </w:r>
      <w:r>
        <w:rPr>
          <w:rFonts w:hint="eastAsia" w:ascii="宋体" w:hAnsi="宋体" w:eastAsia="宋体" w:cs="宋体"/>
          <w:color w:val="auto"/>
          <w:sz w:val="21"/>
          <w:szCs w:val="21"/>
          <w:highlight w:val="none"/>
        </w:rPr>
        <w:t>本次采购项目</w:t>
      </w:r>
      <w:r>
        <w:rPr>
          <w:rFonts w:hint="eastAsia" w:ascii="宋体" w:hAnsi="宋体" w:eastAsia="宋体" w:cs="宋体"/>
          <w:i w:val="0"/>
          <w:iCs w:val="0"/>
          <w:caps w:val="0"/>
          <w:color w:val="auto"/>
          <w:spacing w:val="0"/>
          <w:sz w:val="21"/>
          <w:szCs w:val="21"/>
          <w:highlight w:val="none"/>
        </w:rPr>
        <w:t>上述服务以外的其他采购活动</w:t>
      </w:r>
      <w:r>
        <w:rPr>
          <w:rFonts w:hint="eastAsia" w:ascii="宋体" w:hAnsi="宋体" w:eastAsia="宋体" w:cs="宋体"/>
          <w:i w:val="0"/>
          <w:iCs w:val="0"/>
          <w:caps w:val="0"/>
          <w:color w:val="auto"/>
          <w:spacing w:val="0"/>
          <w:sz w:val="21"/>
          <w:szCs w:val="21"/>
          <w:highlight w:val="none"/>
          <w:lang w:eastAsia="zh-CN"/>
        </w:rPr>
        <w:t>的</w:t>
      </w:r>
      <w:r>
        <w:rPr>
          <w:rFonts w:hint="eastAsia" w:ascii="宋体" w:hAnsi="宋体" w:eastAsia="宋体" w:cs="宋体"/>
          <w:i w:val="0"/>
          <w:iCs w:val="0"/>
          <w:caps w:val="0"/>
          <w:color w:val="auto"/>
          <w:spacing w:val="0"/>
          <w:sz w:val="21"/>
          <w:szCs w:val="21"/>
          <w:highlight w:val="none"/>
          <w:lang w:val="en-US" w:eastAsia="zh-CN"/>
        </w:rPr>
        <w:t>情形；</w:t>
      </w:r>
      <w:r>
        <w:rPr>
          <w:rFonts w:hint="eastAsia" w:ascii="宋体" w:hAnsi="宋体" w:eastAsia="宋体" w:cs="宋体"/>
          <w:color w:val="auto"/>
          <w:sz w:val="21"/>
          <w:szCs w:val="21"/>
          <w:highlight w:val="none"/>
        </w:rPr>
        <w:t>在获知本项目采购信息后，与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聘请的为此项目提供咨询服务的公司及其附属机构没有任何联系。</w:t>
      </w:r>
    </w:p>
    <w:p w14:paraId="4DA14215">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3.在此，我方宣布同意如下：</w:t>
      </w:r>
    </w:p>
    <w:p w14:paraId="3E710E26">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（1）将按磋商文件的约定履行合同责任和义务；</w:t>
      </w:r>
    </w:p>
    <w:p w14:paraId="12389E93">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（2）已详细审查全部磋商文件，包括澄清或者更正公告（如有）；</w:t>
      </w:r>
    </w:p>
    <w:p w14:paraId="21282DEB">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（3）同意提供按照贵方可能要求的与磋商有关的一切数据或者资料；</w:t>
      </w:r>
    </w:p>
    <w:p w14:paraId="1D7652E9">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（4）响应磋商文件规定的竞争性磋商有效期。</w:t>
      </w:r>
    </w:p>
    <w:p w14:paraId="5F577382">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4.我方承诺符合《中华人民共和国政府采购法》第二十二条规定：</w:t>
      </w:r>
    </w:p>
    <w:p w14:paraId="38F72B47">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（1）具有独立承担民事责任的能力；</w:t>
      </w:r>
    </w:p>
    <w:p w14:paraId="7D440F97">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（2）具有良好的商业信誉和健全的财务会计制度；</w:t>
      </w:r>
    </w:p>
    <w:p w14:paraId="37171B07">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（3）具有履行合同所必需的设备和专业技术能力；</w:t>
      </w:r>
    </w:p>
    <w:p w14:paraId="0C74A919">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（4）有依法缴纳税收和社会保障资金的良好记录；</w:t>
      </w:r>
    </w:p>
    <w:p w14:paraId="7287D77B">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60627AC0">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（6）法律、行政法规规定的其他条件。</w:t>
      </w:r>
    </w:p>
    <w:p w14:paraId="3D0BF556">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0ECFB910">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1FB65F7">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□我方本次响应文件</w:t>
      </w:r>
      <w:r>
        <w:rPr>
          <w:rFonts w:hint="eastAsia" w:ascii="宋体" w:hAnsi="宋体" w:cs="宋体"/>
          <w:color w:val="auto"/>
          <w:kern w:val="0"/>
          <w:sz w:val="21"/>
          <w:szCs w:val="21"/>
          <w:highlight w:val="none"/>
        </w:rPr>
        <w:t>内容中</w:t>
      </w:r>
      <w:r>
        <w:rPr>
          <w:rFonts w:hint="eastAsia" w:ascii="宋体" w:hAnsi="宋体" w:cs="宋体"/>
          <w:color w:val="auto"/>
          <w:sz w:val="21"/>
          <w:szCs w:val="21"/>
          <w:highlight w:val="none"/>
        </w:rPr>
        <w:t>未</w:t>
      </w:r>
      <w:r>
        <w:rPr>
          <w:rFonts w:hint="eastAsia" w:ascii="宋体" w:hAnsi="宋体" w:cs="宋体"/>
          <w:color w:val="auto"/>
          <w:kern w:val="0"/>
          <w:sz w:val="21"/>
          <w:szCs w:val="21"/>
          <w:highlight w:val="none"/>
        </w:rPr>
        <w:t>涉及商业秘密；</w:t>
      </w:r>
    </w:p>
    <w:p w14:paraId="348395B0">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□我方本次响应文件</w:t>
      </w:r>
      <w:r>
        <w:rPr>
          <w:rFonts w:hint="eastAsia" w:ascii="宋体" w:hAnsi="宋体" w:cs="宋体"/>
          <w:color w:val="auto"/>
          <w:kern w:val="0"/>
          <w:sz w:val="21"/>
          <w:szCs w:val="21"/>
          <w:highlight w:val="none"/>
        </w:rPr>
        <w:t>涉及商业秘密的内容有：</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w:t>
      </w:r>
    </w:p>
    <w:p w14:paraId="37125C6D">
      <w:pPr>
        <w:pStyle w:val="18"/>
        <w:spacing w:line="360" w:lineRule="auto"/>
        <w:ind w:firstLine="420" w:firstLineChars="200"/>
        <w:contextualSpacing/>
        <w:rPr>
          <w:rFonts w:hAnsi="宋体" w:cs="宋体"/>
          <w:color w:val="auto"/>
          <w:sz w:val="21"/>
          <w:szCs w:val="21"/>
          <w:highlight w:val="none"/>
          <w:u w:val="single"/>
        </w:rPr>
      </w:pPr>
      <w:r>
        <w:rPr>
          <w:rFonts w:hint="eastAsia" w:hAnsi="宋体" w:cs="宋体"/>
          <w:color w:val="auto"/>
          <w:sz w:val="21"/>
          <w:szCs w:val="21"/>
          <w:highlight w:val="none"/>
        </w:rPr>
        <w:t>7.与本磋商有关的一切正式往来信函请寄：</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邮政编码：</w:t>
      </w:r>
      <w:r>
        <w:rPr>
          <w:rFonts w:hint="eastAsia" w:hAnsi="宋体" w:cs="宋体"/>
          <w:color w:val="auto"/>
          <w:sz w:val="21"/>
          <w:szCs w:val="21"/>
          <w:highlight w:val="none"/>
          <w:u w:val="single"/>
        </w:rPr>
        <w:t xml:space="preserve">        </w:t>
      </w:r>
    </w:p>
    <w:p w14:paraId="5670931E">
      <w:pPr>
        <w:pStyle w:val="18"/>
        <w:spacing w:line="360" w:lineRule="auto"/>
        <w:ind w:firstLine="420" w:firstLineChars="200"/>
        <w:contextualSpacing/>
        <w:rPr>
          <w:rFonts w:hAnsi="宋体" w:cs="宋体"/>
          <w:color w:val="auto"/>
          <w:sz w:val="21"/>
          <w:szCs w:val="21"/>
          <w:highlight w:val="none"/>
        </w:rPr>
      </w:pPr>
      <w:r>
        <w:rPr>
          <w:rFonts w:hint="eastAsia" w:hAnsi="宋体" w:cs="宋体"/>
          <w:color w:val="auto"/>
          <w:sz w:val="21"/>
          <w:szCs w:val="21"/>
          <w:highlight w:val="none"/>
        </w:rPr>
        <w:t>电话/传真：</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电子函件：</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 xml:space="preserve">    </w:t>
      </w:r>
    </w:p>
    <w:p w14:paraId="37C8D7B7">
      <w:pPr>
        <w:pStyle w:val="17"/>
        <w:tabs>
          <w:tab w:val="left" w:pos="939"/>
        </w:tabs>
        <w:spacing w:line="360" w:lineRule="auto"/>
        <w:ind w:left="0" w:leftChars="0"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开户银行：</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eastAsia="zh-CN"/>
        </w:rPr>
        <w:t>账号</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2F085DF3">
      <w:pPr>
        <w:pStyle w:val="17"/>
        <w:tabs>
          <w:tab w:val="left" w:pos="939"/>
        </w:tabs>
        <w:spacing w:line="360" w:lineRule="auto"/>
        <w:ind w:left="0" w:leftChars="0"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8.以上事项如有虚假或者隐瞒，我方愿意承担一切后果，并不再寻求任何旨在减轻或者免除法律责任的辩解。</w:t>
      </w:r>
    </w:p>
    <w:p w14:paraId="691A8CF6">
      <w:pPr>
        <w:pStyle w:val="17"/>
        <w:tabs>
          <w:tab w:val="left" w:pos="939"/>
        </w:tabs>
        <w:spacing w:line="360" w:lineRule="auto"/>
        <w:ind w:left="0" w:leftChars="0"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9</w:t>
      </w:r>
      <w:r>
        <w:rPr>
          <w:rFonts w:ascii="宋体" w:hAnsi="宋体" w:cs="宋体"/>
          <w:color w:val="auto"/>
          <w:sz w:val="21"/>
          <w:szCs w:val="21"/>
          <w:highlight w:val="none"/>
        </w:rPr>
        <w:t>.</w:t>
      </w:r>
      <w:r>
        <w:rPr>
          <w:rFonts w:hint="eastAsia" w:ascii="宋体" w:hAnsi="宋体" w:cs="宋体"/>
          <w:color w:val="auto"/>
          <w:sz w:val="21"/>
          <w:szCs w:val="21"/>
          <w:highlight w:val="none"/>
        </w:rPr>
        <w:t>我方若参与竞争性磋商成功，除非发生不可抗力，承诺与采购人及时签订《合同书》。如果放弃，自愿按照本磋商文件之《供应商须知正文》条款第2</w:t>
      </w:r>
      <w:r>
        <w:rPr>
          <w:rFonts w:ascii="宋体" w:hAnsi="宋体" w:cs="宋体"/>
          <w:color w:val="auto"/>
          <w:sz w:val="21"/>
          <w:szCs w:val="21"/>
          <w:highlight w:val="none"/>
        </w:rPr>
        <w:t>7.3</w:t>
      </w:r>
      <w:r>
        <w:rPr>
          <w:rFonts w:hint="eastAsia" w:ascii="宋体" w:hAnsi="宋体" w:cs="宋体"/>
          <w:color w:val="auto"/>
          <w:sz w:val="21"/>
          <w:szCs w:val="21"/>
          <w:highlight w:val="none"/>
        </w:rPr>
        <w:t>条的要求承担法律责任和失信惩戒。</w:t>
      </w:r>
    </w:p>
    <w:p w14:paraId="6F08FE47">
      <w:pPr>
        <w:pStyle w:val="17"/>
        <w:tabs>
          <w:tab w:val="left" w:pos="939"/>
        </w:tabs>
        <w:spacing w:line="360" w:lineRule="auto"/>
        <w:ind w:left="0" w:leftChars="0" w:firstLine="315" w:firstLineChars="150"/>
        <w:rPr>
          <w:rFonts w:ascii="宋体" w:hAnsi="宋体" w:cs="宋体"/>
          <w:color w:val="auto"/>
          <w:sz w:val="21"/>
          <w:szCs w:val="21"/>
          <w:highlight w:val="none"/>
        </w:rPr>
      </w:pPr>
      <w:r>
        <w:rPr>
          <w:rFonts w:hint="eastAsia" w:ascii="宋体" w:hAnsi="宋体" w:cs="宋体"/>
          <w:color w:val="auto"/>
          <w:sz w:val="21"/>
          <w:szCs w:val="21"/>
          <w:highlight w:val="none"/>
        </w:rPr>
        <w:t>特此承诺。</w:t>
      </w:r>
    </w:p>
    <w:p w14:paraId="470FE32D">
      <w:pPr>
        <w:pStyle w:val="17"/>
        <w:tabs>
          <w:tab w:val="left" w:pos="939"/>
        </w:tabs>
        <w:spacing w:line="360" w:lineRule="auto"/>
        <w:ind w:left="0" w:leftChars="0" w:firstLine="422" w:firstLineChars="200"/>
        <w:rPr>
          <w:rFonts w:ascii="楷体" w:hAnsi="楷体" w:eastAsia="楷体" w:cs="宋体"/>
          <w:b/>
          <w:color w:val="auto"/>
          <w:sz w:val="21"/>
          <w:szCs w:val="21"/>
          <w:highlight w:val="none"/>
        </w:rPr>
      </w:pPr>
      <w:r>
        <w:rPr>
          <w:rFonts w:hint="eastAsia" w:ascii="楷体" w:hAnsi="楷体" w:eastAsia="楷体" w:cs="宋体"/>
          <w:b/>
          <w:color w:val="auto"/>
          <w:sz w:val="21"/>
          <w:szCs w:val="21"/>
          <w:highlight w:val="none"/>
        </w:rPr>
        <w:t>注：如为联合体参与竞争性磋商，盖章处须加盖联合体各方公章并由联合体各方法定代表人签署，否则其响应文件按无效响应处理。</w:t>
      </w:r>
    </w:p>
    <w:p w14:paraId="478B1914">
      <w:pPr>
        <w:pStyle w:val="17"/>
        <w:tabs>
          <w:tab w:val="left" w:pos="939"/>
        </w:tabs>
        <w:spacing w:line="360" w:lineRule="auto"/>
        <w:ind w:left="0" w:leftChars="0" w:firstLine="420" w:firstLineChars="200"/>
        <w:rPr>
          <w:rFonts w:ascii="宋体" w:hAnsi="宋体" w:cs="宋体"/>
          <w:color w:val="auto"/>
          <w:sz w:val="21"/>
          <w:szCs w:val="21"/>
          <w:highlight w:val="none"/>
        </w:rPr>
      </w:pPr>
    </w:p>
    <w:p w14:paraId="3E4DE50A">
      <w:pPr>
        <w:spacing w:line="360" w:lineRule="auto"/>
        <w:ind w:firstLine="3780" w:firstLineChars="1800"/>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w:t>
      </w:r>
      <w:r>
        <w:rPr>
          <w:rFonts w:hint="eastAsia" w:ascii="宋体" w:hAnsi="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4D588321">
      <w:pPr>
        <w:spacing w:line="360" w:lineRule="auto"/>
        <w:ind w:firstLine="210" w:firstLineChars="100"/>
        <w:contextualSpacing/>
        <w:jc w:val="center"/>
        <w:rPr>
          <w:rFonts w:ascii="宋体" w:hAnsi="宋体" w:cs="宋体"/>
          <w:color w:val="auto"/>
          <w:sz w:val="21"/>
          <w:szCs w:val="21"/>
          <w:highlight w:val="none"/>
          <w:u w:val="singl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p>
    <w:p w14:paraId="57AB624D">
      <w:pPr>
        <w:spacing w:line="360" w:lineRule="auto"/>
        <w:ind w:firstLine="210" w:firstLineChars="100"/>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ascii="宋体" w:hAnsi="宋体" w:cs="宋体"/>
          <w:color w:val="auto"/>
          <w:sz w:val="21"/>
          <w:szCs w:val="21"/>
          <w:highlight w:val="none"/>
        </w:rPr>
        <w:t xml:space="preserve"> </w:t>
      </w:r>
      <w:r>
        <w:rPr>
          <w:rFonts w:ascii="宋体" w:hAnsi="宋体" w:cs="宋体"/>
          <w:color w:val="auto"/>
          <w:sz w:val="21"/>
          <w:szCs w:val="21"/>
          <w:highlight w:val="none"/>
        </w:rPr>
        <w:t xml:space="preserve">   </w:t>
      </w:r>
      <w:r>
        <w:rPr>
          <w:rFonts w:hint="eastAsia" w:hAnsi="宋体" w:cs="宋体"/>
          <w:color w:val="auto"/>
          <w:sz w:val="21"/>
          <w:szCs w:val="21"/>
          <w:highlight w:val="none"/>
        </w:rPr>
        <w:t>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0572C95F">
      <w:pPr>
        <w:pStyle w:val="7"/>
        <w:overflowPunct w:val="0"/>
        <w:spacing w:line="360" w:lineRule="auto"/>
        <w:ind w:firstLine="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br w:type="page"/>
      </w:r>
    </w:p>
    <w:p w14:paraId="151F0B90">
      <w:pPr>
        <w:pStyle w:val="16"/>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rPr>
        <w:t>.竞争性磋商公告对应的特定资格要求的资格证明材料</w:t>
      </w:r>
    </w:p>
    <w:p w14:paraId="40F62E0D">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p>
    <w:p w14:paraId="50BACAF2">
      <w:pPr>
        <w:rPr>
          <w:rFonts w:ascii="Arial" w:hAnsi="Arial" w:cs="Arial"/>
          <w:b/>
          <w:bCs/>
          <w:color w:val="auto"/>
          <w:sz w:val="32"/>
          <w:highlight w:val="none"/>
        </w:rPr>
      </w:pPr>
      <w:r>
        <w:rPr>
          <w:rFonts w:hint="eastAsia" w:ascii="宋体" w:hAnsi="宋体" w:cs="宋体"/>
          <w:b/>
          <w:bCs/>
          <w:color w:val="auto"/>
          <w:sz w:val="28"/>
          <w:szCs w:val="28"/>
          <w:highlight w:val="none"/>
          <w:lang w:val="en-US" w:eastAsia="zh-CN"/>
        </w:rPr>
        <w:t>9</w:t>
      </w:r>
      <w:r>
        <w:rPr>
          <w:rFonts w:hint="eastAsia" w:ascii="宋体" w:hAnsi="宋体" w:eastAsia="宋体" w:cs="宋体"/>
          <w:b/>
          <w:bCs/>
          <w:color w:val="auto"/>
          <w:sz w:val="28"/>
          <w:szCs w:val="28"/>
          <w:highlight w:val="none"/>
          <w:lang w:val="en-US" w:eastAsia="zh-CN"/>
        </w:rPr>
        <w:t>.</w:t>
      </w:r>
      <w:r>
        <w:rPr>
          <w:rFonts w:hint="eastAsia" w:ascii="宋体" w:hAnsi="宋体" w:eastAsia="宋体" w:cs="宋体"/>
          <w:b/>
          <w:bCs/>
          <w:color w:val="auto"/>
          <w:sz w:val="28"/>
          <w:szCs w:val="28"/>
          <w:highlight w:val="none"/>
        </w:rPr>
        <w:t>中小企业声明函（或残疾人福利性单位声明函或监狱企业声明函，残疾人福利性单位或监狱企业视同小微企业）</w:t>
      </w:r>
    </w:p>
    <w:p w14:paraId="55C93159">
      <w:pPr>
        <w:spacing w:line="5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中小企业声明函（服务）</w:t>
      </w:r>
    </w:p>
    <w:p w14:paraId="2C66F193">
      <w:pPr>
        <w:spacing w:before="2" w:line="500" w:lineRule="exact"/>
        <w:ind w:firstLine="708" w:firstLineChars="294"/>
        <w:rPr>
          <w:rFonts w:ascii="宋体" w:hAnsi="宋体" w:cs="宋体"/>
          <w:b/>
          <w:bCs/>
          <w:color w:val="auto"/>
          <w:sz w:val="24"/>
          <w:highlight w:val="none"/>
        </w:rPr>
      </w:pPr>
    </w:p>
    <w:p w14:paraId="50AA5CF0">
      <w:pPr>
        <w:pStyle w:val="16"/>
        <w:spacing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本公司（联合体）郑重声明，根据《政府采购促进中小企业发展管理办法》（财库﹝2020﹞46号）的规定，本公司（联合体）参加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采购活动，服务全部由符合政策要求的中小企业承接。相关企业（含联合体中的中小企业、签订分包意向协议的中小企业）的具体情况如下：</w:t>
      </w:r>
    </w:p>
    <w:p w14:paraId="2552EFAC">
      <w:pPr>
        <w:tabs>
          <w:tab w:val="left" w:pos="1384"/>
          <w:tab w:val="left" w:pos="4562"/>
          <w:tab w:val="left" w:pos="6803"/>
        </w:tabs>
        <w:spacing w:before="13" w:line="500" w:lineRule="exact"/>
        <w:ind w:right="142" w:firstLine="676" w:firstLineChars="322"/>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rPr>
        <w:t>；</w:t>
      </w:r>
    </w:p>
    <w:p w14:paraId="73FB6B73">
      <w:pPr>
        <w:tabs>
          <w:tab w:val="left" w:pos="1065"/>
          <w:tab w:val="left" w:pos="4262"/>
          <w:tab w:val="left" w:pos="6477"/>
        </w:tabs>
        <w:spacing w:before="20" w:line="500" w:lineRule="exact"/>
        <w:ind w:right="84" w:firstLine="676" w:firstLineChars="322"/>
        <w:rPr>
          <w:rFonts w:ascii="宋体" w:hAnsi="宋体" w:cs="宋体"/>
          <w:color w:val="auto"/>
          <w:sz w:val="21"/>
          <w:szCs w:val="21"/>
          <w:highlight w:val="none"/>
          <w:u w:val="single"/>
        </w:rPr>
      </w:pPr>
      <w:r>
        <w:rPr>
          <w:rFonts w:hint="eastAsia" w:ascii="宋体" w:hAnsi="宋体" w:cs="宋体"/>
          <w:color w:val="auto"/>
          <w:sz w:val="21"/>
          <w:szCs w:val="21"/>
          <w:highlight w:val="none"/>
        </w:rPr>
        <w:t>2.</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rPr>
        <w:t>；</w:t>
      </w:r>
    </w:p>
    <w:p w14:paraId="288828A3">
      <w:pPr>
        <w:pStyle w:val="16"/>
        <w:spacing w:before="34"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 xml:space="preserve">…… </w:t>
      </w:r>
    </w:p>
    <w:p w14:paraId="55119479">
      <w:pPr>
        <w:pStyle w:val="16"/>
        <w:spacing w:before="34"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以上企业，不属于大企业的分支机构，不存在控股股东为大企业的情形，也不存在与大企业的负责人为同一人的情形。</w:t>
      </w:r>
    </w:p>
    <w:p w14:paraId="6BE4A0ED">
      <w:pPr>
        <w:pStyle w:val="16"/>
        <w:spacing w:before="25"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本企业对上述声明内容的真实性负责。如有虚假，将依法承担相应责任。</w:t>
      </w:r>
    </w:p>
    <w:p w14:paraId="222FF3A8">
      <w:pPr>
        <w:pStyle w:val="16"/>
        <w:spacing w:before="56" w:line="500" w:lineRule="exact"/>
        <w:ind w:right="1808" w:firstLine="617" w:firstLineChars="294"/>
        <w:rPr>
          <w:rFonts w:ascii="宋体" w:hAnsi="宋体" w:cs="宋体"/>
          <w:color w:val="auto"/>
          <w:sz w:val="21"/>
          <w:szCs w:val="21"/>
          <w:highlight w:val="none"/>
        </w:rPr>
      </w:pPr>
    </w:p>
    <w:p w14:paraId="5A94FA3F">
      <w:pPr>
        <w:pStyle w:val="16"/>
        <w:spacing w:before="56" w:line="500" w:lineRule="exact"/>
        <w:ind w:right="650" w:firstLine="2100" w:firstLineChars="1000"/>
        <w:rPr>
          <w:rFonts w:ascii="宋体" w:hAnsi="宋体" w:cs="宋体"/>
          <w:color w:val="auto"/>
          <w:sz w:val="21"/>
          <w:szCs w:val="21"/>
          <w:highlight w:val="none"/>
          <w:u w:val="single"/>
        </w:rPr>
      </w:pPr>
      <w:r>
        <w:rPr>
          <w:rFonts w:hint="eastAsia" w:ascii="宋体" w:hAnsi="宋体" w:cs="宋体"/>
          <w:color w:val="auto"/>
          <w:sz w:val="21"/>
          <w:szCs w:val="21"/>
          <w:highlight w:val="none"/>
        </w:rPr>
        <w:t>企业名称（公章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 xml:space="preserve">）： </w:t>
      </w:r>
      <w:r>
        <w:rPr>
          <w:rFonts w:ascii="宋体" w:hAnsi="宋体" w:cs="宋体"/>
          <w:color w:val="auto"/>
          <w:sz w:val="21"/>
          <w:szCs w:val="21"/>
          <w:highlight w:val="none"/>
          <w:u w:val="single"/>
        </w:rPr>
        <w:t xml:space="preserve">                    </w:t>
      </w:r>
    </w:p>
    <w:p w14:paraId="595F3350">
      <w:pPr>
        <w:pStyle w:val="16"/>
        <w:spacing w:before="56" w:line="500" w:lineRule="exact"/>
        <w:ind w:right="1808" w:firstLine="2100" w:firstLineChars="1000"/>
        <w:rPr>
          <w:rFonts w:ascii="宋体" w:hAnsi="宋体" w:cs="宋体"/>
          <w:color w:val="auto"/>
          <w:sz w:val="21"/>
          <w:szCs w:val="21"/>
          <w:highlight w:val="none"/>
        </w:rPr>
      </w:pPr>
      <w:r>
        <w:rPr>
          <w:rFonts w:hint="eastAsia" w:ascii="宋体" w:hAnsi="宋体" w:cs="宋体"/>
          <w:color w:val="auto"/>
          <w:sz w:val="21"/>
          <w:szCs w:val="21"/>
          <w:highlight w:val="none"/>
        </w:rPr>
        <w:t>日 期：</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6F43CA25">
      <w:pPr>
        <w:spacing w:line="520" w:lineRule="exact"/>
        <w:jc w:val="left"/>
        <w:rPr>
          <w:rFonts w:ascii="楷体" w:hAnsi="楷体" w:eastAsia="楷体" w:cs="宋体"/>
          <w:color w:val="auto"/>
          <w:sz w:val="21"/>
          <w:szCs w:val="21"/>
          <w:highlight w:val="none"/>
        </w:rPr>
      </w:pPr>
      <w:r>
        <w:rPr>
          <w:rFonts w:hint="eastAsia" w:ascii="楷体" w:hAnsi="楷体" w:eastAsia="楷体" w:cs="宋体"/>
          <w:b/>
          <w:color w:val="auto"/>
          <w:sz w:val="21"/>
          <w:szCs w:val="21"/>
          <w:highlight w:val="none"/>
        </w:rPr>
        <w:t>注：</w:t>
      </w:r>
      <w:r>
        <w:rPr>
          <w:rFonts w:hint="eastAsia" w:ascii="楷体" w:hAnsi="楷体" w:eastAsia="楷体" w:cs="宋体"/>
          <w:color w:val="auto"/>
          <w:sz w:val="21"/>
          <w:szCs w:val="21"/>
          <w:highlight w:val="none"/>
        </w:rPr>
        <w:t>享受《政府采购促进中小企业发展管理办法》（财库〔</w:t>
      </w:r>
      <w:r>
        <w:rPr>
          <w:rFonts w:ascii="楷体" w:hAnsi="楷体" w:eastAsia="楷体" w:cs="宋体"/>
          <w:color w:val="auto"/>
          <w:sz w:val="21"/>
          <w:szCs w:val="21"/>
          <w:highlight w:val="none"/>
        </w:rPr>
        <w:t>2020〕46号）规定的中小企业扶持政策的，采购人、采购代理机构应当随成交结果公开成交供应商的《中小企业声明函》。从业人员、营业收入、资产总额填报上一年度数据，无上</w:t>
      </w:r>
      <w:r>
        <w:rPr>
          <w:rFonts w:hint="eastAsia" w:ascii="楷体" w:hAnsi="楷体" w:eastAsia="楷体" w:cs="宋体"/>
          <w:color w:val="auto"/>
          <w:sz w:val="21"/>
          <w:szCs w:val="21"/>
          <w:highlight w:val="none"/>
        </w:rPr>
        <w:t>一年度数据的新成立企业可不填报。</w:t>
      </w:r>
    </w:p>
    <w:p w14:paraId="63578FB8">
      <w:pPr>
        <w:spacing w:line="360" w:lineRule="auto"/>
        <w:rPr>
          <w:rFonts w:ascii="宋体" w:hAnsi="宋体" w:cs="宋体"/>
          <w:color w:val="auto"/>
          <w:szCs w:val="21"/>
          <w:highlight w:val="none"/>
        </w:rPr>
      </w:pPr>
    </w:p>
    <w:p w14:paraId="0A9CFBBE">
      <w:pPr>
        <w:spacing w:line="520" w:lineRule="exact"/>
        <w:jc w:val="center"/>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32"/>
          <w:szCs w:val="32"/>
          <w:highlight w:val="none"/>
        </w:rPr>
        <w:t>残疾人福利性单位声明函</w:t>
      </w:r>
    </w:p>
    <w:p w14:paraId="7398B567">
      <w:pPr>
        <w:spacing w:line="360" w:lineRule="auto"/>
        <w:contextualSpacing/>
        <w:rPr>
          <w:rFonts w:ascii="宋体" w:hAnsi="宋体" w:cs="宋体"/>
          <w:color w:val="auto"/>
          <w:sz w:val="32"/>
          <w:szCs w:val="32"/>
          <w:highlight w:val="none"/>
        </w:rPr>
      </w:pPr>
    </w:p>
    <w:p w14:paraId="17B64184">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单位的</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456B4355">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本单位对上述声明的真实性负责。如有虚假，将依法承担相应责任。</w:t>
      </w:r>
    </w:p>
    <w:p w14:paraId="756AF035">
      <w:pPr>
        <w:spacing w:line="360" w:lineRule="auto"/>
        <w:contextualSpacing/>
        <w:rPr>
          <w:rFonts w:ascii="宋体" w:hAnsi="宋体" w:cs="宋体"/>
          <w:color w:val="auto"/>
          <w:sz w:val="21"/>
          <w:szCs w:val="21"/>
          <w:highlight w:val="none"/>
        </w:rPr>
      </w:pPr>
    </w:p>
    <w:p w14:paraId="3194FF8E">
      <w:pPr>
        <w:spacing w:line="360" w:lineRule="auto"/>
        <w:contextualSpacing/>
        <w:rPr>
          <w:rFonts w:ascii="宋体" w:hAnsi="宋体" w:cs="宋体"/>
          <w:color w:val="auto"/>
          <w:sz w:val="21"/>
          <w:szCs w:val="21"/>
          <w:highlight w:val="none"/>
        </w:rPr>
      </w:pPr>
    </w:p>
    <w:p w14:paraId="53F62E72">
      <w:pPr>
        <w:spacing w:line="360" w:lineRule="auto"/>
        <w:contextualSpacing/>
        <w:rPr>
          <w:rFonts w:ascii="宋体" w:hAnsi="宋体" w:cs="宋体"/>
          <w:color w:val="auto"/>
          <w:sz w:val="21"/>
          <w:szCs w:val="21"/>
          <w:highlight w:val="none"/>
        </w:rPr>
      </w:pPr>
    </w:p>
    <w:p w14:paraId="08DA6740">
      <w:pPr>
        <w:spacing w:line="360" w:lineRule="auto"/>
        <w:ind w:firstLine="2100" w:firstLineChars="1000"/>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单位名称（公章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0E72FA6D">
      <w:pPr>
        <w:spacing w:line="360" w:lineRule="auto"/>
        <w:ind w:firstLine="3150" w:firstLineChars="1500"/>
        <w:contextualSpacing/>
        <w:rPr>
          <w:rFonts w:ascii="宋体" w:hAnsi="宋体" w:cs="宋体"/>
          <w:color w:val="auto"/>
          <w:sz w:val="21"/>
          <w:szCs w:val="21"/>
          <w:highlight w:val="none"/>
        </w:rPr>
      </w:pPr>
      <w:r>
        <w:rPr>
          <w:rFonts w:hint="eastAsia" w:ascii="宋体" w:hAnsi="宋体" w:cs="宋体"/>
          <w:color w:val="auto"/>
          <w:sz w:val="21"/>
          <w:szCs w:val="21"/>
          <w:highlight w:val="none"/>
        </w:rPr>
        <w:t>日  期：</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212E4FD6">
      <w:pPr>
        <w:spacing w:line="360" w:lineRule="auto"/>
        <w:contextualSpacing/>
        <w:rPr>
          <w:rFonts w:ascii="宋体" w:hAnsi="宋体" w:cs="宋体"/>
          <w:color w:val="auto"/>
          <w:sz w:val="21"/>
          <w:szCs w:val="21"/>
          <w:highlight w:val="none"/>
        </w:rPr>
      </w:pPr>
    </w:p>
    <w:p w14:paraId="3F35514D">
      <w:pPr>
        <w:spacing w:line="360" w:lineRule="auto"/>
        <w:contextualSpacing/>
        <w:rPr>
          <w:rFonts w:ascii="宋体" w:hAnsi="宋体" w:cs="宋体"/>
          <w:color w:val="auto"/>
          <w:sz w:val="21"/>
          <w:szCs w:val="21"/>
          <w:highlight w:val="none"/>
        </w:rPr>
      </w:pPr>
    </w:p>
    <w:p w14:paraId="065B1C38">
      <w:pPr>
        <w:spacing w:line="360" w:lineRule="auto"/>
        <w:contextualSpacing/>
        <w:rPr>
          <w:rFonts w:ascii="宋体" w:hAnsi="宋体" w:cs="宋体"/>
          <w:color w:val="auto"/>
          <w:sz w:val="21"/>
          <w:szCs w:val="21"/>
          <w:highlight w:val="none"/>
        </w:rPr>
      </w:pPr>
    </w:p>
    <w:p w14:paraId="0EA5D795">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763E6064">
      <w:pPr>
        <w:snapToGrid/>
        <w:spacing w:before="0" w:beforeLines="-2147483648" w:after="0" w:line="240" w:lineRule="auto"/>
        <w:ind w:right="0"/>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0FD5874E">
      <w:pPr>
        <w:pStyle w:val="7"/>
        <w:overflowPunct w:val="0"/>
        <w:spacing w:line="360" w:lineRule="auto"/>
        <w:ind w:firstLine="0"/>
        <w:jc w:val="both"/>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10</w:t>
      </w:r>
      <w:r>
        <w:rPr>
          <w:rFonts w:hint="eastAsia" w:ascii="宋体" w:hAnsi="宋体" w:eastAsia="宋体" w:cs="宋体"/>
          <w:b/>
          <w:bCs/>
          <w:color w:val="auto"/>
          <w:sz w:val="28"/>
          <w:szCs w:val="28"/>
          <w:highlight w:val="none"/>
        </w:rPr>
        <w:t>.联合体参与竞争性磋商协议书</w:t>
      </w:r>
    </w:p>
    <w:p w14:paraId="0BB1A350">
      <w:pPr>
        <w:pStyle w:val="7"/>
        <w:overflowPunct w:val="0"/>
        <w:spacing w:line="360" w:lineRule="auto"/>
        <w:ind w:firstLine="0"/>
        <w:jc w:val="center"/>
        <w:rPr>
          <w:rFonts w:ascii="宋体" w:hAnsi="宋体" w:cs="宋体"/>
          <w:color w:val="auto"/>
          <w:sz w:val="28"/>
          <w:szCs w:val="28"/>
          <w:highlight w:val="none"/>
        </w:rPr>
      </w:pPr>
      <w:r>
        <w:rPr>
          <w:rFonts w:hint="eastAsia" w:ascii="宋体" w:hAnsi="宋体" w:cs="宋体"/>
          <w:color w:val="auto"/>
          <w:sz w:val="28"/>
          <w:szCs w:val="28"/>
          <w:highlight w:val="none"/>
        </w:rPr>
        <w:t>联合体参与竞争性磋商协议书</w:t>
      </w:r>
    </w:p>
    <w:p w14:paraId="1D42F1AF">
      <w:pPr>
        <w:pStyle w:val="7"/>
        <w:overflowPunct w:val="0"/>
        <w:spacing w:line="360" w:lineRule="auto"/>
        <w:ind w:firstLine="0"/>
        <w:rPr>
          <w:rFonts w:ascii="宋体" w:hAnsi="宋体" w:cs="宋体"/>
          <w:color w:val="auto"/>
          <w:sz w:val="24"/>
          <w:szCs w:val="24"/>
          <w:highlight w:val="none"/>
        </w:rPr>
      </w:pPr>
    </w:p>
    <w:p w14:paraId="3F5476C7">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（所有成员单位名称）自愿组成</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（联合体名称）联合体，共同参加</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（项目名称）采购项目竞争性磋商。现就联合体参与竞争性磋商事宜订立如下协议。</w:t>
      </w:r>
    </w:p>
    <w:p w14:paraId="618931E0">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ab/>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（某成员单位名称）为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（联合体名称）牵头人。</w:t>
      </w:r>
    </w:p>
    <w:p w14:paraId="48AD51A5">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联合体各成员授权牵头人代表联合体参加竞标活动，签署文件及对文件的盖章，提交和接收相关的资料、信息及指示，进行合同磋商活动，负责合同实施阶段的组织和协调工作，以及处理与本竞争性磋商项目有关的一切事宜。</w:t>
      </w:r>
    </w:p>
    <w:p w14:paraId="4B45B123">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3.联合体牵头人在本项目中签署和盖章的一切文件和处理的一切事宜，联合体各成员均予以承认。联合体各成员将严格按照磋商文件、响应文件和合同的要求全面履行义务，并向采购人承担连带责任。</w:t>
      </w:r>
    </w:p>
    <w:p w14:paraId="1D7CD9E9">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4.联合体各成员单位内部的职责分工如下：</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w:t>
      </w:r>
    </w:p>
    <w:p w14:paraId="0053C3D6">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5.本</w:t>
      </w:r>
      <w:r>
        <w:rPr>
          <w:rFonts w:hint="eastAsia" w:ascii="宋体" w:hAnsi="宋体" w:cs="宋体"/>
          <w:color w:val="auto"/>
          <w:spacing w:val="-6"/>
          <w:sz w:val="21"/>
          <w:szCs w:val="21"/>
          <w:highlight w:val="none"/>
        </w:rPr>
        <w:t>协议书自所有成员单位法定代表人（单位负责人）或者其委托代理人签字或</w:t>
      </w:r>
      <w:r>
        <w:rPr>
          <w:rFonts w:hint="eastAsia" w:ascii="宋体" w:hAnsi="宋体" w:cs="宋体"/>
          <w:color w:val="auto"/>
          <w:spacing w:val="-6"/>
          <w:sz w:val="21"/>
          <w:szCs w:val="21"/>
          <w:highlight w:val="none"/>
          <w:lang w:eastAsia="zh-CN"/>
        </w:rPr>
        <w:t>者加</w:t>
      </w:r>
      <w:r>
        <w:rPr>
          <w:rFonts w:hint="eastAsia" w:ascii="宋体" w:hAnsi="宋体" w:cs="宋体"/>
          <w:color w:val="auto"/>
          <w:spacing w:val="-6"/>
          <w:sz w:val="21"/>
          <w:szCs w:val="21"/>
          <w:highlight w:val="none"/>
        </w:rPr>
        <w:t>盖单</w:t>
      </w:r>
      <w:r>
        <w:rPr>
          <w:rFonts w:hint="eastAsia" w:ascii="宋体" w:hAnsi="宋体" w:cs="宋体"/>
          <w:color w:val="auto"/>
          <w:spacing w:val="-6"/>
          <w:sz w:val="21"/>
          <w:szCs w:val="21"/>
          <w:highlight w:val="none"/>
          <w:lang w:eastAsia="zh-CN"/>
        </w:rPr>
        <w:t>位公</w:t>
      </w:r>
      <w:r>
        <w:rPr>
          <w:rFonts w:hint="eastAsia" w:ascii="宋体" w:hAnsi="宋体" w:cs="宋体"/>
          <w:color w:val="auto"/>
          <w:spacing w:val="-6"/>
          <w:sz w:val="21"/>
          <w:szCs w:val="21"/>
          <w:highlight w:val="none"/>
        </w:rPr>
        <w:t>章之日起生效，合同履行完毕后自动失效。</w:t>
      </w:r>
    </w:p>
    <w:p w14:paraId="4CA6DB73">
      <w:pPr>
        <w:pStyle w:val="7"/>
        <w:overflowPunct w:val="0"/>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6.本协议书一式</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ab/>
      </w:r>
      <w:r>
        <w:rPr>
          <w:rFonts w:hint="eastAsia" w:ascii="宋体" w:hAnsi="宋体" w:cs="宋体"/>
          <w:color w:val="auto"/>
          <w:sz w:val="21"/>
          <w:szCs w:val="21"/>
          <w:highlight w:val="none"/>
        </w:rPr>
        <w:t>份，联合体成员和采购人各执壹份。</w:t>
      </w:r>
    </w:p>
    <w:p w14:paraId="5A7B38F7">
      <w:pPr>
        <w:pStyle w:val="7"/>
        <w:overflowPunct w:val="0"/>
        <w:spacing w:line="360" w:lineRule="auto"/>
        <w:ind w:firstLine="422" w:firstLineChars="200"/>
        <w:contextualSpacing/>
        <w:rPr>
          <w:rFonts w:ascii="楷体" w:hAnsi="楷体" w:eastAsia="楷体" w:cs="宋体"/>
          <w:color w:val="auto"/>
          <w:sz w:val="21"/>
          <w:szCs w:val="21"/>
          <w:highlight w:val="none"/>
        </w:rPr>
      </w:pPr>
      <w:r>
        <w:rPr>
          <w:rFonts w:hint="eastAsia" w:ascii="楷体" w:hAnsi="楷体" w:eastAsia="楷体" w:cs="宋体"/>
          <w:b/>
          <w:color w:val="auto"/>
          <w:sz w:val="21"/>
          <w:szCs w:val="21"/>
          <w:highlight w:val="none"/>
        </w:rPr>
        <w:t>注：</w:t>
      </w:r>
      <w:r>
        <w:rPr>
          <w:rFonts w:hint="eastAsia" w:ascii="楷体" w:hAnsi="楷体" w:eastAsia="楷体" w:cs="宋体"/>
          <w:color w:val="auto"/>
          <w:sz w:val="21"/>
          <w:szCs w:val="21"/>
          <w:highlight w:val="none"/>
        </w:rPr>
        <w:t>本协议书由法定代表人（单位负责人）签字的，应附法定代表人（单位负责人）身份证明书；由委托代理人签字的，应附联合体协议签订授权委托书（格式自拟）。</w:t>
      </w:r>
    </w:p>
    <w:p w14:paraId="68CA1143">
      <w:pPr>
        <w:pStyle w:val="7"/>
        <w:overflowPunct w:val="0"/>
        <w:spacing w:line="360" w:lineRule="auto"/>
        <w:ind w:firstLineChars="175"/>
        <w:contextualSpacing/>
        <w:rPr>
          <w:rFonts w:ascii="宋体" w:hAnsi="宋体" w:cs="宋体"/>
          <w:color w:val="auto"/>
          <w:sz w:val="21"/>
          <w:szCs w:val="21"/>
          <w:highlight w:val="none"/>
        </w:rPr>
      </w:pPr>
    </w:p>
    <w:p w14:paraId="0CDEEC48">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联合体牵头人名称（盖公章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17B98DBF">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法定代表人（单位负责人）或者其委托代理人（</w:t>
      </w:r>
      <w:r>
        <w:rPr>
          <w:rFonts w:hint="eastAsia" w:ascii="宋体" w:hAnsi="宋体" w:eastAsia="宋体" w:cs="宋体"/>
          <w:color w:val="auto"/>
          <w:sz w:val="21"/>
          <w:szCs w:val="21"/>
          <w:highlight w:val="none"/>
          <w:lang w:eastAsia="zh-CN"/>
        </w:rPr>
        <w:t>签字或</w:t>
      </w:r>
      <w:r>
        <w:rPr>
          <w:rFonts w:hint="eastAsia" w:ascii="宋体" w:hAnsi="宋体" w:eastAsia="宋体" w:cs="宋体"/>
          <w:b w:val="0"/>
          <w:bCs/>
          <w:color w:val="auto"/>
          <w:szCs w:val="21"/>
          <w:highlight w:val="none"/>
          <w:lang w:val="en-US" w:eastAsia="zh-CN"/>
        </w:rPr>
        <w:t>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10BB26B7">
      <w:pPr>
        <w:pStyle w:val="7"/>
        <w:overflowPunct w:val="0"/>
        <w:spacing w:line="360" w:lineRule="auto"/>
        <w:ind w:firstLineChars="175"/>
        <w:contextualSpacing/>
        <w:rPr>
          <w:rFonts w:ascii="宋体" w:hAnsi="宋体" w:cs="宋体"/>
          <w:color w:val="auto"/>
          <w:sz w:val="21"/>
          <w:szCs w:val="21"/>
          <w:highlight w:val="none"/>
        </w:rPr>
      </w:pPr>
    </w:p>
    <w:p w14:paraId="2C95A0D8">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联合体成员名称（盖公章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0FB46683">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法定代表人（单位负责人）或者其委托代理人（</w:t>
      </w:r>
      <w:r>
        <w:rPr>
          <w:rFonts w:hint="eastAsia" w:ascii="宋体" w:hAnsi="宋体" w:eastAsia="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0964062A">
      <w:pPr>
        <w:pStyle w:val="7"/>
        <w:overflowPunct w:val="0"/>
        <w:spacing w:line="360" w:lineRule="auto"/>
        <w:ind w:firstLineChars="175"/>
        <w:contextualSpacing/>
        <w:rPr>
          <w:rFonts w:ascii="宋体" w:hAnsi="宋体" w:cs="宋体"/>
          <w:color w:val="auto"/>
          <w:sz w:val="21"/>
          <w:szCs w:val="21"/>
          <w:highlight w:val="none"/>
        </w:rPr>
      </w:pPr>
    </w:p>
    <w:p w14:paraId="746FC0A1">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联合体成员名称（盖公章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01B0EFA4">
      <w:pPr>
        <w:pStyle w:val="7"/>
        <w:overflowPunct w:val="0"/>
        <w:spacing w:line="360" w:lineRule="auto"/>
        <w:ind w:firstLineChars="175"/>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法定代表人（单位负责人）或者其委托代理人（</w:t>
      </w:r>
      <w:r>
        <w:rPr>
          <w:rFonts w:hint="eastAsia" w:ascii="宋体" w:hAnsi="宋体" w:eastAsia="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2AEEBBBD">
      <w:pPr>
        <w:pStyle w:val="7"/>
        <w:overflowPunct w:val="0"/>
        <w:spacing w:line="360" w:lineRule="auto"/>
        <w:ind w:firstLineChars="175"/>
        <w:contextualSpacing/>
        <w:rPr>
          <w:rFonts w:ascii="宋体" w:hAnsi="宋体" w:cs="宋体"/>
          <w:color w:val="auto"/>
          <w:sz w:val="21"/>
          <w:szCs w:val="21"/>
          <w:highlight w:val="none"/>
        </w:rPr>
      </w:pPr>
      <w:r>
        <w:rPr>
          <w:rFonts w:hint="eastAsia" w:ascii="宋体" w:hAnsi="宋体" w:cs="宋体"/>
          <w:color w:val="auto"/>
          <w:sz w:val="21"/>
          <w:szCs w:val="21"/>
          <w:highlight w:val="none"/>
        </w:rPr>
        <w:t>……</w:t>
      </w:r>
    </w:p>
    <w:p w14:paraId="593D5FF0">
      <w:pPr>
        <w:spacing w:line="360" w:lineRule="auto"/>
        <w:ind w:right="480" w:firstLine="210" w:firstLineChars="100"/>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hAnsi="宋体" w:cs="宋体"/>
          <w:color w:val="auto"/>
          <w:sz w:val="21"/>
          <w:szCs w:val="21"/>
          <w:highlight w:val="none"/>
        </w:rPr>
        <w:t>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ab/>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ab/>
      </w:r>
      <w:r>
        <w:rPr>
          <w:rFonts w:hint="eastAsia" w:ascii="宋体" w:hAnsi="宋体" w:cs="宋体"/>
          <w:color w:val="auto"/>
          <w:sz w:val="21"/>
          <w:szCs w:val="21"/>
          <w:highlight w:val="none"/>
        </w:rPr>
        <w:t>日</w:t>
      </w:r>
    </w:p>
    <w:p w14:paraId="77CEAF10">
      <w:pPr>
        <w:snapToGrid/>
        <w:spacing w:before="0" w:beforeLines="-2147483648" w:after="0" w:line="240" w:lineRule="auto"/>
        <w:ind w:right="0"/>
        <w:jc w:val="left"/>
        <w:rPr>
          <w:rFonts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报价文件格式</w:t>
      </w:r>
    </w:p>
    <w:p w14:paraId="7F1267FA">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报价文件封面格式</w:t>
      </w:r>
    </w:p>
    <w:p w14:paraId="002BE2A0">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2EA1D0E5">
      <w:pPr>
        <w:snapToGrid w:val="0"/>
        <w:spacing w:before="156" w:beforeLines="50" w:after="50"/>
        <w:rPr>
          <w:rFonts w:ascii="宋体" w:hAnsi="宋体" w:cs="宋体"/>
          <w:color w:val="auto"/>
          <w:sz w:val="24"/>
          <w:szCs w:val="20"/>
          <w:highlight w:val="none"/>
        </w:rPr>
      </w:pPr>
    </w:p>
    <w:p w14:paraId="10D7A096">
      <w:pPr>
        <w:snapToGrid w:val="0"/>
        <w:spacing w:before="156" w:beforeLines="50" w:after="50"/>
        <w:jc w:val="center"/>
        <w:rPr>
          <w:rFonts w:ascii="宋体" w:hAnsi="宋体" w:cs="宋体"/>
          <w:bCs/>
          <w:color w:val="auto"/>
          <w:sz w:val="72"/>
          <w:szCs w:val="72"/>
          <w:highlight w:val="none"/>
        </w:rPr>
      </w:pPr>
      <w:r>
        <w:rPr>
          <w:rFonts w:hint="eastAsia" w:ascii="宋体" w:hAnsi="宋体" w:cs="宋体"/>
          <w:bCs/>
          <w:color w:val="auto"/>
          <w:sz w:val="72"/>
          <w:szCs w:val="72"/>
          <w:highlight w:val="none"/>
        </w:rPr>
        <w:t>响应文件</w:t>
      </w:r>
    </w:p>
    <w:p w14:paraId="3B384F9E">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7A5331EB">
      <w:pPr>
        <w:snapToGrid w:val="0"/>
        <w:spacing w:before="156" w:beforeLines="50" w:after="50"/>
        <w:rPr>
          <w:rFonts w:ascii="宋体" w:hAnsi="宋体" w:cs="宋体"/>
          <w:bCs/>
          <w:color w:val="auto"/>
          <w:sz w:val="24"/>
          <w:szCs w:val="20"/>
          <w:highlight w:val="none"/>
        </w:rPr>
      </w:pPr>
    </w:p>
    <w:p w14:paraId="64AEF62F">
      <w:pPr>
        <w:snapToGrid w:val="0"/>
        <w:spacing w:before="156" w:beforeLines="50" w:after="50"/>
        <w:rPr>
          <w:rFonts w:ascii="宋体" w:hAnsi="宋体" w:cs="宋体"/>
          <w:bCs/>
          <w:color w:val="auto"/>
          <w:sz w:val="24"/>
          <w:szCs w:val="20"/>
          <w:highlight w:val="none"/>
        </w:rPr>
      </w:pPr>
    </w:p>
    <w:p w14:paraId="272765FB">
      <w:pPr>
        <w:snapToGrid w:val="0"/>
        <w:spacing w:before="156" w:beforeLines="50" w:after="50"/>
        <w:ind w:firstLine="2100" w:firstLineChars="875"/>
        <w:rPr>
          <w:rFonts w:ascii="宋体" w:hAnsi="宋体" w:cs="宋体"/>
          <w:bCs/>
          <w:color w:val="auto"/>
          <w:sz w:val="24"/>
          <w:szCs w:val="20"/>
          <w:highlight w:val="none"/>
        </w:rPr>
      </w:pPr>
    </w:p>
    <w:p w14:paraId="2D802028">
      <w:pPr>
        <w:snapToGrid w:val="0"/>
        <w:spacing w:before="156" w:beforeLines="50" w:after="50"/>
        <w:ind w:firstLine="2100" w:firstLineChars="875"/>
        <w:rPr>
          <w:rFonts w:ascii="宋体" w:hAnsi="宋体" w:cs="宋体"/>
          <w:bCs/>
          <w:color w:val="auto"/>
          <w:sz w:val="24"/>
          <w:szCs w:val="20"/>
          <w:highlight w:val="none"/>
        </w:rPr>
      </w:pPr>
    </w:p>
    <w:p w14:paraId="275E6D6F">
      <w:pPr>
        <w:snapToGrid w:val="0"/>
        <w:spacing w:before="156" w:beforeLines="50" w:after="50"/>
        <w:ind w:firstLine="2100" w:firstLineChars="875"/>
        <w:rPr>
          <w:rFonts w:ascii="宋体" w:hAnsi="宋体" w:cs="宋体"/>
          <w:bCs/>
          <w:color w:val="auto"/>
          <w:sz w:val="24"/>
          <w:szCs w:val="20"/>
          <w:highlight w:val="none"/>
        </w:rPr>
      </w:pPr>
    </w:p>
    <w:p w14:paraId="6C98F910">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397CE6D">
      <w:pPr>
        <w:snapToGrid w:val="0"/>
        <w:spacing w:before="156" w:beforeLines="50" w:after="50"/>
        <w:ind w:firstLine="2800" w:firstLineChars="875"/>
        <w:rPr>
          <w:rFonts w:ascii="宋体" w:hAnsi="宋体" w:cs="宋体"/>
          <w:bCs/>
          <w:color w:val="auto"/>
          <w:sz w:val="32"/>
          <w:szCs w:val="32"/>
          <w:highlight w:val="none"/>
        </w:rPr>
      </w:pPr>
    </w:p>
    <w:p w14:paraId="31D70FEE">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28AD941">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43BD6A81">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54ABB32D">
      <w:pPr>
        <w:snapToGrid w:val="0"/>
        <w:spacing w:before="156" w:beforeLines="50" w:after="50"/>
        <w:ind w:firstLine="2800" w:firstLineChars="875"/>
        <w:rPr>
          <w:rFonts w:ascii="宋体" w:hAnsi="宋体" w:cs="宋体"/>
          <w:bCs/>
          <w:color w:val="auto"/>
          <w:sz w:val="32"/>
          <w:szCs w:val="32"/>
          <w:highlight w:val="none"/>
        </w:rPr>
      </w:pPr>
    </w:p>
    <w:p w14:paraId="5A0596CB">
      <w:pPr>
        <w:pStyle w:val="7"/>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76D499">
      <w:pPr>
        <w:pStyle w:val="7"/>
        <w:snapToGrid w:val="0"/>
        <w:spacing w:before="50" w:after="50"/>
        <w:ind w:firstLine="2800" w:firstLineChars="875"/>
        <w:rPr>
          <w:rFonts w:ascii="宋体" w:hAnsi="宋体" w:cs="宋体"/>
          <w:bCs/>
          <w:color w:val="auto"/>
          <w:sz w:val="32"/>
          <w:szCs w:val="32"/>
          <w:highlight w:val="none"/>
        </w:rPr>
      </w:pPr>
    </w:p>
    <w:p w14:paraId="20C6A5CF">
      <w:pPr>
        <w:pStyle w:val="7"/>
        <w:snapToGrid w:val="0"/>
        <w:spacing w:before="50" w:after="50"/>
        <w:ind w:firstLine="720" w:firstLineChars="225"/>
        <w:rPr>
          <w:rFonts w:ascii="宋体" w:hAnsi="宋体" w:cs="宋体"/>
          <w:bCs/>
          <w:color w:val="auto"/>
          <w:sz w:val="32"/>
          <w:szCs w:val="32"/>
          <w:highlight w:val="none"/>
        </w:rPr>
      </w:pPr>
    </w:p>
    <w:p w14:paraId="7FD3C0D3">
      <w:pPr>
        <w:pStyle w:val="7"/>
        <w:snapToGrid w:val="0"/>
        <w:spacing w:before="50" w:after="50"/>
        <w:ind w:firstLine="1280" w:firstLineChars="400"/>
        <w:rPr>
          <w:rFonts w:ascii="宋体" w:hAnsi="宋体" w:cs="宋体"/>
          <w:bCs/>
          <w:color w:val="auto"/>
          <w:sz w:val="32"/>
          <w:szCs w:val="32"/>
          <w:highlight w:val="none"/>
        </w:rPr>
      </w:pPr>
    </w:p>
    <w:p w14:paraId="79995B8E">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B5A4F00">
      <w:pPr>
        <w:snapToGrid w:val="0"/>
        <w:spacing w:before="156" w:beforeLines="50" w:after="50" w:line="360" w:lineRule="auto"/>
        <w:ind w:left="142"/>
        <w:jc w:val="left"/>
        <w:rPr>
          <w:rFonts w:ascii="宋体" w:hAnsi="宋体" w:cs="宋体"/>
          <w:b/>
          <w:bCs/>
          <w:color w:val="auto"/>
          <w:sz w:val="22"/>
          <w:szCs w:val="22"/>
          <w:highlight w:val="none"/>
        </w:rPr>
      </w:pPr>
      <w:r>
        <w:rPr>
          <w:rFonts w:hint="eastAsia" w:ascii="宋体" w:hAnsi="宋体" w:cs="宋体"/>
          <w:color w:val="auto"/>
          <w:sz w:val="24"/>
          <w:highlight w:val="none"/>
        </w:rPr>
        <w:br w:type="page"/>
      </w:r>
      <w:r>
        <w:rPr>
          <w:rFonts w:hint="eastAsia" w:ascii="宋体" w:hAnsi="宋体" w:cs="宋体"/>
          <w:b/>
          <w:bCs/>
          <w:color w:val="auto"/>
          <w:sz w:val="28"/>
          <w:szCs w:val="28"/>
          <w:highlight w:val="none"/>
        </w:rPr>
        <w:t>报价文件目录</w:t>
      </w:r>
    </w:p>
    <w:p w14:paraId="22956295">
      <w:pPr>
        <w:snapToGrid w:val="0"/>
        <w:spacing w:before="156" w:beforeLines="50" w:after="50"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57F3AEB7">
      <w:pPr>
        <w:spacing w:line="400" w:lineRule="exact"/>
        <w:rPr>
          <w:rFonts w:ascii="宋体" w:hAnsi="宋体" w:cs="宋体"/>
          <w:color w:val="auto"/>
          <w:sz w:val="32"/>
          <w:szCs w:val="32"/>
          <w:highlight w:val="none"/>
        </w:rPr>
      </w:pPr>
    </w:p>
    <w:p w14:paraId="4BD88C20">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14:paraId="6982149D">
      <w:pPr>
        <w:jc w:val="left"/>
        <w:rPr>
          <w:rFonts w:hint="eastAsia" w:ascii="宋体" w:hAnsi="宋体" w:cs="宋体"/>
          <w:b/>
          <w:bCs/>
          <w:color w:val="auto"/>
          <w:sz w:val="28"/>
          <w:szCs w:val="28"/>
          <w:highlight w:val="none"/>
        </w:rPr>
      </w:pPr>
      <w:r>
        <w:rPr>
          <w:rFonts w:hint="eastAsia" w:ascii="宋体" w:hAnsi="宋体" w:eastAsia="宋体" w:cs="宋体"/>
          <w:b/>
          <w:bCs/>
          <w:color w:val="auto"/>
          <w:sz w:val="28"/>
          <w:szCs w:val="28"/>
          <w:highlight w:val="none"/>
        </w:rPr>
        <w:t>1.无串通参与竞争性磋商行为的承诺函</w:t>
      </w:r>
    </w:p>
    <w:p w14:paraId="3A829259">
      <w:pPr>
        <w:spacing w:before="157" w:beforeLines="50" w:after="157" w:afterLines="50" w:line="360" w:lineRule="auto"/>
        <w:jc w:val="center"/>
        <w:rPr>
          <w:rFonts w:ascii="宋体" w:hAnsi="宋体" w:cs="宋体"/>
          <w:b/>
          <w:color w:val="auto"/>
          <w:sz w:val="24"/>
          <w:szCs w:val="24"/>
          <w:highlight w:val="none"/>
        </w:rPr>
      </w:pPr>
      <w:r>
        <w:rPr>
          <w:rFonts w:hint="eastAsia" w:ascii="宋体" w:hAnsi="宋体" w:cs="宋体"/>
          <w:b/>
          <w:color w:val="auto"/>
          <w:sz w:val="32"/>
          <w:szCs w:val="32"/>
          <w:highlight w:val="none"/>
        </w:rPr>
        <w:t>无串通参与竞争性磋商行为的承诺函</w:t>
      </w:r>
    </w:p>
    <w:p w14:paraId="1C1C4F1D">
      <w:pPr>
        <w:spacing w:line="360" w:lineRule="auto"/>
        <w:ind w:firstLine="422" w:firstLineChars="200"/>
        <w:contextualSpacing/>
        <w:rPr>
          <w:rFonts w:ascii="宋体" w:hAnsi="宋体" w:cs="宋体"/>
          <w:b/>
          <w:bCs/>
          <w:color w:val="auto"/>
          <w:sz w:val="21"/>
          <w:szCs w:val="21"/>
          <w:highlight w:val="none"/>
        </w:rPr>
      </w:pPr>
      <w:r>
        <w:rPr>
          <w:rFonts w:hint="eastAsia" w:ascii="宋体" w:hAnsi="宋体" w:cs="宋体"/>
          <w:b/>
          <w:bCs/>
          <w:color w:val="auto"/>
          <w:sz w:val="21"/>
          <w:szCs w:val="21"/>
          <w:highlight w:val="none"/>
        </w:rPr>
        <w:t>一、我方承诺无下列相互串通参与竞争性磋商的情形：</w:t>
      </w:r>
    </w:p>
    <w:p w14:paraId="58DE4CD9">
      <w:pPr>
        <w:spacing w:line="360" w:lineRule="auto"/>
        <w:ind w:firstLine="420" w:firstLineChars="200"/>
        <w:contextualSpacing/>
        <w:rPr>
          <w:rFonts w:hint="eastAsia"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eastAsia="zh-CN"/>
        </w:rPr>
        <w:t>1</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不同供应商的响应文件由同一单位或者个人编制；或不同供应商报名的IP地址一致的</w:t>
      </w:r>
      <w:r>
        <w:rPr>
          <w:rFonts w:hint="eastAsia" w:ascii="宋体" w:hAnsi="宋体" w:cs="宋体"/>
          <w:b w:val="0"/>
          <w:bCs w:val="0"/>
          <w:color w:val="auto"/>
          <w:sz w:val="21"/>
          <w:szCs w:val="21"/>
          <w:highlight w:val="none"/>
          <w:lang w:eastAsia="zh-CN"/>
        </w:rPr>
        <w:t>；或者编制响应文件硬件设备CPU编号、硬盘编号、网卡地址一致的情况；</w:t>
      </w:r>
    </w:p>
    <w:p w14:paraId="65238F35">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2</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不同供应商委托同一单位或者个人办理竞争性磋商事宜；</w:t>
      </w:r>
    </w:p>
    <w:p w14:paraId="0469BDF5">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3</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不同的供应商的响应文件载明的项目管理员为同一个人；</w:t>
      </w:r>
    </w:p>
    <w:p w14:paraId="199205DD">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4</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不同供应商的响应文件异常一致或者报价呈规律性差异；</w:t>
      </w:r>
    </w:p>
    <w:p w14:paraId="3EFFB5F2">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5</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不同供应商的响应文件相互混装；</w:t>
      </w:r>
    </w:p>
    <w:p w14:paraId="146C279C">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6</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不同供应商的磋商保证金从同一单位或者个人账户转出。</w:t>
      </w:r>
      <w:r>
        <w:rPr>
          <w:rFonts w:hint="eastAsia" w:ascii="宋体" w:hAnsi="宋体" w:cs="宋体"/>
          <w:b w:val="0"/>
          <w:bCs w:val="0"/>
          <w:color w:val="auto"/>
          <w:sz w:val="21"/>
          <w:szCs w:val="21"/>
          <w:highlight w:val="none"/>
        </w:rPr>
        <w:tab/>
      </w:r>
    </w:p>
    <w:p w14:paraId="2431859B">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7</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供应商之间协商报价等响应文件的实质性内容；</w:t>
      </w:r>
    </w:p>
    <w:p w14:paraId="2546069E">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8</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供应商之间约定成交供应商；</w:t>
      </w:r>
    </w:p>
    <w:p w14:paraId="2FD6935A">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9</w:t>
      </w:r>
      <w:r>
        <w:rPr>
          <w:rFonts w:hint="eastAsia" w:ascii="宋体" w:hAnsi="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rPr>
        <w:t>供应商之间约定部分供应商放弃参与竞争性磋商或者成交；</w:t>
      </w:r>
    </w:p>
    <w:p w14:paraId="27AA134E">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1</w:t>
      </w:r>
      <w:r>
        <w:rPr>
          <w:rFonts w:hint="eastAsia" w:ascii="宋体" w:hAnsi="宋体" w:cs="宋体"/>
          <w:b w:val="0"/>
          <w:bCs w:val="0"/>
          <w:color w:val="auto"/>
          <w:sz w:val="21"/>
          <w:szCs w:val="21"/>
          <w:highlight w:val="none"/>
          <w:lang w:val="en-US" w:eastAsia="zh-CN"/>
        </w:rPr>
        <w:t>0.</w:t>
      </w:r>
      <w:r>
        <w:rPr>
          <w:rFonts w:hint="eastAsia" w:ascii="宋体" w:hAnsi="宋体" w:cs="宋体"/>
          <w:b w:val="0"/>
          <w:bCs w:val="0"/>
          <w:color w:val="auto"/>
          <w:sz w:val="21"/>
          <w:szCs w:val="21"/>
          <w:highlight w:val="none"/>
        </w:rPr>
        <w:t>属于同一集团、协会、商会等组织成员的供应商按照该组织要求协同参与竞争性磋商；</w:t>
      </w:r>
    </w:p>
    <w:p w14:paraId="668FE224">
      <w:pPr>
        <w:spacing w:line="360" w:lineRule="auto"/>
        <w:ind w:firstLine="420" w:firstLineChars="200"/>
        <w:contextualSpacing/>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lang w:eastAsia="zh-CN"/>
        </w:rPr>
        <w:t>1</w:t>
      </w:r>
      <w:r>
        <w:rPr>
          <w:rFonts w:hint="eastAsia" w:ascii="宋体" w:hAnsi="宋体" w:cs="宋体"/>
          <w:b w:val="0"/>
          <w:bCs w:val="0"/>
          <w:color w:val="auto"/>
          <w:sz w:val="21"/>
          <w:szCs w:val="21"/>
          <w:highlight w:val="none"/>
          <w:lang w:val="en-US" w:eastAsia="zh-CN"/>
        </w:rPr>
        <w:t>1.</w:t>
      </w:r>
      <w:r>
        <w:rPr>
          <w:rFonts w:hint="eastAsia" w:ascii="宋体" w:hAnsi="宋体" w:cs="宋体"/>
          <w:b w:val="0"/>
          <w:bCs w:val="0"/>
          <w:color w:val="auto"/>
          <w:sz w:val="21"/>
          <w:szCs w:val="21"/>
          <w:highlight w:val="none"/>
        </w:rPr>
        <w:t>供应商之间为谋取成交或者排斥特定供应商而采取的其他联合行动。</w:t>
      </w:r>
    </w:p>
    <w:p w14:paraId="3F188C7C">
      <w:pPr>
        <w:spacing w:line="360" w:lineRule="auto"/>
        <w:ind w:firstLine="422" w:firstLineChars="200"/>
        <w:contextualSpacing/>
        <w:rPr>
          <w:rFonts w:ascii="宋体" w:hAnsi="宋体" w:cs="宋体"/>
          <w:b/>
          <w:bCs/>
          <w:color w:val="auto"/>
          <w:sz w:val="21"/>
          <w:szCs w:val="21"/>
          <w:highlight w:val="none"/>
        </w:rPr>
      </w:pPr>
      <w:r>
        <w:rPr>
          <w:rFonts w:hint="eastAsia" w:ascii="宋体" w:hAnsi="宋体" w:cs="宋体"/>
          <w:b/>
          <w:bCs/>
          <w:color w:val="auto"/>
          <w:sz w:val="21"/>
          <w:szCs w:val="21"/>
          <w:highlight w:val="none"/>
        </w:rPr>
        <w:t>二、我方承诺无下列恶意串通的情形：</w:t>
      </w:r>
    </w:p>
    <w:p w14:paraId="2BD25647">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1.供应商直接或者间接从采购人或者采购代理机构处获得其他供应商的相关信息并修改其响应文件；</w:t>
      </w:r>
    </w:p>
    <w:p w14:paraId="3F44A47B">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2.供应商按照采购人或者采购代理机构的授意撤换、修改响应文件；</w:t>
      </w:r>
    </w:p>
    <w:p w14:paraId="4766CF7C">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3.供</w:t>
      </w:r>
      <w:r>
        <w:rPr>
          <w:rFonts w:hint="eastAsia" w:ascii="宋体" w:hAnsi="宋体" w:cs="宋体"/>
          <w:color w:val="auto"/>
          <w:spacing w:val="-6"/>
          <w:sz w:val="21"/>
          <w:szCs w:val="21"/>
          <w:highlight w:val="none"/>
        </w:rPr>
        <w:t>应商之间协商报价、技术方案等响应文件的实质性内容；</w:t>
      </w:r>
    </w:p>
    <w:p w14:paraId="4E32A8DB">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4.属于同一集团、协会、商会等组织成员的供应商按照该组织要求协同参加政府采购活动；</w:t>
      </w:r>
    </w:p>
    <w:p w14:paraId="0884A71D">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5.供应商之间事先约定一致抬高或者压低竞争性磋商报价，或者在竞争性磋商项目中事先约定轮流以高价位或者低价位成交，或者事先约定由某一特定供应商成交，然后再参加竞争性磋商；</w:t>
      </w:r>
    </w:p>
    <w:p w14:paraId="640BB6EF">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6.供应商之间商定部分供应商放弃参加政府采购活动或者放弃成交；</w:t>
      </w:r>
    </w:p>
    <w:p w14:paraId="3075DFE4">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7.供应商与采购人或者采购代理机构之间、供应商相互之间，为</w:t>
      </w:r>
      <w:r>
        <w:rPr>
          <w:rFonts w:hint="eastAsia" w:ascii="宋体" w:hAnsi="宋体" w:cs="宋体"/>
          <w:color w:val="auto"/>
          <w:spacing w:val="-6"/>
          <w:sz w:val="21"/>
          <w:szCs w:val="21"/>
          <w:highlight w:val="none"/>
        </w:rPr>
        <w:t>谋求特定供应商成交或者排斥其他供应商的其他串通行为。</w:t>
      </w:r>
    </w:p>
    <w:p w14:paraId="351B0B57">
      <w:pPr>
        <w:spacing w:line="360" w:lineRule="auto"/>
        <w:ind w:firstLine="420" w:firstLineChars="200"/>
        <w:contextualSpacing/>
        <w:rPr>
          <w:rFonts w:ascii="宋体" w:hAnsi="宋体" w:cs="宋体"/>
          <w:color w:val="auto"/>
          <w:sz w:val="21"/>
          <w:szCs w:val="21"/>
          <w:highlight w:val="none"/>
        </w:rPr>
      </w:pPr>
    </w:p>
    <w:p w14:paraId="698ED674">
      <w:pPr>
        <w:spacing w:line="360" w:lineRule="auto"/>
        <w:ind w:firstLine="422" w:firstLineChars="200"/>
        <w:contextualSpacing/>
        <w:rPr>
          <w:rFonts w:ascii="宋体" w:hAnsi="宋体" w:cs="宋体"/>
          <w:b/>
          <w:bCs/>
          <w:color w:val="auto"/>
          <w:sz w:val="21"/>
          <w:szCs w:val="21"/>
          <w:highlight w:val="none"/>
        </w:rPr>
      </w:pPr>
      <w:r>
        <w:rPr>
          <w:rFonts w:hint="eastAsia" w:ascii="宋体" w:hAnsi="宋体" w:cs="宋体"/>
          <w:b/>
          <w:bCs/>
          <w:color w:val="auto"/>
          <w:sz w:val="21"/>
          <w:szCs w:val="21"/>
          <w:highlight w:val="none"/>
        </w:rPr>
        <w:t>以上情形一经核查属实，我方愿意承担一切后果，并不再寻求任何旨在减轻或者免除法律责任的辩解。</w:t>
      </w:r>
    </w:p>
    <w:p w14:paraId="27C615C8">
      <w:pPr>
        <w:spacing w:line="360" w:lineRule="auto"/>
        <w:contextualSpacing/>
        <w:rPr>
          <w:rFonts w:ascii="宋体" w:hAnsi="宋体" w:cs="宋体"/>
          <w:color w:val="auto"/>
          <w:sz w:val="21"/>
          <w:szCs w:val="21"/>
          <w:highlight w:val="none"/>
        </w:rPr>
      </w:pPr>
    </w:p>
    <w:p w14:paraId="753E53DF">
      <w:pPr>
        <w:spacing w:line="360" w:lineRule="auto"/>
        <w:ind w:firstLine="4410" w:firstLineChars="2100"/>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73249762">
      <w:pPr>
        <w:spacing w:line="360" w:lineRule="auto"/>
        <w:ind w:firstLine="420" w:firstLineChars="200"/>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hAnsi="宋体" w:cs="宋体"/>
          <w:color w:val="auto"/>
          <w:sz w:val="21"/>
          <w:szCs w:val="21"/>
          <w:highlight w:val="none"/>
        </w:rPr>
        <w:t>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1D8BC179">
      <w:pPr>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p>
    <w:p w14:paraId="1D7615FA">
      <w:pPr>
        <w:jc w:val="both"/>
        <w:rPr>
          <w:rFonts w:hint="eastAsia" w:ascii="宋体" w:hAnsi="宋体" w:cs="宋体"/>
          <w:b/>
          <w:bCs/>
          <w:color w:val="auto"/>
          <w:sz w:val="28"/>
          <w:szCs w:val="28"/>
          <w:highlight w:val="none"/>
        </w:rPr>
      </w:pPr>
      <w:r>
        <w:rPr>
          <w:rFonts w:hint="eastAsia" w:ascii="宋体" w:hAnsi="宋体" w:eastAsia="宋体" w:cs="宋体"/>
          <w:b/>
          <w:bCs/>
          <w:color w:val="auto"/>
          <w:sz w:val="28"/>
          <w:szCs w:val="28"/>
          <w:highlight w:val="none"/>
        </w:rPr>
        <w:t>2.竞争性磋商报价表</w:t>
      </w:r>
    </w:p>
    <w:p w14:paraId="5DD070BA">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竞争性磋商报价表</w:t>
      </w:r>
    </w:p>
    <w:p w14:paraId="20817F97">
      <w:pPr>
        <w:spacing w:line="440" w:lineRule="exact"/>
        <w:jc w:val="center"/>
        <w:rPr>
          <w:rFonts w:ascii="宋体" w:hAnsi="宋体" w:cs="宋体"/>
          <w:bCs/>
          <w:color w:val="auto"/>
          <w:sz w:val="32"/>
          <w:szCs w:val="32"/>
          <w:highlight w:val="none"/>
        </w:rPr>
      </w:pPr>
    </w:p>
    <w:p w14:paraId="23088C8A">
      <w:pPr>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项目名称：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1A0444F4">
      <w:pPr>
        <w:spacing w:line="360" w:lineRule="auto"/>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分标（如有）：</w:t>
      </w:r>
      <w:r>
        <w:rPr>
          <w:rFonts w:hint="eastAsia" w:ascii="宋体" w:hAnsi="宋体" w:cs="宋体"/>
          <w:color w:val="auto"/>
          <w:sz w:val="21"/>
          <w:szCs w:val="21"/>
          <w:highlight w:val="none"/>
          <w:u w:val="single"/>
        </w:rPr>
        <w:t xml:space="preserve">                                         </w:t>
      </w:r>
    </w:p>
    <w:p w14:paraId="30D60EAC">
      <w:pPr>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1EFDA1A5">
      <w:pPr>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 xml:space="preserve">                                                    货币单位：人民币元</w:t>
      </w:r>
    </w:p>
    <w:tbl>
      <w:tblPr>
        <w:tblStyle w:val="33"/>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844"/>
        <w:gridCol w:w="2209"/>
        <w:gridCol w:w="810"/>
        <w:gridCol w:w="1180"/>
        <w:gridCol w:w="1280"/>
        <w:gridCol w:w="1219"/>
      </w:tblGrid>
      <w:tr w14:paraId="163E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82" w:type="pct"/>
            <w:tcBorders>
              <w:top w:val="single" w:color="auto" w:sz="4" w:space="0"/>
              <w:left w:val="single" w:color="auto" w:sz="4" w:space="0"/>
              <w:bottom w:val="single" w:color="auto" w:sz="4" w:space="0"/>
              <w:right w:val="single" w:color="auto" w:sz="4" w:space="0"/>
            </w:tcBorders>
            <w:vAlign w:val="center"/>
          </w:tcPr>
          <w:p w14:paraId="001C9B17">
            <w:pPr>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997" w:type="pct"/>
            <w:tcBorders>
              <w:top w:val="single" w:color="auto" w:sz="4" w:space="0"/>
              <w:left w:val="single" w:color="auto" w:sz="4" w:space="0"/>
              <w:bottom w:val="single" w:color="auto" w:sz="4" w:space="0"/>
              <w:right w:val="single" w:color="auto" w:sz="4" w:space="0"/>
            </w:tcBorders>
            <w:vAlign w:val="center"/>
          </w:tcPr>
          <w:p w14:paraId="647677D4">
            <w:pPr>
              <w:jc w:val="center"/>
              <w:rPr>
                <w:rFonts w:ascii="宋体" w:hAnsi="宋体" w:cs="宋体"/>
                <w:color w:val="auto"/>
                <w:sz w:val="21"/>
                <w:szCs w:val="21"/>
                <w:highlight w:val="none"/>
              </w:rPr>
            </w:pPr>
            <w:r>
              <w:rPr>
                <w:rFonts w:hint="eastAsia" w:ascii="宋体" w:hAnsi="宋体" w:eastAsia="宋体" w:cs="宋体"/>
                <w:color w:val="auto"/>
                <w:sz w:val="21"/>
                <w:szCs w:val="21"/>
                <w:highlight w:val="none"/>
              </w:rPr>
              <w:t>服务项目</w:t>
            </w:r>
          </w:p>
        </w:tc>
        <w:tc>
          <w:tcPr>
            <w:tcW w:w="1194" w:type="pct"/>
            <w:tcBorders>
              <w:top w:val="single" w:color="auto" w:sz="4" w:space="0"/>
              <w:left w:val="single" w:color="auto" w:sz="4" w:space="0"/>
              <w:bottom w:val="single" w:color="auto" w:sz="4" w:space="0"/>
              <w:right w:val="single" w:color="auto" w:sz="4" w:space="0"/>
            </w:tcBorders>
            <w:vAlign w:val="center"/>
          </w:tcPr>
          <w:p w14:paraId="2FDFDBE1">
            <w:pPr>
              <w:jc w:val="center"/>
              <w:rPr>
                <w:rFonts w:ascii="宋体" w:hAnsi="宋体" w:cs="宋体"/>
                <w:color w:val="auto"/>
                <w:sz w:val="21"/>
                <w:szCs w:val="21"/>
                <w:highlight w:val="none"/>
              </w:rPr>
            </w:pPr>
            <w:r>
              <w:rPr>
                <w:rFonts w:hint="eastAsia" w:ascii="宋体" w:hAnsi="宋体" w:eastAsia="宋体" w:cs="宋体"/>
                <w:color w:val="auto"/>
                <w:sz w:val="21"/>
                <w:szCs w:val="21"/>
                <w:highlight w:val="none"/>
              </w:rPr>
              <w:t>服务内容</w:t>
            </w:r>
          </w:p>
        </w:tc>
        <w:tc>
          <w:tcPr>
            <w:tcW w:w="438" w:type="pct"/>
            <w:tcBorders>
              <w:top w:val="single" w:color="auto" w:sz="4" w:space="0"/>
              <w:left w:val="single" w:color="auto" w:sz="4" w:space="0"/>
              <w:bottom w:val="single" w:color="auto" w:sz="4" w:space="0"/>
              <w:right w:val="single" w:color="auto" w:sz="4" w:space="0"/>
            </w:tcBorders>
            <w:vAlign w:val="center"/>
          </w:tcPr>
          <w:p w14:paraId="3A032320">
            <w:pPr>
              <w:jc w:val="center"/>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638" w:type="pct"/>
            <w:tcBorders>
              <w:top w:val="single" w:color="auto" w:sz="4" w:space="0"/>
              <w:left w:val="single" w:color="auto" w:sz="4" w:space="0"/>
              <w:bottom w:val="single" w:color="auto" w:sz="4" w:space="0"/>
              <w:right w:val="single" w:color="auto" w:sz="4" w:space="0"/>
            </w:tcBorders>
            <w:vAlign w:val="center"/>
          </w:tcPr>
          <w:p w14:paraId="25675B0B">
            <w:pPr>
              <w:jc w:val="center"/>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692" w:type="pct"/>
            <w:tcBorders>
              <w:top w:val="single" w:color="auto" w:sz="4" w:space="0"/>
              <w:left w:val="single" w:color="auto" w:sz="4" w:space="0"/>
              <w:bottom w:val="single" w:color="auto" w:sz="4" w:space="0"/>
              <w:right w:val="single" w:color="auto" w:sz="4" w:space="0"/>
            </w:tcBorders>
            <w:vAlign w:val="center"/>
          </w:tcPr>
          <w:p w14:paraId="23CF2563">
            <w:pPr>
              <w:jc w:val="center"/>
              <w:rPr>
                <w:rFonts w:ascii="宋体" w:hAnsi="宋体" w:cs="宋体"/>
                <w:color w:val="auto"/>
                <w:sz w:val="21"/>
                <w:szCs w:val="21"/>
                <w:highlight w:val="none"/>
              </w:rPr>
            </w:pPr>
            <w:r>
              <w:rPr>
                <w:rFonts w:hint="eastAsia" w:ascii="宋体" w:hAnsi="宋体" w:cs="宋体"/>
                <w:color w:val="auto"/>
                <w:sz w:val="21"/>
                <w:szCs w:val="21"/>
                <w:highlight w:val="none"/>
              </w:rPr>
              <w:t>单  价</w:t>
            </w:r>
          </w:p>
        </w:tc>
        <w:tc>
          <w:tcPr>
            <w:tcW w:w="655" w:type="pct"/>
            <w:tcBorders>
              <w:top w:val="single" w:color="auto" w:sz="4" w:space="0"/>
              <w:left w:val="single" w:color="auto" w:sz="4" w:space="0"/>
              <w:bottom w:val="single" w:color="auto" w:sz="4" w:space="0"/>
              <w:right w:val="single" w:color="auto" w:sz="4" w:space="0"/>
            </w:tcBorders>
            <w:vAlign w:val="center"/>
          </w:tcPr>
          <w:p w14:paraId="345AB0D7">
            <w:pPr>
              <w:jc w:val="center"/>
              <w:rPr>
                <w:rFonts w:ascii="宋体" w:hAnsi="宋体" w:cs="宋体"/>
                <w:color w:val="auto"/>
                <w:sz w:val="21"/>
                <w:szCs w:val="21"/>
                <w:highlight w:val="none"/>
              </w:rPr>
            </w:pPr>
            <w:r>
              <w:rPr>
                <w:rFonts w:hint="eastAsia" w:ascii="宋体" w:hAnsi="宋体" w:cs="宋体"/>
                <w:color w:val="auto"/>
                <w:sz w:val="21"/>
                <w:szCs w:val="21"/>
                <w:highlight w:val="none"/>
              </w:rPr>
              <w:t>单项合计</w:t>
            </w:r>
          </w:p>
        </w:tc>
      </w:tr>
      <w:tr w14:paraId="4FF6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382" w:type="pct"/>
            <w:tcBorders>
              <w:top w:val="single" w:color="auto" w:sz="4" w:space="0"/>
              <w:left w:val="single" w:color="auto" w:sz="4" w:space="0"/>
              <w:bottom w:val="single" w:color="auto" w:sz="4" w:space="0"/>
              <w:right w:val="single" w:color="auto" w:sz="4" w:space="0"/>
            </w:tcBorders>
            <w:vAlign w:val="center"/>
          </w:tcPr>
          <w:p w14:paraId="09547CF0">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997" w:type="pct"/>
            <w:tcBorders>
              <w:top w:val="single" w:color="auto" w:sz="4" w:space="0"/>
              <w:left w:val="single" w:color="auto" w:sz="4" w:space="0"/>
              <w:bottom w:val="single" w:color="auto" w:sz="4" w:space="0"/>
              <w:right w:val="single" w:color="auto" w:sz="4" w:space="0"/>
            </w:tcBorders>
            <w:vAlign w:val="center"/>
          </w:tcPr>
          <w:p w14:paraId="29596F4E">
            <w:pPr>
              <w:spacing w:line="360" w:lineRule="auto"/>
              <w:jc w:val="center"/>
              <w:rPr>
                <w:rFonts w:ascii="宋体" w:hAnsi="宋体" w:cs="宋体"/>
                <w:color w:val="auto"/>
                <w:sz w:val="21"/>
                <w:szCs w:val="21"/>
                <w:highlight w:val="none"/>
              </w:rPr>
            </w:pPr>
            <w:r>
              <w:rPr>
                <w:rFonts w:hint="eastAsia" w:ascii="宋体" w:hAnsi="宋体" w:cs="宋体"/>
                <w:color w:val="auto"/>
                <w:szCs w:val="21"/>
                <w:highlight w:val="none"/>
              </w:rPr>
              <w:t>桂林理工大学“雁山智慧谷・桂工科创之窗”展示中心展陈服务项目采购</w:t>
            </w:r>
          </w:p>
        </w:tc>
        <w:tc>
          <w:tcPr>
            <w:tcW w:w="1194" w:type="pct"/>
            <w:tcBorders>
              <w:top w:val="single" w:color="auto" w:sz="4" w:space="0"/>
              <w:left w:val="single" w:color="auto" w:sz="4" w:space="0"/>
              <w:bottom w:val="single" w:color="auto" w:sz="4" w:space="0"/>
              <w:right w:val="single" w:color="auto" w:sz="4" w:space="0"/>
            </w:tcBorders>
            <w:vAlign w:val="center"/>
          </w:tcPr>
          <w:p w14:paraId="698A451A">
            <w:pPr>
              <w:spacing w:line="360" w:lineRule="auto"/>
              <w:jc w:val="center"/>
              <w:rPr>
                <w:rFonts w:ascii="宋体" w:hAnsi="宋体" w:cs="宋体"/>
                <w:color w:val="auto"/>
                <w:sz w:val="21"/>
                <w:szCs w:val="21"/>
                <w:highlight w:val="none"/>
              </w:rPr>
            </w:pPr>
            <w:r>
              <w:rPr>
                <w:rFonts w:hint="eastAsia" w:ascii="宋体" w:hAnsi="宋体" w:cs="宋体"/>
                <w:b/>
                <w:bCs/>
                <w:color w:val="auto"/>
                <w:szCs w:val="21"/>
                <w:highlight w:val="none"/>
                <w:lang w:val="en-US" w:eastAsia="zh-CN"/>
              </w:rPr>
              <w:t>按采购文件第三章采购需求及《合同》等相关要求完成本项目的采购工作</w:t>
            </w:r>
          </w:p>
        </w:tc>
        <w:tc>
          <w:tcPr>
            <w:tcW w:w="438" w:type="pct"/>
            <w:tcBorders>
              <w:top w:val="single" w:color="auto" w:sz="4" w:space="0"/>
              <w:left w:val="single" w:color="auto" w:sz="4" w:space="0"/>
              <w:bottom w:val="single" w:color="auto" w:sz="4" w:space="0"/>
              <w:right w:val="single" w:color="auto" w:sz="4" w:space="0"/>
            </w:tcBorders>
            <w:vAlign w:val="center"/>
          </w:tcPr>
          <w:p w14:paraId="7889F5BF">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638" w:type="pct"/>
            <w:tcBorders>
              <w:top w:val="single" w:color="auto" w:sz="4" w:space="0"/>
              <w:left w:val="single" w:color="auto" w:sz="4" w:space="0"/>
              <w:bottom w:val="single" w:color="auto" w:sz="4" w:space="0"/>
              <w:right w:val="single" w:color="auto" w:sz="4" w:space="0"/>
            </w:tcBorders>
            <w:vAlign w:val="center"/>
          </w:tcPr>
          <w:p w14:paraId="5FA59187">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692" w:type="pct"/>
            <w:tcBorders>
              <w:top w:val="single" w:color="auto" w:sz="4" w:space="0"/>
              <w:left w:val="single" w:color="auto" w:sz="4" w:space="0"/>
              <w:bottom w:val="single" w:color="auto" w:sz="4" w:space="0"/>
              <w:right w:val="single" w:color="auto" w:sz="4" w:space="0"/>
            </w:tcBorders>
            <w:vAlign w:val="center"/>
          </w:tcPr>
          <w:p w14:paraId="6DCCCCAB">
            <w:pPr>
              <w:spacing w:line="360" w:lineRule="auto"/>
              <w:jc w:val="center"/>
              <w:rPr>
                <w:rFonts w:ascii="宋体" w:hAnsi="宋体" w:cs="宋体"/>
                <w:color w:val="auto"/>
                <w:sz w:val="21"/>
                <w:szCs w:val="21"/>
                <w:highlight w:val="none"/>
              </w:rPr>
            </w:pPr>
          </w:p>
        </w:tc>
        <w:tc>
          <w:tcPr>
            <w:tcW w:w="655" w:type="pct"/>
            <w:tcBorders>
              <w:top w:val="single" w:color="auto" w:sz="4" w:space="0"/>
              <w:left w:val="single" w:color="auto" w:sz="4" w:space="0"/>
              <w:bottom w:val="single" w:color="auto" w:sz="4" w:space="0"/>
              <w:right w:val="single" w:color="auto" w:sz="4" w:space="0"/>
            </w:tcBorders>
            <w:vAlign w:val="center"/>
          </w:tcPr>
          <w:p w14:paraId="64D4BA26">
            <w:pPr>
              <w:spacing w:line="360" w:lineRule="auto"/>
              <w:jc w:val="center"/>
              <w:rPr>
                <w:rFonts w:ascii="宋体" w:hAnsi="宋体" w:cs="宋体"/>
                <w:color w:val="auto"/>
                <w:sz w:val="21"/>
                <w:szCs w:val="21"/>
                <w:highlight w:val="none"/>
              </w:rPr>
            </w:pPr>
          </w:p>
        </w:tc>
      </w:tr>
      <w:tr w14:paraId="1AC6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32DE71F4">
            <w:pPr>
              <w:spacing w:line="360" w:lineRule="auto"/>
              <w:rPr>
                <w:rFonts w:ascii="宋体" w:hAnsi="宋体" w:cs="宋体"/>
                <w:color w:val="auto"/>
                <w:sz w:val="21"/>
                <w:szCs w:val="21"/>
                <w:highlight w:val="none"/>
              </w:rPr>
            </w:pPr>
            <w:r>
              <w:rPr>
                <w:rFonts w:hint="eastAsia" w:ascii="宋体" w:hAnsi="宋体" w:cs="宋体"/>
                <w:color w:val="auto"/>
                <w:sz w:val="21"/>
                <w:szCs w:val="21"/>
                <w:highlight w:val="none"/>
              </w:rPr>
              <w:t>合计金额（人民币大写）：</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rPr>
              <w:t xml:space="preserve">                      元整</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（小写¥</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tc>
      </w:tr>
    </w:tbl>
    <w:p w14:paraId="03710D16">
      <w:pPr>
        <w:spacing w:line="360" w:lineRule="auto"/>
        <w:contextualSpacing/>
        <w:jc w:val="left"/>
        <w:rPr>
          <w:rFonts w:ascii="楷体" w:hAnsi="楷体" w:eastAsia="楷体" w:cs="宋体"/>
          <w:color w:val="auto"/>
          <w:sz w:val="21"/>
          <w:szCs w:val="21"/>
          <w:highlight w:val="none"/>
        </w:rPr>
      </w:pPr>
      <w:r>
        <w:rPr>
          <w:rFonts w:hint="eastAsia" w:ascii="楷体" w:hAnsi="楷体" w:eastAsia="楷体" w:cs="宋体"/>
          <w:color w:val="auto"/>
          <w:sz w:val="21"/>
          <w:szCs w:val="21"/>
          <w:highlight w:val="none"/>
        </w:rPr>
        <w:t>注</w:t>
      </w:r>
      <w:r>
        <w:rPr>
          <w:rFonts w:hint="eastAsia" w:ascii="楷体" w:hAnsi="楷体" w:eastAsia="楷体" w:cs="宋体"/>
          <w:color w:val="auto"/>
          <w:sz w:val="21"/>
          <w:szCs w:val="21"/>
          <w:highlight w:val="none"/>
          <w:lang w:eastAsia="zh-CN"/>
        </w:rPr>
        <w:t>：</w:t>
      </w:r>
      <w:r>
        <w:rPr>
          <w:rFonts w:ascii="楷体" w:hAnsi="楷体" w:eastAsia="楷体" w:cs="宋体"/>
          <w:color w:val="auto"/>
          <w:sz w:val="21"/>
          <w:szCs w:val="21"/>
          <w:highlight w:val="none"/>
        </w:rPr>
        <w:t xml:space="preserve"> </w:t>
      </w:r>
    </w:p>
    <w:p w14:paraId="230FBF37">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1.供应商的报价表必须加盖供应商公章并由法定代表人或者委托代理人</w:t>
      </w:r>
      <w:r>
        <w:rPr>
          <w:rFonts w:hint="eastAsia" w:ascii="楷体" w:hAnsi="楷体" w:eastAsia="楷体" w:cs="宋体"/>
          <w:color w:val="auto"/>
          <w:sz w:val="21"/>
          <w:szCs w:val="21"/>
          <w:highlight w:val="none"/>
          <w:lang w:eastAsia="zh-CN"/>
        </w:rPr>
        <w:t>签字或签章</w:t>
      </w:r>
      <w:r>
        <w:rPr>
          <w:rFonts w:ascii="楷体" w:hAnsi="楷体" w:eastAsia="楷体" w:cs="宋体"/>
          <w:color w:val="auto"/>
          <w:sz w:val="21"/>
          <w:szCs w:val="21"/>
          <w:highlight w:val="none"/>
        </w:rPr>
        <w:t>，</w:t>
      </w:r>
      <w:r>
        <w:rPr>
          <w:rFonts w:hint="eastAsia" w:ascii="楷体" w:hAnsi="楷体" w:eastAsia="楷体" w:cs="宋体"/>
          <w:b/>
          <w:color w:val="auto"/>
          <w:sz w:val="21"/>
          <w:szCs w:val="21"/>
          <w:highlight w:val="none"/>
        </w:rPr>
        <w:t>否则其响应文件按无效响应处理</w:t>
      </w:r>
      <w:r>
        <w:rPr>
          <w:rFonts w:hint="eastAsia" w:ascii="楷体" w:hAnsi="楷体" w:eastAsia="楷体" w:cs="宋体"/>
          <w:color w:val="auto"/>
          <w:sz w:val="21"/>
          <w:szCs w:val="21"/>
          <w:highlight w:val="none"/>
        </w:rPr>
        <w:t>。</w:t>
      </w:r>
    </w:p>
    <w:p w14:paraId="2E2759A1">
      <w:pPr>
        <w:spacing w:line="360" w:lineRule="auto"/>
        <w:ind w:firstLine="420" w:firstLineChars="200"/>
        <w:contextualSpacing/>
        <w:jc w:val="left"/>
        <w:rPr>
          <w:rFonts w:ascii="楷体" w:hAnsi="楷体" w:eastAsia="楷体" w:cs="宋体"/>
          <w:b/>
          <w:color w:val="auto"/>
          <w:sz w:val="21"/>
          <w:szCs w:val="21"/>
          <w:highlight w:val="none"/>
        </w:rPr>
      </w:pPr>
      <w:r>
        <w:rPr>
          <w:rFonts w:ascii="楷体" w:hAnsi="楷体" w:eastAsia="楷体" w:cs="宋体"/>
          <w:bCs/>
          <w:color w:val="auto"/>
          <w:sz w:val="21"/>
          <w:szCs w:val="21"/>
          <w:highlight w:val="none"/>
        </w:rPr>
        <w:t>2.</w:t>
      </w:r>
      <w:r>
        <w:rPr>
          <w:rFonts w:hint="eastAsia" w:ascii="楷体" w:hAnsi="楷体" w:eastAsia="楷体" w:cs="宋体"/>
          <w:color w:val="auto"/>
          <w:sz w:val="21"/>
          <w:szCs w:val="21"/>
          <w:highlight w:val="none"/>
        </w:rPr>
        <w:t>报价一经涂改，应在涂改处加盖供应商公章或者由法定代表人或者委托代理人签字或者盖章</w:t>
      </w:r>
      <w:r>
        <w:rPr>
          <w:rFonts w:hint="eastAsia" w:ascii="楷体" w:hAnsi="楷体" w:eastAsia="楷体" w:cs="宋体"/>
          <w:b/>
          <w:color w:val="auto"/>
          <w:sz w:val="21"/>
          <w:szCs w:val="21"/>
          <w:highlight w:val="none"/>
        </w:rPr>
        <w:t>，否则其响应文件按无效响应处理。</w:t>
      </w:r>
    </w:p>
    <w:p w14:paraId="36A63541">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3.如为联合体</w:t>
      </w:r>
      <w:r>
        <w:rPr>
          <w:rFonts w:hint="eastAsia" w:ascii="楷体" w:hAnsi="楷体" w:eastAsia="楷体" w:cs="宋体"/>
          <w:color w:val="auto"/>
          <w:sz w:val="21"/>
          <w:szCs w:val="21"/>
          <w:highlight w:val="none"/>
        </w:rPr>
        <w:t>参与竞争性磋商，“供应商名称”处必须列明联合体各方名称，标注联合体牵头人名称，</w:t>
      </w:r>
      <w:r>
        <w:rPr>
          <w:rFonts w:hint="eastAsia" w:ascii="楷体" w:hAnsi="楷体" w:eastAsia="楷体" w:cs="宋体"/>
          <w:b/>
          <w:color w:val="auto"/>
          <w:sz w:val="21"/>
          <w:szCs w:val="21"/>
          <w:highlight w:val="none"/>
        </w:rPr>
        <w:t>否则其响应文件按无效响应处理。</w:t>
      </w:r>
    </w:p>
    <w:p w14:paraId="2155C832">
      <w:pPr>
        <w:spacing w:line="360" w:lineRule="auto"/>
        <w:ind w:firstLine="420" w:firstLineChars="200"/>
        <w:contextualSpacing/>
        <w:jc w:val="left"/>
        <w:rPr>
          <w:rFonts w:ascii="楷体" w:hAnsi="楷体" w:eastAsia="楷体" w:cs="宋体"/>
          <w:color w:val="auto"/>
          <w:sz w:val="21"/>
          <w:szCs w:val="21"/>
          <w:highlight w:val="none"/>
        </w:rPr>
      </w:pPr>
      <w:r>
        <w:rPr>
          <w:rFonts w:ascii="楷体" w:hAnsi="楷体" w:eastAsia="楷体" w:cs="宋体"/>
          <w:color w:val="auto"/>
          <w:sz w:val="21"/>
          <w:szCs w:val="21"/>
          <w:highlight w:val="none"/>
        </w:rPr>
        <w:t>4.如为联合体</w:t>
      </w:r>
      <w:r>
        <w:rPr>
          <w:rFonts w:hint="eastAsia" w:ascii="楷体" w:hAnsi="楷体" w:eastAsia="楷体" w:cs="宋体"/>
          <w:color w:val="auto"/>
          <w:sz w:val="21"/>
          <w:szCs w:val="21"/>
          <w:highlight w:val="none"/>
        </w:rPr>
        <w:t>参与竞争性磋商，盖章处须加盖联合体各方公章，</w:t>
      </w:r>
      <w:bookmarkStart w:id="52" w:name="_Hlk65851776"/>
      <w:r>
        <w:rPr>
          <w:rFonts w:hint="eastAsia" w:ascii="楷体" w:hAnsi="楷体" w:eastAsia="楷体" w:cs="宋体"/>
          <w:b/>
          <w:color w:val="auto"/>
          <w:sz w:val="21"/>
          <w:szCs w:val="21"/>
          <w:highlight w:val="none"/>
        </w:rPr>
        <w:t>否则其响应文件按无效响应处理</w:t>
      </w:r>
      <w:bookmarkEnd w:id="52"/>
      <w:r>
        <w:rPr>
          <w:rFonts w:hint="eastAsia" w:ascii="楷体" w:hAnsi="楷体" w:eastAsia="楷体" w:cs="宋体"/>
          <w:b/>
          <w:color w:val="auto"/>
          <w:sz w:val="21"/>
          <w:szCs w:val="21"/>
          <w:highlight w:val="none"/>
        </w:rPr>
        <w:t>。</w:t>
      </w:r>
    </w:p>
    <w:p w14:paraId="72EDE7E0">
      <w:pPr>
        <w:spacing w:line="360" w:lineRule="auto"/>
        <w:ind w:firstLine="420" w:firstLineChars="200"/>
        <w:contextualSpacing/>
        <w:rPr>
          <w:rFonts w:ascii="楷体" w:hAnsi="楷体" w:eastAsia="楷体" w:cs="宋体"/>
          <w:color w:val="auto"/>
          <w:sz w:val="21"/>
          <w:szCs w:val="21"/>
          <w:highlight w:val="none"/>
        </w:rPr>
      </w:pPr>
      <w:r>
        <w:rPr>
          <w:rFonts w:ascii="楷体" w:hAnsi="楷体" w:eastAsia="楷体" w:cs="宋体"/>
          <w:color w:val="auto"/>
          <w:sz w:val="21"/>
          <w:szCs w:val="21"/>
          <w:highlight w:val="none"/>
        </w:rPr>
        <w:t>5.</w:t>
      </w:r>
      <w:r>
        <w:rPr>
          <w:rFonts w:hint="eastAsia" w:ascii="楷体" w:hAnsi="楷体" w:eastAsia="楷体" w:cs="宋体"/>
          <w:color w:val="auto"/>
          <w:spacing w:val="-6"/>
          <w:sz w:val="21"/>
          <w:szCs w:val="21"/>
          <w:highlight w:val="none"/>
        </w:rPr>
        <w:t>如有多分标，分别列明各分标的报价表，</w:t>
      </w:r>
      <w:r>
        <w:rPr>
          <w:rFonts w:hint="eastAsia" w:ascii="楷体" w:hAnsi="楷体" w:eastAsia="楷体" w:cs="宋体"/>
          <w:b/>
          <w:color w:val="auto"/>
          <w:spacing w:val="-6"/>
          <w:sz w:val="21"/>
          <w:szCs w:val="21"/>
          <w:highlight w:val="none"/>
        </w:rPr>
        <w:t>否则其响应文件按无效响应处理。</w:t>
      </w:r>
    </w:p>
    <w:p w14:paraId="19E119DE">
      <w:pPr>
        <w:spacing w:line="360" w:lineRule="auto"/>
        <w:ind w:right="-817" w:rightChars="-389" w:firstLine="2310" w:firstLineChars="1100"/>
        <w:contextualSpacing/>
        <w:rPr>
          <w:rFonts w:ascii="宋体" w:hAnsi="宋体" w:cs="宋体"/>
          <w:color w:val="auto"/>
          <w:sz w:val="21"/>
          <w:szCs w:val="21"/>
          <w:highlight w:val="none"/>
        </w:rPr>
      </w:pPr>
      <w:r>
        <w:rPr>
          <w:rFonts w:hint="eastAsia" w:ascii="宋体" w:hAnsi="宋体" w:cs="宋体"/>
          <w:color w:val="auto"/>
          <w:sz w:val="21"/>
          <w:szCs w:val="21"/>
          <w:highlight w:val="none"/>
        </w:rPr>
        <w:t>法定代表人或者委托代理人（</w:t>
      </w:r>
      <w:r>
        <w:rPr>
          <w:rFonts w:hint="eastAsia" w:ascii="宋体" w:hAnsi="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6BAA2254">
      <w:pPr>
        <w:spacing w:line="360" w:lineRule="auto"/>
        <w:ind w:right="-817" w:rightChars="-389" w:firstLine="2310" w:firstLineChars="1100"/>
        <w:contextualSpacing/>
        <w:rPr>
          <w:rFonts w:ascii="宋体" w:hAnsi="宋体" w:cs="宋体"/>
          <w:color w:val="auto"/>
          <w:sz w:val="21"/>
          <w:szCs w:val="21"/>
          <w:highlight w:val="none"/>
        </w:rPr>
      </w:pPr>
      <w:r>
        <w:rPr>
          <w:rFonts w:hint="eastAsia" w:ascii="宋体" w:hAnsi="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 xml:space="preserve">      </w:t>
      </w:r>
    </w:p>
    <w:p w14:paraId="78F3D1B2">
      <w:pPr>
        <w:spacing w:line="360" w:lineRule="auto"/>
        <w:ind w:right="-817" w:rightChars="-389" w:firstLine="3570" w:firstLineChars="1700"/>
        <w:contextualSpacing/>
        <w:rPr>
          <w:rFonts w:ascii="宋体" w:hAnsi="宋体" w:cs="宋体"/>
          <w:b/>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44D4BC53">
      <w:pPr>
        <w:spacing w:line="520" w:lineRule="exact"/>
        <w:jc w:val="left"/>
        <w:rPr>
          <w:rFonts w:hint="eastAsia" w:ascii="宋体" w:hAnsi="宋体" w:cs="宋体"/>
          <w:b/>
          <w:bCs/>
          <w:color w:val="auto"/>
          <w:sz w:val="28"/>
          <w:szCs w:val="28"/>
          <w:highlight w:val="none"/>
        </w:rPr>
      </w:pPr>
      <w:bookmarkStart w:id="53" w:name="_Toc71365926"/>
      <w:r>
        <w:rPr>
          <w:rFonts w:hint="eastAsia" w:ascii="宋体" w:hAnsi="宋体" w:eastAsia="宋体" w:cs="宋体"/>
          <w:b/>
          <w:bCs/>
          <w:color w:val="auto"/>
          <w:sz w:val="28"/>
          <w:szCs w:val="28"/>
          <w:highlight w:val="none"/>
        </w:rPr>
        <w:t>3.中小企业声明函（或残疾人福利性单位声明函或监狱企业声明函，残疾人福利性单位或监狱企业视同小微企业）</w:t>
      </w:r>
    </w:p>
    <w:p w14:paraId="02BBD427">
      <w:pPr>
        <w:spacing w:line="520" w:lineRule="exact"/>
        <w:jc w:val="center"/>
        <w:rPr>
          <w:rFonts w:hint="eastAsia" w:ascii="宋体" w:hAnsi="宋体" w:cs="宋体"/>
          <w:b/>
          <w:color w:val="auto"/>
          <w:sz w:val="32"/>
          <w:szCs w:val="32"/>
          <w:highlight w:val="none"/>
        </w:rPr>
      </w:pPr>
    </w:p>
    <w:p w14:paraId="3CC08A22">
      <w:pPr>
        <w:spacing w:line="52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中小企业声明函（服务）</w:t>
      </w:r>
      <w:bookmarkEnd w:id="53"/>
    </w:p>
    <w:p w14:paraId="4180068E">
      <w:pPr>
        <w:spacing w:before="2" w:line="500" w:lineRule="exact"/>
        <w:ind w:firstLine="708" w:firstLineChars="294"/>
        <w:rPr>
          <w:rFonts w:ascii="宋体" w:hAnsi="宋体" w:cs="宋体"/>
          <w:b/>
          <w:bCs/>
          <w:color w:val="auto"/>
          <w:sz w:val="24"/>
          <w:highlight w:val="none"/>
        </w:rPr>
      </w:pPr>
    </w:p>
    <w:p w14:paraId="67884502">
      <w:pPr>
        <w:pStyle w:val="16"/>
        <w:spacing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本公司（联合体）郑重声明，根据《政府采购促进中小企业发展管理办法》（财库﹝2020﹞46号）的规定，本公司（联合体）参加</w:t>
      </w:r>
      <w:r>
        <w:rPr>
          <w:rFonts w:hint="eastAsia" w:ascii="宋体" w:hAnsi="宋体" w:cs="宋体"/>
          <w:color w:val="auto"/>
          <w:sz w:val="21"/>
          <w:szCs w:val="21"/>
          <w:highlight w:val="none"/>
          <w:u w:val="single"/>
        </w:rPr>
        <w:t>（单位名称）</w:t>
      </w:r>
      <w:r>
        <w:rPr>
          <w:rFonts w:hint="eastAsia" w:ascii="宋体" w:hAnsi="宋体" w:cs="宋体"/>
          <w:color w:val="auto"/>
          <w:sz w:val="21"/>
          <w:szCs w:val="21"/>
          <w:highlight w:val="none"/>
        </w:rPr>
        <w:t>的</w:t>
      </w:r>
      <w:r>
        <w:rPr>
          <w:rFonts w:hint="eastAsia" w:ascii="宋体" w:hAnsi="宋体" w:cs="宋体"/>
          <w:color w:val="auto"/>
          <w:sz w:val="21"/>
          <w:szCs w:val="21"/>
          <w:highlight w:val="none"/>
          <w:u w:val="single"/>
        </w:rPr>
        <w:t>（项目名称）</w:t>
      </w:r>
      <w:r>
        <w:rPr>
          <w:rFonts w:hint="eastAsia" w:ascii="宋体" w:hAnsi="宋体" w:cs="宋体"/>
          <w:color w:val="auto"/>
          <w:sz w:val="21"/>
          <w:szCs w:val="21"/>
          <w:highlight w:val="none"/>
        </w:rPr>
        <w:t>采购活动，服务全部由符合政策要求的中小企业承接。相关企业（含联合体中的中小企业、签订分包意向协议的中小企业）的具体情况如下：</w:t>
      </w:r>
    </w:p>
    <w:p w14:paraId="71CC4C3E">
      <w:pPr>
        <w:tabs>
          <w:tab w:val="left" w:pos="1384"/>
          <w:tab w:val="left" w:pos="4562"/>
          <w:tab w:val="left" w:pos="6803"/>
        </w:tabs>
        <w:spacing w:before="13" w:line="500" w:lineRule="exact"/>
        <w:ind w:right="142" w:firstLine="676" w:firstLineChars="322"/>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rPr>
        <w:t>；</w:t>
      </w:r>
    </w:p>
    <w:p w14:paraId="4595E3A7">
      <w:pPr>
        <w:tabs>
          <w:tab w:val="left" w:pos="1065"/>
          <w:tab w:val="left" w:pos="4262"/>
          <w:tab w:val="left" w:pos="6477"/>
        </w:tabs>
        <w:spacing w:before="20" w:line="500" w:lineRule="exact"/>
        <w:ind w:right="84" w:firstLine="676" w:firstLineChars="322"/>
        <w:rPr>
          <w:rFonts w:ascii="宋体" w:hAnsi="宋体" w:cs="宋体"/>
          <w:color w:val="auto"/>
          <w:sz w:val="21"/>
          <w:szCs w:val="21"/>
          <w:highlight w:val="none"/>
          <w:u w:val="single"/>
        </w:rPr>
      </w:pPr>
      <w:r>
        <w:rPr>
          <w:rFonts w:hint="eastAsia" w:ascii="宋体" w:hAnsi="宋体" w:cs="宋体"/>
          <w:color w:val="auto"/>
          <w:sz w:val="21"/>
          <w:szCs w:val="21"/>
          <w:highlight w:val="none"/>
        </w:rPr>
        <w:t>2.</w:t>
      </w:r>
      <w:r>
        <w:rPr>
          <w:rFonts w:hint="eastAsia" w:ascii="宋体" w:hAnsi="宋体" w:cs="宋体"/>
          <w:color w:val="auto"/>
          <w:sz w:val="21"/>
          <w:szCs w:val="21"/>
          <w:highlight w:val="none"/>
          <w:u w:val="single"/>
        </w:rPr>
        <w:t>（标的名称）</w:t>
      </w:r>
      <w:r>
        <w:rPr>
          <w:rFonts w:hint="eastAsia" w:ascii="宋体" w:hAnsi="宋体" w:cs="宋体"/>
          <w:color w:val="auto"/>
          <w:sz w:val="21"/>
          <w:szCs w:val="21"/>
          <w:highlight w:val="none"/>
        </w:rPr>
        <w:t>，属于</w:t>
      </w:r>
      <w:r>
        <w:rPr>
          <w:rFonts w:hint="eastAsia" w:ascii="宋体" w:hAnsi="宋体" w:cs="宋体"/>
          <w:color w:val="auto"/>
          <w:sz w:val="21"/>
          <w:szCs w:val="21"/>
          <w:highlight w:val="none"/>
          <w:u w:val="single"/>
        </w:rPr>
        <w:t>（采购文件中明确的所属行业）</w:t>
      </w:r>
      <w:r>
        <w:rPr>
          <w:rFonts w:hint="eastAsia" w:ascii="宋体" w:hAnsi="宋体" w:cs="宋体"/>
          <w:color w:val="auto"/>
          <w:sz w:val="21"/>
          <w:szCs w:val="21"/>
          <w:highlight w:val="none"/>
        </w:rPr>
        <w:t>；承接企业为</w:t>
      </w:r>
      <w:r>
        <w:rPr>
          <w:rFonts w:hint="eastAsia" w:ascii="宋体" w:hAnsi="宋体" w:cs="宋体"/>
          <w:color w:val="auto"/>
          <w:sz w:val="21"/>
          <w:szCs w:val="21"/>
          <w:highlight w:val="none"/>
          <w:u w:val="single"/>
        </w:rPr>
        <w:t>（企业名称）</w:t>
      </w:r>
      <w:r>
        <w:rPr>
          <w:rFonts w:hint="eastAsia" w:ascii="宋体" w:hAnsi="宋体" w:cs="宋体"/>
          <w:color w:val="auto"/>
          <w:sz w:val="21"/>
          <w:szCs w:val="21"/>
          <w:highlight w:val="none"/>
        </w:rPr>
        <w:t>，从业人员</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人，营业收入为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万元，资产总额为</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万元，属于</w:t>
      </w:r>
      <w:r>
        <w:rPr>
          <w:rFonts w:hint="eastAsia" w:ascii="宋体" w:hAnsi="宋体" w:cs="宋体"/>
          <w:color w:val="auto"/>
          <w:sz w:val="21"/>
          <w:szCs w:val="21"/>
          <w:highlight w:val="none"/>
          <w:u w:val="single"/>
        </w:rPr>
        <w:t>（中型企业、小型企业、微型企业）</w:t>
      </w:r>
      <w:r>
        <w:rPr>
          <w:rFonts w:hint="eastAsia" w:ascii="宋体" w:hAnsi="宋体" w:cs="宋体"/>
          <w:color w:val="auto"/>
          <w:sz w:val="21"/>
          <w:szCs w:val="21"/>
          <w:highlight w:val="none"/>
        </w:rPr>
        <w:t>；</w:t>
      </w:r>
    </w:p>
    <w:p w14:paraId="224B64B2">
      <w:pPr>
        <w:pStyle w:val="16"/>
        <w:spacing w:before="34"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 xml:space="preserve">…… </w:t>
      </w:r>
    </w:p>
    <w:p w14:paraId="4162D123">
      <w:pPr>
        <w:pStyle w:val="16"/>
        <w:spacing w:before="34"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以上企业，不属于大企业的分支机构，不存在控股股东为大企业的情形，也不存在与大企业的负责人为同一人的情形。</w:t>
      </w:r>
    </w:p>
    <w:p w14:paraId="06FE08B4">
      <w:pPr>
        <w:pStyle w:val="16"/>
        <w:spacing w:before="25" w:line="500" w:lineRule="exact"/>
        <w:ind w:right="142" w:firstLine="617" w:firstLineChars="294"/>
        <w:rPr>
          <w:rFonts w:ascii="宋体" w:hAnsi="宋体" w:cs="宋体"/>
          <w:color w:val="auto"/>
          <w:sz w:val="21"/>
          <w:szCs w:val="21"/>
          <w:highlight w:val="none"/>
        </w:rPr>
      </w:pPr>
      <w:r>
        <w:rPr>
          <w:rFonts w:hint="eastAsia" w:ascii="宋体" w:hAnsi="宋体" w:cs="宋体"/>
          <w:color w:val="auto"/>
          <w:sz w:val="21"/>
          <w:szCs w:val="21"/>
          <w:highlight w:val="none"/>
        </w:rPr>
        <w:t>本企业对上述声明内容的真实性负责。如有虚假，将依法承担相应责任。</w:t>
      </w:r>
    </w:p>
    <w:p w14:paraId="5AA0A4D3">
      <w:pPr>
        <w:pStyle w:val="16"/>
        <w:spacing w:before="56" w:line="500" w:lineRule="exact"/>
        <w:ind w:right="1808" w:firstLine="617" w:firstLineChars="294"/>
        <w:rPr>
          <w:rFonts w:ascii="宋体" w:hAnsi="宋体" w:cs="宋体"/>
          <w:color w:val="auto"/>
          <w:sz w:val="21"/>
          <w:szCs w:val="21"/>
          <w:highlight w:val="none"/>
        </w:rPr>
      </w:pPr>
    </w:p>
    <w:p w14:paraId="5FE01EC6">
      <w:pPr>
        <w:pStyle w:val="16"/>
        <w:spacing w:before="56" w:line="500" w:lineRule="exact"/>
        <w:ind w:right="650" w:firstLine="2100" w:firstLineChars="1000"/>
        <w:rPr>
          <w:rFonts w:ascii="宋体" w:hAnsi="宋体" w:cs="宋体"/>
          <w:color w:val="auto"/>
          <w:sz w:val="21"/>
          <w:szCs w:val="21"/>
          <w:highlight w:val="none"/>
          <w:u w:val="single"/>
        </w:rPr>
      </w:pPr>
      <w:r>
        <w:rPr>
          <w:rFonts w:hint="eastAsia" w:ascii="宋体" w:hAnsi="宋体" w:cs="宋体"/>
          <w:color w:val="auto"/>
          <w:sz w:val="21"/>
          <w:szCs w:val="21"/>
          <w:highlight w:val="none"/>
        </w:rPr>
        <w:t>企业名称（公章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 xml:space="preserve">）： </w:t>
      </w:r>
      <w:r>
        <w:rPr>
          <w:rFonts w:ascii="宋体" w:hAnsi="宋体" w:cs="宋体"/>
          <w:color w:val="auto"/>
          <w:sz w:val="21"/>
          <w:szCs w:val="21"/>
          <w:highlight w:val="none"/>
          <w:u w:val="single"/>
        </w:rPr>
        <w:t xml:space="preserve">                    </w:t>
      </w:r>
    </w:p>
    <w:p w14:paraId="34096FE4">
      <w:pPr>
        <w:pStyle w:val="16"/>
        <w:spacing w:before="56" w:line="500" w:lineRule="exact"/>
        <w:ind w:right="1808" w:firstLine="2100" w:firstLineChars="1000"/>
        <w:rPr>
          <w:rFonts w:ascii="宋体" w:hAnsi="宋体" w:cs="宋体"/>
          <w:color w:val="auto"/>
          <w:sz w:val="21"/>
          <w:szCs w:val="21"/>
          <w:highlight w:val="none"/>
        </w:rPr>
      </w:pPr>
      <w:r>
        <w:rPr>
          <w:rFonts w:hint="eastAsia" w:ascii="宋体" w:hAnsi="宋体" w:cs="宋体"/>
          <w:color w:val="auto"/>
          <w:sz w:val="21"/>
          <w:szCs w:val="21"/>
          <w:highlight w:val="none"/>
        </w:rPr>
        <w:t>日 期：</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69164F20">
      <w:pPr>
        <w:spacing w:line="520" w:lineRule="exact"/>
        <w:jc w:val="left"/>
        <w:rPr>
          <w:rFonts w:ascii="楷体" w:hAnsi="楷体" w:eastAsia="楷体" w:cs="宋体"/>
          <w:color w:val="auto"/>
          <w:sz w:val="21"/>
          <w:szCs w:val="21"/>
          <w:highlight w:val="none"/>
        </w:rPr>
      </w:pPr>
      <w:r>
        <w:rPr>
          <w:rFonts w:hint="eastAsia" w:ascii="楷体" w:hAnsi="楷体" w:eastAsia="楷体" w:cs="宋体"/>
          <w:b/>
          <w:color w:val="auto"/>
          <w:sz w:val="21"/>
          <w:szCs w:val="21"/>
          <w:highlight w:val="none"/>
        </w:rPr>
        <w:t>注：</w:t>
      </w:r>
      <w:r>
        <w:rPr>
          <w:rFonts w:hint="eastAsia" w:ascii="楷体" w:hAnsi="楷体" w:eastAsia="楷体" w:cs="宋体"/>
          <w:color w:val="auto"/>
          <w:sz w:val="21"/>
          <w:szCs w:val="21"/>
          <w:highlight w:val="none"/>
        </w:rPr>
        <w:t>享受《政府采购促进中小企业发展管理办法》（财库〔</w:t>
      </w:r>
      <w:r>
        <w:rPr>
          <w:rFonts w:ascii="楷体" w:hAnsi="楷体" w:eastAsia="楷体" w:cs="宋体"/>
          <w:color w:val="auto"/>
          <w:sz w:val="21"/>
          <w:szCs w:val="21"/>
          <w:highlight w:val="none"/>
        </w:rPr>
        <w:t>2020〕46号）规定的中小企业扶持政策的，采购人、采购代理机构应当随成交结果公开成交供应商的《中小企业声明函》。从业人员、营业收入、资产总额填报上一年度数据，无上</w:t>
      </w:r>
      <w:r>
        <w:rPr>
          <w:rFonts w:hint="eastAsia" w:ascii="楷体" w:hAnsi="楷体" w:eastAsia="楷体" w:cs="宋体"/>
          <w:color w:val="auto"/>
          <w:sz w:val="21"/>
          <w:szCs w:val="21"/>
          <w:highlight w:val="none"/>
        </w:rPr>
        <w:t>一年度数据的新成立企业可不填报。</w:t>
      </w:r>
    </w:p>
    <w:p w14:paraId="7B527999">
      <w:pPr>
        <w:spacing w:line="520" w:lineRule="exact"/>
        <w:jc w:val="center"/>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32"/>
          <w:szCs w:val="32"/>
          <w:highlight w:val="none"/>
        </w:rPr>
        <w:t>残疾人福利性单位声明函</w:t>
      </w:r>
    </w:p>
    <w:p w14:paraId="260FD2D4">
      <w:pPr>
        <w:spacing w:line="360" w:lineRule="auto"/>
        <w:contextualSpacing/>
        <w:rPr>
          <w:rFonts w:ascii="宋体" w:hAnsi="宋体" w:cs="宋体"/>
          <w:color w:val="auto"/>
          <w:sz w:val="32"/>
          <w:szCs w:val="32"/>
          <w:highlight w:val="none"/>
        </w:rPr>
      </w:pPr>
    </w:p>
    <w:p w14:paraId="4817C663">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单位的</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5322A6B8">
      <w:pPr>
        <w:spacing w:line="360" w:lineRule="auto"/>
        <w:ind w:firstLine="420" w:firstLineChars="200"/>
        <w:contextualSpacing/>
        <w:rPr>
          <w:rFonts w:ascii="宋体" w:hAnsi="宋体" w:cs="宋体"/>
          <w:color w:val="auto"/>
          <w:sz w:val="21"/>
          <w:szCs w:val="21"/>
          <w:highlight w:val="none"/>
        </w:rPr>
      </w:pPr>
      <w:r>
        <w:rPr>
          <w:rFonts w:hint="eastAsia" w:ascii="宋体" w:hAnsi="宋体" w:cs="宋体"/>
          <w:color w:val="auto"/>
          <w:sz w:val="21"/>
          <w:szCs w:val="21"/>
          <w:highlight w:val="none"/>
        </w:rPr>
        <w:t>本单位对上述声明的真实性负责。如有虚假，将依法承担相应责任。</w:t>
      </w:r>
    </w:p>
    <w:p w14:paraId="7362CA1D">
      <w:pPr>
        <w:spacing w:line="360" w:lineRule="auto"/>
        <w:contextualSpacing/>
        <w:rPr>
          <w:rFonts w:ascii="宋体" w:hAnsi="宋体" w:cs="宋体"/>
          <w:color w:val="auto"/>
          <w:sz w:val="21"/>
          <w:szCs w:val="21"/>
          <w:highlight w:val="none"/>
        </w:rPr>
      </w:pPr>
    </w:p>
    <w:p w14:paraId="2FF0C29B">
      <w:pPr>
        <w:spacing w:line="360" w:lineRule="auto"/>
        <w:contextualSpacing/>
        <w:rPr>
          <w:rFonts w:ascii="宋体" w:hAnsi="宋体" w:cs="宋体"/>
          <w:color w:val="auto"/>
          <w:sz w:val="21"/>
          <w:szCs w:val="21"/>
          <w:highlight w:val="none"/>
        </w:rPr>
      </w:pPr>
    </w:p>
    <w:p w14:paraId="426688C1">
      <w:pPr>
        <w:spacing w:line="360" w:lineRule="auto"/>
        <w:contextualSpacing/>
        <w:rPr>
          <w:rFonts w:ascii="宋体" w:hAnsi="宋体" w:cs="宋体"/>
          <w:color w:val="auto"/>
          <w:sz w:val="21"/>
          <w:szCs w:val="21"/>
          <w:highlight w:val="none"/>
        </w:rPr>
      </w:pPr>
    </w:p>
    <w:p w14:paraId="729922C9">
      <w:pPr>
        <w:spacing w:line="360" w:lineRule="auto"/>
        <w:ind w:firstLine="2100" w:firstLineChars="1000"/>
        <w:contextualSpacing/>
        <w:rPr>
          <w:rFonts w:ascii="宋体" w:hAnsi="宋体" w:cs="宋体"/>
          <w:color w:val="auto"/>
          <w:sz w:val="21"/>
          <w:szCs w:val="21"/>
          <w:highlight w:val="none"/>
          <w:u w:val="single"/>
        </w:rPr>
      </w:pPr>
      <w:r>
        <w:rPr>
          <w:rFonts w:hint="eastAsia" w:ascii="宋体" w:hAnsi="宋体" w:cs="宋体"/>
          <w:color w:val="auto"/>
          <w:sz w:val="21"/>
          <w:szCs w:val="21"/>
          <w:highlight w:val="none"/>
        </w:rPr>
        <w:t>单位名称（公章</w:t>
      </w:r>
      <w:r>
        <w:rPr>
          <w:rFonts w:hint="eastAsia" w:ascii="宋体" w:hAnsi="宋体"/>
          <w:b w:val="0"/>
          <w:bCs w:val="0"/>
          <w:color w:val="auto"/>
          <w:szCs w:val="21"/>
          <w:highlight w:val="none"/>
          <w:lang w:val="en-US" w:eastAsia="zh-CN"/>
        </w:rPr>
        <w:t>或CA签章</w:t>
      </w:r>
      <w:r>
        <w:rPr>
          <w:rFonts w:hint="eastAsia" w:ascii="宋体" w:hAnsi="宋体" w:cs="宋体"/>
          <w:color w:val="auto"/>
          <w:sz w:val="21"/>
          <w:szCs w:val="21"/>
          <w:highlight w:val="none"/>
        </w:rPr>
        <w:t>）：</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p>
    <w:p w14:paraId="77D86E94">
      <w:pPr>
        <w:spacing w:line="360" w:lineRule="auto"/>
        <w:ind w:firstLine="3150" w:firstLineChars="1500"/>
        <w:contextualSpacing/>
        <w:rPr>
          <w:rFonts w:ascii="宋体" w:hAnsi="宋体" w:cs="宋体"/>
          <w:color w:val="auto"/>
          <w:sz w:val="21"/>
          <w:szCs w:val="21"/>
          <w:highlight w:val="none"/>
        </w:rPr>
      </w:pPr>
      <w:r>
        <w:rPr>
          <w:rFonts w:hint="eastAsia" w:ascii="宋体" w:hAnsi="宋体" w:cs="宋体"/>
          <w:color w:val="auto"/>
          <w:sz w:val="21"/>
          <w:szCs w:val="21"/>
          <w:highlight w:val="none"/>
        </w:rPr>
        <w:t>日  期：</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年</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月</w:t>
      </w:r>
      <w:r>
        <w:rPr>
          <w:rFonts w:hint="eastAsia" w:ascii="宋体" w:hAnsi="宋体" w:cs="宋体"/>
          <w:color w:val="auto"/>
          <w:sz w:val="21"/>
          <w:szCs w:val="21"/>
          <w:highlight w:val="none"/>
          <w:u w:val="single"/>
        </w:rPr>
        <w:t xml:space="preserve"> </w:t>
      </w:r>
      <w:r>
        <w:rPr>
          <w:rFonts w:ascii="宋体" w:hAnsi="宋体" w:cs="宋体"/>
          <w:color w:val="auto"/>
          <w:sz w:val="21"/>
          <w:szCs w:val="21"/>
          <w:highlight w:val="none"/>
          <w:u w:val="single"/>
        </w:rPr>
        <w:t xml:space="preserve"> </w:t>
      </w:r>
      <w:r>
        <w:rPr>
          <w:rFonts w:hint="eastAsia" w:ascii="宋体" w:hAnsi="宋体" w:cs="宋体"/>
          <w:color w:val="auto"/>
          <w:sz w:val="21"/>
          <w:szCs w:val="21"/>
          <w:highlight w:val="none"/>
        </w:rPr>
        <w:t>日</w:t>
      </w:r>
    </w:p>
    <w:p w14:paraId="451723D1">
      <w:pPr>
        <w:spacing w:line="360" w:lineRule="auto"/>
        <w:contextualSpacing/>
        <w:rPr>
          <w:rFonts w:ascii="宋体" w:hAnsi="宋体" w:cs="宋体"/>
          <w:color w:val="auto"/>
          <w:sz w:val="21"/>
          <w:szCs w:val="21"/>
          <w:highlight w:val="none"/>
        </w:rPr>
      </w:pPr>
    </w:p>
    <w:p w14:paraId="23C5F31A">
      <w:pPr>
        <w:spacing w:line="360" w:lineRule="auto"/>
        <w:contextualSpacing/>
        <w:rPr>
          <w:rFonts w:ascii="宋体" w:hAnsi="宋体" w:cs="宋体"/>
          <w:color w:val="auto"/>
          <w:sz w:val="21"/>
          <w:szCs w:val="21"/>
          <w:highlight w:val="none"/>
        </w:rPr>
      </w:pPr>
    </w:p>
    <w:p w14:paraId="7C0BEEAE">
      <w:pPr>
        <w:spacing w:line="360" w:lineRule="auto"/>
        <w:contextualSpacing/>
        <w:rPr>
          <w:rFonts w:ascii="宋体" w:hAnsi="宋体" w:cs="宋体"/>
          <w:color w:val="auto"/>
          <w:sz w:val="21"/>
          <w:szCs w:val="21"/>
          <w:highlight w:val="none"/>
        </w:rPr>
      </w:pPr>
    </w:p>
    <w:p w14:paraId="70D078ED">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rPr>
        <w:t>请根据自己的真实情况出具《残疾人福利性单位声明函》。依法享受中小企业优惠政策的，采购人或者采购代理机构在公告中标结果时，同时公告其《残疾人福利性单位声明函》，接受社会监督。</w:t>
      </w:r>
    </w:p>
    <w:p w14:paraId="29A0DB6E">
      <w:pPr>
        <w:snapToGrid w:val="0"/>
        <w:spacing w:before="156" w:beforeLines="50" w:after="50" w:line="360" w:lineRule="auto"/>
        <w:ind w:right="480"/>
        <w:rPr>
          <w:rFonts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lang w:val="en-US" w:eastAsia="zh-CN"/>
        </w:rPr>
        <w:t>三</w:t>
      </w:r>
      <w:r>
        <w:rPr>
          <w:rFonts w:hint="eastAsia" w:ascii="宋体" w:hAnsi="宋体" w:cs="宋体"/>
          <w:b/>
          <w:bCs/>
          <w:color w:val="auto"/>
          <w:sz w:val="32"/>
          <w:szCs w:val="32"/>
          <w:highlight w:val="none"/>
        </w:rPr>
        <w:t>、</w:t>
      </w:r>
      <w:r>
        <w:rPr>
          <w:rFonts w:hint="eastAsia" w:ascii="宋体" w:hAnsi="宋体" w:cs="宋体"/>
          <w:b/>
          <w:color w:val="auto"/>
          <w:sz w:val="32"/>
          <w:szCs w:val="32"/>
          <w:highlight w:val="none"/>
        </w:rPr>
        <w:t>商务</w:t>
      </w:r>
      <w:r>
        <w:rPr>
          <w:rFonts w:hint="eastAsia" w:ascii="宋体" w:hAnsi="宋体" w:cs="宋体"/>
          <w:b/>
          <w:color w:val="auto"/>
          <w:sz w:val="32"/>
          <w:szCs w:val="32"/>
          <w:highlight w:val="none"/>
          <w:lang w:val="en-US" w:eastAsia="zh-CN"/>
        </w:rPr>
        <w:t>服务</w:t>
      </w:r>
      <w:r>
        <w:rPr>
          <w:rFonts w:hint="eastAsia" w:ascii="宋体" w:hAnsi="宋体" w:cs="宋体"/>
          <w:b/>
          <w:color w:val="auto"/>
          <w:sz w:val="32"/>
          <w:szCs w:val="32"/>
          <w:highlight w:val="none"/>
        </w:rPr>
        <w:t>文件格式</w:t>
      </w:r>
    </w:p>
    <w:p w14:paraId="118BAC15">
      <w:pPr>
        <w:snapToGrid w:val="0"/>
        <w:spacing w:before="156"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商务</w:t>
      </w:r>
      <w:r>
        <w:rPr>
          <w:rFonts w:hint="eastAsia" w:ascii="宋体" w:hAnsi="宋体" w:cs="宋体"/>
          <w:b/>
          <w:color w:val="auto"/>
          <w:sz w:val="32"/>
          <w:szCs w:val="32"/>
          <w:highlight w:val="none"/>
          <w:lang w:val="en-US" w:eastAsia="zh-CN"/>
        </w:rPr>
        <w:t>服务</w:t>
      </w:r>
      <w:r>
        <w:rPr>
          <w:rFonts w:hint="eastAsia" w:ascii="宋体" w:hAnsi="宋体" w:cs="宋体"/>
          <w:b/>
          <w:color w:val="auto"/>
          <w:sz w:val="32"/>
          <w:szCs w:val="32"/>
          <w:highlight w:val="none"/>
        </w:rPr>
        <w:t>文件封面格式</w:t>
      </w:r>
    </w:p>
    <w:p w14:paraId="2EEA7E9B">
      <w:pPr>
        <w:snapToGrid w:val="0"/>
        <w:spacing w:before="156" w:beforeLines="50" w:after="50"/>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6BA33C72">
      <w:pPr>
        <w:snapToGrid w:val="0"/>
        <w:spacing w:before="156" w:beforeLines="50" w:after="50"/>
        <w:rPr>
          <w:rFonts w:ascii="宋体" w:hAnsi="宋体" w:cs="宋体"/>
          <w:color w:val="auto"/>
          <w:sz w:val="24"/>
          <w:szCs w:val="20"/>
          <w:highlight w:val="none"/>
        </w:rPr>
      </w:pPr>
    </w:p>
    <w:p w14:paraId="7D8BA15E">
      <w:pPr>
        <w:snapToGrid w:val="0"/>
        <w:spacing w:before="156" w:beforeLines="50" w:after="50"/>
        <w:jc w:val="center"/>
        <w:rPr>
          <w:rFonts w:ascii="宋体" w:hAnsi="宋体" w:cs="宋体"/>
          <w:bCs/>
          <w:color w:val="auto"/>
          <w:sz w:val="72"/>
          <w:szCs w:val="72"/>
          <w:highlight w:val="none"/>
        </w:rPr>
      </w:pPr>
      <w:r>
        <w:rPr>
          <w:rFonts w:hint="eastAsia" w:ascii="宋体" w:hAnsi="宋体" w:cs="宋体"/>
          <w:bCs/>
          <w:color w:val="auto"/>
          <w:sz w:val="72"/>
          <w:szCs w:val="72"/>
          <w:highlight w:val="none"/>
        </w:rPr>
        <w:t>响应文件</w:t>
      </w:r>
    </w:p>
    <w:p w14:paraId="2AD0192D">
      <w:pPr>
        <w:snapToGrid w:val="0"/>
        <w:spacing w:before="156" w:beforeLines="50" w:after="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w:t>
      </w:r>
      <w:r>
        <w:rPr>
          <w:rFonts w:hint="eastAsia" w:ascii="宋体" w:hAnsi="宋体" w:cs="宋体"/>
          <w:bCs/>
          <w:color w:val="auto"/>
          <w:sz w:val="32"/>
          <w:szCs w:val="32"/>
          <w:highlight w:val="none"/>
          <w:lang w:val="en-US" w:eastAsia="zh-CN"/>
        </w:rPr>
        <w:t>服务</w:t>
      </w:r>
      <w:r>
        <w:rPr>
          <w:rFonts w:hint="eastAsia" w:ascii="宋体" w:hAnsi="宋体" w:cs="宋体"/>
          <w:bCs/>
          <w:color w:val="auto"/>
          <w:sz w:val="32"/>
          <w:szCs w:val="32"/>
          <w:highlight w:val="none"/>
        </w:rPr>
        <w:t>文件</w:t>
      </w:r>
    </w:p>
    <w:p w14:paraId="43A27B84">
      <w:pPr>
        <w:snapToGrid w:val="0"/>
        <w:spacing w:before="156" w:beforeLines="50" w:after="50"/>
        <w:rPr>
          <w:rFonts w:ascii="宋体" w:hAnsi="宋体" w:cs="宋体"/>
          <w:bCs/>
          <w:color w:val="auto"/>
          <w:sz w:val="24"/>
          <w:szCs w:val="20"/>
          <w:highlight w:val="none"/>
        </w:rPr>
      </w:pPr>
    </w:p>
    <w:p w14:paraId="33FD2F1F">
      <w:pPr>
        <w:snapToGrid w:val="0"/>
        <w:spacing w:before="156" w:beforeLines="50" w:after="50"/>
        <w:rPr>
          <w:rFonts w:ascii="宋体" w:hAnsi="宋体" w:cs="宋体"/>
          <w:bCs/>
          <w:color w:val="auto"/>
          <w:sz w:val="24"/>
          <w:szCs w:val="20"/>
          <w:highlight w:val="none"/>
        </w:rPr>
      </w:pPr>
    </w:p>
    <w:p w14:paraId="67540DA6">
      <w:pPr>
        <w:snapToGrid w:val="0"/>
        <w:spacing w:before="156" w:beforeLines="50" w:after="50"/>
        <w:ind w:firstLine="2100" w:firstLineChars="875"/>
        <w:rPr>
          <w:rFonts w:ascii="宋体" w:hAnsi="宋体" w:cs="宋体"/>
          <w:bCs/>
          <w:color w:val="auto"/>
          <w:sz w:val="24"/>
          <w:szCs w:val="20"/>
          <w:highlight w:val="none"/>
        </w:rPr>
      </w:pPr>
    </w:p>
    <w:p w14:paraId="14BF489D">
      <w:pPr>
        <w:snapToGrid w:val="0"/>
        <w:spacing w:before="156" w:beforeLines="50" w:after="50"/>
        <w:ind w:firstLine="2100" w:firstLineChars="875"/>
        <w:rPr>
          <w:rFonts w:ascii="宋体" w:hAnsi="宋体" w:cs="宋体"/>
          <w:bCs/>
          <w:color w:val="auto"/>
          <w:sz w:val="24"/>
          <w:szCs w:val="20"/>
          <w:highlight w:val="none"/>
        </w:rPr>
      </w:pPr>
    </w:p>
    <w:p w14:paraId="10E91742">
      <w:pPr>
        <w:snapToGrid w:val="0"/>
        <w:spacing w:before="156" w:beforeLines="50" w:after="50"/>
        <w:ind w:firstLine="2100" w:firstLineChars="875"/>
        <w:rPr>
          <w:rFonts w:ascii="宋体" w:hAnsi="宋体" w:cs="宋体"/>
          <w:bCs/>
          <w:color w:val="auto"/>
          <w:sz w:val="24"/>
          <w:szCs w:val="20"/>
          <w:highlight w:val="none"/>
        </w:rPr>
      </w:pPr>
    </w:p>
    <w:p w14:paraId="777FBB5D">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3C2094D">
      <w:pPr>
        <w:snapToGrid w:val="0"/>
        <w:spacing w:before="156" w:beforeLines="50" w:after="50"/>
        <w:ind w:firstLine="2800" w:firstLineChars="875"/>
        <w:rPr>
          <w:rFonts w:ascii="宋体" w:hAnsi="宋体" w:cs="宋体"/>
          <w:bCs/>
          <w:color w:val="auto"/>
          <w:sz w:val="32"/>
          <w:szCs w:val="32"/>
          <w:highlight w:val="none"/>
        </w:rPr>
      </w:pPr>
    </w:p>
    <w:p w14:paraId="71A9AAC9">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A785047">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2B25CA87">
      <w:pPr>
        <w:snapToGrid w:val="0"/>
        <w:spacing w:before="156" w:beforeLines="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w:t>
      </w:r>
    </w:p>
    <w:p w14:paraId="69C0D6B8">
      <w:pPr>
        <w:snapToGrid w:val="0"/>
        <w:spacing w:before="156" w:beforeLines="50" w:after="50"/>
        <w:ind w:firstLine="2800" w:firstLineChars="875"/>
        <w:rPr>
          <w:rFonts w:ascii="宋体" w:hAnsi="宋体" w:cs="宋体"/>
          <w:bCs/>
          <w:color w:val="auto"/>
          <w:sz w:val="32"/>
          <w:szCs w:val="32"/>
          <w:highlight w:val="none"/>
        </w:rPr>
      </w:pPr>
    </w:p>
    <w:p w14:paraId="4EC47788">
      <w:pPr>
        <w:pStyle w:val="7"/>
        <w:snapToGrid w:val="0"/>
        <w:spacing w:before="50" w:after="50"/>
        <w:ind w:firstLine="2800" w:firstLineChars="875"/>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5A7FDC8B">
      <w:pPr>
        <w:pStyle w:val="7"/>
        <w:snapToGrid w:val="0"/>
        <w:spacing w:before="50" w:after="50"/>
        <w:ind w:firstLine="2800" w:firstLineChars="875"/>
        <w:rPr>
          <w:rFonts w:ascii="宋体" w:hAnsi="宋体" w:cs="宋体"/>
          <w:bCs/>
          <w:color w:val="auto"/>
          <w:sz w:val="32"/>
          <w:szCs w:val="32"/>
          <w:highlight w:val="none"/>
        </w:rPr>
      </w:pPr>
    </w:p>
    <w:p w14:paraId="51CDA129">
      <w:pPr>
        <w:pStyle w:val="7"/>
        <w:snapToGrid w:val="0"/>
        <w:spacing w:before="50" w:after="50"/>
        <w:ind w:firstLine="720" w:firstLineChars="225"/>
        <w:rPr>
          <w:rFonts w:ascii="宋体" w:hAnsi="宋体" w:cs="宋体"/>
          <w:bCs/>
          <w:color w:val="auto"/>
          <w:sz w:val="32"/>
          <w:szCs w:val="32"/>
          <w:highlight w:val="none"/>
        </w:rPr>
      </w:pPr>
    </w:p>
    <w:p w14:paraId="38654C4C">
      <w:pPr>
        <w:pStyle w:val="7"/>
        <w:snapToGrid w:val="0"/>
        <w:spacing w:before="50" w:after="50"/>
        <w:ind w:firstLine="1280" w:firstLineChars="400"/>
        <w:rPr>
          <w:rFonts w:ascii="宋体" w:hAnsi="宋体" w:cs="宋体"/>
          <w:bCs/>
          <w:color w:val="auto"/>
          <w:sz w:val="32"/>
          <w:szCs w:val="32"/>
          <w:highlight w:val="none"/>
        </w:rPr>
      </w:pPr>
    </w:p>
    <w:p w14:paraId="384270CD">
      <w:pPr>
        <w:snapToGrid w:val="0"/>
        <w:spacing w:before="156"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1CB0080">
      <w:pPr>
        <w:snapToGrid w:val="0"/>
        <w:spacing w:before="156" w:beforeLines="50" w:after="50" w:line="360" w:lineRule="auto"/>
        <w:ind w:left="142"/>
        <w:jc w:val="left"/>
        <w:rPr>
          <w:rFonts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商务</w:t>
      </w:r>
      <w:r>
        <w:rPr>
          <w:rFonts w:hint="eastAsia" w:ascii="宋体" w:hAnsi="宋体" w:cs="宋体"/>
          <w:b/>
          <w:bCs/>
          <w:color w:val="auto"/>
          <w:sz w:val="32"/>
          <w:szCs w:val="32"/>
          <w:highlight w:val="none"/>
          <w:lang w:val="en-US" w:eastAsia="zh-CN"/>
        </w:rPr>
        <w:t>服务</w:t>
      </w:r>
      <w:r>
        <w:rPr>
          <w:rFonts w:hint="eastAsia" w:ascii="宋体" w:hAnsi="宋体" w:cs="宋体"/>
          <w:b/>
          <w:bCs/>
          <w:color w:val="auto"/>
          <w:sz w:val="32"/>
          <w:szCs w:val="32"/>
          <w:highlight w:val="none"/>
        </w:rPr>
        <w:t>文件目录</w:t>
      </w:r>
    </w:p>
    <w:p w14:paraId="566AD12F">
      <w:pPr>
        <w:snapToGrid w:val="0"/>
        <w:spacing w:before="156" w:beforeLines="50" w:after="50"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根据磋商文件规定及供应商提供的材料自行编写目录（部分格式后附）。</w:t>
      </w:r>
    </w:p>
    <w:p w14:paraId="6926E7B1">
      <w:pPr>
        <w:spacing w:before="0" w:after="0"/>
        <w:ind w:left="0"/>
        <w:jc w:val="left"/>
        <w:rPr>
          <w:rFonts w:hint="eastAsia" w:ascii="宋体" w:hAnsi="宋体" w:cs="宋体"/>
          <w:color w:val="auto"/>
          <w:sz w:val="24"/>
          <w:highlight w:val="none"/>
        </w:rPr>
      </w:pPr>
      <w:r>
        <w:rPr>
          <w:rFonts w:hint="eastAsia" w:ascii="宋体" w:hAnsi="宋体" w:cs="宋体"/>
          <w:color w:val="auto"/>
          <w:sz w:val="24"/>
          <w:highlight w:val="none"/>
        </w:rPr>
        <w:br w:type="page"/>
      </w:r>
    </w:p>
    <w:p w14:paraId="3BC2D20C">
      <w:pPr>
        <w:spacing w:before="312" w:beforeLines="100" w:after="156" w:afterLines="50"/>
        <w:ind w:left="0"/>
        <w:jc w:val="both"/>
        <w:rPr>
          <w:rFonts w:hint="eastAsia" w:ascii="宋体" w:hAnsi="宋体" w:cs="宋体"/>
          <w:b/>
          <w:bCs/>
          <w:color w:val="auto"/>
          <w:sz w:val="28"/>
          <w:szCs w:val="28"/>
          <w:highlight w:val="none"/>
        </w:rPr>
      </w:pPr>
      <w:r>
        <w:rPr>
          <w:rFonts w:hint="eastAsia" w:ascii="宋体" w:hAnsi="宋体" w:eastAsia="宋体" w:cs="宋体"/>
          <w:b/>
          <w:bCs/>
          <w:color w:val="auto"/>
          <w:sz w:val="28"/>
          <w:szCs w:val="28"/>
          <w:highlight w:val="none"/>
        </w:rPr>
        <w:t>1.法定代表人身份证明及法定代表人有效身份证正反面</w:t>
      </w:r>
    </w:p>
    <w:p w14:paraId="08BC15B6">
      <w:pPr>
        <w:spacing w:before="312" w:beforeLines="100" w:after="156" w:afterLines="50"/>
        <w:ind w:left="540"/>
        <w:jc w:val="center"/>
        <w:rPr>
          <w:rFonts w:ascii="宋体" w:hAnsi="宋体" w:cs="宋体"/>
          <w:b/>
          <w:color w:val="auto"/>
          <w:sz w:val="32"/>
          <w:szCs w:val="32"/>
          <w:highlight w:val="none"/>
        </w:rPr>
      </w:pPr>
      <w:r>
        <w:rPr>
          <w:rFonts w:hint="eastAsia" w:ascii="宋体" w:hAnsi="宋体" w:cs="宋体"/>
          <w:b/>
          <w:bCs/>
          <w:color w:val="auto"/>
          <w:sz w:val="32"/>
          <w:szCs w:val="32"/>
          <w:highlight w:val="none"/>
        </w:rPr>
        <w:t>法定代表人身份证明书</w:t>
      </w:r>
    </w:p>
    <w:p w14:paraId="3299931A">
      <w:pPr>
        <w:spacing w:line="360" w:lineRule="auto"/>
        <w:ind w:left="540"/>
        <w:contextualSpacing/>
        <w:rPr>
          <w:rFonts w:ascii="宋体" w:hAnsi="宋体" w:cs="宋体"/>
          <w:color w:val="auto"/>
          <w:sz w:val="32"/>
          <w:szCs w:val="32"/>
          <w:highlight w:val="none"/>
        </w:rPr>
      </w:pPr>
    </w:p>
    <w:p w14:paraId="78169097">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26EDB86F">
      <w:pPr>
        <w:spacing w:line="360" w:lineRule="auto"/>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1098AEF7">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0D05057F">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48A240B0">
      <w:pPr>
        <w:spacing w:line="36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333B3FD0">
      <w:pPr>
        <w:spacing w:line="360" w:lineRule="auto"/>
        <w:ind w:left="540"/>
        <w:rPr>
          <w:rFonts w:hint="eastAsia" w:ascii="宋体" w:hAnsi="宋体" w:eastAsia="宋体" w:cs="宋体"/>
          <w:color w:val="auto"/>
          <w:sz w:val="21"/>
          <w:szCs w:val="21"/>
          <w:highlight w:val="none"/>
        </w:rPr>
      </w:pPr>
    </w:p>
    <w:p w14:paraId="21ACB794">
      <w:pPr>
        <w:spacing w:line="360" w:lineRule="auto"/>
        <w:ind w:left="540"/>
        <w:rPr>
          <w:rFonts w:hint="eastAsia" w:ascii="宋体" w:hAnsi="宋体" w:eastAsia="宋体" w:cs="宋体"/>
          <w:color w:val="auto"/>
          <w:sz w:val="21"/>
          <w:szCs w:val="21"/>
          <w:highlight w:val="none"/>
        </w:rPr>
      </w:pPr>
    </w:p>
    <w:p w14:paraId="6172F045">
      <w:pPr>
        <w:spacing w:line="360" w:lineRule="auto"/>
        <w:ind w:left="540"/>
        <w:rPr>
          <w:rFonts w:hint="eastAsia" w:ascii="宋体" w:hAnsi="宋体" w:eastAsia="宋体" w:cs="宋体"/>
          <w:color w:val="auto"/>
          <w:sz w:val="21"/>
          <w:szCs w:val="21"/>
          <w:highlight w:val="none"/>
        </w:rPr>
      </w:pPr>
    </w:p>
    <w:p w14:paraId="1A7B5710">
      <w:pPr>
        <w:spacing w:line="360" w:lineRule="auto"/>
        <w:ind w:left="54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附件：法定代表人有效身份证正反面</w:t>
      </w:r>
    </w:p>
    <w:p w14:paraId="63A6EF55">
      <w:pPr>
        <w:spacing w:line="360" w:lineRule="auto"/>
        <w:ind w:left="540"/>
        <w:contextualSpacing/>
        <w:rPr>
          <w:rFonts w:hint="eastAsia" w:ascii="宋体" w:hAnsi="宋体" w:eastAsia="宋体" w:cs="宋体"/>
          <w:color w:val="auto"/>
          <w:sz w:val="21"/>
          <w:szCs w:val="21"/>
          <w:highlight w:val="none"/>
        </w:rPr>
      </w:pPr>
    </w:p>
    <w:p w14:paraId="16387C74">
      <w:pPr>
        <w:spacing w:line="360" w:lineRule="auto"/>
        <w:ind w:left="540"/>
        <w:contextualSpacing/>
        <w:rPr>
          <w:rFonts w:hint="eastAsia" w:ascii="宋体" w:hAnsi="宋体" w:eastAsia="宋体" w:cs="宋体"/>
          <w:color w:val="auto"/>
          <w:sz w:val="21"/>
          <w:szCs w:val="21"/>
          <w:highlight w:val="none"/>
        </w:rPr>
      </w:pPr>
    </w:p>
    <w:p w14:paraId="100B2930">
      <w:pPr>
        <w:spacing w:line="360" w:lineRule="auto"/>
        <w:ind w:right="960" w:firstLine="3570" w:firstLineChars="170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1737CF03">
      <w:pPr>
        <w:pStyle w:val="25"/>
        <w:rPr>
          <w:rFonts w:hint="eastAsia" w:ascii="宋体" w:hAnsi="宋体" w:eastAsia="宋体" w:cs="宋体"/>
          <w:color w:val="auto"/>
          <w:szCs w:val="21"/>
          <w:highlight w:val="none"/>
        </w:rPr>
      </w:pPr>
    </w:p>
    <w:p w14:paraId="530D5EE2">
      <w:pPr>
        <w:spacing w:line="360" w:lineRule="auto"/>
        <w:ind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2FDF82A">
      <w:pPr>
        <w:spacing w:line="360" w:lineRule="auto"/>
        <w:contextualSpacing/>
        <w:jc w:val="center"/>
        <w:rPr>
          <w:rFonts w:hint="eastAsia" w:ascii="宋体" w:hAnsi="宋体" w:eastAsia="宋体" w:cs="宋体"/>
          <w:b/>
          <w:color w:val="auto"/>
          <w:sz w:val="21"/>
          <w:szCs w:val="21"/>
          <w:highlight w:val="none"/>
        </w:rPr>
      </w:pPr>
    </w:p>
    <w:p w14:paraId="24264AF6">
      <w:pPr>
        <w:spacing w:line="360" w:lineRule="auto"/>
        <w:contextualSpacing/>
        <w:jc w:val="left"/>
        <w:rPr>
          <w:rFonts w:hint="eastAsia" w:ascii="宋体" w:hAnsi="宋体" w:eastAsia="宋体" w:cs="宋体"/>
          <w:color w:val="auto"/>
          <w:sz w:val="21"/>
          <w:szCs w:val="21"/>
          <w:highlight w:val="none"/>
        </w:rPr>
      </w:pPr>
    </w:p>
    <w:p w14:paraId="6C1681D4">
      <w:pPr>
        <w:spacing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rPr>
        <w:t>自然人参与竞争性磋商的无需提供，联合体参与竞争性磋商的只需牵头人出具。</w:t>
      </w:r>
    </w:p>
    <w:p w14:paraId="367F8047">
      <w:pPr>
        <w:adjustRightInd w:val="0"/>
        <w:snapToGrid w:val="0"/>
        <w:spacing w:line="300" w:lineRule="auto"/>
        <w:jc w:val="left"/>
        <w:rPr>
          <w:rFonts w:ascii="宋体" w:hAnsi="宋体" w:cs="宋体"/>
          <w:b/>
          <w:color w:val="auto"/>
          <w:szCs w:val="21"/>
          <w:highlight w:val="none"/>
        </w:rPr>
      </w:pPr>
    </w:p>
    <w:p w14:paraId="5468EAC0">
      <w:pPr>
        <w:spacing w:line="500" w:lineRule="exact"/>
        <w:jc w:val="both"/>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eastAsia="宋体" w:cs="宋体"/>
          <w:b/>
          <w:bCs/>
          <w:color w:val="auto"/>
          <w:sz w:val="28"/>
          <w:szCs w:val="28"/>
          <w:highlight w:val="none"/>
        </w:rPr>
        <w:t>2.授权委托书及委托代理人有效身份证正反面</w:t>
      </w:r>
    </w:p>
    <w:p w14:paraId="1EFFB39C">
      <w:pPr>
        <w:jc w:val="center"/>
        <w:rPr>
          <w:rFonts w:hint="eastAsia" w:ascii="宋体" w:hAnsi="宋体" w:cs="宋体"/>
          <w:b/>
          <w:color w:val="auto"/>
          <w:sz w:val="36"/>
          <w:szCs w:val="36"/>
          <w:highlight w:val="none"/>
        </w:rPr>
      </w:pPr>
      <w:bookmarkStart w:id="54" w:name="_Hlk65853643"/>
    </w:p>
    <w:p w14:paraId="5802A21D">
      <w:pPr>
        <w:jc w:val="center"/>
        <w:rPr>
          <w:rFonts w:ascii="宋体" w:hAnsi="宋体" w:cs="宋体"/>
          <w:b/>
          <w:color w:val="auto"/>
          <w:sz w:val="36"/>
          <w:szCs w:val="36"/>
          <w:highlight w:val="none"/>
        </w:rPr>
      </w:pPr>
      <w:r>
        <w:rPr>
          <w:rFonts w:hint="eastAsia" w:ascii="宋体" w:hAnsi="宋体" w:cs="宋体"/>
          <w:b/>
          <w:color w:val="auto"/>
          <w:sz w:val="36"/>
          <w:szCs w:val="36"/>
          <w:highlight w:val="none"/>
        </w:rPr>
        <w:t>授权委托书</w:t>
      </w:r>
    </w:p>
    <w:p w14:paraId="78120E9E">
      <w:pPr>
        <w:jc w:val="center"/>
        <w:rPr>
          <w:rFonts w:ascii="宋体" w:hAnsi="宋体" w:cs="宋体"/>
          <w:color w:val="auto"/>
          <w:sz w:val="24"/>
          <w:szCs w:val="24"/>
          <w:highlight w:val="none"/>
        </w:rPr>
      </w:pPr>
      <w:r>
        <w:rPr>
          <w:rFonts w:hint="eastAsia" w:ascii="宋体" w:hAnsi="宋体" w:cs="宋体"/>
          <w:color w:val="auto"/>
          <w:sz w:val="24"/>
          <w:szCs w:val="24"/>
          <w:highlight w:val="none"/>
        </w:rPr>
        <w:t>（非联合体参与竞争性磋商格式）</w:t>
      </w:r>
    </w:p>
    <w:p w14:paraId="67C7CCAA">
      <w:pPr>
        <w:jc w:val="center"/>
        <w:rPr>
          <w:rFonts w:ascii="宋体" w:hAnsi="宋体" w:cs="宋体"/>
          <w:color w:val="auto"/>
          <w:sz w:val="36"/>
          <w:szCs w:val="36"/>
          <w:highlight w:val="none"/>
        </w:rPr>
      </w:pPr>
      <w:r>
        <w:rPr>
          <w:rFonts w:hint="eastAsia" w:ascii="宋体" w:hAnsi="宋体" w:cs="宋体"/>
          <w:color w:val="auto"/>
          <w:sz w:val="24"/>
          <w:szCs w:val="24"/>
          <w:highlight w:val="none"/>
        </w:rPr>
        <w:t>（如有委托时）</w:t>
      </w:r>
    </w:p>
    <w:p w14:paraId="77038CF7">
      <w:pPr>
        <w:spacing w:line="520" w:lineRule="exact"/>
        <w:rPr>
          <w:rFonts w:ascii="宋体" w:hAnsi="宋体" w:cs="宋体"/>
          <w:color w:val="auto"/>
          <w:sz w:val="32"/>
          <w:szCs w:val="32"/>
          <w:highlight w:val="none"/>
        </w:rPr>
      </w:pPr>
    </w:p>
    <w:p w14:paraId="5E43DF8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6CE446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（供应商名称）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rPr>
        <w:t>法定代表人/负责人/自然人本人</w:t>
      </w:r>
      <w:r>
        <w:rPr>
          <w:rFonts w:hint="eastAsia" w:ascii="宋体" w:hAnsi="宋体" w:eastAsia="宋体" w:cs="宋体"/>
          <w:color w:val="auto"/>
          <w:sz w:val="21"/>
          <w:szCs w:val="21"/>
          <w:highlight w:val="none"/>
        </w:rPr>
        <w:t>），现授权</w:t>
      </w:r>
      <w:r>
        <w:rPr>
          <w:rFonts w:hint="eastAsia" w:ascii="宋体" w:hAnsi="宋体" w:eastAsia="宋体" w:cs="宋体"/>
          <w:color w:val="auto"/>
          <w:sz w:val="21"/>
          <w:szCs w:val="21"/>
          <w:highlight w:val="none"/>
          <w:u w:val="single"/>
        </w:rPr>
        <w:t xml:space="preserve"> （姓名） </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项目的竞争性磋商活动，并代表我方全权办理针对上述项目的所有采购程序和环节的具体事务和签署相关文件。</w:t>
      </w:r>
    </w:p>
    <w:p w14:paraId="0C6980D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我方对委托代理人的签字事项负全部责任。</w:t>
      </w:r>
    </w:p>
    <w:p w14:paraId="467F962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27B1751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5DE6FD4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附：委托代理人有效身份证正反面</w:t>
      </w:r>
    </w:p>
    <w:p w14:paraId="018E7C09">
      <w:pPr>
        <w:spacing w:line="360" w:lineRule="auto"/>
        <w:rPr>
          <w:rFonts w:hint="eastAsia" w:ascii="宋体" w:hAnsi="宋体" w:eastAsia="宋体" w:cs="宋体"/>
          <w:color w:val="auto"/>
          <w:sz w:val="21"/>
          <w:szCs w:val="21"/>
          <w:highlight w:val="none"/>
        </w:rPr>
      </w:pPr>
    </w:p>
    <w:p w14:paraId="52391B7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3DEA46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F55ED5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5E8002F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6FFFADE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EC04D44">
      <w:pPr>
        <w:spacing w:line="360" w:lineRule="auto"/>
        <w:rPr>
          <w:rFonts w:hint="eastAsia" w:ascii="宋体" w:hAnsi="宋体" w:eastAsia="宋体" w:cs="宋体"/>
          <w:color w:val="auto"/>
          <w:sz w:val="21"/>
          <w:szCs w:val="21"/>
          <w:highlight w:val="none"/>
        </w:rPr>
      </w:pPr>
    </w:p>
    <w:p w14:paraId="72610064">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rPr>
        <w:t>1.法定代表人必须在授权委托书上签字或</w:t>
      </w:r>
      <w:r>
        <w:rPr>
          <w:rFonts w:hint="eastAsia" w:ascii="宋体" w:hAnsi="宋体" w:eastAsia="宋体" w:cs="宋体"/>
          <w:b w:val="0"/>
          <w:bCs/>
          <w:color w:val="auto"/>
          <w:szCs w:val="21"/>
          <w:highlight w:val="none"/>
          <w:lang w:val="en-US" w:eastAsia="zh-CN"/>
        </w:rPr>
        <w:t>个人CA签</w:t>
      </w:r>
      <w:r>
        <w:rPr>
          <w:rFonts w:hint="eastAsia" w:ascii="宋体" w:hAnsi="宋体" w:eastAsia="宋体" w:cs="宋体"/>
          <w:color w:val="auto"/>
          <w:sz w:val="21"/>
          <w:szCs w:val="21"/>
          <w:highlight w:val="none"/>
        </w:rPr>
        <w:t>章，委托代理人必须在授权委托书上签字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否则其响应文件按无效响应处理。</w:t>
      </w:r>
    </w:p>
    <w:p w14:paraId="0E59029A">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bookmarkStart w:id="55" w:name="_Hlk65853109"/>
      <w:bookmarkStart w:id="56" w:name="_Hlk65853542"/>
      <w:r>
        <w:rPr>
          <w:rFonts w:hint="eastAsia" w:ascii="宋体" w:hAnsi="宋体" w:eastAsia="宋体" w:cs="宋体"/>
          <w:color w:val="auto"/>
          <w:sz w:val="21"/>
          <w:szCs w:val="21"/>
          <w:highlight w:val="none"/>
        </w:rPr>
        <w:t>法人、其他组织参与竞争性磋商时“我方”是指“我单位”，自然人参与竞争性磋商时“我方”是指“本人”。</w:t>
      </w:r>
      <w:bookmarkEnd w:id="55"/>
    </w:p>
    <w:bookmarkEnd w:id="56"/>
    <w:p w14:paraId="07C5949B">
      <w:pPr>
        <w:spacing w:line="360" w:lineRule="auto"/>
        <w:ind w:firstLine="420" w:firstLineChars="200"/>
        <w:jc w:val="left"/>
        <w:rPr>
          <w:rFonts w:hint="eastAsia" w:ascii="宋体" w:hAnsi="宋体" w:eastAsia="宋体" w:cs="宋体"/>
          <w:color w:val="auto"/>
          <w:szCs w:val="21"/>
          <w:highlight w:val="none"/>
        </w:rPr>
      </w:pPr>
    </w:p>
    <w:p w14:paraId="41E2BCCD">
      <w:pPr>
        <w:jc w:val="center"/>
        <w:rPr>
          <w:rFonts w:ascii="宋体" w:hAnsi="宋体" w:cs="宋体"/>
          <w:b/>
          <w:color w:val="auto"/>
          <w:sz w:val="40"/>
          <w:szCs w:val="40"/>
          <w:highlight w:val="none"/>
        </w:rPr>
      </w:pPr>
      <w:r>
        <w:rPr>
          <w:rFonts w:hint="eastAsia" w:ascii="宋体" w:hAnsi="宋体" w:cs="宋体"/>
          <w:color w:val="auto"/>
          <w:szCs w:val="21"/>
          <w:highlight w:val="none"/>
        </w:rPr>
        <w:br w:type="page"/>
      </w:r>
      <w:r>
        <w:rPr>
          <w:rFonts w:hint="eastAsia" w:ascii="宋体" w:hAnsi="宋体" w:cs="宋体"/>
          <w:b/>
          <w:color w:val="auto"/>
          <w:sz w:val="40"/>
          <w:szCs w:val="40"/>
          <w:highlight w:val="none"/>
        </w:rPr>
        <w:t>授权委托书</w:t>
      </w:r>
    </w:p>
    <w:p w14:paraId="3271CAAE">
      <w:pPr>
        <w:jc w:val="center"/>
        <w:rPr>
          <w:rFonts w:ascii="宋体" w:hAnsi="宋体" w:cs="宋体"/>
          <w:color w:val="auto"/>
          <w:sz w:val="28"/>
          <w:szCs w:val="28"/>
          <w:highlight w:val="none"/>
        </w:rPr>
      </w:pPr>
      <w:r>
        <w:rPr>
          <w:rFonts w:hint="eastAsia" w:ascii="宋体" w:hAnsi="宋体" w:cs="宋体"/>
          <w:color w:val="auto"/>
          <w:sz w:val="28"/>
          <w:szCs w:val="28"/>
          <w:highlight w:val="none"/>
        </w:rPr>
        <w:t>（联合体参与竞争性磋商格式）</w:t>
      </w:r>
    </w:p>
    <w:p w14:paraId="5279569E">
      <w:pPr>
        <w:jc w:val="center"/>
        <w:rPr>
          <w:rFonts w:ascii="宋体" w:hAnsi="宋体" w:cs="宋体"/>
          <w:color w:val="auto"/>
          <w:sz w:val="40"/>
          <w:szCs w:val="40"/>
          <w:highlight w:val="none"/>
        </w:rPr>
      </w:pPr>
      <w:r>
        <w:rPr>
          <w:rFonts w:hint="eastAsia" w:ascii="宋体" w:hAnsi="宋体" w:cs="宋体"/>
          <w:color w:val="auto"/>
          <w:sz w:val="28"/>
          <w:szCs w:val="28"/>
          <w:highlight w:val="none"/>
        </w:rPr>
        <w:t>（如有委托时）</w:t>
      </w:r>
    </w:p>
    <w:p w14:paraId="13FCCA56">
      <w:pPr>
        <w:spacing w:line="500" w:lineRule="exact"/>
        <w:jc w:val="center"/>
        <w:rPr>
          <w:rFonts w:ascii="宋体" w:hAnsi="宋体" w:cs="宋体"/>
          <w:color w:val="auto"/>
          <w:sz w:val="44"/>
          <w:szCs w:val="44"/>
          <w:highlight w:val="none"/>
        </w:rPr>
      </w:pPr>
    </w:p>
    <w:p w14:paraId="63EAFE09">
      <w:pPr>
        <w:spacing w:line="500" w:lineRule="exact"/>
        <w:jc w:val="center"/>
        <w:rPr>
          <w:rFonts w:ascii="宋体" w:hAnsi="宋体" w:cs="宋体"/>
          <w:color w:val="auto"/>
          <w:sz w:val="32"/>
          <w:szCs w:val="32"/>
          <w:highlight w:val="none"/>
        </w:rPr>
      </w:pPr>
    </w:p>
    <w:p w14:paraId="4920935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本授权委托书声明：根据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（牵头人名称）与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（联合体其他成员名称）签订的《联合体参与竞争性磋商协议书》的内容，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（牵头人名称）的法定代表人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（姓名）现授权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（姓名）为联合委托代理人，并代表我方全权办理针对上述项目的所有采购程序和环节的具体事务和签署相关文件。</w:t>
      </w:r>
    </w:p>
    <w:p w14:paraId="01C10B9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我方对委托代理人的签字事项负全部责任。</w:t>
      </w:r>
    </w:p>
    <w:p w14:paraId="65E6159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本授权书自签署之日起生效，在撤销授权的书面通知以前，本授权书一直有效。委托代理人在授权书有效期内签署的所有文件不因授权的撤销而失效。</w:t>
      </w:r>
    </w:p>
    <w:p w14:paraId="46D7201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45F7FCB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附：法定代表人身份证及委托代理人有效身份证正反面</w:t>
      </w:r>
    </w:p>
    <w:p w14:paraId="55A6957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牵头人法定代表人（签字</w:t>
      </w:r>
      <w:r>
        <w:rPr>
          <w:rFonts w:hint="eastAsia" w:ascii="宋体" w:hAnsi="宋体" w:eastAsia="宋体" w:cs="宋体"/>
          <w:color w:val="auto"/>
          <w:sz w:val="21"/>
          <w:szCs w:val="21"/>
          <w:highlight w:val="none"/>
          <w:lang w:eastAsia="zh-CN"/>
        </w:rPr>
        <w:t>或</w:t>
      </w:r>
      <w:r>
        <w:rPr>
          <w:rFonts w:hint="eastAsia" w:ascii="宋体" w:hAnsi="宋体" w:cs="宋体"/>
          <w:color w:val="auto"/>
          <w:sz w:val="21"/>
          <w:szCs w:val="21"/>
          <w:highlight w:val="none"/>
          <w:lang w:val="en-US" w:eastAsia="zh-CN"/>
        </w:rPr>
        <w:t>个人CA</w:t>
      </w:r>
      <w:r>
        <w:rPr>
          <w:rFonts w:hint="eastAsia" w:ascii="宋体" w:hAnsi="宋体" w:eastAsia="宋体" w:cs="宋体"/>
          <w:color w:val="auto"/>
          <w:sz w:val="21"/>
          <w:szCs w:val="21"/>
          <w:highlight w:val="none"/>
          <w:lang w:eastAsia="zh-CN"/>
        </w:rPr>
        <w:t>签章</w:t>
      </w:r>
      <w:r>
        <w:rPr>
          <w:rFonts w:hint="eastAsia" w:ascii="宋体" w:hAnsi="宋体" w:eastAsia="宋体" w:cs="宋体"/>
          <w:color w:val="auto"/>
          <w:sz w:val="21"/>
          <w:szCs w:val="21"/>
          <w:highlight w:val="none"/>
        </w:rPr>
        <w:t>）：</w:t>
      </w:r>
    </w:p>
    <w:p w14:paraId="72C14E79">
      <w:pPr>
        <w:spacing w:line="360" w:lineRule="auto"/>
        <w:ind w:firstLine="2730" w:firstLineChars="1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牵头人（公章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CEC5A09">
      <w:pPr>
        <w:spacing w:line="360" w:lineRule="auto"/>
        <w:ind w:firstLine="3360" w:firstLineChars="1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124702A2">
      <w:pPr>
        <w:spacing w:line="360" w:lineRule="auto"/>
        <w:rPr>
          <w:rFonts w:hint="eastAsia" w:ascii="宋体" w:hAnsi="宋体" w:eastAsia="宋体" w:cs="宋体"/>
          <w:color w:val="auto"/>
          <w:sz w:val="21"/>
          <w:szCs w:val="21"/>
          <w:highlight w:val="none"/>
        </w:rPr>
      </w:pPr>
    </w:p>
    <w:p w14:paraId="493CC1F7">
      <w:pPr>
        <w:spacing w:line="360" w:lineRule="auto"/>
        <w:ind w:firstLine="2730" w:firstLineChars="1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被授权人（</w:t>
      </w:r>
      <w:r>
        <w:rPr>
          <w:rFonts w:hint="eastAsia" w:ascii="宋体" w:hAnsi="宋体" w:eastAsia="宋体" w:cs="宋体"/>
          <w:color w:val="auto"/>
          <w:sz w:val="21"/>
          <w:szCs w:val="21"/>
          <w:highlight w:val="none"/>
          <w:lang w:eastAsia="zh-CN"/>
        </w:rPr>
        <w:t>签字或</w:t>
      </w:r>
      <w:r>
        <w:rPr>
          <w:rFonts w:hint="eastAsia" w:ascii="宋体" w:hAnsi="宋体" w:cs="宋体"/>
          <w:color w:val="auto"/>
          <w:sz w:val="21"/>
          <w:szCs w:val="21"/>
          <w:highlight w:val="none"/>
          <w:lang w:val="en-US" w:eastAsia="zh-CN"/>
        </w:rPr>
        <w:t>个人CA</w:t>
      </w:r>
      <w:r>
        <w:rPr>
          <w:rFonts w:hint="eastAsia" w:ascii="宋体" w:hAnsi="宋体" w:eastAsia="宋体" w:cs="宋体"/>
          <w:color w:val="auto"/>
          <w:sz w:val="21"/>
          <w:szCs w:val="21"/>
          <w:highlight w:val="none"/>
          <w:lang w:eastAsia="zh-CN"/>
        </w:rPr>
        <w:t>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3AE9F4A7">
      <w:pPr>
        <w:spacing w:line="360" w:lineRule="auto"/>
        <w:ind w:firstLine="3360" w:firstLineChars="1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C5B6EEE">
      <w:pPr>
        <w:spacing w:line="360" w:lineRule="auto"/>
        <w:rPr>
          <w:rFonts w:hint="eastAsia" w:ascii="宋体" w:hAnsi="宋体" w:eastAsia="宋体" w:cs="宋体"/>
          <w:color w:val="auto"/>
          <w:sz w:val="21"/>
          <w:szCs w:val="21"/>
          <w:highlight w:val="none"/>
        </w:rPr>
      </w:pPr>
    </w:p>
    <w:p w14:paraId="1ABB6626">
      <w:pPr>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w:t>
      </w:r>
      <w:r>
        <w:rPr>
          <w:rFonts w:hint="eastAsia" w:ascii="宋体" w:hAnsi="宋体" w:eastAsia="宋体" w:cs="宋体"/>
          <w:color w:val="auto"/>
          <w:sz w:val="21"/>
          <w:szCs w:val="21"/>
          <w:highlight w:val="none"/>
        </w:rPr>
        <w:t>1.法定代表人必须在授权委托书上签字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，委托代理人必须在授权委托书上签字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否则其响应文件按无效响应处理。</w:t>
      </w:r>
    </w:p>
    <w:p w14:paraId="224A706F">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2.本授权委托书应由联合体牵头人的法定代表人按上述规定签署。</w:t>
      </w:r>
    </w:p>
    <w:p w14:paraId="1CC827BF">
      <w:pPr>
        <w:spacing w:line="360" w:lineRule="auto"/>
        <w:ind w:firstLine="420" w:firstLineChars="200"/>
        <w:jc w:val="left"/>
        <w:rPr>
          <w:rFonts w:hint="eastAsia" w:ascii="宋体" w:hAnsi="宋体" w:eastAsia="宋体" w:cs="宋体"/>
          <w:color w:val="auto"/>
          <w:spacing w:val="-11"/>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pacing w:val="-11"/>
          <w:sz w:val="21"/>
          <w:szCs w:val="21"/>
          <w:highlight w:val="none"/>
        </w:rPr>
        <w:t>法人、其他组织</w:t>
      </w:r>
      <w:r>
        <w:rPr>
          <w:rFonts w:hint="eastAsia" w:ascii="宋体" w:hAnsi="宋体" w:eastAsia="宋体" w:cs="宋体"/>
          <w:color w:val="auto"/>
          <w:sz w:val="21"/>
          <w:szCs w:val="21"/>
          <w:highlight w:val="none"/>
        </w:rPr>
        <w:t>参与竞争性磋商</w:t>
      </w:r>
      <w:r>
        <w:rPr>
          <w:rFonts w:hint="eastAsia" w:ascii="宋体" w:hAnsi="宋体" w:eastAsia="宋体" w:cs="宋体"/>
          <w:color w:val="auto"/>
          <w:spacing w:val="-11"/>
          <w:sz w:val="21"/>
          <w:szCs w:val="21"/>
          <w:highlight w:val="none"/>
        </w:rPr>
        <w:t>时“我方”是指“我单位”，自然人</w:t>
      </w:r>
      <w:r>
        <w:rPr>
          <w:rFonts w:hint="eastAsia" w:ascii="宋体" w:hAnsi="宋体" w:eastAsia="宋体" w:cs="宋体"/>
          <w:color w:val="auto"/>
          <w:sz w:val="21"/>
          <w:szCs w:val="21"/>
          <w:highlight w:val="none"/>
        </w:rPr>
        <w:t>参与竞争性磋商</w:t>
      </w:r>
      <w:r>
        <w:rPr>
          <w:rFonts w:hint="eastAsia" w:ascii="宋体" w:hAnsi="宋体" w:eastAsia="宋体" w:cs="宋体"/>
          <w:color w:val="auto"/>
          <w:spacing w:val="-11"/>
          <w:sz w:val="21"/>
          <w:szCs w:val="21"/>
          <w:highlight w:val="none"/>
        </w:rPr>
        <w:t>时“我方”是指“本人”。</w:t>
      </w:r>
    </w:p>
    <w:bookmarkEnd w:id="54"/>
    <w:p w14:paraId="39120905">
      <w:pPr>
        <w:jc w:val="left"/>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r>
    </w:p>
    <w:p w14:paraId="655EA543">
      <w:pPr>
        <w:jc w:val="both"/>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3</w:t>
      </w:r>
      <w:r>
        <w:rPr>
          <w:rFonts w:hint="eastAsia" w:ascii="宋体" w:hAnsi="宋体" w:eastAsia="宋体" w:cs="宋体"/>
          <w:b/>
          <w:bCs/>
          <w:color w:val="auto"/>
          <w:sz w:val="28"/>
          <w:szCs w:val="28"/>
          <w:highlight w:val="none"/>
        </w:rPr>
        <w:t>.商务要求偏离表</w:t>
      </w:r>
    </w:p>
    <w:p w14:paraId="45A9808F">
      <w:pPr>
        <w:jc w:val="center"/>
        <w:rPr>
          <w:rFonts w:ascii="宋体" w:hAnsi="宋体" w:cs="宋体"/>
          <w:bCs/>
          <w:color w:val="auto"/>
          <w:sz w:val="40"/>
          <w:szCs w:val="40"/>
          <w:highlight w:val="none"/>
        </w:rPr>
      </w:pPr>
      <w:r>
        <w:rPr>
          <w:rFonts w:hint="eastAsia" w:ascii="宋体" w:hAnsi="宋体" w:cs="宋体"/>
          <w:b/>
          <w:bCs/>
          <w:color w:val="auto"/>
          <w:sz w:val="40"/>
          <w:szCs w:val="40"/>
          <w:highlight w:val="none"/>
        </w:rPr>
        <w:t>商务要求偏离表</w:t>
      </w:r>
    </w:p>
    <w:p w14:paraId="649E6C75">
      <w:pPr>
        <w:spacing w:line="360" w:lineRule="auto"/>
        <w:contextualSpacing/>
        <w:jc w:val="left"/>
        <w:rPr>
          <w:rFonts w:ascii="宋体" w:hAnsi="宋体" w:cs="宋体"/>
          <w:color w:val="auto"/>
          <w:sz w:val="24"/>
          <w:highlight w:val="none"/>
        </w:rPr>
      </w:pPr>
    </w:p>
    <w:p w14:paraId="2CB3A038">
      <w:pPr>
        <w:spacing w:line="36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p>
    <w:p w14:paraId="02164469">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2B4B2F3C">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分标号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E5FE863">
      <w:pPr>
        <w:spacing w:line="360" w:lineRule="auto"/>
        <w:contextualSpacing/>
        <w:jc w:val="left"/>
        <w:rPr>
          <w:rFonts w:hint="eastAsia" w:ascii="宋体" w:hAnsi="宋体" w:eastAsia="宋体" w:cs="宋体"/>
          <w:color w:val="auto"/>
          <w:sz w:val="21"/>
          <w:szCs w:val="21"/>
          <w:highlight w:val="none"/>
          <w:u w:val="single"/>
        </w:rPr>
      </w:pPr>
    </w:p>
    <w:tbl>
      <w:tblPr>
        <w:tblStyle w:val="33"/>
        <w:tblpPr w:leftFromText="180" w:rightFromText="180" w:vertAnchor="text" w:horzAnchor="margin" w:tblpXSpec="left"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2474A1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40631BC5">
            <w:pPr>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352D2D82">
            <w:pPr>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21379F02">
            <w:pPr>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6DDBCDD7">
            <w:pPr>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1469E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2958F12E">
            <w:pPr>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54292868">
            <w:pPr>
              <w:spacing w:line="360" w:lineRule="auto"/>
              <w:contextualSpacing/>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4A000E8C">
            <w:pPr>
              <w:spacing w:line="360" w:lineRule="auto"/>
              <w:contextualSpacing/>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7F3AF8DB">
            <w:pPr>
              <w:spacing w:line="360" w:lineRule="auto"/>
              <w:contextualSpacing/>
              <w:jc w:val="center"/>
              <w:rPr>
                <w:rFonts w:hint="eastAsia" w:ascii="宋体" w:hAnsi="宋体" w:eastAsia="宋体" w:cs="宋体"/>
                <w:color w:val="auto"/>
                <w:sz w:val="21"/>
                <w:szCs w:val="21"/>
                <w:highlight w:val="none"/>
              </w:rPr>
            </w:pPr>
          </w:p>
        </w:tc>
      </w:tr>
      <w:tr w14:paraId="6F3718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178" w:type="dxa"/>
            <w:tcBorders>
              <w:top w:val="single" w:color="auto" w:sz="4" w:space="0"/>
              <w:left w:val="single" w:color="auto" w:sz="4" w:space="0"/>
              <w:bottom w:val="single" w:color="auto" w:sz="4" w:space="0"/>
              <w:right w:val="single" w:color="auto" w:sz="4" w:space="0"/>
            </w:tcBorders>
            <w:vAlign w:val="center"/>
          </w:tcPr>
          <w:p w14:paraId="3EE627D4">
            <w:pPr>
              <w:jc w:val="center"/>
              <w:rPr>
                <w:rFonts w:hint="eastAsia" w:ascii="宋体" w:hAnsi="宋体" w:eastAsia="宋体" w:cs="宋体"/>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1E92BF4B">
            <w:pPr>
              <w:spacing w:line="360" w:lineRule="auto"/>
              <w:contextualSpacing/>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EC15A76">
            <w:pPr>
              <w:spacing w:line="360" w:lineRule="auto"/>
              <w:ind w:left="43"/>
              <w:contextualSpacing/>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AB8663D">
            <w:pPr>
              <w:spacing w:line="360" w:lineRule="auto"/>
              <w:ind w:left="43"/>
              <w:contextualSpacing/>
              <w:jc w:val="center"/>
              <w:rPr>
                <w:rFonts w:hint="eastAsia" w:ascii="宋体" w:hAnsi="宋体" w:eastAsia="宋体" w:cs="宋体"/>
                <w:color w:val="auto"/>
                <w:sz w:val="21"/>
                <w:szCs w:val="21"/>
                <w:highlight w:val="none"/>
              </w:rPr>
            </w:pPr>
          </w:p>
        </w:tc>
      </w:tr>
      <w:tr w14:paraId="503D8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2FAB9877">
            <w:pPr>
              <w:spacing w:line="36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6504CF17">
            <w:pPr>
              <w:spacing w:line="360" w:lineRule="auto"/>
              <w:contextualSpacing/>
              <w:jc w:val="center"/>
              <w:rPr>
                <w:rFonts w:hint="eastAsia" w:ascii="宋体" w:hAnsi="宋体" w:eastAsia="宋体" w:cs="宋体"/>
                <w:color w:val="auto"/>
                <w:sz w:val="21"/>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04899899">
            <w:pPr>
              <w:spacing w:line="360" w:lineRule="auto"/>
              <w:contextualSpacing/>
              <w:jc w:val="center"/>
              <w:rPr>
                <w:rFonts w:hint="eastAsia" w:ascii="宋体" w:hAnsi="宋体" w:eastAsia="宋体" w:cs="宋体"/>
                <w:color w:val="auto"/>
                <w:sz w:val="21"/>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DAFE6FF">
            <w:pPr>
              <w:spacing w:line="360" w:lineRule="auto"/>
              <w:contextualSpacing/>
              <w:jc w:val="center"/>
              <w:rPr>
                <w:rFonts w:hint="eastAsia" w:ascii="宋体" w:hAnsi="宋体" w:eastAsia="宋体" w:cs="宋体"/>
                <w:color w:val="auto"/>
                <w:sz w:val="21"/>
                <w:szCs w:val="21"/>
                <w:highlight w:val="none"/>
              </w:rPr>
            </w:pPr>
          </w:p>
        </w:tc>
      </w:tr>
    </w:tbl>
    <w:p w14:paraId="647FFC50">
      <w:pPr>
        <w:pStyle w:val="15"/>
        <w:spacing w:after="0" w:line="360" w:lineRule="auto"/>
        <w:contextualSpacing/>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注：</w:t>
      </w:r>
    </w:p>
    <w:p w14:paraId="1CFF769C">
      <w:pPr>
        <w:pStyle w:val="15"/>
        <w:spacing w:after="0" w:line="36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1.说明：应对照磋商文件“第三章 采购需求”中的商务要求逐条作出明确响应，并作出偏离说明。</w:t>
      </w:r>
    </w:p>
    <w:p w14:paraId="0F760795">
      <w:pPr>
        <w:spacing w:line="360" w:lineRule="auto"/>
        <w:contextualSpacing/>
        <w:jc w:val="left"/>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w:t>
      </w:r>
    </w:p>
    <w:p w14:paraId="3E0D887D">
      <w:pPr>
        <w:spacing w:line="360" w:lineRule="auto"/>
        <w:ind w:right="-817" w:rightChars="-389"/>
        <w:contextualSpacing/>
        <w:rPr>
          <w:rFonts w:hint="eastAsia" w:ascii="宋体" w:hAnsi="宋体" w:eastAsia="宋体" w:cs="宋体"/>
          <w:color w:val="auto"/>
          <w:sz w:val="21"/>
          <w:szCs w:val="21"/>
          <w:highlight w:val="none"/>
        </w:rPr>
      </w:pPr>
    </w:p>
    <w:p w14:paraId="283A0771">
      <w:pPr>
        <w:spacing w:line="360" w:lineRule="auto"/>
        <w:ind w:right="-817" w:rightChars="-389" w:firstLine="840" w:firstLineChars="4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z w:val="21"/>
          <w:szCs w:val="21"/>
          <w:highlight w:val="none"/>
          <w:lang w:eastAsia="zh-CN"/>
        </w:rPr>
        <w:t>签字或</w:t>
      </w:r>
      <w:r>
        <w:rPr>
          <w:rFonts w:hint="eastAsia" w:ascii="宋体" w:hAnsi="宋体" w:eastAsia="宋体" w:cs="宋体"/>
          <w:b w:val="0"/>
          <w:bCs/>
          <w:color w:val="auto"/>
          <w:szCs w:val="21"/>
          <w:highlight w:val="none"/>
          <w:lang w:val="en-US" w:eastAsia="zh-CN"/>
        </w:rPr>
        <w:t>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53C4055">
      <w:pPr>
        <w:spacing w:line="360" w:lineRule="auto"/>
        <w:ind w:right="-817" w:rightChars="-389" w:firstLine="2310" w:firstLineChars="11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37CE542">
      <w:pPr>
        <w:spacing w:line="360" w:lineRule="auto"/>
        <w:ind w:right="-817" w:rightChars="-389" w:firstLine="3570" w:firstLineChars="1700"/>
        <w:contextualSpacing/>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73C96D">
      <w:pPr>
        <w:adjustRightInd w:val="0"/>
        <w:snapToGrid w:val="0"/>
        <w:spacing w:line="520" w:lineRule="exact"/>
        <w:ind w:firstLine="7040" w:firstLineChars="1600"/>
        <w:jc w:val="center"/>
        <w:rPr>
          <w:rFonts w:ascii="宋体" w:hAnsi="宋体" w:cs="宋体"/>
          <w:bCs/>
          <w:color w:val="auto"/>
          <w:sz w:val="44"/>
          <w:szCs w:val="44"/>
          <w:highlight w:val="none"/>
        </w:rPr>
      </w:pPr>
    </w:p>
    <w:p w14:paraId="1A033A22">
      <w:pPr>
        <w:adjustRightInd w:val="0"/>
        <w:snapToGrid w:val="0"/>
        <w:spacing w:line="520" w:lineRule="exact"/>
        <w:ind w:firstLine="7040" w:firstLineChars="1600"/>
        <w:jc w:val="center"/>
        <w:rPr>
          <w:rFonts w:ascii="宋体" w:hAnsi="宋体" w:cs="宋体"/>
          <w:bCs/>
          <w:color w:val="auto"/>
          <w:sz w:val="44"/>
          <w:szCs w:val="44"/>
          <w:highlight w:val="none"/>
        </w:rPr>
      </w:pPr>
    </w:p>
    <w:p w14:paraId="08D9F489">
      <w:pPr>
        <w:adjustRightInd w:val="0"/>
        <w:snapToGrid w:val="0"/>
        <w:spacing w:line="520" w:lineRule="exact"/>
        <w:ind w:firstLine="7040" w:firstLineChars="1600"/>
        <w:jc w:val="center"/>
        <w:rPr>
          <w:rFonts w:ascii="宋体" w:hAnsi="宋体" w:cs="宋体"/>
          <w:bCs/>
          <w:color w:val="auto"/>
          <w:sz w:val="44"/>
          <w:szCs w:val="44"/>
          <w:highlight w:val="none"/>
        </w:rPr>
      </w:pPr>
    </w:p>
    <w:p w14:paraId="2C86D881">
      <w:pPr>
        <w:adjustRightInd w:val="0"/>
        <w:snapToGrid w:val="0"/>
        <w:spacing w:line="520" w:lineRule="exact"/>
        <w:ind w:firstLine="7040" w:firstLineChars="1600"/>
        <w:jc w:val="center"/>
        <w:rPr>
          <w:rFonts w:ascii="宋体" w:hAnsi="宋体" w:cs="宋体"/>
          <w:bCs/>
          <w:color w:val="auto"/>
          <w:sz w:val="44"/>
          <w:szCs w:val="44"/>
          <w:highlight w:val="none"/>
        </w:rPr>
      </w:pPr>
    </w:p>
    <w:p w14:paraId="4C2C9133">
      <w:pPr>
        <w:adjustRightInd w:val="0"/>
        <w:snapToGrid w:val="0"/>
        <w:spacing w:line="520" w:lineRule="exact"/>
        <w:rPr>
          <w:rFonts w:ascii="宋体" w:hAnsi="宋体" w:cs="宋体"/>
          <w:color w:val="auto"/>
          <w:szCs w:val="21"/>
          <w:highlight w:val="none"/>
          <w:u w:val="single"/>
        </w:rPr>
      </w:pPr>
    </w:p>
    <w:p w14:paraId="084D92E4">
      <w:pPr>
        <w:adjustRightInd w:val="0"/>
        <w:snapToGrid w:val="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p>
    <w:p w14:paraId="7C818F8B">
      <w:pPr>
        <w:adjustRightInd w:val="0"/>
        <w:snapToGrid w:val="0"/>
        <w:jc w:val="both"/>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.服务要求偏离表</w:t>
      </w:r>
    </w:p>
    <w:p w14:paraId="24E06B23">
      <w:pPr>
        <w:adjustRightInd w:val="0"/>
        <w:snapToGrid w:val="0"/>
        <w:jc w:val="center"/>
        <w:rPr>
          <w:rFonts w:hint="eastAsia" w:ascii="宋体" w:hAnsi="宋体" w:cs="宋体"/>
          <w:b/>
          <w:bCs/>
          <w:color w:val="auto"/>
          <w:sz w:val="36"/>
          <w:szCs w:val="36"/>
          <w:highlight w:val="none"/>
        </w:rPr>
      </w:pPr>
    </w:p>
    <w:p w14:paraId="64CB1E2D">
      <w:pPr>
        <w:adjustRightInd w:val="0"/>
        <w:snapToGrid w:val="0"/>
        <w:jc w:val="center"/>
        <w:rPr>
          <w:rFonts w:ascii="宋体" w:hAnsi="宋体" w:cs="宋体"/>
          <w:bCs/>
          <w:color w:val="auto"/>
          <w:sz w:val="36"/>
          <w:szCs w:val="36"/>
          <w:highlight w:val="none"/>
        </w:rPr>
      </w:pPr>
      <w:r>
        <w:rPr>
          <w:rFonts w:hint="eastAsia" w:ascii="宋体" w:hAnsi="宋体" w:cs="宋体"/>
          <w:b/>
          <w:bCs/>
          <w:color w:val="auto"/>
          <w:sz w:val="36"/>
          <w:szCs w:val="36"/>
          <w:highlight w:val="none"/>
        </w:rPr>
        <w:t>服务要求偏离表</w:t>
      </w:r>
    </w:p>
    <w:p w14:paraId="5F519D94">
      <w:pPr>
        <w:jc w:val="center"/>
        <w:rPr>
          <w:rFonts w:ascii="宋体" w:hAnsi="宋体" w:cs="宋体"/>
          <w:bCs/>
          <w:color w:val="auto"/>
          <w:sz w:val="36"/>
          <w:szCs w:val="36"/>
          <w:highlight w:val="none"/>
        </w:rPr>
      </w:pPr>
    </w:p>
    <w:p w14:paraId="3ACAD122">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6A0960BF">
      <w:pPr>
        <w:spacing w:line="36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p>
    <w:p w14:paraId="72E2237E">
      <w:pPr>
        <w:spacing w:line="36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分标号</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如有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1"/>
        <w:gridCol w:w="992"/>
        <w:gridCol w:w="3292"/>
        <w:gridCol w:w="2963"/>
        <w:gridCol w:w="1616"/>
      </w:tblGrid>
      <w:tr w14:paraId="3C0601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6878893D">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57" w:name="_Toc301781611"/>
            <w:bookmarkStart w:id="58" w:name="_Toc383699906"/>
            <w:bookmarkStart w:id="59" w:name="_Toc173066401"/>
            <w:bookmarkStart w:id="60" w:name="_Toc254970588"/>
            <w:bookmarkStart w:id="61" w:name="_Toc295404981"/>
            <w:bookmarkStart w:id="62" w:name="_Toc297193185"/>
            <w:bookmarkStart w:id="63" w:name="_Toc173211900"/>
            <w:bookmarkStart w:id="64" w:name="_Toc373333689"/>
            <w:bookmarkStart w:id="65" w:name="_Toc254970729"/>
            <w:r>
              <w:rPr>
                <w:rFonts w:hint="eastAsia" w:ascii="宋体" w:hAnsi="宋体" w:eastAsia="宋体" w:cs="宋体"/>
                <w:color w:val="auto"/>
                <w:kern w:val="2"/>
                <w:sz w:val="21"/>
                <w:szCs w:val="21"/>
                <w:highlight w:val="none"/>
              </w:rPr>
              <w:t>序号</w:t>
            </w:r>
            <w:bookmarkEnd w:id="57"/>
            <w:bookmarkEnd w:id="58"/>
            <w:bookmarkEnd w:id="59"/>
            <w:bookmarkEnd w:id="60"/>
            <w:bookmarkEnd w:id="61"/>
            <w:bookmarkEnd w:id="62"/>
            <w:bookmarkEnd w:id="63"/>
            <w:bookmarkEnd w:id="64"/>
            <w:bookmarkEnd w:id="65"/>
          </w:p>
        </w:tc>
        <w:tc>
          <w:tcPr>
            <w:tcW w:w="992" w:type="dxa"/>
            <w:tcBorders>
              <w:right w:val="single" w:color="auto" w:sz="4" w:space="0"/>
            </w:tcBorders>
            <w:vAlign w:val="center"/>
          </w:tcPr>
          <w:p w14:paraId="7335DBB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3292" w:type="dxa"/>
            <w:tcBorders>
              <w:left w:val="single" w:color="auto" w:sz="4" w:space="0"/>
            </w:tcBorders>
            <w:vAlign w:val="center"/>
          </w:tcPr>
          <w:p w14:paraId="743B3DF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服务要求</w:t>
            </w:r>
          </w:p>
        </w:tc>
        <w:tc>
          <w:tcPr>
            <w:tcW w:w="2963" w:type="dxa"/>
            <w:vAlign w:val="center"/>
          </w:tcPr>
          <w:p w14:paraId="1FC627C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66" w:name="_Toc295404983"/>
            <w:bookmarkStart w:id="67" w:name="_Toc173066403"/>
            <w:bookmarkStart w:id="68" w:name="_Toc297193187"/>
            <w:bookmarkStart w:id="69" w:name="_Toc254970731"/>
            <w:bookmarkStart w:id="70" w:name="_Toc254970590"/>
            <w:bookmarkStart w:id="71" w:name="_Toc173211902"/>
            <w:bookmarkStart w:id="72" w:name="_Toc373333691"/>
            <w:bookmarkStart w:id="73" w:name="_Toc383699908"/>
            <w:bookmarkStart w:id="74" w:name="_Toc301781613"/>
            <w:r>
              <w:rPr>
                <w:rFonts w:hint="eastAsia" w:ascii="宋体" w:hAnsi="宋体" w:eastAsia="宋体" w:cs="宋体"/>
                <w:color w:val="auto"/>
                <w:kern w:val="2"/>
                <w:sz w:val="21"/>
                <w:szCs w:val="21"/>
                <w:highlight w:val="none"/>
              </w:rPr>
              <w:t>供应商的响应</w:t>
            </w:r>
            <w:bookmarkEnd w:id="66"/>
            <w:bookmarkEnd w:id="67"/>
            <w:bookmarkEnd w:id="68"/>
            <w:bookmarkEnd w:id="69"/>
            <w:bookmarkEnd w:id="70"/>
            <w:bookmarkEnd w:id="71"/>
            <w:bookmarkEnd w:id="72"/>
            <w:bookmarkEnd w:id="73"/>
            <w:bookmarkEnd w:id="74"/>
          </w:p>
        </w:tc>
        <w:tc>
          <w:tcPr>
            <w:tcW w:w="1616" w:type="dxa"/>
            <w:vAlign w:val="center"/>
          </w:tcPr>
          <w:p w14:paraId="0FF16D97">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75" w:name="_Toc297193188"/>
            <w:bookmarkStart w:id="76" w:name="_Toc173211903"/>
            <w:bookmarkStart w:id="77" w:name="_Toc383699909"/>
            <w:bookmarkStart w:id="78" w:name="_Toc373333692"/>
            <w:bookmarkStart w:id="79" w:name="_Toc295404984"/>
            <w:bookmarkStart w:id="80" w:name="_Toc254970732"/>
            <w:bookmarkStart w:id="81" w:name="_Toc254970591"/>
            <w:bookmarkStart w:id="82" w:name="_Toc301781614"/>
            <w:bookmarkStart w:id="83" w:name="_Toc173066404"/>
            <w:r>
              <w:rPr>
                <w:rFonts w:hint="eastAsia" w:ascii="宋体" w:hAnsi="宋体" w:eastAsia="宋体" w:cs="宋体"/>
                <w:color w:val="auto"/>
                <w:kern w:val="2"/>
                <w:sz w:val="21"/>
                <w:szCs w:val="21"/>
                <w:highlight w:val="none"/>
              </w:rPr>
              <w:t>偏离</w:t>
            </w:r>
            <w:bookmarkEnd w:id="75"/>
            <w:bookmarkEnd w:id="76"/>
            <w:bookmarkEnd w:id="77"/>
            <w:bookmarkEnd w:id="78"/>
            <w:bookmarkEnd w:id="79"/>
            <w:bookmarkEnd w:id="80"/>
            <w:bookmarkEnd w:id="81"/>
            <w:bookmarkEnd w:id="82"/>
            <w:bookmarkEnd w:id="83"/>
            <w:bookmarkStart w:id="84" w:name="_Toc295404985"/>
            <w:bookmarkStart w:id="85" w:name="_Toc173066405"/>
            <w:bookmarkStart w:id="86" w:name="_Toc297193189"/>
            <w:bookmarkStart w:id="87" w:name="_Toc254970592"/>
            <w:bookmarkStart w:id="88" w:name="_Toc383699910"/>
            <w:bookmarkStart w:id="89" w:name="_Toc301781615"/>
            <w:bookmarkStart w:id="90" w:name="_Toc373333693"/>
            <w:bookmarkStart w:id="91" w:name="_Toc254970733"/>
            <w:bookmarkStart w:id="92" w:name="_Toc173211904"/>
            <w:r>
              <w:rPr>
                <w:rFonts w:hint="eastAsia" w:ascii="宋体" w:hAnsi="宋体" w:eastAsia="宋体" w:cs="宋体"/>
                <w:color w:val="auto"/>
                <w:kern w:val="2"/>
                <w:sz w:val="21"/>
                <w:szCs w:val="21"/>
                <w:highlight w:val="none"/>
              </w:rPr>
              <w:t>说明</w:t>
            </w:r>
            <w:bookmarkEnd w:id="84"/>
            <w:bookmarkEnd w:id="85"/>
            <w:bookmarkEnd w:id="86"/>
            <w:bookmarkEnd w:id="87"/>
            <w:bookmarkEnd w:id="88"/>
            <w:bookmarkEnd w:id="89"/>
            <w:bookmarkEnd w:id="90"/>
            <w:bookmarkEnd w:id="91"/>
            <w:bookmarkEnd w:id="92"/>
          </w:p>
        </w:tc>
      </w:tr>
      <w:tr w14:paraId="4109AE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4D6E250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93" w:name="_Toc173211905"/>
            <w:bookmarkStart w:id="94" w:name="_Toc373333694"/>
            <w:bookmarkStart w:id="95" w:name="_Toc254970734"/>
            <w:bookmarkStart w:id="96" w:name="_Toc173066406"/>
            <w:bookmarkStart w:id="97" w:name="_Toc254970593"/>
            <w:bookmarkStart w:id="98" w:name="_Toc383699911"/>
            <w:bookmarkStart w:id="99" w:name="_Toc295404986"/>
            <w:bookmarkStart w:id="100" w:name="_Toc297193190"/>
            <w:bookmarkStart w:id="101" w:name="_Toc301781616"/>
            <w:r>
              <w:rPr>
                <w:rFonts w:hint="eastAsia" w:ascii="宋体" w:hAnsi="宋体" w:eastAsia="宋体" w:cs="宋体"/>
                <w:color w:val="auto"/>
                <w:kern w:val="2"/>
                <w:sz w:val="21"/>
                <w:szCs w:val="21"/>
                <w:highlight w:val="none"/>
              </w:rPr>
              <w:t>1</w:t>
            </w:r>
            <w:bookmarkEnd w:id="93"/>
            <w:bookmarkEnd w:id="94"/>
            <w:bookmarkEnd w:id="95"/>
            <w:bookmarkEnd w:id="96"/>
            <w:bookmarkEnd w:id="97"/>
            <w:bookmarkEnd w:id="98"/>
            <w:bookmarkEnd w:id="99"/>
            <w:bookmarkEnd w:id="100"/>
            <w:bookmarkEnd w:id="101"/>
          </w:p>
        </w:tc>
        <w:tc>
          <w:tcPr>
            <w:tcW w:w="992" w:type="dxa"/>
            <w:tcBorders>
              <w:right w:val="single" w:color="auto" w:sz="4" w:space="0"/>
            </w:tcBorders>
            <w:vAlign w:val="center"/>
          </w:tcPr>
          <w:p w14:paraId="158F166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2D5BEC67">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3A88E39D">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vAlign w:val="center"/>
          </w:tcPr>
          <w:p w14:paraId="3090E0B8">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71A9B7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2B833AD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02" w:name="_Toc254970594"/>
            <w:bookmarkStart w:id="103" w:name="_Toc295404987"/>
            <w:bookmarkStart w:id="104" w:name="_Toc173211906"/>
            <w:bookmarkStart w:id="105" w:name="_Toc373333695"/>
            <w:bookmarkStart w:id="106" w:name="_Toc301781617"/>
            <w:bookmarkStart w:id="107" w:name="_Toc383699912"/>
            <w:bookmarkStart w:id="108" w:name="_Toc297193191"/>
            <w:bookmarkStart w:id="109" w:name="_Toc173066407"/>
            <w:bookmarkStart w:id="110" w:name="_Toc254970735"/>
            <w:r>
              <w:rPr>
                <w:rFonts w:hint="eastAsia" w:ascii="宋体" w:hAnsi="宋体" w:eastAsia="宋体" w:cs="宋体"/>
                <w:color w:val="auto"/>
                <w:kern w:val="2"/>
                <w:sz w:val="21"/>
                <w:szCs w:val="21"/>
                <w:highlight w:val="none"/>
              </w:rPr>
              <w:t>2</w:t>
            </w:r>
            <w:bookmarkEnd w:id="102"/>
            <w:bookmarkEnd w:id="103"/>
            <w:bookmarkEnd w:id="104"/>
            <w:bookmarkEnd w:id="105"/>
            <w:bookmarkEnd w:id="106"/>
            <w:bookmarkEnd w:id="107"/>
            <w:bookmarkEnd w:id="108"/>
            <w:bookmarkEnd w:id="109"/>
            <w:bookmarkEnd w:id="110"/>
          </w:p>
        </w:tc>
        <w:tc>
          <w:tcPr>
            <w:tcW w:w="992" w:type="dxa"/>
            <w:tcBorders>
              <w:right w:val="single" w:color="auto" w:sz="4" w:space="0"/>
            </w:tcBorders>
            <w:vAlign w:val="center"/>
          </w:tcPr>
          <w:p w14:paraId="64756AE6">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0792F21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2B5F2657">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vAlign w:val="center"/>
          </w:tcPr>
          <w:p w14:paraId="7C4EAF58">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0E6A3F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16F9749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1" w:name="_Toc254970736"/>
            <w:bookmarkStart w:id="112" w:name="_Toc301781618"/>
            <w:bookmarkStart w:id="113" w:name="_Toc383699913"/>
            <w:bookmarkStart w:id="114" w:name="_Toc295404988"/>
            <w:bookmarkStart w:id="115" w:name="_Toc254970595"/>
            <w:bookmarkStart w:id="116" w:name="_Toc173211907"/>
            <w:bookmarkStart w:id="117" w:name="_Toc173066408"/>
            <w:bookmarkStart w:id="118" w:name="_Toc297193192"/>
            <w:bookmarkStart w:id="119" w:name="_Toc373333696"/>
            <w:r>
              <w:rPr>
                <w:rFonts w:hint="eastAsia" w:ascii="宋体" w:hAnsi="宋体" w:eastAsia="宋体" w:cs="宋体"/>
                <w:color w:val="auto"/>
                <w:kern w:val="2"/>
                <w:sz w:val="21"/>
                <w:szCs w:val="21"/>
                <w:highlight w:val="none"/>
              </w:rPr>
              <w:t>3</w:t>
            </w:r>
            <w:bookmarkEnd w:id="111"/>
            <w:bookmarkEnd w:id="112"/>
            <w:bookmarkEnd w:id="113"/>
            <w:bookmarkEnd w:id="114"/>
            <w:bookmarkEnd w:id="115"/>
            <w:bookmarkEnd w:id="116"/>
            <w:bookmarkEnd w:id="117"/>
            <w:bookmarkEnd w:id="118"/>
            <w:bookmarkEnd w:id="119"/>
          </w:p>
        </w:tc>
        <w:tc>
          <w:tcPr>
            <w:tcW w:w="992" w:type="dxa"/>
            <w:tcBorders>
              <w:right w:val="single" w:color="auto" w:sz="4" w:space="0"/>
            </w:tcBorders>
            <w:vAlign w:val="center"/>
          </w:tcPr>
          <w:p w14:paraId="7AFABCF6">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00303018">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53B1AC9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vAlign w:val="center"/>
          </w:tcPr>
          <w:p w14:paraId="6237B6BC">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0713B7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1D09B593">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20" w:name="_Toc254970596"/>
            <w:bookmarkStart w:id="121" w:name="_Toc373333697"/>
            <w:bookmarkStart w:id="122" w:name="_Toc254970737"/>
            <w:bookmarkStart w:id="123" w:name="_Toc173211908"/>
            <w:bookmarkStart w:id="124" w:name="_Toc295404989"/>
            <w:bookmarkStart w:id="125" w:name="_Toc173066409"/>
            <w:bookmarkStart w:id="126" w:name="_Toc383699914"/>
            <w:bookmarkStart w:id="127" w:name="_Toc301781619"/>
            <w:bookmarkStart w:id="128" w:name="_Toc297193193"/>
            <w:r>
              <w:rPr>
                <w:rFonts w:hint="eastAsia" w:ascii="宋体" w:hAnsi="宋体" w:eastAsia="宋体" w:cs="宋体"/>
                <w:color w:val="auto"/>
                <w:kern w:val="2"/>
                <w:sz w:val="21"/>
                <w:szCs w:val="21"/>
                <w:highlight w:val="none"/>
              </w:rPr>
              <w:t>4</w:t>
            </w:r>
            <w:bookmarkEnd w:id="120"/>
            <w:bookmarkEnd w:id="121"/>
            <w:bookmarkEnd w:id="122"/>
            <w:bookmarkEnd w:id="123"/>
            <w:bookmarkEnd w:id="124"/>
            <w:bookmarkEnd w:id="125"/>
            <w:bookmarkEnd w:id="126"/>
            <w:bookmarkEnd w:id="127"/>
            <w:bookmarkEnd w:id="128"/>
          </w:p>
        </w:tc>
        <w:tc>
          <w:tcPr>
            <w:tcW w:w="992" w:type="dxa"/>
            <w:tcBorders>
              <w:right w:val="single" w:color="auto" w:sz="4" w:space="0"/>
            </w:tcBorders>
            <w:vAlign w:val="center"/>
          </w:tcPr>
          <w:p w14:paraId="18877FC7">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213DB1B0">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56D66FD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vAlign w:val="center"/>
          </w:tcPr>
          <w:p w14:paraId="7B8DB98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2A3804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91" w:type="dxa"/>
            <w:vAlign w:val="center"/>
          </w:tcPr>
          <w:p w14:paraId="1A76778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29" w:name="_Toc295404990"/>
            <w:bookmarkStart w:id="130" w:name="_Toc301781620"/>
            <w:bookmarkStart w:id="131" w:name="_Toc254970738"/>
            <w:bookmarkStart w:id="132" w:name="_Toc297193194"/>
            <w:bookmarkStart w:id="133" w:name="_Toc383699915"/>
            <w:bookmarkStart w:id="134" w:name="_Toc173211909"/>
            <w:bookmarkStart w:id="135" w:name="_Toc373333698"/>
            <w:bookmarkStart w:id="136" w:name="_Toc254970597"/>
            <w:bookmarkStart w:id="137" w:name="_Toc173066410"/>
            <w:r>
              <w:rPr>
                <w:rFonts w:hint="eastAsia" w:ascii="宋体" w:hAnsi="宋体" w:eastAsia="宋体" w:cs="宋体"/>
                <w:color w:val="auto"/>
                <w:kern w:val="2"/>
                <w:sz w:val="21"/>
                <w:szCs w:val="21"/>
                <w:highlight w:val="none"/>
              </w:rPr>
              <w:t>5</w:t>
            </w:r>
            <w:bookmarkEnd w:id="129"/>
            <w:bookmarkEnd w:id="130"/>
            <w:bookmarkEnd w:id="131"/>
            <w:bookmarkEnd w:id="132"/>
            <w:bookmarkEnd w:id="133"/>
            <w:bookmarkEnd w:id="134"/>
            <w:bookmarkEnd w:id="135"/>
            <w:bookmarkEnd w:id="136"/>
            <w:bookmarkEnd w:id="137"/>
          </w:p>
        </w:tc>
        <w:tc>
          <w:tcPr>
            <w:tcW w:w="992" w:type="dxa"/>
            <w:tcBorders>
              <w:right w:val="single" w:color="auto" w:sz="4" w:space="0"/>
            </w:tcBorders>
            <w:vAlign w:val="center"/>
          </w:tcPr>
          <w:p w14:paraId="4DD3D91F">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533D4FC1">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7229829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vAlign w:val="center"/>
          </w:tcPr>
          <w:p w14:paraId="3D84C9A1">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12E641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91" w:type="dxa"/>
            <w:vAlign w:val="center"/>
          </w:tcPr>
          <w:p w14:paraId="420E8265">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38" w:name="_Toc373333699"/>
            <w:bookmarkStart w:id="139" w:name="_Toc173066415"/>
            <w:bookmarkStart w:id="140" w:name="_Toc301781621"/>
            <w:bookmarkStart w:id="141" w:name="_Toc254970743"/>
            <w:bookmarkStart w:id="142" w:name="_Toc173211914"/>
            <w:bookmarkStart w:id="143" w:name="_Toc297193195"/>
            <w:bookmarkStart w:id="144" w:name="_Toc383699916"/>
            <w:bookmarkStart w:id="145" w:name="_Toc254970602"/>
            <w:bookmarkStart w:id="146" w:name="_Toc295404991"/>
            <w:r>
              <w:rPr>
                <w:rFonts w:hint="eastAsia" w:ascii="宋体" w:hAnsi="宋体" w:eastAsia="宋体" w:cs="宋体"/>
                <w:color w:val="auto"/>
                <w:kern w:val="2"/>
                <w:sz w:val="21"/>
                <w:szCs w:val="21"/>
                <w:highlight w:val="none"/>
              </w:rPr>
              <w:t>…</w:t>
            </w:r>
            <w:bookmarkEnd w:id="138"/>
            <w:bookmarkEnd w:id="139"/>
            <w:bookmarkEnd w:id="140"/>
            <w:bookmarkEnd w:id="141"/>
            <w:bookmarkEnd w:id="142"/>
            <w:bookmarkEnd w:id="143"/>
            <w:bookmarkEnd w:id="144"/>
            <w:bookmarkEnd w:id="145"/>
            <w:bookmarkEnd w:id="146"/>
          </w:p>
        </w:tc>
        <w:tc>
          <w:tcPr>
            <w:tcW w:w="992" w:type="dxa"/>
            <w:tcBorders>
              <w:right w:val="single" w:color="auto" w:sz="4" w:space="0"/>
            </w:tcBorders>
            <w:vAlign w:val="center"/>
          </w:tcPr>
          <w:p w14:paraId="41AD2A64">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3292" w:type="dxa"/>
            <w:tcBorders>
              <w:left w:val="single" w:color="auto" w:sz="4" w:space="0"/>
            </w:tcBorders>
            <w:vAlign w:val="center"/>
          </w:tcPr>
          <w:p w14:paraId="2B402608">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63" w:type="dxa"/>
            <w:vAlign w:val="center"/>
          </w:tcPr>
          <w:p w14:paraId="56FFC35E">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616" w:type="dxa"/>
            <w:tcBorders>
              <w:right w:val="single" w:color="auto" w:sz="4" w:space="0"/>
            </w:tcBorders>
            <w:vAlign w:val="center"/>
          </w:tcPr>
          <w:p w14:paraId="2CF6CB69">
            <w:pPr>
              <w:pStyle w:val="13"/>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14:paraId="267CFA12">
      <w:pPr>
        <w:adjustRightInd w:val="0"/>
        <w:spacing w:line="360" w:lineRule="auto"/>
        <w:contextualSpacing/>
        <w:rPr>
          <w:rFonts w:hint="eastAsia" w:ascii="宋体" w:hAnsi="宋体" w:eastAsia="宋体" w:cs="宋体"/>
          <w:color w:val="auto"/>
          <w:sz w:val="21"/>
          <w:szCs w:val="21"/>
          <w:highlight w:val="none"/>
        </w:rPr>
      </w:pPr>
    </w:p>
    <w:p w14:paraId="23924282">
      <w:pPr>
        <w:pStyle w:val="13"/>
        <w:spacing w:line="360" w:lineRule="auto"/>
        <w:ind w:firstLine="0" w:firstLineChars="0"/>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3D0E3105">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1.说明：应对照磋商文件“第三章 采购需求”中的服务要求逐条作出明确响应，并作出偏离说明。</w:t>
      </w:r>
    </w:p>
    <w:p w14:paraId="647B64B5">
      <w:pPr>
        <w:pStyle w:val="13"/>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6CD35010">
      <w:pPr>
        <w:spacing w:line="360" w:lineRule="auto"/>
        <w:ind w:right="-817" w:rightChars="-389"/>
        <w:contextualSpacing/>
        <w:rPr>
          <w:rFonts w:hint="eastAsia" w:ascii="宋体" w:hAnsi="宋体" w:eastAsia="宋体" w:cs="宋体"/>
          <w:color w:val="auto"/>
          <w:sz w:val="21"/>
          <w:szCs w:val="21"/>
          <w:highlight w:val="none"/>
        </w:rPr>
      </w:pPr>
    </w:p>
    <w:p w14:paraId="01B36DA1">
      <w:pPr>
        <w:spacing w:line="360" w:lineRule="auto"/>
        <w:ind w:right="-817" w:rightChars="-389" w:firstLine="840" w:firstLineChars="4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5B8157AF">
      <w:pPr>
        <w:spacing w:line="360" w:lineRule="auto"/>
        <w:ind w:right="-817" w:rightChars="-389" w:firstLine="2310" w:firstLineChars="11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0DB623">
      <w:pPr>
        <w:spacing w:line="360" w:lineRule="auto"/>
        <w:ind w:right="-817" w:rightChars="-389"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4956E7B">
      <w:pPr>
        <w:snapToGrid/>
        <w:spacing w:before="0" w:after="0"/>
        <w:ind w:left="0"/>
        <w:jc w:val="left"/>
        <w:rPr>
          <w:rFonts w:hint="eastAsia"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28"/>
          <w:szCs w:val="28"/>
          <w:highlight w:val="none"/>
          <w:lang w:val="en-US" w:eastAsia="zh-CN"/>
        </w:rPr>
        <w:t>5</w:t>
      </w:r>
      <w:r>
        <w:rPr>
          <w:rFonts w:hint="eastAsia" w:ascii="宋体" w:hAnsi="宋体" w:eastAsia="宋体" w:cs="宋体"/>
          <w:b/>
          <w:bCs/>
          <w:color w:val="auto"/>
          <w:sz w:val="28"/>
          <w:szCs w:val="28"/>
          <w:highlight w:val="none"/>
        </w:rPr>
        <w:t>.服务方案</w:t>
      </w:r>
      <w:r>
        <w:rPr>
          <w:rFonts w:hint="eastAsia" w:ascii="宋体" w:hAnsi="宋体" w:cs="宋体"/>
          <w:color w:val="auto"/>
          <w:sz w:val="24"/>
          <w:highlight w:val="none"/>
        </w:rPr>
        <w:br w:type="page"/>
      </w:r>
    </w:p>
    <w:p w14:paraId="051113DE">
      <w:pPr>
        <w:snapToGrid w:val="0"/>
        <w:spacing w:before="156" w:beforeLines="50" w:after="50"/>
        <w:ind w:left="142"/>
        <w:jc w:val="left"/>
        <w:rPr>
          <w:rFonts w:ascii="宋体" w:hAnsi="宋体" w:cs="宋体"/>
          <w:b/>
          <w:color w:val="auto"/>
          <w:sz w:val="24"/>
          <w:highlight w:val="none"/>
        </w:rPr>
      </w:pPr>
      <w:r>
        <w:rPr>
          <w:rFonts w:hint="eastAsia" w:ascii="宋体" w:hAnsi="宋体" w:cs="宋体"/>
          <w:b/>
          <w:color w:val="auto"/>
          <w:sz w:val="24"/>
          <w:highlight w:val="none"/>
          <w:lang w:val="en-US" w:eastAsia="zh-CN"/>
        </w:rPr>
        <w:t>6.</w:t>
      </w:r>
      <w:r>
        <w:rPr>
          <w:rFonts w:hint="eastAsia" w:ascii="宋体" w:hAnsi="宋体" w:cs="宋体"/>
          <w:b/>
          <w:color w:val="auto"/>
          <w:sz w:val="24"/>
          <w:highlight w:val="none"/>
        </w:rPr>
        <w:t>项目实施人员一览表</w:t>
      </w:r>
    </w:p>
    <w:p w14:paraId="7B33D322">
      <w:pPr>
        <w:snapToGrid w:val="0"/>
        <w:spacing w:before="156" w:beforeLines="50" w:after="50"/>
        <w:ind w:left="142"/>
        <w:jc w:val="left"/>
        <w:rPr>
          <w:rFonts w:ascii="宋体" w:hAnsi="宋体" w:cs="宋体"/>
          <w:b/>
          <w:color w:val="auto"/>
          <w:sz w:val="24"/>
          <w:highlight w:val="none"/>
        </w:rPr>
      </w:pPr>
    </w:p>
    <w:p w14:paraId="0E37B4FE">
      <w:pPr>
        <w:spacing w:line="360" w:lineRule="auto"/>
        <w:ind w:left="142"/>
        <w:contextualSpacing/>
        <w:jc w:val="center"/>
        <w:rPr>
          <w:rFonts w:ascii="宋体" w:hAnsi="宋体" w:cs="宋体"/>
          <w:b/>
          <w:color w:val="auto"/>
          <w:sz w:val="32"/>
          <w:szCs w:val="32"/>
          <w:highlight w:val="none"/>
        </w:rPr>
      </w:pPr>
      <w:r>
        <w:rPr>
          <w:rFonts w:hint="eastAsia" w:ascii="宋体" w:hAnsi="宋体" w:cs="宋体"/>
          <w:b/>
          <w:color w:val="auto"/>
          <w:sz w:val="32"/>
          <w:szCs w:val="32"/>
          <w:highlight w:val="none"/>
        </w:rPr>
        <w:t>项目实施人员一览表</w:t>
      </w:r>
    </w:p>
    <w:p w14:paraId="7CF4E739">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0A272EA5">
      <w:pPr>
        <w:spacing w:line="36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single"/>
        </w:rPr>
        <w:t xml:space="preserve">                 </w:t>
      </w:r>
    </w:p>
    <w:p w14:paraId="40799091">
      <w:pPr>
        <w:pStyle w:val="18"/>
        <w:spacing w:line="360" w:lineRule="auto"/>
        <w:contextualSpacing/>
        <w:rPr>
          <w:rFonts w:hint="eastAsia" w:ascii="宋体" w:hAnsi="宋体" w:eastAsia="宋体" w:cs="宋体"/>
          <w:color w:val="auto"/>
          <w:sz w:val="21"/>
          <w:szCs w:val="21"/>
          <w:highlight w:val="none"/>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794"/>
        <w:gridCol w:w="1907"/>
        <w:gridCol w:w="1592"/>
        <w:gridCol w:w="1903"/>
        <w:gridCol w:w="2066"/>
      </w:tblGrid>
      <w:tr w14:paraId="21E1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9" w:hRule="atLeast"/>
        </w:trPr>
        <w:tc>
          <w:tcPr>
            <w:tcW w:w="915" w:type="dxa"/>
            <w:vAlign w:val="center"/>
          </w:tcPr>
          <w:p w14:paraId="12ABD502">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94" w:type="dxa"/>
            <w:vAlign w:val="center"/>
          </w:tcPr>
          <w:p w14:paraId="65176865">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907" w:type="dxa"/>
            <w:vAlign w:val="center"/>
          </w:tcPr>
          <w:p w14:paraId="4E0CCD26">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1592" w:type="dxa"/>
            <w:vAlign w:val="center"/>
          </w:tcPr>
          <w:p w14:paraId="5C26F834">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903" w:type="dxa"/>
            <w:vAlign w:val="center"/>
          </w:tcPr>
          <w:p w14:paraId="5E0CD514">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w:t>
            </w:r>
          </w:p>
          <w:p w14:paraId="2D575993">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工作时间</w:t>
            </w:r>
          </w:p>
        </w:tc>
        <w:tc>
          <w:tcPr>
            <w:tcW w:w="2066" w:type="dxa"/>
            <w:vAlign w:val="center"/>
          </w:tcPr>
          <w:p w14:paraId="0B14392B">
            <w:pPr>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11275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 w:type="dxa"/>
            <w:vAlign w:val="center"/>
          </w:tcPr>
          <w:p w14:paraId="6FBB0B49">
            <w:pPr>
              <w:spacing w:line="360" w:lineRule="auto"/>
              <w:contextualSpacing/>
              <w:jc w:val="center"/>
              <w:rPr>
                <w:rFonts w:hint="eastAsia" w:ascii="宋体" w:hAnsi="宋体" w:eastAsia="宋体" w:cs="宋体"/>
                <w:color w:val="auto"/>
                <w:sz w:val="21"/>
                <w:szCs w:val="21"/>
                <w:highlight w:val="none"/>
              </w:rPr>
            </w:pPr>
          </w:p>
        </w:tc>
        <w:tc>
          <w:tcPr>
            <w:tcW w:w="794" w:type="dxa"/>
            <w:vAlign w:val="center"/>
          </w:tcPr>
          <w:p w14:paraId="75ACF2B7">
            <w:pPr>
              <w:spacing w:line="360" w:lineRule="auto"/>
              <w:contextualSpacing/>
              <w:jc w:val="center"/>
              <w:rPr>
                <w:rFonts w:hint="eastAsia" w:ascii="宋体" w:hAnsi="宋体" w:eastAsia="宋体" w:cs="宋体"/>
                <w:color w:val="auto"/>
                <w:sz w:val="21"/>
                <w:szCs w:val="21"/>
                <w:highlight w:val="none"/>
              </w:rPr>
            </w:pPr>
          </w:p>
        </w:tc>
        <w:tc>
          <w:tcPr>
            <w:tcW w:w="1907" w:type="dxa"/>
            <w:vAlign w:val="center"/>
          </w:tcPr>
          <w:p w14:paraId="06E858C9">
            <w:pPr>
              <w:spacing w:line="360" w:lineRule="auto"/>
              <w:contextualSpacing/>
              <w:jc w:val="center"/>
              <w:rPr>
                <w:rFonts w:hint="eastAsia" w:ascii="宋体" w:hAnsi="宋体" w:eastAsia="宋体" w:cs="宋体"/>
                <w:color w:val="auto"/>
                <w:sz w:val="21"/>
                <w:szCs w:val="21"/>
                <w:highlight w:val="none"/>
              </w:rPr>
            </w:pPr>
          </w:p>
        </w:tc>
        <w:tc>
          <w:tcPr>
            <w:tcW w:w="1592" w:type="dxa"/>
            <w:vAlign w:val="center"/>
          </w:tcPr>
          <w:p w14:paraId="1AA2C5B4">
            <w:pPr>
              <w:spacing w:line="360" w:lineRule="auto"/>
              <w:contextualSpacing/>
              <w:jc w:val="center"/>
              <w:rPr>
                <w:rFonts w:hint="eastAsia" w:ascii="宋体" w:hAnsi="宋体" w:eastAsia="宋体" w:cs="宋体"/>
                <w:color w:val="auto"/>
                <w:sz w:val="21"/>
                <w:szCs w:val="21"/>
                <w:highlight w:val="none"/>
              </w:rPr>
            </w:pPr>
          </w:p>
        </w:tc>
        <w:tc>
          <w:tcPr>
            <w:tcW w:w="1903" w:type="dxa"/>
            <w:vAlign w:val="center"/>
          </w:tcPr>
          <w:p w14:paraId="71874415">
            <w:pPr>
              <w:spacing w:line="360" w:lineRule="auto"/>
              <w:contextualSpacing/>
              <w:jc w:val="center"/>
              <w:rPr>
                <w:rFonts w:hint="eastAsia" w:ascii="宋体" w:hAnsi="宋体" w:eastAsia="宋体" w:cs="宋体"/>
                <w:color w:val="auto"/>
                <w:sz w:val="21"/>
                <w:szCs w:val="21"/>
                <w:highlight w:val="none"/>
              </w:rPr>
            </w:pPr>
          </w:p>
        </w:tc>
        <w:tc>
          <w:tcPr>
            <w:tcW w:w="2066" w:type="dxa"/>
            <w:vAlign w:val="center"/>
          </w:tcPr>
          <w:p w14:paraId="6D4BD495">
            <w:pPr>
              <w:spacing w:line="360" w:lineRule="auto"/>
              <w:contextualSpacing/>
              <w:jc w:val="center"/>
              <w:rPr>
                <w:rFonts w:hint="eastAsia" w:ascii="宋体" w:hAnsi="宋体" w:eastAsia="宋体" w:cs="宋体"/>
                <w:color w:val="auto"/>
                <w:sz w:val="21"/>
                <w:szCs w:val="21"/>
                <w:highlight w:val="none"/>
              </w:rPr>
            </w:pPr>
          </w:p>
        </w:tc>
      </w:tr>
      <w:tr w14:paraId="4D55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15" w:type="dxa"/>
            <w:vAlign w:val="center"/>
          </w:tcPr>
          <w:p w14:paraId="2DE1C1B6">
            <w:pPr>
              <w:spacing w:line="360" w:lineRule="auto"/>
              <w:contextualSpacing/>
              <w:jc w:val="center"/>
              <w:rPr>
                <w:rFonts w:hint="eastAsia" w:ascii="宋体" w:hAnsi="宋体" w:eastAsia="宋体" w:cs="宋体"/>
                <w:color w:val="auto"/>
                <w:sz w:val="21"/>
                <w:szCs w:val="21"/>
                <w:highlight w:val="none"/>
              </w:rPr>
            </w:pPr>
          </w:p>
        </w:tc>
        <w:tc>
          <w:tcPr>
            <w:tcW w:w="794" w:type="dxa"/>
            <w:vAlign w:val="center"/>
          </w:tcPr>
          <w:p w14:paraId="48D14054">
            <w:pPr>
              <w:spacing w:line="360" w:lineRule="auto"/>
              <w:contextualSpacing/>
              <w:jc w:val="center"/>
              <w:rPr>
                <w:rFonts w:hint="eastAsia" w:ascii="宋体" w:hAnsi="宋体" w:eastAsia="宋体" w:cs="宋体"/>
                <w:color w:val="auto"/>
                <w:sz w:val="21"/>
                <w:szCs w:val="21"/>
                <w:highlight w:val="none"/>
              </w:rPr>
            </w:pPr>
          </w:p>
        </w:tc>
        <w:tc>
          <w:tcPr>
            <w:tcW w:w="1907" w:type="dxa"/>
            <w:vAlign w:val="center"/>
          </w:tcPr>
          <w:p w14:paraId="1E9DAEDC">
            <w:pPr>
              <w:spacing w:line="360" w:lineRule="auto"/>
              <w:contextualSpacing/>
              <w:jc w:val="center"/>
              <w:rPr>
                <w:rFonts w:hint="eastAsia" w:ascii="宋体" w:hAnsi="宋体" w:eastAsia="宋体" w:cs="宋体"/>
                <w:color w:val="auto"/>
                <w:sz w:val="21"/>
                <w:szCs w:val="21"/>
                <w:highlight w:val="none"/>
              </w:rPr>
            </w:pPr>
          </w:p>
        </w:tc>
        <w:tc>
          <w:tcPr>
            <w:tcW w:w="1592" w:type="dxa"/>
            <w:vAlign w:val="center"/>
          </w:tcPr>
          <w:p w14:paraId="2249E752">
            <w:pPr>
              <w:spacing w:line="360" w:lineRule="auto"/>
              <w:contextualSpacing/>
              <w:jc w:val="center"/>
              <w:rPr>
                <w:rFonts w:hint="eastAsia" w:ascii="宋体" w:hAnsi="宋体" w:eastAsia="宋体" w:cs="宋体"/>
                <w:color w:val="auto"/>
                <w:sz w:val="21"/>
                <w:szCs w:val="21"/>
                <w:highlight w:val="none"/>
              </w:rPr>
            </w:pPr>
          </w:p>
        </w:tc>
        <w:tc>
          <w:tcPr>
            <w:tcW w:w="1903" w:type="dxa"/>
            <w:vAlign w:val="center"/>
          </w:tcPr>
          <w:p w14:paraId="083BED83">
            <w:pPr>
              <w:spacing w:line="360" w:lineRule="auto"/>
              <w:contextualSpacing/>
              <w:jc w:val="center"/>
              <w:rPr>
                <w:rFonts w:hint="eastAsia" w:ascii="宋体" w:hAnsi="宋体" w:eastAsia="宋体" w:cs="宋体"/>
                <w:color w:val="auto"/>
                <w:sz w:val="21"/>
                <w:szCs w:val="21"/>
                <w:highlight w:val="none"/>
              </w:rPr>
            </w:pPr>
          </w:p>
        </w:tc>
        <w:tc>
          <w:tcPr>
            <w:tcW w:w="2066" w:type="dxa"/>
            <w:vAlign w:val="center"/>
          </w:tcPr>
          <w:p w14:paraId="7E138152">
            <w:pPr>
              <w:spacing w:line="360" w:lineRule="auto"/>
              <w:contextualSpacing/>
              <w:jc w:val="center"/>
              <w:rPr>
                <w:rFonts w:hint="eastAsia" w:ascii="宋体" w:hAnsi="宋体" w:eastAsia="宋体" w:cs="宋体"/>
                <w:color w:val="auto"/>
                <w:sz w:val="21"/>
                <w:szCs w:val="21"/>
                <w:highlight w:val="none"/>
              </w:rPr>
            </w:pPr>
          </w:p>
        </w:tc>
      </w:tr>
      <w:tr w14:paraId="6061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15" w:type="dxa"/>
            <w:vAlign w:val="center"/>
          </w:tcPr>
          <w:p w14:paraId="53B7D332">
            <w:pPr>
              <w:spacing w:line="360" w:lineRule="auto"/>
              <w:contextualSpacing/>
              <w:jc w:val="center"/>
              <w:rPr>
                <w:rFonts w:hint="eastAsia" w:ascii="宋体" w:hAnsi="宋体" w:eastAsia="宋体" w:cs="宋体"/>
                <w:color w:val="auto"/>
                <w:sz w:val="21"/>
                <w:szCs w:val="21"/>
                <w:highlight w:val="none"/>
              </w:rPr>
            </w:pPr>
          </w:p>
        </w:tc>
        <w:tc>
          <w:tcPr>
            <w:tcW w:w="794" w:type="dxa"/>
            <w:vAlign w:val="center"/>
          </w:tcPr>
          <w:p w14:paraId="4E2E0DEA">
            <w:pPr>
              <w:spacing w:line="360" w:lineRule="auto"/>
              <w:contextualSpacing/>
              <w:jc w:val="center"/>
              <w:rPr>
                <w:rFonts w:hint="eastAsia" w:ascii="宋体" w:hAnsi="宋体" w:eastAsia="宋体" w:cs="宋体"/>
                <w:color w:val="auto"/>
                <w:sz w:val="21"/>
                <w:szCs w:val="21"/>
                <w:highlight w:val="none"/>
              </w:rPr>
            </w:pPr>
          </w:p>
        </w:tc>
        <w:tc>
          <w:tcPr>
            <w:tcW w:w="1907" w:type="dxa"/>
            <w:vAlign w:val="center"/>
          </w:tcPr>
          <w:p w14:paraId="57D8A14C">
            <w:pPr>
              <w:spacing w:line="360" w:lineRule="auto"/>
              <w:contextualSpacing/>
              <w:jc w:val="center"/>
              <w:rPr>
                <w:rFonts w:hint="eastAsia" w:ascii="宋体" w:hAnsi="宋体" w:eastAsia="宋体" w:cs="宋体"/>
                <w:color w:val="auto"/>
                <w:sz w:val="21"/>
                <w:szCs w:val="21"/>
                <w:highlight w:val="none"/>
              </w:rPr>
            </w:pPr>
          </w:p>
        </w:tc>
        <w:tc>
          <w:tcPr>
            <w:tcW w:w="1592" w:type="dxa"/>
            <w:vAlign w:val="center"/>
          </w:tcPr>
          <w:p w14:paraId="2CB0D1E7">
            <w:pPr>
              <w:spacing w:line="360" w:lineRule="auto"/>
              <w:contextualSpacing/>
              <w:jc w:val="center"/>
              <w:rPr>
                <w:rFonts w:hint="eastAsia" w:ascii="宋体" w:hAnsi="宋体" w:eastAsia="宋体" w:cs="宋体"/>
                <w:color w:val="auto"/>
                <w:sz w:val="21"/>
                <w:szCs w:val="21"/>
                <w:highlight w:val="none"/>
              </w:rPr>
            </w:pPr>
          </w:p>
        </w:tc>
        <w:tc>
          <w:tcPr>
            <w:tcW w:w="1903" w:type="dxa"/>
            <w:vAlign w:val="center"/>
          </w:tcPr>
          <w:p w14:paraId="167156F9">
            <w:pPr>
              <w:spacing w:line="360" w:lineRule="auto"/>
              <w:contextualSpacing/>
              <w:jc w:val="center"/>
              <w:rPr>
                <w:rFonts w:hint="eastAsia" w:ascii="宋体" w:hAnsi="宋体" w:eastAsia="宋体" w:cs="宋体"/>
                <w:color w:val="auto"/>
                <w:sz w:val="21"/>
                <w:szCs w:val="21"/>
                <w:highlight w:val="none"/>
              </w:rPr>
            </w:pPr>
          </w:p>
        </w:tc>
        <w:tc>
          <w:tcPr>
            <w:tcW w:w="2066" w:type="dxa"/>
            <w:vAlign w:val="center"/>
          </w:tcPr>
          <w:p w14:paraId="15224FF3">
            <w:pPr>
              <w:spacing w:line="360" w:lineRule="auto"/>
              <w:contextualSpacing/>
              <w:jc w:val="center"/>
              <w:rPr>
                <w:rFonts w:hint="eastAsia" w:ascii="宋体" w:hAnsi="宋体" w:eastAsia="宋体" w:cs="宋体"/>
                <w:color w:val="auto"/>
                <w:sz w:val="21"/>
                <w:szCs w:val="21"/>
                <w:highlight w:val="none"/>
              </w:rPr>
            </w:pPr>
          </w:p>
        </w:tc>
      </w:tr>
    </w:tbl>
    <w:p w14:paraId="22281E15">
      <w:pPr>
        <w:spacing w:line="360" w:lineRule="auto"/>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7816D32F">
      <w:pPr>
        <w:spacing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1.在填写时，如本表格不适合供应商的实际情况，可根据本表格式自行制表填写。</w:t>
      </w:r>
    </w:p>
    <w:p w14:paraId="1EB09DD3">
      <w:pPr>
        <w:spacing w:line="36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2.供应商应当附本表所列证书的</w:t>
      </w:r>
      <w:r>
        <w:rPr>
          <w:rFonts w:hint="eastAsia" w:ascii="宋体" w:hAnsi="宋体" w:cs="宋体"/>
          <w:color w:val="auto"/>
          <w:sz w:val="21"/>
          <w:szCs w:val="21"/>
          <w:highlight w:val="none"/>
          <w:lang w:val="en-US" w:eastAsia="zh-CN"/>
        </w:rPr>
        <w:t>扫描</w:t>
      </w:r>
      <w:r>
        <w:rPr>
          <w:rFonts w:hint="eastAsia" w:ascii="宋体" w:hAnsi="宋体" w:eastAsia="宋体" w:cs="宋体"/>
          <w:color w:val="auto"/>
          <w:sz w:val="21"/>
          <w:szCs w:val="21"/>
          <w:highlight w:val="none"/>
        </w:rPr>
        <w:t>件并加盖供应商公章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z w:val="21"/>
          <w:szCs w:val="21"/>
          <w:highlight w:val="none"/>
        </w:rPr>
        <w:t>。</w:t>
      </w:r>
    </w:p>
    <w:p w14:paraId="543F062D">
      <w:pPr>
        <w:pStyle w:val="16"/>
        <w:rPr>
          <w:rFonts w:hint="eastAsia" w:ascii="宋体" w:hAnsi="宋体" w:eastAsia="宋体" w:cs="宋体"/>
          <w:color w:val="auto"/>
          <w:szCs w:val="21"/>
          <w:highlight w:val="none"/>
        </w:rPr>
      </w:pPr>
    </w:p>
    <w:p w14:paraId="78A362EB">
      <w:pPr>
        <w:spacing w:line="360" w:lineRule="auto"/>
        <w:ind w:firstLine="2730" w:firstLineChars="1300"/>
        <w:contextualSpacing/>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lang w:eastAsia="zh-CN"/>
        </w:rPr>
        <w:t>签字</w:t>
      </w:r>
      <w:r>
        <w:rPr>
          <w:rFonts w:hint="eastAsia" w:ascii="宋体" w:hAnsi="宋体" w:eastAsia="宋体" w:cs="宋体"/>
          <w:b w:val="0"/>
          <w:bCs/>
          <w:color w:val="auto"/>
          <w:szCs w:val="21"/>
          <w:highlight w:val="none"/>
          <w:lang w:val="en-US" w:eastAsia="zh-CN"/>
        </w:rPr>
        <w:t>或个人CA签章</w:t>
      </w:r>
      <w:r>
        <w:rPr>
          <w:rFonts w:hint="eastAsia" w:ascii="宋体" w:hAnsi="宋体" w:eastAsia="宋体" w:cs="宋体"/>
          <w:color w:val="auto"/>
          <w:sz w:val="21"/>
          <w:szCs w:val="21"/>
          <w:highlight w:val="none"/>
        </w:rPr>
        <w:t>）</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0"/>
          <w:sz w:val="21"/>
          <w:szCs w:val="21"/>
          <w:highlight w:val="none"/>
          <w:u w:val="single"/>
        </w:rPr>
        <w:t xml:space="preserve">        </w:t>
      </w:r>
    </w:p>
    <w:p w14:paraId="039330BD">
      <w:pPr>
        <w:spacing w:line="360" w:lineRule="auto"/>
        <w:ind w:firstLine="2750" w:firstLineChars="1100"/>
        <w:contextualSpacing/>
        <w:jc w:val="left"/>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供应商（公章</w:t>
      </w:r>
      <w:r>
        <w:rPr>
          <w:rFonts w:hint="eastAsia" w:ascii="宋体" w:hAnsi="宋体"/>
          <w:b w:val="0"/>
          <w:bCs w:val="0"/>
          <w:color w:val="auto"/>
          <w:szCs w:val="21"/>
          <w:highlight w:val="none"/>
          <w:lang w:val="en-US" w:eastAsia="zh-CN"/>
        </w:rPr>
        <w:t>或CA签章</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w:t>
      </w:r>
    </w:p>
    <w:p w14:paraId="2F16C536">
      <w:pPr>
        <w:spacing w:line="360" w:lineRule="auto"/>
        <w:ind w:firstLine="2750" w:firstLineChars="11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 期：</w:t>
      </w:r>
      <w:r>
        <w:rPr>
          <w:rFonts w:hint="eastAsia" w:ascii="宋体" w:hAnsi="宋体" w:eastAsia="宋体" w:cs="宋体"/>
          <w:color w:val="auto"/>
          <w:spacing w:val="20"/>
          <w:sz w:val="21"/>
          <w:szCs w:val="21"/>
          <w:highlight w:val="none"/>
          <w:u w:val="single"/>
          <w:lang w:val="en-US" w:eastAsia="zh-CN"/>
        </w:rPr>
        <w:t xml:space="preserve">   </w:t>
      </w:r>
      <w:r>
        <w:rPr>
          <w:rFonts w:hint="eastAsia" w:ascii="宋体" w:hAnsi="宋体" w:eastAsia="宋体" w:cs="宋体"/>
          <w:color w:val="auto"/>
          <w:spacing w:val="20"/>
          <w:sz w:val="21"/>
          <w:szCs w:val="21"/>
          <w:highlight w:val="none"/>
        </w:rPr>
        <w:t>年</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月</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日</w:t>
      </w:r>
    </w:p>
    <w:p w14:paraId="17987B91">
      <w:pPr>
        <w:snapToGrid w:val="0"/>
        <w:spacing w:before="50" w:after="156" w:afterLines="50"/>
        <w:jc w:val="left"/>
        <w:rPr>
          <w:rFonts w:ascii="宋体" w:hAnsi="宋体" w:cs="宋体"/>
          <w:color w:val="auto"/>
          <w:sz w:val="24"/>
          <w:szCs w:val="20"/>
          <w:highlight w:val="none"/>
        </w:rPr>
      </w:pPr>
    </w:p>
    <w:p w14:paraId="4FC92013">
      <w:pPr>
        <w:snapToGrid w:val="0"/>
        <w:spacing w:before="50" w:after="50" w:line="360" w:lineRule="auto"/>
        <w:ind w:right="-817" w:rightChars="-389" w:firstLine="5461" w:firstLineChars="1700"/>
        <w:rPr>
          <w:rFonts w:ascii="宋体" w:hAnsi="宋体" w:cs="宋体"/>
          <w:b/>
          <w:color w:val="auto"/>
          <w:sz w:val="32"/>
          <w:szCs w:val="32"/>
          <w:highlight w:val="none"/>
        </w:rPr>
      </w:pPr>
    </w:p>
    <w:p w14:paraId="71E04DCB">
      <w:pPr>
        <w:rPr>
          <w:rFonts w:ascii="宋体" w:hAnsi="宋体" w:cs="宋体"/>
          <w:color w:val="auto"/>
          <w:szCs w:val="21"/>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其他文书、文件格式</w:t>
      </w:r>
    </w:p>
    <w:p w14:paraId="45155D3B">
      <w:pPr>
        <w:spacing w:line="360" w:lineRule="auto"/>
        <w:jc w:val="center"/>
        <w:rPr>
          <w:rFonts w:ascii="宋体" w:hAnsi="宋体" w:cs="宋体"/>
          <w:b/>
          <w:bCs/>
          <w:color w:val="auto"/>
          <w:sz w:val="32"/>
          <w:szCs w:val="32"/>
          <w:highlight w:val="none"/>
        </w:rPr>
      </w:pPr>
      <w:r>
        <w:rPr>
          <w:rFonts w:hint="eastAsia" w:ascii="宋体" w:hAnsi="宋体" w:cs="宋体"/>
          <w:b/>
          <w:color w:val="auto"/>
          <w:sz w:val="44"/>
          <w:szCs w:val="44"/>
          <w:highlight w:val="none"/>
        </w:rPr>
        <w:t>质疑函</w:t>
      </w:r>
      <w:r>
        <w:rPr>
          <w:rFonts w:hint="eastAsia" w:ascii="宋体" w:hAnsi="宋体" w:cs="宋体"/>
          <w:color w:val="auto"/>
          <w:sz w:val="28"/>
          <w:szCs w:val="28"/>
          <w:highlight w:val="none"/>
        </w:rPr>
        <w:t>（格式）</w:t>
      </w:r>
    </w:p>
    <w:p w14:paraId="5FA67D45">
      <w:pPr>
        <w:pStyle w:val="18"/>
        <w:spacing w:line="360" w:lineRule="auto"/>
        <w:ind w:firstLine="422" w:firstLineChars="200"/>
        <w:contextualSpacing/>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一、质疑供应商基本信息：</w:t>
      </w:r>
    </w:p>
    <w:p w14:paraId="11209BEF">
      <w:pPr>
        <w:pStyle w:val="18"/>
        <w:spacing w:line="360" w:lineRule="auto"/>
        <w:ind w:firstLine="420" w:firstLineChars="200"/>
        <w:contextualSpacing/>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质疑供应商：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2B0AC777">
      <w:pPr>
        <w:pStyle w:val="18"/>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792D714">
      <w:pPr>
        <w:pStyle w:val="18"/>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3751F29B">
      <w:pPr>
        <w:pStyle w:val="18"/>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p>
    <w:p w14:paraId="5DD50411">
      <w:pPr>
        <w:pStyle w:val="18"/>
        <w:spacing w:line="360" w:lineRule="auto"/>
        <w:ind w:firstLine="420" w:firstLineChars="200"/>
        <w:contextualSpacing/>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5009DF42">
      <w:pPr>
        <w:pStyle w:val="18"/>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25C6D413">
      <w:pPr>
        <w:pStyle w:val="18"/>
        <w:spacing w:line="360" w:lineRule="auto"/>
        <w:ind w:firstLine="422" w:firstLineChars="200"/>
        <w:contextualSpacing/>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二、质疑项目基本情况：</w:t>
      </w:r>
    </w:p>
    <w:p w14:paraId="57C2A25C">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p>
    <w:p w14:paraId="60DB8BDF">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p>
    <w:p w14:paraId="6191CBCB">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p>
    <w:p w14:paraId="31440629">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w:t>
      </w:r>
    </w:p>
    <w:p w14:paraId="19AD1D73">
      <w:pPr>
        <w:pStyle w:val="18"/>
        <w:spacing w:line="360" w:lineRule="auto"/>
        <w:ind w:left="25" w:leftChars="12" w:firstLine="308" w:firstLineChars="14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   采购文件获取日期：</w:t>
      </w:r>
      <w:r>
        <w:rPr>
          <w:rFonts w:hint="eastAsia" w:ascii="宋体" w:hAnsi="宋体" w:eastAsia="宋体" w:cs="宋体"/>
          <w:bCs/>
          <w:color w:val="auto"/>
          <w:sz w:val="21"/>
          <w:szCs w:val="21"/>
          <w:highlight w:val="none"/>
          <w:u w:val="single"/>
        </w:rPr>
        <w:t xml:space="preserve">                                   </w:t>
      </w:r>
    </w:p>
    <w:p w14:paraId="214F945A">
      <w:pPr>
        <w:pStyle w:val="18"/>
        <w:spacing w:line="360" w:lineRule="auto"/>
        <w:ind w:left="25" w:leftChars="12" w:firstLine="308" w:firstLineChars="14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□采购过程   </w:t>
      </w:r>
    </w:p>
    <w:p w14:paraId="04FB16CB">
      <w:pPr>
        <w:pStyle w:val="18"/>
        <w:spacing w:line="360" w:lineRule="auto"/>
        <w:ind w:left="25" w:leftChars="12" w:firstLine="308" w:firstLineChars="147"/>
        <w:contextualSpacing/>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□成交结果   </w:t>
      </w:r>
    </w:p>
    <w:p w14:paraId="2FA611E9">
      <w:pPr>
        <w:pStyle w:val="18"/>
        <w:spacing w:line="360" w:lineRule="auto"/>
        <w:ind w:left="25" w:leftChars="12" w:firstLine="413" w:firstLineChars="196"/>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三、质疑事项具体内容</w:t>
      </w:r>
    </w:p>
    <w:p w14:paraId="1109D8E9">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质疑事项1：</w:t>
      </w:r>
      <w:r>
        <w:rPr>
          <w:rFonts w:hint="eastAsia" w:ascii="宋体" w:hAnsi="宋体" w:eastAsia="宋体" w:cs="宋体"/>
          <w:bCs/>
          <w:color w:val="auto"/>
          <w:sz w:val="21"/>
          <w:szCs w:val="21"/>
          <w:highlight w:val="none"/>
          <w:u w:val="single"/>
        </w:rPr>
        <w:t xml:space="preserve">                                                                    </w:t>
      </w:r>
    </w:p>
    <w:p w14:paraId="41D31E23">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bCs/>
          <w:color w:val="auto"/>
          <w:sz w:val="21"/>
          <w:szCs w:val="21"/>
          <w:highlight w:val="none"/>
          <w:u w:val="single"/>
        </w:rPr>
        <w:t xml:space="preserve">                                                                      </w:t>
      </w:r>
    </w:p>
    <w:p w14:paraId="5B380718">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u w:val="single"/>
        </w:rPr>
        <w:t xml:space="preserve">               </w:t>
      </w:r>
    </w:p>
    <w:p w14:paraId="0F751085">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质疑事项2</w:t>
      </w:r>
    </w:p>
    <w:p w14:paraId="190767E8">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4C29DB7D">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四、与质疑事项相关的质疑请求：</w:t>
      </w:r>
    </w:p>
    <w:p w14:paraId="7CD62AB1">
      <w:pPr>
        <w:pStyle w:val="18"/>
        <w:spacing w:line="360" w:lineRule="auto"/>
        <w:ind w:left="25" w:leftChars="12" w:firstLine="413" w:firstLineChars="19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3F30B1CD">
      <w:pPr>
        <w:pStyle w:val="18"/>
        <w:spacing w:line="360" w:lineRule="auto"/>
        <w:ind w:left="25" w:leftChars="12" w:firstLine="308" w:firstLineChars="147"/>
        <w:contextualSpacing/>
        <w:rPr>
          <w:rFonts w:hint="eastAsia" w:ascii="宋体" w:hAnsi="宋体" w:eastAsia="宋体" w:cs="宋体"/>
          <w:color w:val="auto"/>
          <w:sz w:val="21"/>
          <w:szCs w:val="21"/>
          <w:highlight w:val="none"/>
        </w:rPr>
      </w:pPr>
    </w:p>
    <w:p w14:paraId="4A21D5B8">
      <w:pPr>
        <w:pStyle w:val="18"/>
        <w:spacing w:line="360" w:lineRule="auto"/>
        <w:ind w:left="25" w:leftChars="12" w:firstLine="413" w:firstLineChars="197"/>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签字（签章）：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公章：</w:t>
      </w:r>
      <w:r>
        <w:rPr>
          <w:rFonts w:hint="eastAsia" w:ascii="宋体" w:hAnsi="宋体" w:eastAsia="宋体" w:cs="宋体"/>
          <w:color w:val="auto"/>
          <w:sz w:val="21"/>
          <w:szCs w:val="21"/>
          <w:highlight w:val="none"/>
          <w:u w:val="single"/>
        </w:rPr>
        <w:t xml:space="preserve">               </w:t>
      </w:r>
    </w:p>
    <w:p w14:paraId="2CF3D58C">
      <w:pPr>
        <w:pStyle w:val="18"/>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2A7D448B">
      <w:pPr>
        <w:rPr>
          <w:rFonts w:hint="eastAsia" w:ascii="宋体" w:hAnsi="宋体" w:eastAsia="宋体" w:cs="宋体"/>
          <w:color w:val="auto"/>
          <w:szCs w:val="21"/>
          <w:highlight w:val="none"/>
        </w:rPr>
      </w:pPr>
    </w:p>
    <w:p w14:paraId="5A24EB5D">
      <w:pPr>
        <w:pStyle w:val="16"/>
        <w:rPr>
          <w:rFonts w:hint="eastAsia" w:ascii="宋体" w:hAnsi="宋体" w:eastAsia="宋体" w:cs="宋体"/>
          <w:color w:val="auto"/>
          <w:szCs w:val="21"/>
          <w:highlight w:val="none"/>
        </w:rPr>
      </w:pPr>
    </w:p>
    <w:p w14:paraId="15C600AF">
      <w:pPr>
        <w:pStyle w:val="18"/>
        <w:spacing w:line="360" w:lineRule="auto"/>
        <w:ind w:firstLine="422" w:firstLineChars="200"/>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6814FE35">
      <w:pPr>
        <w:pStyle w:val="18"/>
        <w:spacing w:line="360" w:lineRule="auto"/>
        <w:ind w:left="25" w:leftChars="12" w:firstLine="310" w:firstLineChars="147"/>
        <w:contextualSpacing/>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1.供应商提出质疑时，应提交质疑函和必要的证明材料</w:t>
      </w:r>
      <w:r>
        <w:rPr>
          <w:rFonts w:hint="eastAsia" w:ascii="宋体" w:hAnsi="宋体" w:eastAsia="宋体" w:cs="宋体"/>
          <w:b/>
          <w:bCs/>
          <w:color w:val="auto"/>
          <w:sz w:val="21"/>
          <w:szCs w:val="21"/>
          <w:highlight w:val="none"/>
        </w:rPr>
        <w:t>。</w:t>
      </w:r>
    </w:p>
    <w:p w14:paraId="08691FC8">
      <w:pPr>
        <w:pStyle w:val="18"/>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F4FE0B">
      <w:pPr>
        <w:pStyle w:val="18"/>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3.质疑函的质疑事项应具体、明确，并有必要的事实依据和法律依据。</w:t>
      </w:r>
    </w:p>
    <w:p w14:paraId="28C2C34A">
      <w:pPr>
        <w:pStyle w:val="18"/>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4.质疑函的质疑请求应与质疑事项相关。</w:t>
      </w:r>
    </w:p>
    <w:p w14:paraId="52CAB8CF">
      <w:pPr>
        <w:pStyle w:val="18"/>
        <w:spacing w:line="360" w:lineRule="auto"/>
        <w:ind w:left="25" w:leftChars="12" w:firstLine="310" w:firstLineChars="147"/>
        <w:contextualSpacing/>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5.质疑供应商为法人或者其他组织的，质疑函应由法定代表人、主要负责人，或者其授权代表签字或者盖章，并加盖公章。</w:t>
      </w:r>
    </w:p>
    <w:p w14:paraId="4620CF9D">
      <w:pPr>
        <w:pStyle w:val="18"/>
        <w:snapToGrid w:val="0"/>
        <w:rPr>
          <w:rFonts w:hint="eastAsia" w:ascii="宋体" w:hAnsi="宋体" w:eastAsia="宋体" w:cs="宋体"/>
          <w:b/>
          <w:color w:val="auto"/>
          <w:sz w:val="21"/>
          <w:szCs w:val="21"/>
          <w:highlight w:val="none"/>
        </w:rPr>
      </w:pPr>
    </w:p>
    <w:p w14:paraId="73C9A1E2">
      <w:pPr>
        <w:rPr>
          <w:rFonts w:ascii="宋体" w:hAnsi="宋体" w:cs="宋体"/>
          <w:color w:val="auto"/>
          <w:sz w:val="32"/>
          <w:szCs w:val="40"/>
          <w:highlight w:val="none"/>
        </w:rPr>
      </w:pPr>
    </w:p>
    <w:p w14:paraId="195451DE">
      <w:pPr>
        <w:rPr>
          <w:rFonts w:ascii="宋体" w:hAnsi="宋体" w:cs="宋体"/>
          <w:color w:val="auto"/>
          <w:sz w:val="32"/>
          <w:szCs w:val="40"/>
          <w:highlight w:val="none"/>
        </w:rPr>
      </w:pPr>
    </w:p>
    <w:p w14:paraId="52D56160">
      <w:pPr>
        <w:rPr>
          <w:rFonts w:ascii="宋体" w:hAnsi="宋体" w:cs="宋体"/>
          <w:color w:val="auto"/>
          <w:sz w:val="32"/>
          <w:szCs w:val="40"/>
          <w:highlight w:val="none"/>
        </w:rPr>
      </w:pPr>
    </w:p>
    <w:p w14:paraId="5F0594C3">
      <w:pPr>
        <w:rPr>
          <w:rFonts w:ascii="宋体" w:hAnsi="宋体" w:cs="宋体"/>
          <w:color w:val="auto"/>
          <w:sz w:val="32"/>
          <w:szCs w:val="40"/>
          <w:highlight w:val="none"/>
        </w:rPr>
      </w:pPr>
    </w:p>
    <w:p w14:paraId="7428E476">
      <w:pPr>
        <w:rPr>
          <w:rFonts w:ascii="宋体" w:hAnsi="宋体" w:cs="宋体"/>
          <w:color w:val="auto"/>
          <w:sz w:val="32"/>
          <w:szCs w:val="40"/>
          <w:highlight w:val="none"/>
        </w:rPr>
      </w:pPr>
    </w:p>
    <w:p w14:paraId="5FD18B16">
      <w:pPr>
        <w:rPr>
          <w:rFonts w:ascii="宋体" w:hAnsi="宋体" w:cs="宋体"/>
          <w:color w:val="auto"/>
          <w:sz w:val="32"/>
          <w:szCs w:val="40"/>
          <w:highlight w:val="none"/>
        </w:rPr>
      </w:pPr>
    </w:p>
    <w:p w14:paraId="04D1AD87">
      <w:pPr>
        <w:rPr>
          <w:rFonts w:ascii="宋体" w:hAnsi="宋体" w:cs="宋体"/>
          <w:color w:val="auto"/>
          <w:sz w:val="32"/>
          <w:szCs w:val="40"/>
          <w:highlight w:val="none"/>
        </w:rPr>
      </w:pPr>
    </w:p>
    <w:p w14:paraId="7AFAC20C">
      <w:pPr>
        <w:rPr>
          <w:rFonts w:ascii="宋体" w:hAnsi="宋体" w:cs="宋体"/>
          <w:color w:val="auto"/>
          <w:sz w:val="32"/>
          <w:szCs w:val="40"/>
          <w:highlight w:val="none"/>
        </w:rPr>
      </w:pPr>
    </w:p>
    <w:p w14:paraId="00F3346F">
      <w:pPr>
        <w:rPr>
          <w:rFonts w:ascii="宋体" w:hAnsi="宋体" w:cs="宋体"/>
          <w:color w:val="auto"/>
          <w:sz w:val="32"/>
          <w:szCs w:val="40"/>
          <w:highlight w:val="none"/>
        </w:rPr>
      </w:pPr>
    </w:p>
    <w:p w14:paraId="0D2F335C">
      <w:pPr>
        <w:rPr>
          <w:rFonts w:ascii="宋体" w:hAnsi="宋体" w:cs="宋体"/>
          <w:color w:val="auto"/>
          <w:sz w:val="32"/>
          <w:szCs w:val="40"/>
          <w:highlight w:val="none"/>
        </w:rPr>
      </w:pPr>
    </w:p>
    <w:p w14:paraId="66D20A44">
      <w:pPr>
        <w:rPr>
          <w:rFonts w:ascii="宋体" w:hAnsi="宋体" w:cs="宋体"/>
          <w:color w:val="auto"/>
          <w:sz w:val="32"/>
          <w:szCs w:val="40"/>
          <w:highlight w:val="none"/>
        </w:rPr>
      </w:pPr>
    </w:p>
    <w:p w14:paraId="22E0C0BD">
      <w:pPr>
        <w:rPr>
          <w:rFonts w:ascii="宋体" w:hAnsi="宋体" w:cs="宋体"/>
          <w:color w:val="auto"/>
          <w:sz w:val="32"/>
          <w:szCs w:val="40"/>
          <w:highlight w:val="none"/>
        </w:rPr>
      </w:pPr>
    </w:p>
    <w:p w14:paraId="234ECF5B">
      <w:pPr>
        <w:rPr>
          <w:rFonts w:ascii="宋体" w:hAnsi="宋体" w:cs="宋体"/>
          <w:color w:val="auto"/>
          <w:sz w:val="32"/>
          <w:szCs w:val="40"/>
          <w:highlight w:val="none"/>
        </w:rPr>
      </w:pPr>
    </w:p>
    <w:p w14:paraId="21758E7B">
      <w:pPr>
        <w:rPr>
          <w:rFonts w:ascii="宋体" w:hAnsi="宋体" w:cs="宋体"/>
          <w:color w:val="auto"/>
          <w:sz w:val="32"/>
          <w:szCs w:val="40"/>
          <w:highlight w:val="none"/>
        </w:rPr>
      </w:pPr>
    </w:p>
    <w:p w14:paraId="35E7D5E8">
      <w:pPr>
        <w:spacing w:line="360" w:lineRule="auto"/>
        <w:jc w:val="center"/>
        <w:rPr>
          <w:rFonts w:ascii="宋体" w:hAnsi="宋体" w:cs="宋体"/>
          <w:color w:val="auto"/>
          <w:sz w:val="2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1A05FB3A">
      <w:pPr>
        <w:pStyle w:val="18"/>
        <w:snapToGrid w:val="0"/>
        <w:spacing w:line="360" w:lineRule="auto"/>
        <w:ind w:firstLine="422" w:firstLineChars="200"/>
        <w:rPr>
          <w:rFonts w:hAnsi="宋体" w:cs="宋体"/>
          <w:b/>
          <w:bCs/>
          <w:color w:val="auto"/>
          <w:sz w:val="21"/>
          <w:szCs w:val="21"/>
          <w:highlight w:val="none"/>
        </w:rPr>
      </w:pPr>
      <w:r>
        <w:rPr>
          <w:rFonts w:hint="eastAsia" w:hAnsi="宋体" w:cs="宋体"/>
          <w:b/>
          <w:bCs/>
          <w:color w:val="auto"/>
          <w:sz w:val="21"/>
          <w:szCs w:val="21"/>
          <w:highlight w:val="none"/>
        </w:rPr>
        <w:t>一、投诉相关主体基本情况：</w:t>
      </w:r>
    </w:p>
    <w:p w14:paraId="7283A0A8">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供应商：</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 xml:space="preserve">                 </w:t>
      </w:r>
    </w:p>
    <w:p w14:paraId="3EB73CE6">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地址：</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邮编：</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 xml:space="preserve">                 </w:t>
      </w:r>
    </w:p>
    <w:p w14:paraId="16A824BD">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法定代表人/主要负责人：</w:t>
      </w:r>
      <w:r>
        <w:rPr>
          <w:rFonts w:hint="eastAsia" w:hAnsi="宋体" w:cs="宋体"/>
          <w:bCs/>
          <w:color w:val="auto"/>
          <w:sz w:val="21"/>
          <w:szCs w:val="21"/>
          <w:highlight w:val="none"/>
          <w:u w:val="single"/>
        </w:rPr>
        <w:t xml:space="preserve">                                                         </w:t>
      </w:r>
    </w:p>
    <w:p w14:paraId="4B9630B0">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联系电话：</w:t>
      </w:r>
      <w:r>
        <w:rPr>
          <w:rFonts w:hint="eastAsia" w:hAnsi="宋体" w:cs="宋体"/>
          <w:bCs/>
          <w:color w:val="auto"/>
          <w:sz w:val="21"/>
          <w:szCs w:val="21"/>
          <w:highlight w:val="none"/>
          <w:u w:val="single"/>
        </w:rPr>
        <w:t xml:space="preserve">                                         </w:t>
      </w:r>
    </w:p>
    <w:p w14:paraId="5BD6BB75">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授权代表：</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联系电话：</w:t>
      </w:r>
      <w:r>
        <w:rPr>
          <w:rFonts w:hint="eastAsia" w:hAnsi="宋体" w:cs="宋体"/>
          <w:bCs/>
          <w:color w:val="auto"/>
          <w:sz w:val="21"/>
          <w:szCs w:val="21"/>
          <w:highlight w:val="none"/>
          <w:u w:val="single"/>
        </w:rPr>
        <w:t xml:space="preserve">                   </w:t>
      </w:r>
    </w:p>
    <w:p w14:paraId="57E26A71">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地址：</w:t>
      </w:r>
      <w:r>
        <w:rPr>
          <w:rFonts w:hint="eastAsia" w:hAnsi="宋体" w:cs="宋体"/>
          <w:bCs/>
          <w:color w:val="auto"/>
          <w:sz w:val="21"/>
          <w:szCs w:val="21"/>
          <w:highlight w:val="none"/>
          <w:u w:val="single"/>
        </w:rPr>
        <w:t xml:space="preserve">                                                            </w:t>
      </w:r>
    </w:p>
    <w:p w14:paraId="241A6352">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邮编：</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 xml:space="preserve">   </w:t>
      </w:r>
    </w:p>
    <w:p w14:paraId="2360F458">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被投诉人1：</w:t>
      </w:r>
    </w:p>
    <w:p w14:paraId="598A863F">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地址：</w:t>
      </w:r>
      <w:r>
        <w:rPr>
          <w:rFonts w:hint="eastAsia" w:hAnsi="宋体" w:cs="宋体"/>
          <w:bCs/>
          <w:color w:val="auto"/>
          <w:sz w:val="21"/>
          <w:szCs w:val="21"/>
          <w:highlight w:val="none"/>
          <w:u w:val="single"/>
        </w:rPr>
        <w:t xml:space="preserve">                                                            </w:t>
      </w:r>
    </w:p>
    <w:p w14:paraId="324CF428">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邮编：</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 xml:space="preserve">  </w:t>
      </w:r>
    </w:p>
    <w:p w14:paraId="4D3F7121">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联系人：</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联系电话：</w:t>
      </w:r>
      <w:r>
        <w:rPr>
          <w:rFonts w:hint="eastAsia" w:hAnsi="宋体" w:cs="宋体"/>
          <w:bCs/>
          <w:color w:val="auto"/>
          <w:sz w:val="21"/>
          <w:szCs w:val="21"/>
          <w:highlight w:val="none"/>
          <w:u w:val="single"/>
        </w:rPr>
        <w:t xml:space="preserve">                </w:t>
      </w:r>
    </w:p>
    <w:p w14:paraId="15E3ED96">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被投诉人2：</w:t>
      </w:r>
    </w:p>
    <w:p w14:paraId="641E4ADD">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w:t>
      </w:r>
    </w:p>
    <w:p w14:paraId="792AE30A">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相关供应商：</w:t>
      </w:r>
      <w:r>
        <w:rPr>
          <w:rFonts w:hint="eastAsia" w:hAnsi="宋体" w:cs="宋体"/>
          <w:bCs/>
          <w:color w:val="auto"/>
          <w:sz w:val="21"/>
          <w:szCs w:val="21"/>
          <w:highlight w:val="none"/>
          <w:u w:val="single"/>
        </w:rPr>
        <w:t xml:space="preserve">                                                                       </w:t>
      </w:r>
    </w:p>
    <w:p w14:paraId="7D54DFE7">
      <w:pPr>
        <w:pStyle w:val="18"/>
        <w:snapToGrid w:val="0"/>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地址：</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邮编：</w:t>
      </w:r>
      <w:r>
        <w:rPr>
          <w:rFonts w:hint="eastAsia" w:hAnsi="宋体" w:cs="宋体"/>
          <w:bCs/>
          <w:color w:val="auto"/>
          <w:sz w:val="21"/>
          <w:szCs w:val="21"/>
          <w:highlight w:val="none"/>
          <w:u w:val="single"/>
        </w:rPr>
        <w:t xml:space="preserve">                         </w:t>
      </w:r>
    </w:p>
    <w:p w14:paraId="3C1EA910">
      <w:pPr>
        <w:pStyle w:val="18"/>
        <w:snapToGrid w:val="0"/>
        <w:spacing w:line="360" w:lineRule="auto"/>
        <w:ind w:firstLine="420" w:firstLineChars="200"/>
        <w:rPr>
          <w:rFonts w:hAnsi="宋体" w:cs="宋体"/>
          <w:bCs/>
          <w:color w:val="auto"/>
          <w:sz w:val="21"/>
          <w:szCs w:val="21"/>
          <w:highlight w:val="none"/>
        </w:rPr>
      </w:pPr>
      <w:r>
        <w:rPr>
          <w:rFonts w:hint="eastAsia" w:hAnsi="宋体" w:cs="宋体"/>
          <w:bCs/>
          <w:color w:val="auto"/>
          <w:sz w:val="21"/>
          <w:szCs w:val="21"/>
          <w:highlight w:val="none"/>
        </w:rPr>
        <w:t>联系人：</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联系电话：</w:t>
      </w:r>
      <w:r>
        <w:rPr>
          <w:rFonts w:hint="eastAsia" w:hAnsi="宋体" w:cs="宋体"/>
          <w:bCs/>
          <w:color w:val="auto"/>
          <w:sz w:val="21"/>
          <w:szCs w:val="21"/>
          <w:highlight w:val="none"/>
          <w:u w:val="single"/>
        </w:rPr>
        <w:t xml:space="preserve">                     </w:t>
      </w:r>
      <w:r>
        <w:rPr>
          <w:rFonts w:hint="eastAsia" w:hAnsi="宋体" w:cs="宋体"/>
          <w:bCs/>
          <w:color w:val="auto"/>
          <w:sz w:val="21"/>
          <w:szCs w:val="21"/>
          <w:highlight w:val="none"/>
        </w:rPr>
        <w:t xml:space="preserve">                </w:t>
      </w:r>
    </w:p>
    <w:p w14:paraId="7F48A64C">
      <w:pPr>
        <w:pStyle w:val="18"/>
        <w:snapToGrid w:val="0"/>
        <w:spacing w:line="360" w:lineRule="auto"/>
        <w:ind w:firstLine="422" w:firstLineChars="200"/>
        <w:rPr>
          <w:rFonts w:hAnsi="宋体" w:cs="宋体"/>
          <w:b/>
          <w:bCs/>
          <w:color w:val="auto"/>
          <w:sz w:val="21"/>
          <w:szCs w:val="21"/>
          <w:highlight w:val="none"/>
        </w:rPr>
      </w:pPr>
      <w:r>
        <w:rPr>
          <w:rFonts w:hint="eastAsia" w:hAnsi="宋体" w:cs="宋体"/>
          <w:b/>
          <w:bCs/>
          <w:color w:val="auto"/>
          <w:sz w:val="21"/>
          <w:szCs w:val="21"/>
          <w:highlight w:val="none"/>
        </w:rPr>
        <w:t>二、投诉项目基本情况：</w:t>
      </w:r>
    </w:p>
    <w:p w14:paraId="2120A97F">
      <w:pPr>
        <w:pStyle w:val="18"/>
        <w:spacing w:line="360" w:lineRule="auto"/>
        <w:ind w:left="25" w:leftChars="12" w:firstLine="413" w:firstLineChars="197"/>
        <w:rPr>
          <w:rFonts w:hAnsi="宋体" w:cs="宋体"/>
          <w:color w:val="auto"/>
          <w:sz w:val="21"/>
          <w:szCs w:val="21"/>
          <w:highlight w:val="none"/>
        </w:rPr>
      </w:pPr>
      <w:r>
        <w:rPr>
          <w:rFonts w:hint="eastAsia" w:hAnsi="宋体" w:cs="宋体"/>
          <w:bCs/>
          <w:color w:val="auto"/>
          <w:sz w:val="21"/>
          <w:szCs w:val="21"/>
          <w:highlight w:val="none"/>
        </w:rPr>
        <w:t>采购</w:t>
      </w:r>
      <w:r>
        <w:rPr>
          <w:rFonts w:hint="eastAsia" w:hAnsi="宋体" w:cs="宋体"/>
          <w:color w:val="auto"/>
          <w:sz w:val="21"/>
          <w:szCs w:val="21"/>
          <w:highlight w:val="none"/>
        </w:rPr>
        <w:t>项目的名称：</w:t>
      </w:r>
      <w:r>
        <w:rPr>
          <w:rFonts w:hint="eastAsia" w:hAnsi="宋体" w:cs="宋体"/>
          <w:bCs/>
          <w:color w:val="auto"/>
          <w:sz w:val="21"/>
          <w:szCs w:val="21"/>
          <w:highlight w:val="none"/>
          <w:u w:val="single"/>
        </w:rPr>
        <w:t xml:space="preserve">                                                                   </w:t>
      </w:r>
    </w:p>
    <w:p w14:paraId="7D133896">
      <w:pPr>
        <w:pStyle w:val="18"/>
        <w:spacing w:line="360" w:lineRule="auto"/>
        <w:ind w:left="25" w:leftChars="12" w:firstLine="413" w:firstLineChars="197"/>
        <w:rPr>
          <w:rFonts w:hAnsi="宋体" w:cs="宋体"/>
          <w:color w:val="auto"/>
          <w:sz w:val="21"/>
          <w:szCs w:val="21"/>
          <w:highlight w:val="none"/>
        </w:rPr>
      </w:pPr>
      <w:r>
        <w:rPr>
          <w:rFonts w:hint="eastAsia" w:hAnsi="宋体" w:cs="宋体"/>
          <w:bCs/>
          <w:color w:val="auto"/>
          <w:sz w:val="21"/>
          <w:szCs w:val="21"/>
          <w:highlight w:val="none"/>
        </w:rPr>
        <w:t>采购</w:t>
      </w:r>
      <w:r>
        <w:rPr>
          <w:rFonts w:hint="eastAsia" w:hAnsi="宋体" w:cs="宋体"/>
          <w:color w:val="auto"/>
          <w:sz w:val="21"/>
          <w:szCs w:val="21"/>
          <w:highlight w:val="none"/>
        </w:rPr>
        <w:t>项目的编号：</w:t>
      </w:r>
      <w:r>
        <w:rPr>
          <w:rFonts w:hint="eastAsia" w:hAnsi="宋体" w:cs="宋体"/>
          <w:bCs/>
          <w:color w:val="auto"/>
          <w:sz w:val="21"/>
          <w:szCs w:val="21"/>
          <w:highlight w:val="none"/>
          <w:u w:val="single"/>
        </w:rPr>
        <w:t xml:space="preserve">                                          </w:t>
      </w:r>
    </w:p>
    <w:p w14:paraId="656ECF52">
      <w:pPr>
        <w:pStyle w:val="18"/>
        <w:spacing w:line="360" w:lineRule="auto"/>
        <w:ind w:left="25" w:leftChars="12" w:firstLine="413" w:firstLineChars="197"/>
        <w:rPr>
          <w:rFonts w:hAnsi="宋体" w:cs="宋体"/>
          <w:bCs/>
          <w:color w:val="auto"/>
          <w:sz w:val="21"/>
          <w:szCs w:val="21"/>
          <w:highlight w:val="none"/>
          <w:u w:val="single"/>
        </w:rPr>
      </w:pPr>
      <w:r>
        <w:rPr>
          <w:rFonts w:hint="eastAsia" w:hAnsi="宋体" w:cs="宋体"/>
          <w:color w:val="auto"/>
          <w:sz w:val="21"/>
          <w:szCs w:val="21"/>
          <w:highlight w:val="none"/>
        </w:rPr>
        <w:t>采购人名称：</w:t>
      </w:r>
      <w:r>
        <w:rPr>
          <w:rFonts w:hint="eastAsia" w:hAnsi="宋体" w:cs="宋体"/>
          <w:bCs/>
          <w:color w:val="auto"/>
          <w:sz w:val="21"/>
          <w:szCs w:val="21"/>
          <w:highlight w:val="none"/>
          <w:u w:val="single"/>
        </w:rPr>
        <w:t xml:space="preserve">                                                                        </w:t>
      </w:r>
    </w:p>
    <w:p w14:paraId="67146E4E">
      <w:pPr>
        <w:pStyle w:val="18"/>
        <w:spacing w:line="360" w:lineRule="auto"/>
        <w:ind w:left="25" w:leftChars="12" w:firstLine="413" w:firstLineChars="197"/>
        <w:rPr>
          <w:rFonts w:hAnsi="宋体" w:cs="宋体"/>
          <w:bCs/>
          <w:color w:val="auto"/>
          <w:sz w:val="21"/>
          <w:szCs w:val="21"/>
          <w:highlight w:val="none"/>
          <w:u w:val="single"/>
        </w:rPr>
      </w:pPr>
      <w:r>
        <w:rPr>
          <w:rFonts w:hint="eastAsia" w:hAnsi="宋体" w:cs="宋体"/>
          <w:color w:val="auto"/>
          <w:sz w:val="21"/>
          <w:szCs w:val="21"/>
          <w:highlight w:val="none"/>
        </w:rPr>
        <w:t>代理机构名称：</w:t>
      </w:r>
      <w:r>
        <w:rPr>
          <w:rFonts w:hint="eastAsia" w:hAnsi="宋体" w:cs="宋体"/>
          <w:bCs/>
          <w:color w:val="auto"/>
          <w:sz w:val="21"/>
          <w:szCs w:val="21"/>
          <w:highlight w:val="none"/>
          <w:u w:val="single"/>
        </w:rPr>
        <w:t xml:space="preserve">                                                                      </w:t>
      </w:r>
    </w:p>
    <w:p w14:paraId="15D8874C">
      <w:pPr>
        <w:pStyle w:val="18"/>
        <w:spacing w:line="360" w:lineRule="auto"/>
        <w:ind w:left="25" w:leftChars="12" w:firstLine="413" w:firstLineChars="197"/>
        <w:rPr>
          <w:rFonts w:hAnsi="宋体" w:cs="宋体"/>
          <w:bCs/>
          <w:color w:val="auto"/>
          <w:sz w:val="21"/>
          <w:szCs w:val="21"/>
          <w:highlight w:val="none"/>
          <w:u w:val="single"/>
        </w:rPr>
      </w:pPr>
      <w:r>
        <w:rPr>
          <w:rFonts w:hint="eastAsia" w:hAnsi="宋体" w:cs="宋体"/>
          <w:bCs/>
          <w:color w:val="auto"/>
          <w:sz w:val="21"/>
          <w:szCs w:val="21"/>
          <w:highlight w:val="none"/>
        </w:rPr>
        <w:t>竞争性磋商文件公告：</w:t>
      </w:r>
      <w:r>
        <w:rPr>
          <w:rFonts w:hint="eastAsia" w:hAnsi="宋体" w:cs="宋体"/>
          <w:bCs/>
          <w:color w:val="auto"/>
          <w:sz w:val="21"/>
          <w:szCs w:val="21"/>
          <w:highlight w:val="none"/>
          <w:u w:val="single"/>
        </w:rPr>
        <w:t>是/否</w:t>
      </w:r>
      <w:r>
        <w:rPr>
          <w:rFonts w:hint="eastAsia" w:hAnsi="宋体" w:cs="宋体"/>
          <w:bCs/>
          <w:color w:val="auto"/>
          <w:sz w:val="21"/>
          <w:szCs w:val="21"/>
          <w:highlight w:val="none"/>
        </w:rPr>
        <w:t>公告期限：</w:t>
      </w:r>
      <w:r>
        <w:rPr>
          <w:rFonts w:hint="eastAsia" w:hAnsi="宋体" w:cs="宋体"/>
          <w:bCs/>
          <w:color w:val="auto"/>
          <w:sz w:val="21"/>
          <w:szCs w:val="21"/>
          <w:highlight w:val="none"/>
          <w:u w:val="single"/>
        </w:rPr>
        <w:t xml:space="preserve">                                                       </w:t>
      </w:r>
    </w:p>
    <w:p w14:paraId="2ECB23BC">
      <w:pPr>
        <w:pStyle w:val="18"/>
        <w:spacing w:line="360" w:lineRule="auto"/>
        <w:ind w:left="25" w:leftChars="12" w:firstLine="413" w:firstLineChars="197"/>
        <w:rPr>
          <w:rFonts w:hAnsi="宋体" w:cs="宋体"/>
          <w:b/>
          <w:color w:val="auto"/>
          <w:sz w:val="21"/>
          <w:szCs w:val="21"/>
          <w:highlight w:val="none"/>
        </w:rPr>
      </w:pPr>
      <w:r>
        <w:rPr>
          <w:rFonts w:hint="eastAsia" w:hAnsi="宋体" w:cs="宋体"/>
          <w:bCs/>
          <w:color w:val="auto"/>
          <w:sz w:val="21"/>
          <w:szCs w:val="21"/>
          <w:highlight w:val="none"/>
        </w:rPr>
        <w:t>采购结果公告：</w:t>
      </w:r>
      <w:r>
        <w:rPr>
          <w:rFonts w:hint="eastAsia" w:hAnsi="宋体" w:cs="宋体"/>
          <w:bCs/>
          <w:color w:val="auto"/>
          <w:sz w:val="21"/>
          <w:szCs w:val="21"/>
          <w:highlight w:val="none"/>
          <w:u w:val="single"/>
        </w:rPr>
        <w:t>是/否</w:t>
      </w:r>
      <w:r>
        <w:rPr>
          <w:rFonts w:hint="eastAsia" w:hAnsi="宋体" w:cs="宋体"/>
          <w:bCs/>
          <w:color w:val="auto"/>
          <w:sz w:val="21"/>
          <w:szCs w:val="21"/>
          <w:highlight w:val="none"/>
        </w:rPr>
        <w:t>公告期限：</w:t>
      </w:r>
      <w:r>
        <w:rPr>
          <w:rFonts w:hint="eastAsia" w:hAnsi="宋体" w:cs="宋体"/>
          <w:bCs/>
          <w:color w:val="auto"/>
          <w:sz w:val="21"/>
          <w:szCs w:val="21"/>
          <w:highlight w:val="none"/>
          <w:u w:val="single"/>
        </w:rPr>
        <w:t xml:space="preserve">                                                       </w:t>
      </w:r>
    </w:p>
    <w:p w14:paraId="4226B4D2">
      <w:pPr>
        <w:pStyle w:val="18"/>
        <w:spacing w:line="360" w:lineRule="auto"/>
        <w:ind w:left="25" w:leftChars="12" w:firstLine="413" w:firstLineChars="196"/>
        <w:rPr>
          <w:rFonts w:hAnsi="宋体" w:cs="宋体"/>
          <w:b/>
          <w:color w:val="auto"/>
          <w:sz w:val="21"/>
          <w:szCs w:val="21"/>
          <w:highlight w:val="none"/>
        </w:rPr>
      </w:pPr>
      <w:r>
        <w:rPr>
          <w:rFonts w:hint="eastAsia" w:hAnsi="宋体" w:cs="宋体"/>
          <w:b/>
          <w:color w:val="auto"/>
          <w:sz w:val="21"/>
          <w:szCs w:val="21"/>
          <w:highlight w:val="none"/>
        </w:rPr>
        <w:t>三、质疑基本情况</w:t>
      </w:r>
    </w:p>
    <w:p w14:paraId="61F3A7BD">
      <w:pPr>
        <w:pStyle w:val="18"/>
        <w:spacing w:line="360" w:lineRule="auto"/>
        <w:ind w:firstLine="420" w:firstLineChars="200"/>
        <w:rPr>
          <w:rFonts w:hAnsi="宋体" w:cs="宋体"/>
          <w:color w:val="auto"/>
          <w:sz w:val="21"/>
          <w:szCs w:val="21"/>
          <w:highlight w:val="none"/>
        </w:rPr>
      </w:pPr>
      <w:r>
        <w:rPr>
          <w:rFonts w:hint="eastAsia" w:hAnsi="宋体" w:cs="宋体"/>
          <w:color w:val="auto"/>
          <w:sz w:val="21"/>
          <w:szCs w:val="21"/>
          <w:highlight w:val="none"/>
        </w:rPr>
        <w:t>投诉人于</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日，向</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提出质疑，质疑事项为：</w:t>
      </w:r>
    </w:p>
    <w:p w14:paraId="5B76FA7D">
      <w:pPr>
        <w:pStyle w:val="18"/>
        <w:spacing w:line="360" w:lineRule="auto"/>
        <w:ind w:firstLine="241"/>
        <w:rPr>
          <w:rFonts w:hAnsi="宋体" w:cs="宋体"/>
          <w:bCs/>
          <w:color w:val="auto"/>
          <w:sz w:val="21"/>
          <w:szCs w:val="21"/>
          <w:highlight w:val="none"/>
          <w:u w:val="single"/>
        </w:rPr>
      </w:pPr>
      <w:r>
        <w:rPr>
          <w:rFonts w:hint="eastAsia" w:hAnsi="宋体" w:cs="宋体"/>
          <w:color w:val="auto"/>
          <w:sz w:val="21"/>
          <w:szCs w:val="21"/>
          <w:highlight w:val="none"/>
        </w:rPr>
        <w:t xml:space="preserve">    </w:t>
      </w:r>
      <w:r>
        <w:rPr>
          <w:rFonts w:hint="eastAsia" w:hAnsi="宋体" w:cs="宋体"/>
          <w:bCs/>
          <w:color w:val="auto"/>
          <w:sz w:val="21"/>
          <w:szCs w:val="21"/>
          <w:highlight w:val="none"/>
          <w:u w:val="single"/>
        </w:rPr>
        <w:t xml:space="preserve">                                                                                      </w:t>
      </w:r>
    </w:p>
    <w:p w14:paraId="7E747EC6">
      <w:pPr>
        <w:pStyle w:val="18"/>
        <w:spacing w:line="360" w:lineRule="auto"/>
        <w:ind w:firstLine="241"/>
        <w:rPr>
          <w:rFonts w:hAnsi="宋体" w:cs="宋体"/>
          <w:bCs/>
          <w:color w:val="auto"/>
          <w:sz w:val="21"/>
          <w:szCs w:val="21"/>
          <w:highlight w:val="none"/>
          <w:u w:val="single"/>
        </w:rPr>
      </w:pPr>
      <w:r>
        <w:rPr>
          <w:rFonts w:hint="eastAsia" w:hAnsi="宋体" w:cs="宋体"/>
          <w:bCs/>
          <w:color w:val="auto"/>
          <w:sz w:val="21"/>
          <w:szCs w:val="21"/>
          <w:highlight w:val="none"/>
        </w:rPr>
        <w:t xml:space="preserve">    </w:t>
      </w:r>
      <w:r>
        <w:rPr>
          <w:rFonts w:hint="eastAsia" w:hAnsi="宋体" w:cs="宋体"/>
          <w:bCs/>
          <w:color w:val="auto"/>
          <w:sz w:val="21"/>
          <w:szCs w:val="21"/>
          <w:highlight w:val="none"/>
          <w:u w:val="single"/>
        </w:rPr>
        <w:t xml:space="preserve">                                                                                      </w:t>
      </w:r>
    </w:p>
    <w:p w14:paraId="56306B50">
      <w:pPr>
        <w:pStyle w:val="18"/>
        <w:spacing w:line="360" w:lineRule="auto"/>
        <w:ind w:firstLine="420" w:firstLineChars="200"/>
        <w:rPr>
          <w:rFonts w:hAnsi="宋体" w:cs="宋体"/>
          <w:color w:val="auto"/>
          <w:sz w:val="21"/>
          <w:szCs w:val="21"/>
          <w:highlight w:val="none"/>
        </w:rPr>
      </w:pPr>
      <w:r>
        <w:rPr>
          <w:rFonts w:hint="eastAsia" w:hAnsi="宋体" w:cs="宋体"/>
          <w:bCs/>
          <w:color w:val="auto"/>
          <w:sz w:val="21"/>
          <w:szCs w:val="21"/>
          <w:highlight w:val="none"/>
          <w:u w:val="single"/>
        </w:rPr>
        <w:t>采购人/代理机构</w:t>
      </w:r>
      <w:r>
        <w:rPr>
          <w:rFonts w:hint="eastAsia" w:hAnsi="宋体" w:cs="宋体"/>
          <w:bCs/>
          <w:color w:val="auto"/>
          <w:sz w:val="21"/>
          <w:szCs w:val="21"/>
          <w:highlight w:val="none"/>
        </w:rPr>
        <w:t>于</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w:t>
      </w:r>
      <w:r>
        <w:rPr>
          <w:rFonts w:hint="eastAsia" w:hAnsi="宋体" w:cs="宋体"/>
          <w:bCs/>
          <w:color w:val="auto"/>
          <w:sz w:val="21"/>
          <w:szCs w:val="21"/>
          <w:highlight w:val="none"/>
        </w:rPr>
        <w:t xml:space="preserve">就质疑事项作出了答复/没有在法定期限内作出答复。                                                                                             </w:t>
      </w:r>
    </w:p>
    <w:p w14:paraId="1A91BFCB">
      <w:pPr>
        <w:pStyle w:val="18"/>
        <w:spacing w:line="360" w:lineRule="auto"/>
        <w:ind w:left="25" w:leftChars="12" w:firstLine="413" w:firstLineChars="196"/>
        <w:rPr>
          <w:rFonts w:hAnsi="宋体" w:cs="宋体"/>
          <w:b/>
          <w:color w:val="auto"/>
          <w:sz w:val="21"/>
          <w:szCs w:val="21"/>
          <w:highlight w:val="none"/>
        </w:rPr>
      </w:pPr>
      <w:r>
        <w:rPr>
          <w:rFonts w:hint="eastAsia" w:hAnsi="宋体" w:cs="宋体"/>
          <w:b/>
          <w:color w:val="auto"/>
          <w:sz w:val="21"/>
          <w:szCs w:val="21"/>
          <w:highlight w:val="none"/>
        </w:rPr>
        <w:t>四、投诉事项具体内容</w:t>
      </w:r>
    </w:p>
    <w:p w14:paraId="64779F84">
      <w:pPr>
        <w:pStyle w:val="18"/>
        <w:spacing w:line="360" w:lineRule="auto"/>
        <w:ind w:left="25" w:leftChars="12" w:firstLine="413" w:firstLineChars="197"/>
        <w:rPr>
          <w:rFonts w:hAnsi="宋体" w:cs="宋体"/>
          <w:bCs/>
          <w:color w:val="auto"/>
          <w:sz w:val="21"/>
          <w:szCs w:val="21"/>
          <w:highlight w:val="none"/>
          <w:u w:val="single"/>
        </w:rPr>
      </w:pPr>
      <w:r>
        <w:rPr>
          <w:rFonts w:hint="eastAsia" w:hAnsi="宋体" w:cs="宋体"/>
          <w:color w:val="auto"/>
          <w:sz w:val="21"/>
          <w:szCs w:val="21"/>
          <w:highlight w:val="none"/>
        </w:rPr>
        <w:t>投诉事项1：</w:t>
      </w:r>
      <w:r>
        <w:rPr>
          <w:rFonts w:hint="eastAsia" w:hAnsi="宋体" w:cs="宋体"/>
          <w:bCs/>
          <w:color w:val="auto"/>
          <w:sz w:val="21"/>
          <w:szCs w:val="21"/>
          <w:highlight w:val="none"/>
          <w:u w:val="single"/>
        </w:rPr>
        <w:t xml:space="preserve">                                                                           </w:t>
      </w:r>
    </w:p>
    <w:p w14:paraId="5C2F83D0">
      <w:pPr>
        <w:pStyle w:val="18"/>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事实依据：</w:t>
      </w:r>
      <w:r>
        <w:rPr>
          <w:rFonts w:hint="eastAsia" w:hAnsi="宋体" w:cs="宋体"/>
          <w:color w:val="auto"/>
          <w:sz w:val="21"/>
          <w:szCs w:val="21"/>
          <w:highlight w:val="none"/>
        </w:rPr>
        <w:t xml:space="preserve"> </w:t>
      </w:r>
      <w:r>
        <w:rPr>
          <w:rFonts w:hint="eastAsia" w:hAnsi="宋体" w:cs="宋体"/>
          <w:bCs/>
          <w:color w:val="auto"/>
          <w:sz w:val="21"/>
          <w:szCs w:val="21"/>
          <w:highlight w:val="none"/>
          <w:u w:val="single"/>
        </w:rPr>
        <w:t xml:space="preserve">                                                                                      </w:t>
      </w:r>
    </w:p>
    <w:p w14:paraId="25E09BE1">
      <w:pPr>
        <w:pStyle w:val="18"/>
        <w:spacing w:line="360" w:lineRule="auto"/>
        <w:ind w:left="25" w:leftChars="12" w:firstLine="413" w:firstLineChars="197"/>
        <w:rPr>
          <w:rFonts w:hAnsi="宋体" w:cs="宋体"/>
          <w:color w:val="auto"/>
          <w:sz w:val="21"/>
          <w:szCs w:val="21"/>
          <w:highlight w:val="none"/>
        </w:rPr>
      </w:pPr>
      <w:r>
        <w:rPr>
          <w:rFonts w:hint="eastAsia" w:hAnsi="宋体" w:cs="宋体"/>
          <w:bCs/>
          <w:color w:val="auto"/>
          <w:sz w:val="21"/>
          <w:szCs w:val="21"/>
          <w:highlight w:val="none"/>
          <w:u w:val="single"/>
        </w:rPr>
        <w:t xml:space="preserve">                                                                                        </w:t>
      </w:r>
    </w:p>
    <w:p w14:paraId="34C8CDFF">
      <w:pPr>
        <w:pStyle w:val="18"/>
        <w:spacing w:line="360" w:lineRule="auto"/>
        <w:ind w:firstLine="420" w:firstLineChars="200"/>
        <w:rPr>
          <w:rFonts w:hAnsi="宋体" w:cs="宋体"/>
          <w:bCs/>
          <w:color w:val="auto"/>
          <w:sz w:val="21"/>
          <w:szCs w:val="21"/>
          <w:highlight w:val="none"/>
          <w:u w:val="single"/>
        </w:rPr>
      </w:pPr>
      <w:r>
        <w:rPr>
          <w:rFonts w:hint="eastAsia" w:hAnsi="宋体" w:cs="宋体"/>
          <w:bCs/>
          <w:color w:val="auto"/>
          <w:sz w:val="21"/>
          <w:szCs w:val="21"/>
          <w:highlight w:val="none"/>
        </w:rPr>
        <w:t>法律依据：</w:t>
      </w:r>
      <w:r>
        <w:rPr>
          <w:rFonts w:hint="eastAsia" w:hAnsi="宋体" w:cs="宋体"/>
          <w:color w:val="auto"/>
          <w:sz w:val="21"/>
          <w:szCs w:val="21"/>
          <w:highlight w:val="none"/>
        </w:rPr>
        <w:t xml:space="preserve"> </w:t>
      </w:r>
      <w:r>
        <w:rPr>
          <w:rFonts w:hint="eastAsia" w:hAnsi="宋体" w:cs="宋体"/>
          <w:bCs/>
          <w:color w:val="auto"/>
          <w:sz w:val="21"/>
          <w:szCs w:val="21"/>
          <w:highlight w:val="none"/>
          <w:u w:val="single"/>
        </w:rPr>
        <w:t xml:space="preserve">                                                                                      </w:t>
      </w:r>
    </w:p>
    <w:p w14:paraId="16937F83">
      <w:pPr>
        <w:pStyle w:val="18"/>
        <w:spacing w:line="360" w:lineRule="auto"/>
        <w:ind w:left="25" w:leftChars="12" w:firstLine="308" w:firstLineChars="147"/>
        <w:rPr>
          <w:rFonts w:hAnsi="宋体" w:cs="宋体"/>
          <w:bCs/>
          <w:color w:val="auto"/>
          <w:sz w:val="21"/>
          <w:szCs w:val="21"/>
          <w:highlight w:val="none"/>
          <w:u w:val="single"/>
        </w:rPr>
      </w:pPr>
      <w:r>
        <w:rPr>
          <w:rFonts w:hint="eastAsia" w:hAnsi="宋体" w:cs="宋体"/>
          <w:bCs/>
          <w:color w:val="auto"/>
          <w:sz w:val="21"/>
          <w:szCs w:val="21"/>
          <w:highlight w:val="none"/>
        </w:rPr>
        <w:t xml:space="preserve"> </w:t>
      </w:r>
      <w:r>
        <w:rPr>
          <w:rFonts w:hint="eastAsia" w:hAnsi="宋体" w:cs="宋体"/>
          <w:bCs/>
          <w:color w:val="auto"/>
          <w:sz w:val="21"/>
          <w:szCs w:val="21"/>
          <w:highlight w:val="none"/>
          <w:u w:val="single"/>
        </w:rPr>
        <w:t xml:space="preserve">                                                                                        </w:t>
      </w:r>
    </w:p>
    <w:p w14:paraId="338F9032">
      <w:pPr>
        <w:pStyle w:val="18"/>
        <w:spacing w:line="360" w:lineRule="auto"/>
        <w:ind w:left="25" w:leftChars="12" w:firstLine="413" w:firstLineChars="197"/>
        <w:rPr>
          <w:rFonts w:hAnsi="宋体" w:cs="宋体"/>
          <w:bCs/>
          <w:color w:val="auto"/>
          <w:sz w:val="21"/>
          <w:szCs w:val="21"/>
          <w:highlight w:val="none"/>
        </w:rPr>
      </w:pPr>
      <w:r>
        <w:rPr>
          <w:rFonts w:hint="eastAsia" w:hAnsi="宋体" w:cs="宋体"/>
          <w:color w:val="auto"/>
          <w:sz w:val="21"/>
          <w:szCs w:val="21"/>
          <w:highlight w:val="none"/>
        </w:rPr>
        <w:t xml:space="preserve">投诉事项2  </w:t>
      </w:r>
      <w:r>
        <w:rPr>
          <w:rFonts w:hint="eastAsia" w:hAnsi="宋体" w:cs="宋体"/>
          <w:bCs/>
          <w:color w:val="auto"/>
          <w:sz w:val="21"/>
          <w:szCs w:val="21"/>
          <w:highlight w:val="none"/>
        </w:rPr>
        <w:t xml:space="preserve">   </w:t>
      </w:r>
    </w:p>
    <w:p w14:paraId="259B8C35">
      <w:pPr>
        <w:pStyle w:val="18"/>
        <w:spacing w:line="360" w:lineRule="auto"/>
        <w:ind w:left="25" w:leftChars="12" w:firstLine="413" w:firstLineChars="197"/>
        <w:rPr>
          <w:rFonts w:hAnsi="宋体" w:cs="宋体"/>
          <w:bCs/>
          <w:color w:val="auto"/>
          <w:sz w:val="21"/>
          <w:szCs w:val="21"/>
          <w:highlight w:val="none"/>
        </w:rPr>
      </w:pPr>
      <w:r>
        <w:rPr>
          <w:rFonts w:hint="eastAsia" w:hAnsi="宋体" w:cs="宋体"/>
          <w:bCs/>
          <w:color w:val="auto"/>
          <w:sz w:val="21"/>
          <w:szCs w:val="21"/>
          <w:highlight w:val="none"/>
        </w:rPr>
        <w:t>……</w:t>
      </w:r>
    </w:p>
    <w:p w14:paraId="5B5E9004">
      <w:pPr>
        <w:pStyle w:val="18"/>
        <w:spacing w:line="360" w:lineRule="auto"/>
        <w:ind w:left="25" w:leftChars="12" w:firstLine="413" w:firstLineChars="196"/>
        <w:rPr>
          <w:rFonts w:hAnsi="宋体" w:cs="宋体"/>
          <w:b/>
          <w:color w:val="auto"/>
          <w:sz w:val="21"/>
          <w:szCs w:val="21"/>
          <w:highlight w:val="none"/>
        </w:rPr>
      </w:pPr>
      <w:r>
        <w:rPr>
          <w:rFonts w:hint="eastAsia" w:hAnsi="宋体" w:cs="宋体"/>
          <w:b/>
          <w:color w:val="auto"/>
          <w:sz w:val="21"/>
          <w:szCs w:val="21"/>
          <w:highlight w:val="none"/>
        </w:rPr>
        <w:t>五、与投诉事项相关的投诉请求：</w:t>
      </w:r>
    </w:p>
    <w:p w14:paraId="55C7BD39">
      <w:pPr>
        <w:pStyle w:val="18"/>
        <w:spacing w:line="360" w:lineRule="auto"/>
        <w:ind w:left="25" w:leftChars="12" w:firstLine="413" w:firstLineChars="197"/>
        <w:rPr>
          <w:rFonts w:hAnsi="宋体" w:cs="宋体"/>
          <w:color w:val="auto"/>
          <w:sz w:val="21"/>
          <w:szCs w:val="21"/>
          <w:highlight w:val="none"/>
        </w:rPr>
      </w:pPr>
      <w:r>
        <w:rPr>
          <w:rFonts w:hint="eastAsia" w:hAnsi="宋体" w:cs="宋体"/>
          <w:color w:val="auto"/>
          <w:sz w:val="21"/>
          <w:szCs w:val="21"/>
          <w:highlight w:val="none"/>
        </w:rPr>
        <w:t>请求：</w:t>
      </w:r>
      <w:r>
        <w:rPr>
          <w:rFonts w:hint="eastAsia" w:hAnsi="宋体" w:cs="宋体"/>
          <w:bCs/>
          <w:color w:val="auto"/>
          <w:sz w:val="21"/>
          <w:szCs w:val="21"/>
          <w:highlight w:val="none"/>
          <w:u w:val="single"/>
        </w:rPr>
        <w:t xml:space="preserve">                                                                                 </w:t>
      </w:r>
    </w:p>
    <w:p w14:paraId="6AB31064">
      <w:pPr>
        <w:pStyle w:val="18"/>
        <w:spacing w:line="360" w:lineRule="auto"/>
        <w:ind w:left="25" w:leftChars="12" w:firstLine="308" w:firstLineChars="147"/>
        <w:rPr>
          <w:rFonts w:hAnsi="宋体" w:cs="宋体"/>
          <w:color w:val="auto"/>
          <w:sz w:val="21"/>
          <w:szCs w:val="21"/>
          <w:highlight w:val="none"/>
        </w:rPr>
      </w:pPr>
    </w:p>
    <w:p w14:paraId="7288C09D">
      <w:pPr>
        <w:pStyle w:val="18"/>
        <w:spacing w:line="360" w:lineRule="auto"/>
        <w:ind w:left="25" w:leftChars="12" w:firstLine="413" w:firstLineChars="197"/>
        <w:rPr>
          <w:rFonts w:hAnsi="宋体" w:cs="宋体"/>
          <w:color w:val="auto"/>
          <w:sz w:val="21"/>
          <w:szCs w:val="21"/>
          <w:highlight w:val="none"/>
          <w:u w:val="single"/>
        </w:rPr>
      </w:pPr>
      <w:r>
        <w:rPr>
          <w:rFonts w:hint="eastAsia" w:hAnsi="宋体" w:cs="宋体"/>
          <w:color w:val="auto"/>
          <w:sz w:val="21"/>
          <w:szCs w:val="21"/>
          <w:highlight w:val="none"/>
        </w:rPr>
        <w:t>签字（签章）：</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rPr>
        <w:t xml:space="preserve">                        公章：</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p>
    <w:p w14:paraId="035243A5">
      <w:pPr>
        <w:pStyle w:val="18"/>
        <w:spacing w:line="360" w:lineRule="auto"/>
        <w:ind w:left="25" w:leftChars="12" w:firstLine="308" w:firstLineChars="147"/>
        <w:rPr>
          <w:rFonts w:hAnsi="宋体" w:cs="宋体"/>
          <w:color w:val="auto"/>
          <w:sz w:val="21"/>
          <w:szCs w:val="21"/>
          <w:highlight w:val="none"/>
        </w:rPr>
      </w:pPr>
    </w:p>
    <w:p w14:paraId="05F9C71E">
      <w:pPr>
        <w:pStyle w:val="18"/>
        <w:spacing w:line="360" w:lineRule="auto"/>
        <w:ind w:left="25" w:leftChars="12" w:firstLine="413" w:firstLineChars="197"/>
        <w:rPr>
          <w:rFonts w:hAnsi="宋体" w:cs="宋体"/>
          <w:color w:val="auto"/>
          <w:sz w:val="21"/>
          <w:szCs w:val="21"/>
          <w:highlight w:val="none"/>
        </w:rPr>
      </w:pPr>
      <w:r>
        <w:rPr>
          <w:rFonts w:hint="eastAsia" w:hAnsi="宋体" w:cs="宋体"/>
          <w:color w:val="auto"/>
          <w:sz w:val="21"/>
          <w:szCs w:val="21"/>
          <w:highlight w:val="none"/>
        </w:rPr>
        <w:t>日期：</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Ansi="宋体" w:cs="宋体"/>
          <w:color w:val="auto"/>
          <w:sz w:val="21"/>
          <w:szCs w:val="21"/>
          <w:highlight w:val="none"/>
          <w:u w:val="single"/>
        </w:rPr>
        <w:t xml:space="preserve"> </w:t>
      </w:r>
      <w:r>
        <w:rPr>
          <w:rFonts w:hint="eastAsia" w:hAnsi="宋体" w:cs="宋体"/>
          <w:color w:val="auto"/>
          <w:sz w:val="21"/>
          <w:szCs w:val="21"/>
          <w:highlight w:val="none"/>
        </w:rPr>
        <w:t>日</w:t>
      </w:r>
    </w:p>
    <w:p w14:paraId="5A5889E3">
      <w:pPr>
        <w:pStyle w:val="18"/>
        <w:spacing w:line="360" w:lineRule="auto"/>
        <w:ind w:left="25" w:leftChars="12" w:firstLine="413" w:firstLineChars="197"/>
        <w:rPr>
          <w:rFonts w:hAnsi="宋体" w:cs="宋体"/>
          <w:b/>
          <w:color w:val="auto"/>
          <w:sz w:val="21"/>
          <w:szCs w:val="21"/>
          <w:highlight w:val="none"/>
        </w:rPr>
      </w:pPr>
      <w:r>
        <w:rPr>
          <w:rFonts w:hint="eastAsia" w:hAnsi="宋体" w:cs="宋体"/>
          <w:bCs/>
          <w:color w:val="auto"/>
          <w:sz w:val="21"/>
          <w:szCs w:val="21"/>
          <w:highlight w:val="none"/>
        </w:rPr>
        <w:t xml:space="preserve">                                                                                 </w:t>
      </w:r>
    </w:p>
    <w:p w14:paraId="11AEBEF2">
      <w:pPr>
        <w:pStyle w:val="18"/>
        <w:snapToGrid w:val="0"/>
        <w:spacing w:line="360" w:lineRule="auto"/>
        <w:rPr>
          <w:rFonts w:ascii="楷体" w:hAnsi="楷体" w:eastAsia="楷体" w:cs="宋体"/>
          <w:b/>
          <w:color w:val="auto"/>
          <w:sz w:val="21"/>
          <w:szCs w:val="21"/>
          <w:highlight w:val="none"/>
        </w:rPr>
      </w:pPr>
      <w:r>
        <w:rPr>
          <w:rFonts w:hint="eastAsia" w:ascii="楷体" w:hAnsi="楷体" w:eastAsia="楷体" w:cs="宋体"/>
          <w:b/>
          <w:color w:val="auto"/>
          <w:sz w:val="21"/>
          <w:szCs w:val="21"/>
          <w:highlight w:val="none"/>
        </w:rPr>
        <w:t>说明：</w:t>
      </w:r>
    </w:p>
    <w:p w14:paraId="77E00D46">
      <w:pPr>
        <w:pStyle w:val="18"/>
        <w:spacing w:line="360" w:lineRule="auto"/>
        <w:ind w:left="25" w:leftChars="12" w:firstLine="310" w:firstLineChars="147"/>
        <w:rPr>
          <w:rFonts w:ascii="楷体" w:hAnsi="楷体" w:eastAsia="楷体" w:cs="宋体"/>
          <w:b/>
          <w:bCs/>
          <w:color w:val="auto"/>
          <w:sz w:val="21"/>
          <w:szCs w:val="21"/>
          <w:highlight w:val="none"/>
        </w:rPr>
      </w:pPr>
      <w:r>
        <w:rPr>
          <w:rFonts w:ascii="楷体" w:hAnsi="楷体" w:eastAsia="楷体" w:cs="宋体"/>
          <w:b/>
          <w:color w:val="auto"/>
          <w:sz w:val="21"/>
          <w:szCs w:val="21"/>
          <w:highlight w:val="none"/>
        </w:rPr>
        <w:t>1.投诉人提起投诉时，应当提交投诉书和必要的证明材料，并按照被投诉人和与投诉事项有关的供应商数量提供投诉书副本</w:t>
      </w:r>
      <w:r>
        <w:rPr>
          <w:rFonts w:hint="eastAsia" w:ascii="楷体" w:hAnsi="楷体" w:eastAsia="楷体" w:cs="宋体"/>
          <w:b/>
          <w:bCs/>
          <w:color w:val="auto"/>
          <w:sz w:val="21"/>
          <w:szCs w:val="21"/>
          <w:highlight w:val="none"/>
        </w:rPr>
        <w:t>。</w:t>
      </w:r>
    </w:p>
    <w:p w14:paraId="696A1B95">
      <w:pPr>
        <w:pStyle w:val="18"/>
        <w:spacing w:line="360" w:lineRule="auto"/>
        <w:ind w:left="25" w:leftChars="12" w:firstLine="310" w:firstLineChars="147"/>
        <w:rPr>
          <w:rFonts w:ascii="楷体" w:hAnsi="楷体" w:eastAsia="楷体" w:cs="宋体"/>
          <w:b/>
          <w:color w:val="auto"/>
          <w:sz w:val="21"/>
          <w:szCs w:val="21"/>
          <w:highlight w:val="none"/>
        </w:rPr>
      </w:pPr>
      <w:r>
        <w:rPr>
          <w:rFonts w:ascii="楷体" w:hAnsi="楷体" w:eastAsia="楷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6B1055D">
      <w:pPr>
        <w:pStyle w:val="18"/>
        <w:spacing w:line="360" w:lineRule="auto"/>
        <w:ind w:left="25" w:leftChars="12" w:firstLine="310" w:firstLineChars="147"/>
        <w:rPr>
          <w:rFonts w:ascii="楷体" w:hAnsi="楷体" w:eastAsia="楷体" w:cs="宋体"/>
          <w:b/>
          <w:color w:val="auto"/>
          <w:sz w:val="21"/>
          <w:szCs w:val="21"/>
          <w:highlight w:val="none"/>
        </w:rPr>
      </w:pPr>
      <w:r>
        <w:rPr>
          <w:rFonts w:ascii="楷体" w:hAnsi="楷体" w:eastAsia="楷体" w:cs="宋体"/>
          <w:b/>
          <w:color w:val="auto"/>
          <w:sz w:val="21"/>
          <w:szCs w:val="21"/>
          <w:highlight w:val="none"/>
        </w:rPr>
        <w:t>3.投诉书应简要列明质疑事项，质疑函、质疑答复等作为附件材料提供。</w:t>
      </w:r>
    </w:p>
    <w:p w14:paraId="70277947">
      <w:pPr>
        <w:pStyle w:val="18"/>
        <w:spacing w:line="360" w:lineRule="auto"/>
        <w:ind w:left="25" w:leftChars="12" w:firstLine="310" w:firstLineChars="147"/>
        <w:rPr>
          <w:rFonts w:ascii="楷体" w:hAnsi="楷体" w:eastAsia="楷体" w:cs="宋体"/>
          <w:b/>
          <w:color w:val="auto"/>
          <w:sz w:val="21"/>
          <w:szCs w:val="21"/>
          <w:highlight w:val="none"/>
        </w:rPr>
      </w:pPr>
      <w:r>
        <w:rPr>
          <w:rFonts w:ascii="楷体" w:hAnsi="楷体" w:eastAsia="楷体" w:cs="宋体"/>
          <w:b/>
          <w:color w:val="auto"/>
          <w:sz w:val="21"/>
          <w:szCs w:val="21"/>
          <w:highlight w:val="none"/>
        </w:rPr>
        <w:t>4.投诉书的投诉事项应具体、明确，并有必要的事实依据和法律依据。</w:t>
      </w:r>
    </w:p>
    <w:p w14:paraId="35649759">
      <w:pPr>
        <w:pStyle w:val="18"/>
        <w:spacing w:line="360" w:lineRule="auto"/>
        <w:ind w:left="25" w:leftChars="12" w:firstLine="310" w:firstLineChars="147"/>
        <w:rPr>
          <w:rFonts w:ascii="楷体" w:hAnsi="楷体" w:eastAsia="楷体" w:cs="宋体"/>
          <w:b/>
          <w:color w:val="auto"/>
          <w:sz w:val="21"/>
          <w:szCs w:val="21"/>
          <w:highlight w:val="none"/>
        </w:rPr>
      </w:pPr>
      <w:r>
        <w:rPr>
          <w:rFonts w:ascii="楷体" w:hAnsi="楷体" w:eastAsia="楷体" w:cs="宋体"/>
          <w:b/>
          <w:color w:val="auto"/>
          <w:sz w:val="21"/>
          <w:szCs w:val="21"/>
          <w:highlight w:val="none"/>
        </w:rPr>
        <w:t>5.投诉书的投诉请求应与投诉事项相关。</w:t>
      </w:r>
    </w:p>
    <w:p w14:paraId="6F0F033A">
      <w:pPr>
        <w:pStyle w:val="18"/>
        <w:spacing w:line="360" w:lineRule="auto"/>
        <w:ind w:left="25" w:leftChars="12" w:firstLine="310" w:firstLineChars="147"/>
        <w:rPr>
          <w:rFonts w:ascii="楷体" w:hAnsi="楷体" w:eastAsia="楷体" w:cs="宋体"/>
          <w:b/>
          <w:color w:val="auto"/>
          <w:sz w:val="21"/>
          <w:szCs w:val="21"/>
          <w:highlight w:val="none"/>
        </w:rPr>
      </w:pPr>
      <w:r>
        <w:rPr>
          <w:rFonts w:ascii="楷体" w:hAnsi="楷体" w:eastAsia="楷体" w:cs="宋体"/>
          <w:b/>
          <w:color w:val="auto"/>
          <w:sz w:val="21"/>
          <w:szCs w:val="21"/>
          <w:highlight w:val="none"/>
        </w:rPr>
        <w:t>6.投诉人为法人或者其他组织的，投诉书应由法定代表人、主要负责人，或者其授权代表签字或者盖章，并加盖公章。</w:t>
      </w:r>
    </w:p>
    <w:p w14:paraId="2DFBB65E">
      <w:pPr>
        <w:rPr>
          <w:rFonts w:hAnsi="宋体" w:cs="宋体"/>
          <w:color w:val="auto"/>
          <w:sz w:val="21"/>
          <w:szCs w:val="21"/>
          <w:highlight w:val="none"/>
        </w:rPr>
      </w:pPr>
      <w:r>
        <w:rPr>
          <w:rFonts w:hAnsi="宋体" w:cs="宋体"/>
          <w:color w:val="auto"/>
          <w:sz w:val="21"/>
          <w:szCs w:val="21"/>
          <w:highlight w:val="none"/>
        </w:rPr>
        <w:br w:type="page"/>
      </w:r>
    </w:p>
    <w:p w14:paraId="07FE8EBA">
      <w:pPr>
        <w:rPr>
          <w:rFonts w:hAnsi="Times New Roman" w:cs="Times New Roman"/>
          <w:color w:val="auto"/>
          <w:sz w:val="21"/>
          <w:szCs w:val="24"/>
          <w:highlight w:val="none"/>
        </w:rPr>
      </w:pPr>
    </w:p>
    <w:p w14:paraId="2C8FF603">
      <w:pPr>
        <w:pStyle w:val="2"/>
        <w:spacing w:before="0" w:after="0" w:line="460" w:lineRule="exact"/>
        <w:jc w:val="center"/>
        <w:rPr>
          <w:rFonts w:ascii="宋体" w:hAnsi="宋体" w:cs="宋体"/>
          <w:color w:val="auto"/>
          <w:highlight w:val="none"/>
        </w:rPr>
      </w:pPr>
      <w:bookmarkStart w:id="147" w:name="_Toc12223"/>
      <w:r>
        <w:rPr>
          <w:rFonts w:hint="eastAsia" w:ascii="宋体" w:hAnsi="宋体" w:cs="宋体"/>
          <w:color w:val="auto"/>
          <w:highlight w:val="none"/>
        </w:rPr>
        <w:t>第六章</w:t>
      </w:r>
      <w:r>
        <w:rPr>
          <w:rFonts w:hint="eastAsia" w:ascii="宋体" w:hAnsi="宋体" w:cs="宋体"/>
          <w:color w:val="auto"/>
          <w:highlight w:val="none"/>
          <w:lang w:eastAsia="zh-CN"/>
        </w:rPr>
        <w:t>、</w:t>
      </w:r>
      <w:r>
        <w:rPr>
          <w:rFonts w:hint="eastAsia" w:ascii="宋体" w:hAnsi="宋体" w:cs="宋体"/>
          <w:color w:val="auto"/>
          <w:highlight w:val="none"/>
        </w:rPr>
        <w:t>拟签订的合同文本</w:t>
      </w:r>
      <w:bookmarkEnd w:id="147"/>
    </w:p>
    <w:p w14:paraId="4D36BC7D">
      <w:pPr>
        <w:jc w:val="center"/>
        <w:rPr>
          <w:b/>
          <w:bCs/>
          <w:color w:val="auto"/>
          <w:kern w:val="44"/>
          <w:sz w:val="44"/>
          <w:szCs w:val="44"/>
          <w:highlight w:val="none"/>
        </w:rPr>
      </w:pPr>
    </w:p>
    <w:p w14:paraId="418D6D78">
      <w:pPr>
        <w:pStyle w:val="16"/>
        <w:rPr>
          <w:color w:val="auto"/>
          <w:highlight w:val="none"/>
        </w:rPr>
      </w:pPr>
    </w:p>
    <w:p w14:paraId="77218E47">
      <w:pPr>
        <w:jc w:val="left"/>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br w:type="page"/>
      </w:r>
    </w:p>
    <w:p w14:paraId="4A3DD650">
      <w:pPr>
        <w:snapToGrid w:val="0"/>
        <w:spacing w:line="360" w:lineRule="auto"/>
        <w:jc w:val="center"/>
        <w:rPr>
          <w:rFonts w:ascii="宋体" w:hAnsi="宋体"/>
          <w:b/>
          <w:bCs/>
          <w:sz w:val="36"/>
          <w:szCs w:val="36"/>
        </w:rPr>
      </w:pPr>
      <w:r>
        <w:rPr>
          <w:rFonts w:hint="eastAsia" w:ascii="宋体" w:hAnsi="宋体"/>
          <w:b/>
          <w:bCs/>
          <w:sz w:val="36"/>
          <w:szCs w:val="36"/>
        </w:rPr>
        <w:t>《广西壮族自治区政府采购合同》</w:t>
      </w:r>
    </w:p>
    <w:p w14:paraId="419D8FE5">
      <w:pPr>
        <w:snapToGrid w:val="0"/>
        <w:spacing w:line="360" w:lineRule="auto"/>
        <w:ind w:right="480" w:firstLine="6720" w:firstLineChars="3200"/>
        <w:rPr>
          <w:rFonts w:hint="eastAsia" w:ascii="宋体" w:hAnsi="宋体" w:eastAsia="宋体" w:cs="宋体"/>
          <w:szCs w:val="21"/>
          <w:u w:val="single"/>
        </w:rPr>
      </w:pPr>
      <w:r>
        <w:rPr>
          <w:rFonts w:hint="eastAsia" w:ascii="宋体" w:hAnsi="宋体" w:eastAsia="宋体" w:cs="宋体"/>
          <w:bCs/>
          <w:szCs w:val="21"/>
        </w:rPr>
        <w:t>合同编号：</w:t>
      </w:r>
      <w:r>
        <w:rPr>
          <w:rFonts w:hint="eastAsia" w:ascii="宋体" w:hAnsi="宋体" w:eastAsia="宋体" w:cs="宋体"/>
          <w:bCs/>
          <w:szCs w:val="21"/>
          <w:lang w:val="en-US" w:eastAsia="zh-CN"/>
        </w:rPr>
        <w:t>HT</w:t>
      </w:r>
      <w:r>
        <w:rPr>
          <w:rFonts w:hint="eastAsia" w:ascii="宋体" w:hAnsi="宋体" w:eastAsia="宋体" w:cs="宋体"/>
          <w:szCs w:val="21"/>
          <w:u w:val="single"/>
        </w:rPr>
        <w:t xml:space="preserve">       </w:t>
      </w:r>
    </w:p>
    <w:p w14:paraId="3D0D78E6">
      <w:pPr>
        <w:snapToGrid w:val="0"/>
        <w:spacing w:line="360" w:lineRule="auto"/>
        <w:ind w:right="480" w:firstLine="6720" w:firstLineChars="3200"/>
        <w:rPr>
          <w:rFonts w:hint="eastAsia" w:ascii="宋体" w:hAnsi="宋体" w:eastAsia="宋体" w:cs="宋体"/>
          <w:szCs w:val="21"/>
          <w:u w:val="single"/>
        </w:rPr>
      </w:pPr>
    </w:p>
    <w:p w14:paraId="54A62B11">
      <w:pPr>
        <w:snapToGrid w:val="0"/>
        <w:spacing w:line="360" w:lineRule="auto"/>
        <w:rPr>
          <w:rFonts w:hint="eastAsia" w:ascii="宋体" w:hAnsi="宋体" w:eastAsia="宋体" w:cs="宋体"/>
          <w:szCs w:val="21"/>
        </w:rPr>
      </w:pPr>
      <w:r>
        <w:rPr>
          <w:rFonts w:hint="eastAsia" w:ascii="宋体" w:hAnsi="宋体" w:eastAsia="宋体" w:cs="宋体"/>
          <w:szCs w:val="21"/>
        </w:rPr>
        <w:t>采购人（甲方）:</w:t>
      </w:r>
      <w:r>
        <w:rPr>
          <w:rFonts w:hint="eastAsia" w:ascii="宋体" w:hAnsi="宋体" w:eastAsia="宋体" w:cs="宋体"/>
          <w:szCs w:val="21"/>
          <w:u w:val="single"/>
        </w:rPr>
        <w:t xml:space="preserve">桂林理工大学      </w:t>
      </w:r>
      <w:r>
        <w:rPr>
          <w:rFonts w:hint="eastAsia" w:ascii="宋体" w:hAnsi="宋体" w:eastAsia="宋体" w:cs="宋体"/>
          <w:szCs w:val="21"/>
        </w:rPr>
        <w:t xml:space="preserve">               采购计划文号：</w:t>
      </w:r>
      <w:r>
        <w:rPr>
          <w:rFonts w:hint="eastAsia" w:ascii="宋体" w:hAnsi="宋体" w:eastAsia="宋体" w:cs="宋体"/>
          <w:szCs w:val="21"/>
          <w:u w:val="single"/>
        </w:rPr>
        <w:t xml:space="preserve">           </w:t>
      </w:r>
    </w:p>
    <w:p w14:paraId="05CF1414">
      <w:pPr>
        <w:snapToGrid w:val="0"/>
        <w:spacing w:line="360" w:lineRule="auto"/>
        <w:rPr>
          <w:rFonts w:hint="eastAsia" w:ascii="宋体" w:hAnsi="宋体" w:eastAsia="宋体" w:cs="宋体"/>
          <w:szCs w:val="21"/>
          <w:u w:val="single"/>
        </w:rPr>
      </w:pPr>
      <w:r>
        <w:rPr>
          <w:rFonts w:hint="eastAsia" w:ascii="宋体" w:hAnsi="宋体" w:eastAsia="宋体" w:cs="宋体"/>
          <w:szCs w:val="21"/>
        </w:rPr>
        <w:t>供应商（乙方）:</w:t>
      </w:r>
      <w:r>
        <w:rPr>
          <w:rFonts w:hint="eastAsia" w:ascii="宋体" w:hAnsi="宋体" w:eastAsia="宋体" w:cs="宋体"/>
          <w:szCs w:val="21"/>
          <w:u w:val="single"/>
        </w:rPr>
        <w:t xml:space="preserve">                  </w:t>
      </w:r>
      <w:r>
        <w:rPr>
          <w:rFonts w:hint="eastAsia" w:ascii="宋体" w:hAnsi="宋体" w:eastAsia="宋体" w:cs="宋体"/>
          <w:szCs w:val="21"/>
        </w:rPr>
        <w:t xml:space="preserve">               项目编号:</w:t>
      </w:r>
      <w:r>
        <w:rPr>
          <w:rFonts w:hint="eastAsia" w:ascii="宋体" w:hAnsi="宋体" w:eastAsia="宋体" w:cs="宋体"/>
          <w:szCs w:val="21"/>
          <w:u w:val="single"/>
        </w:rPr>
        <w:t xml:space="preserve">                </w:t>
      </w:r>
    </w:p>
    <w:p w14:paraId="35191CF3">
      <w:pPr>
        <w:snapToGrid w:val="0"/>
        <w:spacing w:line="360" w:lineRule="auto"/>
        <w:rPr>
          <w:rFonts w:hint="eastAsia" w:ascii="宋体" w:hAnsi="宋体" w:eastAsia="宋体" w:cs="宋体"/>
          <w:szCs w:val="21"/>
          <w:u w:val="single"/>
        </w:rPr>
      </w:pPr>
      <w:r>
        <w:rPr>
          <w:rFonts w:hint="eastAsia" w:ascii="宋体" w:hAnsi="宋体" w:eastAsia="宋体" w:cs="宋体"/>
          <w:szCs w:val="21"/>
        </w:rPr>
        <w:t>项目名称：</w:t>
      </w:r>
      <w:r>
        <w:rPr>
          <w:rFonts w:hint="eastAsia" w:ascii="宋体" w:hAnsi="宋体" w:eastAsia="宋体" w:cs="宋体"/>
          <w:szCs w:val="21"/>
          <w:u w:val="single"/>
        </w:rPr>
        <w:t xml:space="preserve">                       </w:t>
      </w:r>
    </w:p>
    <w:p w14:paraId="74420221">
      <w:pPr>
        <w:snapToGrid w:val="0"/>
        <w:spacing w:line="360" w:lineRule="auto"/>
        <w:rPr>
          <w:rFonts w:hint="eastAsia" w:ascii="宋体" w:hAnsi="宋体" w:eastAsia="宋体" w:cs="宋体"/>
          <w:szCs w:val="21"/>
          <w:u w:val="single"/>
        </w:rPr>
      </w:pPr>
      <w:r>
        <w:rPr>
          <w:rFonts w:hint="eastAsia" w:ascii="宋体" w:hAnsi="宋体" w:eastAsia="宋体" w:cs="宋体"/>
          <w:szCs w:val="21"/>
        </w:rPr>
        <w:t>签订地点:</w:t>
      </w:r>
      <w:r>
        <w:rPr>
          <w:rFonts w:hint="eastAsia" w:ascii="宋体" w:hAnsi="宋体" w:eastAsia="宋体" w:cs="宋体"/>
          <w:szCs w:val="21"/>
          <w:u w:val="single"/>
        </w:rPr>
        <w:t xml:space="preserve">  广西桂林              </w:t>
      </w:r>
      <w:r>
        <w:rPr>
          <w:rFonts w:hint="eastAsia" w:ascii="宋体" w:hAnsi="宋体" w:eastAsia="宋体" w:cs="宋体"/>
          <w:szCs w:val="21"/>
        </w:rPr>
        <w:t xml:space="preserve">               签订时间:</w:t>
      </w:r>
      <w:r>
        <w:rPr>
          <w:rFonts w:hint="eastAsia" w:ascii="宋体" w:hAnsi="宋体" w:eastAsia="宋体" w:cs="宋体"/>
          <w:szCs w:val="21"/>
          <w:u w:val="single"/>
        </w:rPr>
        <w:t xml:space="preserve">                </w:t>
      </w:r>
    </w:p>
    <w:p w14:paraId="2358950A">
      <w:pPr>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根据《中华人民共和国政府采购法》、《</w:t>
      </w:r>
      <w:r>
        <w:rPr>
          <w:rFonts w:hint="eastAsia" w:ascii="宋体" w:hAnsi="宋体" w:eastAsia="宋体" w:cs="宋体"/>
          <w:szCs w:val="21"/>
          <w:shd w:val="clear" w:color="auto" w:fill="FFFFFF"/>
        </w:rPr>
        <w:t>中华人民共和国民法典</w:t>
      </w:r>
      <w:r>
        <w:rPr>
          <w:rFonts w:hint="eastAsia" w:ascii="宋体" w:hAnsi="宋体" w:eastAsia="宋体" w:cs="宋体"/>
          <w:szCs w:val="21"/>
        </w:rPr>
        <w:t>》等法律、法规规定，按照招标文件/竞争性</w:t>
      </w:r>
      <w:r>
        <w:rPr>
          <w:rFonts w:hint="eastAsia" w:ascii="宋体" w:hAnsi="宋体" w:eastAsia="宋体" w:cs="宋体"/>
          <w:szCs w:val="21"/>
          <w:lang w:val="en-US" w:eastAsia="zh-CN"/>
        </w:rPr>
        <w:t>磋商</w:t>
      </w:r>
      <w:r>
        <w:rPr>
          <w:rFonts w:hint="eastAsia" w:ascii="宋体" w:hAnsi="宋体" w:eastAsia="宋体" w:cs="宋体"/>
          <w:szCs w:val="21"/>
        </w:rPr>
        <w:t>文件 (以下简称采购文件)规定条款和中标（成交）供应商承诺，甲乙双方签订本合同。</w:t>
      </w:r>
    </w:p>
    <w:p w14:paraId="252113CB">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第一条　合同标的</w:t>
      </w:r>
    </w:p>
    <w:p w14:paraId="4EFE5AF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1、服务项目一览表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591"/>
        <w:gridCol w:w="2576"/>
        <w:gridCol w:w="743"/>
        <w:gridCol w:w="968"/>
        <w:gridCol w:w="1243"/>
        <w:gridCol w:w="1247"/>
      </w:tblGrid>
      <w:tr w14:paraId="27C40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1" w:hRule="atLeast"/>
          <w:jc w:val="center"/>
        </w:trPr>
        <w:tc>
          <w:tcPr>
            <w:tcW w:w="729" w:type="dxa"/>
            <w:noWrap w:val="0"/>
            <w:vAlign w:val="center"/>
          </w:tcPr>
          <w:p w14:paraId="6B50B83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91" w:type="dxa"/>
            <w:noWrap w:val="0"/>
            <w:vAlign w:val="center"/>
          </w:tcPr>
          <w:p w14:paraId="61FBB9F1">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服务项目</w:t>
            </w:r>
          </w:p>
        </w:tc>
        <w:tc>
          <w:tcPr>
            <w:tcW w:w="2576" w:type="dxa"/>
            <w:noWrap w:val="0"/>
            <w:vAlign w:val="center"/>
          </w:tcPr>
          <w:p w14:paraId="6F7640C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743" w:type="dxa"/>
            <w:noWrap w:val="0"/>
            <w:vAlign w:val="center"/>
          </w:tcPr>
          <w:p w14:paraId="035B6627">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968" w:type="dxa"/>
            <w:noWrap w:val="0"/>
            <w:vAlign w:val="center"/>
          </w:tcPr>
          <w:p w14:paraId="2B095A42">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243" w:type="dxa"/>
            <w:noWrap w:val="0"/>
            <w:vAlign w:val="center"/>
          </w:tcPr>
          <w:p w14:paraId="001C7425">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p w14:paraId="0D746AA7">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c>
          <w:tcPr>
            <w:tcW w:w="1247" w:type="dxa"/>
            <w:noWrap w:val="0"/>
            <w:vAlign w:val="center"/>
          </w:tcPr>
          <w:p w14:paraId="276D4133">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w:t>
            </w:r>
          </w:p>
          <w:p w14:paraId="4296150F">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14:paraId="5CB9E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729" w:type="dxa"/>
            <w:noWrap w:val="0"/>
            <w:vAlign w:val="center"/>
          </w:tcPr>
          <w:p w14:paraId="72B52146">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91" w:type="dxa"/>
            <w:noWrap w:val="0"/>
            <w:vAlign w:val="center"/>
          </w:tcPr>
          <w:p w14:paraId="7B1DBBD4">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桂林理工大学“雁山智慧谷・桂工科创之窗”展示中心展陈服务项目采购</w:t>
            </w:r>
          </w:p>
        </w:tc>
        <w:tc>
          <w:tcPr>
            <w:tcW w:w="2576" w:type="dxa"/>
            <w:noWrap w:val="0"/>
            <w:vAlign w:val="center"/>
          </w:tcPr>
          <w:p w14:paraId="3F88670F">
            <w:pPr>
              <w:snapToGrid w:val="0"/>
              <w:spacing w:line="360" w:lineRule="auto"/>
              <w:jc w:val="center"/>
              <w:rPr>
                <w:rFonts w:hint="eastAsia" w:ascii="宋体" w:hAnsi="宋体" w:eastAsia="宋体" w:cs="宋体"/>
                <w:color w:val="auto"/>
                <w:sz w:val="21"/>
                <w:szCs w:val="21"/>
                <w:highlight w:val="none"/>
              </w:rPr>
            </w:pPr>
            <w:r>
              <w:rPr>
                <w:rFonts w:hint="eastAsia" w:ascii="宋体" w:hAnsi="宋体" w:cs="宋体"/>
                <w:b/>
                <w:bCs/>
                <w:color w:val="auto"/>
                <w:szCs w:val="21"/>
                <w:highlight w:val="none"/>
                <w:lang w:val="en-US" w:eastAsia="zh-CN"/>
              </w:rPr>
              <w:t>按采购文件第三章采购需求及《合同》等相关要求完成本项目的采购工作</w:t>
            </w:r>
          </w:p>
        </w:tc>
        <w:tc>
          <w:tcPr>
            <w:tcW w:w="743" w:type="dxa"/>
            <w:noWrap w:val="0"/>
            <w:vAlign w:val="center"/>
          </w:tcPr>
          <w:p w14:paraId="1629C5C0">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968" w:type="dxa"/>
            <w:noWrap w:val="0"/>
            <w:vAlign w:val="center"/>
          </w:tcPr>
          <w:p w14:paraId="107BF543">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1243" w:type="dxa"/>
            <w:noWrap w:val="0"/>
            <w:vAlign w:val="center"/>
          </w:tcPr>
          <w:p w14:paraId="0226755B">
            <w:pPr>
              <w:snapToGrid w:val="0"/>
              <w:spacing w:line="360" w:lineRule="auto"/>
              <w:jc w:val="center"/>
              <w:rPr>
                <w:rFonts w:hint="eastAsia" w:ascii="宋体" w:hAnsi="宋体" w:eastAsia="宋体" w:cs="宋体"/>
                <w:color w:val="auto"/>
                <w:sz w:val="21"/>
                <w:szCs w:val="21"/>
                <w:highlight w:val="none"/>
              </w:rPr>
            </w:pPr>
          </w:p>
        </w:tc>
        <w:tc>
          <w:tcPr>
            <w:tcW w:w="1247" w:type="dxa"/>
            <w:noWrap w:val="0"/>
            <w:vAlign w:val="center"/>
          </w:tcPr>
          <w:p w14:paraId="3ECDFE82">
            <w:pPr>
              <w:snapToGrid w:val="0"/>
              <w:spacing w:line="360" w:lineRule="auto"/>
              <w:jc w:val="center"/>
              <w:rPr>
                <w:rFonts w:hint="eastAsia" w:ascii="宋体" w:hAnsi="宋体" w:eastAsia="宋体" w:cs="宋体"/>
                <w:color w:val="auto"/>
                <w:sz w:val="21"/>
                <w:szCs w:val="21"/>
                <w:highlight w:val="none"/>
              </w:rPr>
            </w:pPr>
          </w:p>
        </w:tc>
      </w:tr>
      <w:tr w14:paraId="3618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9097" w:type="dxa"/>
            <w:gridSpan w:val="7"/>
            <w:noWrap w:val="0"/>
            <w:vAlign w:val="center"/>
          </w:tcPr>
          <w:p w14:paraId="5C9C2307">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人民币合计金额（大写）                          （小写）                 </w:t>
            </w:r>
          </w:p>
        </w:tc>
      </w:tr>
    </w:tbl>
    <w:p w14:paraId="31197C06">
      <w:pPr>
        <w:spacing w:line="360" w:lineRule="auto"/>
        <w:ind w:firstLine="422" w:firstLineChars="200"/>
        <w:jc w:val="left"/>
        <w:rPr>
          <w:rFonts w:hint="default" w:ascii="宋体" w:hAnsi="宋体" w:eastAsia="宋体" w:cs="宋体"/>
          <w:b/>
          <w:bCs/>
          <w:color w:val="auto"/>
          <w:kern w:val="0"/>
          <w:szCs w:val="21"/>
          <w:highlight w:val="none"/>
          <w:lang w:val="en-US"/>
        </w:rPr>
      </w:pPr>
      <w:r>
        <w:rPr>
          <w:rFonts w:hint="eastAsia" w:ascii="宋体" w:hAnsi="宋体" w:eastAsia="宋体" w:cs="宋体"/>
          <w:b/>
          <w:bCs/>
          <w:color w:val="auto"/>
          <w:sz w:val="21"/>
          <w:szCs w:val="21"/>
          <w:highlight w:val="none"/>
        </w:rPr>
        <w:t>合同金额应</w:t>
      </w:r>
      <w:r>
        <w:rPr>
          <w:rFonts w:hint="default" w:ascii="宋体" w:hAnsi="宋体" w:eastAsia="宋体" w:cs="宋体"/>
          <w:b/>
          <w:bCs/>
          <w:color w:val="auto"/>
          <w:kern w:val="0"/>
          <w:szCs w:val="21"/>
          <w:highlight w:val="none"/>
          <w:lang w:val="en-US"/>
        </w:rPr>
        <w:t>为全费用固定总价包干报价，须充分预判合同履约周期内人工、材料、辅材、运输、市场波动、政策性调整、校园施工管控、风险兜底等全部潜在成本及风险因素，并统一计入磋商报价。除采购文件及合同明确约定的法定变更情形外，履约全过程不接受任何调价、补差、增项申请。须全面覆盖本项目展陈服务全部工作内容，包含但不限于：展陈深化设计、内容策划、素材制作、数字化内容开发、软硬件集成、材料及配套物资采购、现场布设安装、水电耗材、成品保护、文明作业、垃圾清运、系统调试、试运行、预验收、竣工验收、专项检测（含CMA环保检测、安全检测等全部检测费用）、资料归档、技术培训、运维指导、项目管理、规费、税金、保险、合理利润、合同风险、质保期内免费维保、终身维修成本、智能化多媒体集成开发等完成本项目交付标准所需全部工作及费用，</w:t>
      </w:r>
      <w:r>
        <w:rPr>
          <w:rFonts w:hint="eastAsia" w:ascii="宋体" w:hAnsi="宋体" w:eastAsia="宋体" w:cs="宋体"/>
          <w:b/>
          <w:bCs/>
          <w:color w:val="auto"/>
          <w:kern w:val="0"/>
          <w:szCs w:val="21"/>
          <w:highlight w:val="none"/>
          <w:lang w:val="en-US" w:eastAsia="zh-CN"/>
        </w:rPr>
        <w:t>甲方</w:t>
      </w:r>
      <w:r>
        <w:rPr>
          <w:rFonts w:hint="default" w:ascii="宋体" w:hAnsi="宋体" w:eastAsia="宋体" w:cs="宋体"/>
          <w:b/>
          <w:bCs/>
          <w:color w:val="auto"/>
          <w:kern w:val="0"/>
          <w:szCs w:val="21"/>
          <w:highlight w:val="none"/>
          <w:lang w:val="en-US"/>
        </w:rPr>
        <w:t>履约期内不另行支付任何其他费用。</w:t>
      </w:r>
    </w:p>
    <w:p w14:paraId="49F194F0">
      <w:pPr>
        <w:keepNext w:val="0"/>
        <w:keepLines w:val="0"/>
        <w:pageBreakBefore w:val="0"/>
        <w:widowControl w:val="0"/>
        <w:kinsoku/>
        <w:overflowPunct/>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第二条　服务内容</w:t>
      </w:r>
    </w:p>
    <w:p w14:paraId="483B3299">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eastAsia="宋体" w:cs="宋体"/>
          <w:b w:val="0"/>
          <w:szCs w:val="21"/>
          <w:highlight w:val="none"/>
          <w:lang w:val="en-US" w:eastAsia="zh-CN"/>
        </w:rPr>
        <w:t>乙方</w:t>
      </w:r>
      <w:r>
        <w:rPr>
          <w:rFonts w:hint="default" w:ascii="宋体" w:hAnsi="宋体" w:eastAsia="宋体" w:cs="宋体"/>
          <w:b w:val="0"/>
          <w:szCs w:val="21"/>
          <w:highlight w:val="none"/>
          <w:lang w:val="en-US" w:eastAsia="zh-CN"/>
        </w:rPr>
        <w:t>须提供全流程展陈服务，包含展示中心深化设计、方案优化、制作实施、现场布展、软硬件系统集成、调试运行、验收交付、操作培训、质保运维等全部服务工作。服务范围涵盖空间结构搭建、主题场景制作、展柜展台定制制作、图文内容陈列布展、强弱电配套布设、多媒体软硬件部署、智能化系统集成调试等相关配套工作，包含但不限于：</w:t>
      </w:r>
    </w:p>
    <w:p w14:paraId="05F7C3B1">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（1）</w:t>
      </w:r>
      <w:r>
        <w:rPr>
          <w:rFonts w:hint="default" w:ascii="宋体" w:hAnsi="宋体" w:eastAsia="宋体" w:cs="宋体"/>
          <w:b w:val="0"/>
          <w:szCs w:val="21"/>
          <w:highlight w:val="none"/>
          <w:lang w:val="en-US" w:eastAsia="zh-CN"/>
        </w:rPr>
        <w:t>展厅空间改造配套服务</w:t>
      </w:r>
    </w:p>
    <w:p w14:paraId="7B704803">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根据整体展陈设计方案及现场布展需求，提供展厅装饰美化、强电改造、弱电管线布设改造、隐蔽工程、现场收口等配套服务。所有实施内容、工艺标准以采购文件、设计成果及现场实际需求为准，保障整体空间风格统一、整洁美观、安全合规、坚固耐用。</w:t>
      </w:r>
    </w:p>
    <w:p w14:paraId="33151DD6">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（2）</w:t>
      </w:r>
      <w:r>
        <w:rPr>
          <w:rFonts w:hint="default" w:ascii="宋体" w:hAnsi="宋体" w:eastAsia="宋体" w:cs="宋体"/>
          <w:b w:val="0"/>
          <w:szCs w:val="21"/>
          <w:highlight w:val="none"/>
          <w:lang w:val="en-US" w:eastAsia="zh-CN"/>
        </w:rPr>
        <w:t>展陈深化设计、制作安装与系统集成服务</w:t>
      </w:r>
    </w:p>
    <w:p w14:paraId="774652D2">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1）</w:t>
      </w:r>
      <w:r>
        <w:rPr>
          <w:rFonts w:hint="default" w:ascii="宋体" w:hAnsi="宋体" w:eastAsia="宋体" w:cs="宋体"/>
          <w:b w:val="0"/>
          <w:szCs w:val="21"/>
          <w:highlight w:val="none"/>
          <w:lang w:val="en-US" w:eastAsia="zh-CN"/>
        </w:rPr>
        <w:t>依据项目整体展陈方案，完成全展厅施工图级深化设计，包含展陈展项、展墙展柜、造型场景、图文版面、专业展陈灯光、展陈总控逻辑等；并完成加工制作、现场安装、拼接收口、成品保护；确保整体效果与主题风格统一、工艺精良、安全稳固。</w:t>
      </w:r>
    </w:p>
    <w:p w14:paraId="37D7DB86">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2）</w:t>
      </w:r>
      <w:r>
        <w:rPr>
          <w:rFonts w:hint="default" w:ascii="宋体" w:hAnsi="宋体" w:eastAsia="宋体" w:cs="宋体"/>
          <w:b w:val="0"/>
          <w:szCs w:val="21"/>
          <w:highlight w:val="none"/>
          <w:lang w:val="en-US" w:eastAsia="zh-CN"/>
        </w:rPr>
        <w:t>提供全展厅多媒体系统、智能交互终端、音视频系统整体集成服务，开展点位优化、管线规整、系统联调测试；合理规划设备安装位置，实现设备隐蔽布设、管线整洁，实现硬件设备、软件系统、静态展陈、动态交互场景稳定联动运行。</w:t>
      </w:r>
    </w:p>
    <w:p w14:paraId="29E541F2">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3）</w:t>
      </w:r>
      <w:r>
        <w:rPr>
          <w:rFonts w:hint="default" w:ascii="宋体" w:hAnsi="宋体" w:eastAsia="宋体" w:cs="宋体"/>
          <w:b w:val="0"/>
          <w:szCs w:val="21"/>
          <w:highlight w:val="none"/>
          <w:lang w:val="en-US" w:eastAsia="zh-CN"/>
        </w:rPr>
        <w:t>现场前期预处理及保护性施工配套服务</w:t>
      </w:r>
    </w:p>
    <w:p w14:paraId="75139ADD">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提供进场前全部前期配套服务：现场原有非保留构件合规拆除、垃圾清运、场地平整；对现场原有建筑、设施、管线、门窗进行全覆盖成品保护；落实安全防护、文明施工、场地复原等工作，施工过程不得损坏原有建构筑物设施。</w:t>
      </w:r>
    </w:p>
    <w:p w14:paraId="0E25215A">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default" w:ascii="宋体" w:hAnsi="宋体" w:eastAsia="宋体" w:cs="宋体"/>
          <w:b w:val="0"/>
          <w:szCs w:val="21"/>
          <w:highlight w:val="none"/>
          <w:lang w:val="en-US" w:eastAsia="zh-CN"/>
        </w:rPr>
      </w:pPr>
      <w:r>
        <w:rPr>
          <w:rFonts w:hint="eastAsia" w:ascii="宋体" w:hAnsi="宋体" w:cs="宋体"/>
          <w:b w:val="0"/>
          <w:szCs w:val="21"/>
          <w:highlight w:val="none"/>
          <w:lang w:val="en-US" w:eastAsia="zh-CN"/>
        </w:rPr>
        <w:t>4）</w:t>
      </w:r>
      <w:r>
        <w:rPr>
          <w:rFonts w:hint="default" w:ascii="宋体" w:hAnsi="宋体" w:eastAsia="宋体" w:cs="宋体"/>
          <w:b w:val="0"/>
          <w:szCs w:val="21"/>
          <w:highlight w:val="none"/>
          <w:lang w:val="en-US" w:eastAsia="zh-CN"/>
        </w:rPr>
        <w:t>整体交付要求</w:t>
      </w:r>
    </w:p>
    <w:p w14:paraId="47958C5C">
      <w:pPr>
        <w:keepNext w:val="0"/>
        <w:keepLines w:val="0"/>
        <w:pageBreakBefore w:val="0"/>
        <w:widowControl w:val="0"/>
        <w:kinsoku/>
        <w:wordWrap w:val="0"/>
        <w:overflowPunct/>
        <w:topLinePunct/>
        <w:autoSpaceDE/>
        <w:autoSpaceDN/>
        <w:bidi w:val="0"/>
        <w:adjustRightInd/>
        <w:snapToGrid/>
        <w:spacing w:line="360" w:lineRule="auto"/>
        <w:ind w:firstLine="420" w:firstLineChars="200"/>
        <w:jc w:val="left"/>
        <w:textAlignment w:val="auto"/>
        <w:rPr>
          <w:rFonts w:hint="eastAsia" w:ascii="宋体" w:hAnsi="宋体" w:eastAsia="宋体" w:cs="宋体"/>
          <w:b w:val="0"/>
          <w:szCs w:val="21"/>
          <w:highlight w:val="none"/>
          <w:lang w:val="en-US" w:eastAsia="zh-CN"/>
        </w:rPr>
      </w:pPr>
      <w:r>
        <w:rPr>
          <w:rFonts w:hint="default" w:ascii="宋体" w:hAnsi="宋体" w:eastAsia="宋体" w:cs="宋体"/>
          <w:b w:val="0"/>
          <w:szCs w:val="21"/>
          <w:highlight w:val="none"/>
          <w:lang w:val="en-US" w:eastAsia="zh-CN"/>
        </w:rPr>
        <w:t>供应商完成全部展陈服务，最终交付达到展馆常态化开放标准；完整移交竣工资料、设备资料、操作手册；对校方管理人员开展免费操作、运维培训，并提供合同约定的质保售后。</w:t>
      </w:r>
    </w:p>
    <w:p w14:paraId="4FB1C026">
      <w:pPr>
        <w:keepNext w:val="0"/>
        <w:keepLines w:val="0"/>
        <w:pageBreakBefore w:val="0"/>
        <w:widowControl w:val="0"/>
        <w:kinsoku/>
        <w:overflowPunct/>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条　质量保证</w:t>
      </w:r>
    </w:p>
    <w:p w14:paraId="3C029610">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1、乙方所提供的服内容、技术标准等质量必须与磋商响应文件承诺相一致。</w:t>
      </w:r>
    </w:p>
    <w:p w14:paraId="4D04EF60">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2、乙方所提供的服务</w:t>
      </w:r>
      <w:r>
        <w:rPr>
          <w:rFonts w:hint="eastAsia" w:ascii="宋体" w:hAnsi="宋体" w:eastAsia="宋体" w:cs="宋体"/>
          <w:color w:val="auto"/>
          <w:sz w:val="21"/>
          <w:szCs w:val="21"/>
          <w:highlight w:val="none"/>
          <w:lang w:val="en-US" w:eastAsia="zh-CN"/>
        </w:rPr>
        <w:t>及供应货物</w:t>
      </w:r>
      <w:r>
        <w:rPr>
          <w:rFonts w:hint="eastAsia" w:ascii="宋体" w:hAnsi="宋体" w:eastAsia="宋体" w:cs="宋体"/>
          <w:color w:val="auto"/>
          <w:sz w:val="21"/>
          <w:szCs w:val="21"/>
          <w:highlight w:val="none"/>
        </w:rPr>
        <w:t>必须符合国家、行业法律法规的相关规定。</w:t>
      </w:r>
    </w:p>
    <w:p w14:paraId="3B170F18">
      <w:pPr>
        <w:keepNext w:val="0"/>
        <w:keepLines w:val="0"/>
        <w:pageBreakBefore w:val="0"/>
        <w:widowControl w:val="0"/>
        <w:kinsoku/>
        <w:overflowPunct/>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条　权力保证</w:t>
      </w:r>
    </w:p>
    <w:p w14:paraId="73B68E1C">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1、乙方应保证所提供服务</w:t>
      </w:r>
      <w:r>
        <w:rPr>
          <w:rFonts w:hint="eastAsia" w:ascii="宋体" w:hAnsi="宋体" w:eastAsia="宋体" w:cs="宋体"/>
          <w:color w:val="auto"/>
          <w:sz w:val="21"/>
          <w:szCs w:val="21"/>
          <w:highlight w:val="none"/>
          <w:lang w:val="en-US" w:eastAsia="zh-CN"/>
        </w:rPr>
        <w:t>及货物</w:t>
      </w:r>
      <w:r>
        <w:rPr>
          <w:rFonts w:hint="eastAsia" w:ascii="宋体" w:hAnsi="宋体" w:eastAsia="宋体" w:cs="宋体"/>
          <w:color w:val="auto"/>
          <w:sz w:val="21"/>
          <w:szCs w:val="21"/>
          <w:highlight w:val="none"/>
        </w:rPr>
        <w:t>在实施过程中不会侵犯任何第三方的专利权、商标权、工业设计权或其他权利。</w:t>
      </w:r>
    </w:p>
    <w:p w14:paraId="42F135FF">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2、乙方应按采购文件规定的时间向甲方提供服务实施的有关技术资料</w:t>
      </w:r>
      <w:r>
        <w:rPr>
          <w:rFonts w:hint="eastAsia" w:ascii="宋体" w:hAnsi="宋体" w:eastAsia="宋体" w:cs="宋体"/>
          <w:color w:val="auto"/>
          <w:sz w:val="21"/>
          <w:szCs w:val="21"/>
          <w:highlight w:val="none"/>
          <w:lang w:val="en-US" w:eastAsia="zh-CN"/>
        </w:rPr>
        <w:t>及最终符合甲方要求的产品</w:t>
      </w:r>
      <w:r>
        <w:rPr>
          <w:rFonts w:hint="eastAsia" w:ascii="宋体" w:hAnsi="宋体" w:eastAsia="宋体" w:cs="宋体"/>
          <w:color w:val="auto"/>
          <w:sz w:val="21"/>
          <w:szCs w:val="21"/>
          <w:highlight w:val="none"/>
        </w:rPr>
        <w:t>。</w:t>
      </w:r>
    </w:p>
    <w:p w14:paraId="493C8408">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没有甲方事先书面同意，乙方不得将由甲方提供的有关合同或任何合同条文、计划、图纸或资料提供给与履行本合同无关的任何其他人。即使向履行本合同有关的人员提供，也应注意保密并限于履行合同的必需范围。</w:t>
      </w:r>
    </w:p>
    <w:p w14:paraId="202541A8">
      <w:pPr>
        <w:keepNext w:val="0"/>
        <w:keepLines w:val="0"/>
        <w:pageBreakBefore w:val="0"/>
        <w:widowControl w:val="0"/>
        <w:kinsoku/>
        <w:overflowPunct/>
        <w:autoSpaceDE/>
        <w:autoSpaceDN/>
        <w:bidi w:val="0"/>
        <w:adjustRightInd/>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条　服务时间及地点</w:t>
      </w:r>
    </w:p>
    <w:p w14:paraId="5382B337">
      <w:pPr>
        <w:keepNext w:val="0"/>
        <w:keepLines w:val="0"/>
        <w:pageBreakBefore w:val="0"/>
        <w:widowControl w:val="0"/>
        <w:kinsoku/>
        <w:overflowPunct/>
        <w:autoSpaceDE/>
        <w:autoSpaceDN/>
        <w:bidi w:val="0"/>
        <w:adjustRightInd/>
        <w:snapToGrid/>
        <w:spacing w:line="360" w:lineRule="auto"/>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1、服务</w:t>
      </w:r>
      <w:r>
        <w:rPr>
          <w:rFonts w:hint="eastAsia" w:ascii="宋体" w:hAnsi="宋体" w:eastAsia="宋体" w:cs="宋体"/>
          <w:color w:val="auto"/>
          <w:sz w:val="21"/>
          <w:szCs w:val="21"/>
          <w:highlight w:val="none"/>
          <w:lang w:val="en-US" w:eastAsia="zh-CN"/>
        </w:rPr>
        <w:t>期限</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091CFB6B">
      <w:pPr>
        <w:snapToGrid w:val="0"/>
        <w:spacing w:line="360" w:lineRule="auto"/>
        <w:ind w:firstLine="420" w:firstLineChars="20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服务</w:t>
      </w: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lang w:val="en-US" w:eastAsia="zh-CN"/>
        </w:rPr>
        <w:t xml:space="preserve">                                </w:t>
      </w:r>
    </w:p>
    <w:p w14:paraId="3D3153B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乙方提供不符合响应文件和本合同规定的服务，甲方有权拒绝接受。</w:t>
      </w:r>
    </w:p>
    <w:p w14:paraId="29632A65">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六</w:t>
      </w:r>
      <w:r>
        <w:rPr>
          <w:rFonts w:hint="eastAsia" w:ascii="宋体" w:hAnsi="宋体" w:eastAsia="宋体" w:cs="宋体"/>
          <w:b/>
          <w:color w:val="auto"/>
          <w:sz w:val="21"/>
          <w:szCs w:val="21"/>
          <w:highlight w:val="none"/>
        </w:rPr>
        <w:t>条　培训</w:t>
      </w:r>
    </w:p>
    <w:p w14:paraId="22D567BB">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1、乙方负责甲方有关人员的培训。培训时间、地点：</w:t>
      </w:r>
      <w:r>
        <w:rPr>
          <w:rFonts w:hint="eastAsia" w:ascii="宋体" w:hAnsi="宋体" w:eastAsia="宋体" w:cs="宋体"/>
          <w:color w:val="auto"/>
          <w:sz w:val="21"/>
          <w:szCs w:val="21"/>
          <w:highlight w:val="none"/>
          <w:u w:val="single"/>
        </w:rPr>
        <w:t>广西桂林市甲方指定地点</w:t>
      </w:r>
      <w:r>
        <w:rPr>
          <w:rFonts w:hint="eastAsia" w:ascii="宋体" w:hAnsi="宋体" w:eastAsia="宋体" w:cs="宋体"/>
          <w:color w:val="auto"/>
          <w:sz w:val="21"/>
          <w:szCs w:val="21"/>
          <w:highlight w:val="none"/>
        </w:rPr>
        <w:t>。</w:t>
      </w:r>
    </w:p>
    <w:p w14:paraId="2ED7355C">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七</w:t>
      </w:r>
      <w:r>
        <w:rPr>
          <w:rFonts w:hint="eastAsia" w:ascii="宋体" w:hAnsi="宋体" w:eastAsia="宋体" w:cs="宋体"/>
          <w:b/>
          <w:color w:val="auto"/>
          <w:sz w:val="21"/>
          <w:szCs w:val="21"/>
          <w:highlight w:val="none"/>
        </w:rPr>
        <w:t>条  售后服务及质保期</w:t>
      </w:r>
    </w:p>
    <w:p w14:paraId="70ED510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1、乙方应按照国家有关法律法规的规定以及响应文件和</w:t>
      </w:r>
      <w:r>
        <w:rPr>
          <w:rFonts w:hint="eastAsia" w:ascii="宋体" w:hAnsi="宋体" w:eastAsia="宋体" w:cs="宋体"/>
          <w:color w:val="auto"/>
          <w:sz w:val="21"/>
          <w:szCs w:val="21"/>
          <w:highlight w:val="none"/>
          <w:lang w:val="en-US" w:eastAsia="zh-CN"/>
        </w:rPr>
        <w:t>采购要求</w:t>
      </w:r>
      <w:r>
        <w:rPr>
          <w:rFonts w:hint="eastAsia" w:ascii="宋体" w:hAnsi="宋体" w:eastAsia="宋体" w:cs="宋体"/>
          <w:color w:val="auto"/>
          <w:sz w:val="21"/>
          <w:szCs w:val="21"/>
          <w:highlight w:val="none"/>
        </w:rPr>
        <w:t>，为甲方提供售后服务。</w:t>
      </w:r>
    </w:p>
    <w:p w14:paraId="3312C0CA">
      <w:pPr>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2、乙方提供的服务承诺和售后服务及质保期责任等其它具体约定事项。</w:t>
      </w:r>
    </w:p>
    <w:p w14:paraId="64083820">
      <w:pPr>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八</w:t>
      </w:r>
      <w:r>
        <w:rPr>
          <w:rFonts w:hint="eastAsia" w:ascii="宋体" w:hAnsi="宋体" w:eastAsia="宋体" w:cs="宋体"/>
          <w:b/>
          <w:color w:val="auto"/>
          <w:sz w:val="21"/>
          <w:szCs w:val="21"/>
          <w:highlight w:val="none"/>
        </w:rPr>
        <w:t>条　付款方式和履约保证金</w:t>
      </w:r>
    </w:p>
    <w:p w14:paraId="1DB67FE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、付款方式：</w:t>
      </w:r>
      <w:r>
        <w:rPr>
          <w:rFonts w:hint="eastAsia" w:ascii="宋体" w:hAnsi="宋体" w:eastAsia="宋体" w:cs="宋体"/>
          <w:sz w:val="21"/>
          <w:szCs w:val="21"/>
          <w:highlight w:val="none"/>
        </w:rPr>
        <w:t>本项目通过最终验收后，</w:t>
      </w:r>
      <w:r>
        <w:rPr>
          <w:rFonts w:hint="eastAsia" w:ascii="宋体" w:hAnsi="宋体" w:eastAsia="宋体" w:cs="宋体"/>
          <w:color w:val="auto"/>
          <w:szCs w:val="21"/>
          <w:highlight w:val="none"/>
          <w:lang w:val="en-US" w:eastAsia="zh-CN"/>
        </w:rPr>
        <w:t>乙方</w:t>
      </w:r>
      <w:r>
        <w:rPr>
          <w:rFonts w:hint="eastAsia" w:ascii="宋体" w:hAnsi="宋体" w:eastAsia="宋体" w:cs="宋体"/>
          <w:sz w:val="21"/>
          <w:szCs w:val="21"/>
          <w:highlight w:val="none"/>
        </w:rPr>
        <w:t>开具全额发票（国产设备必须开具增值税专用发票）给</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甲方</w:t>
      </w:r>
      <w:r>
        <w:rPr>
          <w:rFonts w:hint="eastAsia" w:ascii="宋体" w:hAnsi="宋体" w:eastAsia="宋体" w:cs="宋体"/>
          <w:sz w:val="21"/>
          <w:szCs w:val="21"/>
          <w:highlight w:val="none"/>
        </w:rPr>
        <w:t>收到发票后10个工作日内一次性付清100%的合同价款（无息）</w:t>
      </w:r>
      <w:r>
        <w:rPr>
          <w:rFonts w:hint="eastAsia" w:ascii="宋体" w:hAnsi="宋体" w:eastAsia="宋体" w:cs="宋体"/>
          <w:color w:val="auto"/>
          <w:sz w:val="21"/>
          <w:szCs w:val="21"/>
          <w:highlight w:val="none"/>
        </w:rPr>
        <w:t>。</w:t>
      </w:r>
    </w:p>
    <w:p w14:paraId="1C85015A">
      <w:pPr>
        <w:snapToGrid/>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、履约保证金：</w:t>
      </w:r>
    </w:p>
    <w:p w14:paraId="4192F65E">
      <w:pPr>
        <w:snapToGrid/>
        <w:spacing w:line="360" w:lineRule="auto"/>
        <w:ind w:firstLine="420" w:firstLineChars="200"/>
        <w:rPr>
          <w:rFonts w:ascii="宋体" w:hAnsi="宋体" w:cs="宋体"/>
          <w:color w:val="auto"/>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1</w:t>
      </w:r>
      <w:r>
        <w:rPr>
          <w:rFonts w:hint="eastAsia" w:ascii="宋体" w:hAnsi="宋体"/>
          <w:color w:val="auto"/>
          <w:szCs w:val="21"/>
          <w:highlight w:val="none"/>
          <w:lang w:eastAsia="zh-CN"/>
        </w:rPr>
        <w:t>）</w:t>
      </w:r>
      <w:r>
        <w:rPr>
          <w:rFonts w:hint="eastAsia" w:ascii="宋体" w:hAnsi="宋体"/>
          <w:color w:val="auto"/>
          <w:szCs w:val="21"/>
          <w:highlight w:val="none"/>
        </w:rPr>
        <w:t>履约保证金金额</w:t>
      </w:r>
      <w:r>
        <w:rPr>
          <w:rFonts w:hint="eastAsia" w:ascii="宋体" w:hAnsi="宋体" w:cs="宋体"/>
          <w:color w:val="auto"/>
          <w:highlight w:val="none"/>
        </w:rPr>
        <w:t>：</w:t>
      </w:r>
      <w:r>
        <w:rPr>
          <w:rFonts w:hint="eastAsia" w:ascii="宋体" w:hAnsi="宋体" w:cs="宋体"/>
          <w:color w:val="auto"/>
          <w:highlight w:val="none"/>
          <w:lang w:val="en-US" w:eastAsia="zh-CN"/>
        </w:rPr>
        <w:t>按</w:t>
      </w:r>
      <w:r>
        <w:rPr>
          <w:rFonts w:hint="eastAsia" w:ascii="宋体" w:hAnsi="宋体"/>
          <w:color w:val="auto"/>
          <w:szCs w:val="21"/>
          <w:highlight w:val="none"/>
        </w:rPr>
        <w:t>成交金额的5%</w:t>
      </w:r>
      <w:r>
        <w:rPr>
          <w:rFonts w:hint="eastAsia" w:ascii="宋体" w:hAnsi="宋体"/>
          <w:color w:val="auto"/>
          <w:szCs w:val="21"/>
          <w:highlight w:val="none"/>
          <w:lang w:eastAsia="zh-CN"/>
        </w:rPr>
        <w:t>【</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供应商为中小微企业的，按成交金额的2%</w:t>
      </w:r>
      <w:r>
        <w:rPr>
          <w:rFonts w:hint="eastAsia" w:ascii="宋体" w:hAnsi="宋体"/>
          <w:color w:val="auto"/>
          <w:szCs w:val="21"/>
          <w:highlight w:val="none"/>
          <w:lang w:eastAsia="zh-CN"/>
        </w:rPr>
        <w:t>】</w:t>
      </w:r>
      <w:r>
        <w:rPr>
          <w:rFonts w:hint="eastAsia" w:ascii="宋体" w:hAnsi="宋体" w:cs="宋体"/>
          <w:color w:val="auto"/>
          <w:highlight w:val="none"/>
        </w:rPr>
        <w:t>。</w:t>
      </w:r>
    </w:p>
    <w:p w14:paraId="04AA0A75">
      <w:pPr>
        <w:snapToGrid/>
        <w:spacing w:line="360" w:lineRule="auto"/>
        <w:ind w:firstLine="420" w:firstLineChars="200"/>
        <w:rPr>
          <w:rFonts w:ascii="宋体" w:hAnsi="宋体" w:cs="宋体"/>
          <w:color w:val="auto"/>
          <w:szCs w:val="21"/>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2</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履约保证金递交方式</w:t>
      </w:r>
      <w:r>
        <w:rPr>
          <w:rFonts w:hint="eastAsia" w:hAnsi="宋体"/>
          <w:color w:val="auto"/>
          <w:highlight w:val="none"/>
        </w:rPr>
        <w:t>：</w:t>
      </w:r>
      <w:r>
        <w:rPr>
          <w:rFonts w:hint="eastAsia" w:ascii="宋体" w:hAnsi="宋体" w:eastAsia="宋体" w:cs="宋体"/>
          <w:b w:val="0"/>
          <w:sz w:val="21"/>
          <w:szCs w:val="21"/>
          <w:highlight w:val="none"/>
        </w:rPr>
        <w:t>转账、电汇、银行保函、保险保函等非现金形式</w:t>
      </w:r>
      <w:r>
        <w:rPr>
          <w:rFonts w:hint="eastAsia" w:ascii="宋体" w:hAnsi="宋体" w:cs="宋体"/>
          <w:color w:val="auto"/>
          <w:szCs w:val="21"/>
          <w:highlight w:val="none"/>
        </w:rPr>
        <w:t>。</w:t>
      </w:r>
    </w:p>
    <w:p w14:paraId="5C2F612E">
      <w:pPr>
        <w:snapToGrid/>
        <w:spacing w:line="360" w:lineRule="auto"/>
        <w:ind w:firstLine="420" w:firstLineChars="200"/>
        <w:rPr>
          <w:rFonts w:ascii="宋体" w:hAnsi="宋体" w:cs="宋体"/>
          <w:color w:val="auto"/>
          <w:kern w:val="0"/>
          <w:highlight w:val="none"/>
        </w:rPr>
      </w:pPr>
      <w:r>
        <w:rPr>
          <w:rFonts w:hint="eastAsia" w:ascii="宋体" w:hAnsi="宋体" w:cs="Courier New"/>
          <w:color w:val="auto"/>
          <w:szCs w:val="21"/>
          <w:highlight w:val="none"/>
          <w:lang w:eastAsia="zh-CN"/>
        </w:rPr>
        <w:t>（</w:t>
      </w:r>
      <w:r>
        <w:rPr>
          <w:rFonts w:hint="eastAsia" w:ascii="宋体" w:hAnsi="宋体" w:cs="Courier New"/>
          <w:color w:val="auto"/>
          <w:szCs w:val="21"/>
          <w:highlight w:val="none"/>
          <w:lang w:val="en-US" w:eastAsia="zh-CN"/>
        </w:rPr>
        <w:t>3</w:t>
      </w:r>
      <w:r>
        <w:rPr>
          <w:rFonts w:hint="eastAsia" w:ascii="宋体" w:hAnsi="宋体" w:cs="Courier New"/>
          <w:color w:val="auto"/>
          <w:szCs w:val="21"/>
          <w:highlight w:val="none"/>
          <w:lang w:eastAsia="zh-CN"/>
        </w:rPr>
        <w:t>）</w:t>
      </w:r>
      <w:r>
        <w:rPr>
          <w:rFonts w:hint="eastAsia" w:ascii="宋体" w:hAnsi="宋体" w:cs="Courier New"/>
          <w:color w:val="auto"/>
          <w:szCs w:val="21"/>
          <w:highlight w:val="none"/>
        </w:rPr>
        <w:t>履约保证金递交方式及相关要求</w:t>
      </w:r>
    </w:p>
    <w:p w14:paraId="16473E54">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①履约保证金采用银行转账交纳方式的</w:t>
      </w:r>
      <w:r>
        <w:rPr>
          <w:rFonts w:hint="eastAsia" w:ascii="宋体" w:hAnsi="宋体"/>
          <w:color w:val="auto"/>
          <w:highlight w:val="none"/>
        </w:rPr>
        <w:t>，乙方在签订合同前交至甲方指定账户并且到账。</w:t>
      </w:r>
    </w:p>
    <w:p w14:paraId="344190D1">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②履约保证金采用支票</w:t>
      </w:r>
      <w:r>
        <w:rPr>
          <w:rFonts w:hint="eastAsia" w:ascii="宋体" w:hAnsi="宋体"/>
          <w:color w:val="auto"/>
          <w:highlight w:val="none"/>
        </w:rPr>
        <w:t>、汇票或本票交纳方式的，乙方在签订合同前，向甲方提交支票、汇票或本票原件。</w:t>
      </w:r>
    </w:p>
    <w:p w14:paraId="12134AD2">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③履约保证金采用银行</w:t>
      </w:r>
      <w:r>
        <w:rPr>
          <w:rFonts w:hint="eastAsia" w:ascii="宋体" w:hAnsi="宋体"/>
          <w:color w:val="auto"/>
          <w:highlight w:val="none"/>
        </w:rPr>
        <w:t>、保险机构出具的保函交纳方式的，乙方在签订合同前，向甲方提交保函原件。</w:t>
      </w:r>
    </w:p>
    <w:p w14:paraId="39CF77B3">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④履约保证金指定账户</w:t>
      </w:r>
    </w:p>
    <w:p w14:paraId="3F1874AF">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开户名称</w:t>
      </w:r>
      <w:r>
        <w:rPr>
          <w:rFonts w:hint="eastAsia" w:ascii="宋体" w:hAnsi="宋体"/>
          <w:color w:val="auto"/>
          <w:highlight w:val="none"/>
        </w:rPr>
        <w:t>：</w:t>
      </w:r>
      <w:r>
        <w:rPr>
          <w:rFonts w:hint="eastAsia" w:ascii="宋体" w:hAnsi="宋体"/>
          <w:color w:val="auto"/>
          <w:kern w:val="0"/>
          <w:szCs w:val="21"/>
          <w:highlight w:val="none"/>
          <w:u w:val="single"/>
        </w:rPr>
        <w:t>桂林理工大学</w:t>
      </w:r>
      <w:r>
        <w:rPr>
          <w:rFonts w:hint="eastAsia" w:ascii="宋体" w:hAnsi="宋体" w:cs="Arial"/>
          <w:color w:val="auto"/>
          <w:szCs w:val="21"/>
          <w:highlight w:val="none"/>
        </w:rPr>
        <w:t>；</w:t>
      </w:r>
    </w:p>
    <w:p w14:paraId="260E83AB">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开户银行</w:t>
      </w:r>
      <w:r>
        <w:rPr>
          <w:rFonts w:hint="eastAsia" w:ascii="宋体" w:hAnsi="宋体"/>
          <w:color w:val="auto"/>
          <w:highlight w:val="none"/>
        </w:rPr>
        <w:t>：</w:t>
      </w:r>
      <w:r>
        <w:rPr>
          <w:rFonts w:hint="eastAsia" w:ascii="宋体" w:hAnsi="宋体"/>
          <w:color w:val="auto"/>
          <w:kern w:val="0"/>
          <w:szCs w:val="21"/>
          <w:highlight w:val="none"/>
          <w:u w:val="single"/>
        </w:rPr>
        <w:t>中国银行桂林分行</w:t>
      </w:r>
      <w:r>
        <w:rPr>
          <w:rFonts w:hint="eastAsia" w:ascii="宋体" w:hAnsi="宋体" w:cs="Arial"/>
          <w:color w:val="auto"/>
          <w:szCs w:val="21"/>
          <w:highlight w:val="none"/>
        </w:rPr>
        <w:t>；</w:t>
      </w:r>
    </w:p>
    <w:p w14:paraId="73916398">
      <w:pPr>
        <w:snapToGrid/>
        <w:spacing w:line="360" w:lineRule="auto"/>
        <w:ind w:firstLine="420" w:firstLineChars="200"/>
        <w:rPr>
          <w:rFonts w:ascii="宋体" w:hAnsi="宋体"/>
          <w:color w:val="auto"/>
          <w:highlight w:val="none"/>
        </w:rPr>
      </w:pPr>
      <w:r>
        <w:rPr>
          <w:rFonts w:hint="eastAsia" w:ascii="宋体" w:hAnsi="宋体" w:cs="Courier New"/>
          <w:color w:val="auto"/>
          <w:szCs w:val="21"/>
          <w:highlight w:val="none"/>
        </w:rPr>
        <w:t>银行账号</w:t>
      </w:r>
      <w:r>
        <w:rPr>
          <w:rFonts w:hint="eastAsia" w:ascii="宋体" w:hAnsi="宋体"/>
          <w:color w:val="auto"/>
          <w:highlight w:val="none"/>
        </w:rPr>
        <w:t>：</w:t>
      </w:r>
      <w:r>
        <w:rPr>
          <w:rFonts w:hint="eastAsia" w:ascii="宋体" w:hAnsi="宋体"/>
          <w:color w:val="auto"/>
          <w:kern w:val="0"/>
          <w:szCs w:val="21"/>
          <w:highlight w:val="none"/>
          <w:u w:val="single"/>
        </w:rPr>
        <w:t>613257488744</w:t>
      </w:r>
      <w:r>
        <w:rPr>
          <w:rFonts w:hint="eastAsia" w:ascii="宋体" w:hAnsi="宋体" w:cs="Arial"/>
          <w:color w:val="auto"/>
          <w:szCs w:val="21"/>
          <w:highlight w:val="none"/>
        </w:rPr>
        <w:t>。</w:t>
      </w:r>
    </w:p>
    <w:p w14:paraId="2EDB5885">
      <w:pPr>
        <w:snapToGrid/>
        <w:spacing w:line="360" w:lineRule="auto"/>
        <w:ind w:firstLine="420" w:firstLineChars="200"/>
        <w:rPr>
          <w:rFonts w:ascii="宋体" w:hAnsi="宋体" w:cs="宋体"/>
          <w:color w:val="auto"/>
          <w:kern w:val="0"/>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4</w:t>
      </w:r>
      <w:r>
        <w:rPr>
          <w:rFonts w:hint="eastAsia" w:ascii="宋体" w:hAnsi="宋体"/>
          <w:color w:val="auto"/>
          <w:szCs w:val="21"/>
          <w:highlight w:val="none"/>
          <w:lang w:eastAsia="zh-CN"/>
        </w:rPr>
        <w:t>）</w:t>
      </w:r>
      <w:r>
        <w:rPr>
          <w:rFonts w:hint="eastAsia" w:ascii="宋体" w:hAnsi="宋体"/>
          <w:color w:val="auto"/>
          <w:szCs w:val="21"/>
          <w:highlight w:val="none"/>
        </w:rPr>
        <w:t>履约保证金退付方式</w:t>
      </w:r>
      <w:r>
        <w:rPr>
          <w:rFonts w:hint="eastAsia" w:ascii="宋体" w:hAnsi="宋体"/>
          <w:color w:val="auto"/>
          <w:highlight w:val="none"/>
        </w:rPr>
        <w:t>、时间及条件</w:t>
      </w:r>
      <w:r>
        <w:rPr>
          <w:rFonts w:ascii="宋体" w:hAnsi="宋体" w:cs="宋体"/>
          <w:color w:val="auto"/>
          <w:kern w:val="0"/>
          <w:highlight w:val="none"/>
        </w:rPr>
        <w:t>：</w:t>
      </w:r>
    </w:p>
    <w:p w14:paraId="04508D2E">
      <w:pPr>
        <w:snapToGrid/>
        <w:spacing w:line="360" w:lineRule="auto"/>
        <w:ind w:firstLine="420" w:firstLineChars="200"/>
        <w:rPr>
          <w:rFonts w:hint="eastAsia" w:ascii="宋体" w:hAnsi="宋体" w:cs="宋体"/>
          <w:color w:val="auto"/>
          <w:szCs w:val="21"/>
          <w:highlight w:val="none"/>
          <w:u w:val="single"/>
        </w:rPr>
      </w:pPr>
      <w:r>
        <w:rPr>
          <w:rFonts w:hint="eastAsia" w:ascii="宋体" w:hAnsi="宋体" w:cs="宋体"/>
          <w:color w:val="auto"/>
          <w:kern w:val="0"/>
          <w:highlight w:val="none"/>
        </w:rPr>
        <w:t>①</w:t>
      </w:r>
      <w:r>
        <w:rPr>
          <w:rFonts w:hint="eastAsia"/>
          <w:color w:val="auto"/>
          <w:highlight w:val="none"/>
        </w:rPr>
        <w:t>履约保证金在</w:t>
      </w:r>
      <w:r>
        <w:rPr>
          <w:rFonts w:hint="eastAsia"/>
          <w:color w:val="auto"/>
          <w:highlight w:val="none"/>
          <w:lang w:val="en-US" w:eastAsia="zh-CN"/>
        </w:rPr>
        <w:t>乙方</w:t>
      </w:r>
      <w:r>
        <w:rPr>
          <w:rFonts w:hint="eastAsia" w:ascii="宋体" w:hAnsi="宋体" w:eastAsia="宋体" w:cs="宋体"/>
          <w:color w:val="auto"/>
          <w:sz w:val="21"/>
          <w:szCs w:val="21"/>
          <w:highlight w:val="none"/>
        </w:rPr>
        <w:t>履行完合同约定的权利义务（包括免费保修服务等）事项后7个工作日内，由</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供应商凭履约保证金的申请表及合同向采购人申请办理履约保证金退还手续，采购人在收到合格材料后5个工作日内以银行转账方式如数退还（不计利息）</w:t>
      </w:r>
      <w:r>
        <w:rPr>
          <w:rFonts w:hint="eastAsia"/>
          <w:color w:val="auto"/>
          <w:highlight w:val="none"/>
        </w:rPr>
        <w:t>。</w:t>
      </w:r>
    </w:p>
    <w:p w14:paraId="00ECA079">
      <w:pPr>
        <w:snapToGrid/>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②</w:t>
      </w:r>
      <w:r>
        <w:rPr>
          <w:rFonts w:hint="eastAsia" w:ascii="宋体" w:hAnsi="宋体"/>
          <w:color w:val="auto"/>
          <w:szCs w:val="21"/>
          <w:highlight w:val="none"/>
        </w:rPr>
        <w:t>乙方</w:t>
      </w:r>
      <w:r>
        <w:rPr>
          <w:rFonts w:ascii="宋体" w:hAnsi="宋体" w:cs="Courier New"/>
          <w:color w:val="auto"/>
          <w:szCs w:val="21"/>
          <w:highlight w:val="none"/>
        </w:rPr>
        <w:t>在签订合同后存在违约情形的</w:t>
      </w:r>
      <w:r>
        <w:rPr>
          <w:rFonts w:ascii="宋体" w:hAnsi="宋体" w:cs="宋体"/>
          <w:color w:val="auto"/>
          <w:kern w:val="0"/>
          <w:highlight w:val="none"/>
        </w:rPr>
        <w:t>，</w:t>
      </w:r>
      <w:r>
        <w:rPr>
          <w:rFonts w:hint="eastAsia" w:ascii="宋体" w:hAnsi="宋体" w:cs="宋体"/>
          <w:color w:val="auto"/>
          <w:kern w:val="0"/>
          <w:highlight w:val="none"/>
        </w:rPr>
        <w:t>履约保证金或</w:t>
      </w:r>
      <w:r>
        <w:rPr>
          <w:rFonts w:ascii="宋体" w:hAnsi="宋体" w:cs="宋体"/>
          <w:color w:val="auto"/>
          <w:kern w:val="0"/>
          <w:highlight w:val="none"/>
        </w:rPr>
        <w:t>保函原件不予退还</w:t>
      </w:r>
      <w:r>
        <w:rPr>
          <w:rFonts w:hint="eastAsia" w:ascii="宋体" w:hAnsi="宋体" w:cs="宋体"/>
          <w:color w:val="auto"/>
          <w:kern w:val="0"/>
          <w:highlight w:val="none"/>
        </w:rPr>
        <w:t>。</w:t>
      </w:r>
      <w:r>
        <w:rPr>
          <w:rFonts w:hint="eastAsia" w:ascii="宋体" w:hAnsi="宋体"/>
          <w:color w:val="auto"/>
          <w:szCs w:val="21"/>
          <w:highlight w:val="none"/>
        </w:rPr>
        <w:t>保函形式的甲方</w:t>
      </w:r>
      <w:r>
        <w:rPr>
          <w:rFonts w:ascii="宋体" w:hAnsi="宋体"/>
          <w:color w:val="auto"/>
          <w:szCs w:val="21"/>
          <w:highlight w:val="none"/>
        </w:rPr>
        <w:t>按相关规定由出具保函的</w:t>
      </w:r>
      <w:r>
        <w:rPr>
          <w:rFonts w:hint="eastAsia" w:ascii="宋体" w:hAnsi="宋体"/>
          <w:color w:val="auto"/>
          <w:szCs w:val="21"/>
          <w:highlight w:val="none"/>
        </w:rPr>
        <w:t>银行</w:t>
      </w:r>
      <w:r>
        <w:rPr>
          <w:rFonts w:ascii="宋体" w:hAnsi="宋体" w:cs="宋体"/>
          <w:color w:val="auto"/>
          <w:kern w:val="0"/>
          <w:highlight w:val="none"/>
        </w:rPr>
        <w:t>、</w:t>
      </w:r>
      <w:r>
        <w:rPr>
          <w:rFonts w:hint="eastAsia" w:ascii="宋体" w:hAnsi="宋体" w:cs="宋体"/>
          <w:color w:val="auto"/>
          <w:kern w:val="0"/>
          <w:highlight w:val="none"/>
        </w:rPr>
        <w:t>保险</w:t>
      </w:r>
      <w:r>
        <w:rPr>
          <w:rFonts w:ascii="宋体" w:hAnsi="宋体" w:cs="宋体"/>
          <w:color w:val="auto"/>
          <w:kern w:val="0"/>
          <w:highlight w:val="none"/>
        </w:rPr>
        <w:t>机构承担供应商违约赔付责任，履约保证金不足以赔偿损失的，按实际损失赔偿。</w:t>
      </w:r>
    </w:p>
    <w:p w14:paraId="53250E3B">
      <w:pPr>
        <w:snapToGrid/>
        <w:spacing w:line="360" w:lineRule="auto"/>
        <w:ind w:firstLine="420" w:firstLineChars="200"/>
        <w:rPr>
          <w:rFonts w:ascii="宋体" w:hAnsi="宋体"/>
          <w:color w:val="auto"/>
          <w:highlight w:val="none"/>
          <w:u w:val="single"/>
        </w:rPr>
      </w:pPr>
      <w:r>
        <w:rPr>
          <w:rFonts w:hint="eastAsia" w:ascii="宋体" w:hAnsi="宋体" w:cs="宋体"/>
          <w:color w:val="auto"/>
          <w:kern w:val="0"/>
          <w:highlight w:val="none"/>
        </w:rPr>
        <w:t>③</w:t>
      </w:r>
      <w:r>
        <w:rPr>
          <w:rFonts w:hint="eastAsia" w:ascii="宋体" w:hAnsi="宋体"/>
          <w:color w:val="auto"/>
          <w:szCs w:val="21"/>
          <w:highlight w:val="none"/>
        </w:rPr>
        <w:t>在履约保证金退还日期前</w:t>
      </w:r>
      <w:r>
        <w:rPr>
          <w:rFonts w:hint="eastAsia" w:hAnsi="宋体"/>
          <w:color w:val="auto"/>
          <w:highlight w:val="none"/>
        </w:rPr>
        <w:t>，若</w:t>
      </w:r>
      <w:r>
        <w:rPr>
          <w:rFonts w:hint="eastAsia" w:ascii="宋体" w:hAnsi="宋体"/>
          <w:color w:val="auto"/>
          <w:szCs w:val="21"/>
          <w:highlight w:val="none"/>
        </w:rPr>
        <w:t>乙方</w:t>
      </w:r>
      <w:r>
        <w:rPr>
          <w:rFonts w:hint="eastAsia" w:hAnsi="宋体"/>
          <w:color w:val="auto"/>
          <w:highlight w:val="none"/>
        </w:rPr>
        <w:t>的开户名称、开户银行、账号有变动的，请以书面形式通知履约保证金收取单位，否则由此产生的后果由</w:t>
      </w:r>
      <w:r>
        <w:rPr>
          <w:rFonts w:hint="eastAsia" w:ascii="宋体" w:hAnsi="宋体"/>
          <w:color w:val="auto"/>
          <w:szCs w:val="21"/>
          <w:highlight w:val="none"/>
        </w:rPr>
        <w:t>乙方</w:t>
      </w:r>
      <w:r>
        <w:rPr>
          <w:rFonts w:hint="eastAsia" w:hAnsi="宋体"/>
          <w:color w:val="auto"/>
          <w:highlight w:val="none"/>
        </w:rPr>
        <w:t>自负。</w:t>
      </w:r>
    </w:p>
    <w:p w14:paraId="0BCA1B2E">
      <w:pPr>
        <w:snapToGrid/>
        <w:spacing w:line="360" w:lineRule="auto"/>
        <w:ind w:firstLine="420" w:firstLineChars="200"/>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5</w:t>
      </w:r>
      <w:r>
        <w:rPr>
          <w:rFonts w:hint="eastAsia" w:ascii="宋体" w:hAnsi="宋体"/>
          <w:color w:val="auto"/>
          <w:highlight w:val="none"/>
          <w:lang w:eastAsia="zh-CN"/>
        </w:rPr>
        <w:t>）</w:t>
      </w:r>
      <w:r>
        <w:rPr>
          <w:rFonts w:ascii="宋体" w:hAnsi="宋体"/>
          <w:color w:val="auto"/>
          <w:highlight w:val="none"/>
        </w:rPr>
        <w:t>履约保证金不足额缴纳的，或银行、保险机构出具的保函额度不足的或者保函有效期低于合同履行期限（即签订采购合同之日起至履行完合同约定的权利及义务之日止）的，不予签订合同。采用银行、保险机构出具的保函的，必须为无条件保函，否则不予签订合同。</w:t>
      </w:r>
    </w:p>
    <w:p w14:paraId="3ED62524">
      <w:pPr>
        <w:snapToGrid/>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九</w:t>
      </w:r>
      <w:r>
        <w:rPr>
          <w:rFonts w:hint="eastAsia" w:ascii="宋体" w:hAnsi="宋体" w:eastAsia="宋体" w:cs="宋体"/>
          <w:b/>
          <w:color w:val="auto"/>
          <w:sz w:val="21"/>
          <w:szCs w:val="21"/>
          <w:highlight w:val="none"/>
        </w:rPr>
        <w:t>条  税费</w:t>
      </w:r>
    </w:p>
    <w:p w14:paraId="38A40FFB">
      <w:pPr>
        <w:snapToGrid/>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本合同执行中相关的一切税费均由乙方负担。</w:t>
      </w:r>
    </w:p>
    <w:p w14:paraId="090AA3DE">
      <w:pPr>
        <w:snapToGrid/>
        <w:spacing w:line="360" w:lineRule="auto"/>
        <w:ind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w:t>
      </w:r>
      <w:r>
        <w:rPr>
          <w:rFonts w:hint="eastAsia" w:ascii="宋体" w:hAnsi="宋体" w:eastAsia="宋体" w:cs="宋体"/>
          <w:b/>
          <w:color w:val="auto"/>
          <w:sz w:val="21"/>
          <w:szCs w:val="21"/>
          <w:highlight w:val="none"/>
          <w:lang w:val="en-US" w:eastAsia="zh-CN"/>
        </w:rPr>
        <w:t>十</w:t>
      </w:r>
      <w:r>
        <w:rPr>
          <w:rFonts w:hint="eastAsia" w:ascii="宋体" w:hAnsi="宋体" w:eastAsia="宋体" w:cs="宋体"/>
          <w:b/>
          <w:color w:val="auto"/>
          <w:sz w:val="21"/>
          <w:szCs w:val="21"/>
          <w:highlight w:val="none"/>
        </w:rPr>
        <w:t>条  验收</w:t>
      </w:r>
    </w:p>
    <w:p w14:paraId="4647D5A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highlight w:val="none"/>
        </w:rPr>
        <w:t>乙方完成全部服务并提交试运行报告后，进入7个日历天试运行期；试运行合格后15个工作日内，甲方组织正式验收</w:t>
      </w:r>
      <w:r>
        <w:rPr>
          <w:rFonts w:hint="eastAsia" w:ascii="宋体" w:hAnsi="宋体" w:eastAsia="宋体" w:cs="宋体"/>
          <w:color w:val="auto"/>
          <w:sz w:val="21"/>
          <w:szCs w:val="21"/>
          <w:highlight w:val="none"/>
        </w:rPr>
        <w:t>，逾期不验收的，乙方可视同验收合格。验收合格后由甲乙双方签署货物验收单并加盖采购单位公章，甲乙双方各执一份。</w:t>
      </w:r>
    </w:p>
    <w:p w14:paraId="7232A60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851C09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3、对技术复杂的内容，甲方应请国家认可的专业检测机构参与初步验收及最终验收，并由其出具质量检测报告。验收时乙方必须在现场，验收费用由乙方负责。</w:t>
      </w:r>
    </w:p>
    <w:p w14:paraId="38460B7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4、甲方对验收有异议的，在验收后5个工作日内以书面形式向乙方提出，乙方应自收到甲方书面异议后</w:t>
      </w:r>
      <w:r>
        <w:rPr>
          <w:rFonts w:hint="eastAsia" w:ascii="宋体" w:hAnsi="宋体" w:eastAsia="宋体" w:cs="宋体"/>
          <w:color w:val="auto"/>
          <w:sz w:val="21"/>
          <w:szCs w:val="21"/>
          <w:highlight w:val="none"/>
          <w:u w:val="single"/>
        </w:rPr>
        <w:t>10</w:t>
      </w:r>
      <w:r>
        <w:rPr>
          <w:rFonts w:hint="eastAsia" w:ascii="宋体" w:hAnsi="宋体" w:eastAsia="宋体" w:cs="宋体"/>
          <w:color w:val="auto"/>
          <w:sz w:val="21"/>
          <w:szCs w:val="21"/>
          <w:highlight w:val="none"/>
        </w:rPr>
        <w:t>日内及时予以解决。</w:t>
      </w:r>
    </w:p>
    <w:p w14:paraId="664E07CB">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一</w:t>
      </w:r>
      <w:r>
        <w:rPr>
          <w:rFonts w:hint="eastAsia" w:ascii="宋体" w:hAnsi="宋体" w:eastAsia="宋体" w:cs="宋体"/>
          <w:b/>
          <w:color w:val="auto"/>
          <w:sz w:val="21"/>
          <w:szCs w:val="21"/>
          <w:highlight w:val="none"/>
        </w:rPr>
        <w:t>条　违约责任</w:t>
      </w:r>
    </w:p>
    <w:p w14:paraId="43C8E77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（一）甲方违约责任</w:t>
      </w:r>
    </w:p>
    <w:p w14:paraId="3D6965A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甲方无故延期验收的，每天向乙方偿付违约款额3‰违约金，但违约金累计不得超过违约款额的5%，超过15天乙方有权解除合同，违约方承担因此给对方造成的经济损失；甲方延期付款的，每天向乙方偿付延期款额3‰滞纳金，但滞纳金累计不得超过延期款额的5%。</w:t>
      </w:r>
    </w:p>
    <w:p w14:paraId="34D0E68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2、甲方无故变更或增加服务内容，未及时通知乙方，给乙方造成经济损失的，所增加费用由甲方承担。</w:t>
      </w:r>
    </w:p>
    <w:p w14:paraId="098CFDC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3、甲方有其它违约行为的，由违约方向对方支付违约内容涉及款额的5%，违约内容涉及款额的5%不足以赔偿经济损失的，按实际经济损失赔偿。</w:t>
      </w:r>
    </w:p>
    <w:p w14:paraId="713D19A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（二）乙方违约责任</w:t>
      </w:r>
    </w:p>
    <w:p w14:paraId="23FE4B47">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若乙方所供货物质量不合格无法降级使用的，乙方应自接到甲方通知之日起一周内更换为双方约定的合格产品，并赔偿给甲方造成的全部损失；如乙方未在上述期限内完成换货的，甲方有权解除本合同，乙方除应全部返还甲方已付款外，还应承担给甲方造成的全部损失，未使用货物在乙方退还甲方全部货款及赔偿损失后由乙方自行运走，已使用货物甲方不予支付任何货款。</w:t>
      </w:r>
    </w:p>
    <w:p w14:paraId="4133291E">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乙方所供货物质量不合格甲方认为可以降级使用的，乙方应向甲方支付所涉金额10-20%（以合同为准，合同金额10万及以上执行10%，10万以下执行20%）的赔偿金，上述赔偿金不足以支付给甲方造成的损失的，乙方按甲方实际损失给予赔偿。</w:t>
      </w:r>
    </w:p>
    <w:p w14:paraId="7FD5D963">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2、价格执行一次的合同(订单），乙方无法执行合同的，乙方应按所涉货物金额的10%向甲方支付损失赔偿金，情节恶劣或严重的取消在甲方今后所有项目的投标资格，并扣除全部合同履约保证金。</w:t>
      </w:r>
    </w:p>
    <w:p w14:paraId="4FCEA47E">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价格长期执行的物资（有执行期限的）,乙方提出后期不再执行的，按照未执行完期限承担1000元/月违约金（不足一个月按一个月计算)，乙方承诺甲方有权从乙方未结算货款中扣除，违约金最高不超过乙方交纳的投标保证金。</w:t>
      </w:r>
    </w:p>
    <w:p w14:paraId="02C27441">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若乙方不能如期全部供货,每迟延交货一天,甲方有权要求乙方支付未到货物金额的5%作为损失赔偿金：乙方延期交货超过柒日的,甲方有权解除合同，上述损失赔偿金累计计算，最高不超过投标保证金金额。甲方有权直接从货款中扣除或乙方以现金形式交纳。</w:t>
      </w:r>
    </w:p>
    <w:p w14:paraId="6BE916C9">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若乙方在供货过程中存在掺杂使假、以次充好、弄虚作假等行为，乙方应按涉及货物总金额的1-3倍的标准赔偿甲方经济损失，同时影响后期的合作，如甲方要求更换时乙方应在自收到通知之日起一周内更换完毕，因更换产生的相关费用（包括人工费、运输费等）由乙方承担。</w:t>
      </w:r>
    </w:p>
    <w:p w14:paraId="72A52333">
      <w:pPr>
        <w:snapToGrid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退货货物乙方应自接到甲方通知之日起30日内到甲方现场将退货货物自行运回或书面委托甲方办理托运（运费由乙方承担），如乙方在上述期限内未自行运回也未委托甲方办理托运，将视为乙方承诺自动放弃以上退货货物的所有权，甲方有权自行处理上述退货货物，由此产生的一切损失，包含但不限于仓储费、人工费等，均由乙方承担，以上损失乙方承诺甲方有权在未付货款中予以扣除。</w:t>
      </w:r>
    </w:p>
    <w:p w14:paraId="1994488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、乙方无正当理由中途解除、变更、终止合同的，甲方不予退还履约保证金，乙方除承担未履行部分服务费用5%的违约金，同时赔偿因此给甲方造成的经济损失（赔偿金额不超过合同金额）。</w:t>
      </w:r>
    </w:p>
    <w:p w14:paraId="2E16B33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由于乙方原因，未按本合同规定的时间交付服务成果的，每逾期1日（不足1日按1日计算），甲方扣除履约保证金的3‰作为违约金，但违约金累计不得超过履约保证金总金额。逾期超过15天时，甲方不予退还履约保证金，并有权决定是否解除或继续履行合同。对因乙方违约导致甲方解除合同的，乙方应退还甲方已支付款项（若有）并赔偿因此给甲方造成的经济损失。</w:t>
      </w:r>
    </w:p>
    <w:p w14:paraId="6CA6870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、乙方未按本合同和响应文件中规定的服务承诺提供售后服务的，乙方应按本合同合计金额 5%向甲方支付违约金。</w:t>
      </w:r>
    </w:p>
    <w:p w14:paraId="52D1416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、未经甲方允许存在擅自外泄信息的行为（包含但不限于故意、过错或过失泄密），承担由此引起的一切法律责任。</w:t>
      </w:r>
    </w:p>
    <w:p w14:paraId="08003FC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由于乙方未按磋商文件或乙方响应文件的承诺聘请相关评审专家，导致评审结果不准确或有误的，甲方不予退还履约保证金，并有权决定是否解除或继续履行合同。对因乙方违约导致甲方解除合同的，乙方应退还甲方已支付款项（若有），并赔偿因此给甲方造成的经济损失（赔偿金额不超过合同金额）。</w:t>
      </w:r>
    </w:p>
    <w:p w14:paraId="151A79BA">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、乙方未经甲方同意，擅自将本合同转包或分包的，甲方有权终止合同、拒付并收回已支付合同款项，并扣罚全部履约保证金。</w:t>
      </w:r>
    </w:p>
    <w:p w14:paraId="5CD2ECB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乙方于响应文件中必须对所有服务内容要求作出真实、有效的响应和承诺。验收前，甲方现场根据采购文件要求及响应文件承诺对各项内容逐条对应进行核验，核验或检测数据不符合甲方要求及响应文件承诺的指标的，甲方有权终止合同执行并全部退货，由此造成甲方经济损失的由乙方负责承担全部赔偿责任并向甲方支付合同金额的30%违约赔偿金。如有异议，将交由国家认可并具有检验检测资质的第三方机构进行检验，若核验结果的各项参数指标不满足甲方要求及响应文件承诺的指标要求，所有产生的费用由乙方承担，并承担政府采购虚假竞标的相关法律责任。</w:t>
      </w:r>
    </w:p>
    <w:p w14:paraId="4C24543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、乙方有其它违约行为的，由违约方向对方支付违约内容涉及款额的5%，违约内容涉及款额的5%不足以赔偿经济损失的，按实际经济损失赔偿。</w:t>
      </w:r>
    </w:p>
    <w:p w14:paraId="64DF7FB6">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条  不可抗力事件处理</w:t>
      </w:r>
    </w:p>
    <w:p w14:paraId="4F92AF56">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乙双方的任何一方由于不可抗力的原因不能履行合同时，应及时以书面形式向对方通报不能履行或不能完全履行合同的理由；在取得有关主管机关证明后，允许延期履行、部分履行或者不履行合同，并根据情况可部分或全部免予承担违约责任。如果不可抗力持续作用超过90天，各方将通过友好协商解决未来的合同执行问题。各方就本合同的终止或继续履行应达成一致意见并签署书面补充协议。</w:t>
      </w:r>
    </w:p>
    <w:p w14:paraId="03CEB166">
      <w:pPr>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条  合同争议解决及诉讼</w:t>
      </w:r>
    </w:p>
    <w:p w14:paraId="04BB497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1、凡执行本合同所发生的或与本合同有关的一切争议，依照《中华人民共和国民法典》，在不违背本合同的前提下，双方友好协商解决；协商结果以“纪要”形式作为合同附件，与合同具有同等效力。</w:t>
      </w:r>
    </w:p>
    <w:p w14:paraId="6AE0D1C9">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2、如对任何争议向甲方所在地人民法院提起诉讼。</w:t>
      </w:r>
    </w:p>
    <w:p w14:paraId="48727C39">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条 合同生效及其它</w:t>
      </w:r>
    </w:p>
    <w:p w14:paraId="423F93A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（一）本合同经甲乙双方签字、盖章后生效，至合同项下的义务完成后，合同自动失效。</w:t>
      </w:r>
    </w:p>
    <w:p w14:paraId="4FD3255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（二）如发生以下情况，任何一方有权单方终止合同，但须以书面方式通知对方：</w:t>
      </w:r>
    </w:p>
    <w:p w14:paraId="7AF2171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1、一方进入破产、撤销或已进入清算阶段，或被依法解散；</w:t>
      </w:r>
    </w:p>
    <w:p w14:paraId="227B29D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2、一方财务状况严重恶化，不能支付到期债务；</w:t>
      </w:r>
    </w:p>
    <w:p w14:paraId="7D50671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3、出现合同规定的或法定解除事由；</w:t>
      </w:r>
    </w:p>
    <w:p w14:paraId="08DFF26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4、除本合同和法律法规另有规定外，任何一方发生上述情况，将被视作违约，另一方有权依照本合同的规定，追究违约方的违约责任。</w:t>
      </w:r>
    </w:p>
    <w:p w14:paraId="3C850B2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（三）本合同一经签署，未经双方同意，任何一方不得随意更改本合同。如本合同在履行过程中有任何变更、补充或修改，双方应另行协商并签订书面协议。本合同的附件和补充协议是本合同不可分割的一部分。</w:t>
      </w:r>
    </w:p>
    <w:p w14:paraId="7F291A00">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（四）本项目允许分包</w:t>
      </w:r>
    </w:p>
    <w:p w14:paraId="74EE8494">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本项目主体展陈深化、现场安装、中控集成不得分包；数字动画、素材制作等非主体辅助内容可分包，但</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rPr>
        <w:t>需承担全部连带责任。</w:t>
      </w:r>
    </w:p>
    <w:p w14:paraId="47FB0A2E">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条　合同的变更、终止与转让</w:t>
      </w:r>
    </w:p>
    <w:p w14:paraId="744CCF9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1、除《中华人民共和国政府采购法》第50条规定的情形外，本合同一经签订，甲乙双方不得擅自变更、中止或终止。</w:t>
      </w:r>
    </w:p>
    <w:p w14:paraId="0953C04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2、乙方不得擅自转让其应履行的合同义务。</w:t>
      </w:r>
    </w:p>
    <w:p w14:paraId="6191F810">
      <w:pPr>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第十</w:t>
      </w:r>
      <w:r>
        <w:rPr>
          <w:rFonts w:hint="eastAsia" w:ascii="宋体" w:hAnsi="宋体" w:eastAsia="宋体" w:cs="宋体"/>
          <w:b/>
          <w:color w:val="auto"/>
          <w:sz w:val="21"/>
          <w:szCs w:val="21"/>
          <w:highlight w:val="none"/>
          <w:lang w:val="en-US" w:eastAsia="zh-CN"/>
        </w:rPr>
        <w:t>六</w:t>
      </w:r>
      <w:r>
        <w:rPr>
          <w:rFonts w:hint="eastAsia" w:ascii="宋体" w:hAnsi="宋体" w:eastAsia="宋体" w:cs="宋体"/>
          <w:b/>
          <w:color w:val="auto"/>
          <w:sz w:val="21"/>
          <w:szCs w:val="21"/>
          <w:highlight w:val="none"/>
        </w:rPr>
        <w:t>条　签订本合同依据</w:t>
      </w:r>
    </w:p>
    <w:p w14:paraId="48F34C4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1、竞争性磋商文件；</w:t>
      </w:r>
    </w:p>
    <w:p w14:paraId="08D71E4C">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2、乙方响应文件；</w:t>
      </w:r>
    </w:p>
    <w:p w14:paraId="414507FF">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3、成交通知书；</w:t>
      </w:r>
    </w:p>
    <w:p w14:paraId="32F44FDD">
      <w:pPr>
        <w:snapToGrid/>
        <w:spacing w:line="360" w:lineRule="auto"/>
        <w:ind w:firstLine="422" w:firstLineChars="200"/>
        <w:rPr>
          <w:rFonts w:hint="eastAsia" w:ascii="宋体" w:hAnsi="宋体" w:cs="宋体"/>
          <w:szCs w:val="21"/>
        </w:rPr>
      </w:pPr>
      <w:r>
        <w:rPr>
          <w:rFonts w:hint="eastAsia" w:ascii="宋体" w:hAnsi="宋体" w:cs="宋体"/>
          <w:b/>
          <w:szCs w:val="21"/>
        </w:rPr>
        <w:t>第十</w:t>
      </w:r>
      <w:r>
        <w:rPr>
          <w:rFonts w:hint="eastAsia" w:ascii="宋体" w:hAnsi="宋体" w:cs="宋体"/>
          <w:b/>
          <w:szCs w:val="21"/>
          <w:lang w:val="en-US" w:eastAsia="zh-CN"/>
        </w:rPr>
        <w:t>七</w:t>
      </w:r>
      <w:r>
        <w:rPr>
          <w:rFonts w:hint="eastAsia" w:ascii="宋体" w:hAnsi="宋体" w:cs="宋体"/>
          <w:b/>
          <w:szCs w:val="21"/>
        </w:rPr>
        <w:t>条　</w:t>
      </w:r>
      <w:r>
        <w:rPr>
          <w:rFonts w:hint="eastAsia" w:ascii="宋体" w:hAnsi="宋体" w:cs="宋体"/>
          <w:szCs w:val="21"/>
        </w:rPr>
        <w:t>本合同一式四份，具有同等法律效力，甲方两份、乙方一份、采购代理机构一份（可根据需要另</w:t>
      </w:r>
      <w:r>
        <w:rPr>
          <w:rFonts w:hint="eastAsia" w:ascii="宋体" w:hAnsi="宋体" w:cs="宋体"/>
          <w:szCs w:val="21"/>
          <w:lang w:eastAsia="zh-CN"/>
        </w:rPr>
        <w:t>行</w:t>
      </w:r>
      <w:r>
        <w:rPr>
          <w:rFonts w:hint="eastAsia" w:ascii="宋体" w:hAnsi="宋体" w:cs="宋体"/>
          <w:szCs w:val="21"/>
        </w:rPr>
        <w:t>增加）。</w:t>
      </w:r>
    </w:p>
    <w:p w14:paraId="1CD3F228">
      <w:pPr>
        <w:snapToGrid/>
        <w:spacing w:line="360" w:lineRule="auto"/>
        <w:ind w:firstLine="420" w:firstLineChars="200"/>
        <w:rPr>
          <w:rFonts w:hint="eastAsia" w:ascii="宋体" w:hAnsi="宋体" w:cs="宋体"/>
          <w:szCs w:val="21"/>
        </w:rPr>
      </w:pPr>
      <w:r>
        <w:rPr>
          <w:rFonts w:hint="eastAsia" w:ascii="宋体" w:hAnsi="宋体" w:cs="宋体"/>
          <w:szCs w:val="21"/>
        </w:rPr>
        <w:t>本合同</w:t>
      </w:r>
      <w:r>
        <w:rPr>
          <w:rFonts w:hint="eastAsia" w:ascii="宋体" w:hAnsi="宋体" w:cs="宋体"/>
          <w:szCs w:val="21"/>
          <w:lang w:eastAsia="zh-CN"/>
        </w:rPr>
        <w:t>在</w:t>
      </w:r>
      <w:r>
        <w:rPr>
          <w:rFonts w:hint="eastAsia" w:ascii="宋体" w:hAnsi="宋体" w:cs="宋体"/>
          <w:szCs w:val="21"/>
        </w:rPr>
        <w:t>甲乙双方签字并盖章后生效。</w:t>
      </w:r>
    </w:p>
    <w:p w14:paraId="4DC02358">
      <w:pPr>
        <w:snapToGrid w:val="0"/>
        <w:spacing w:line="340" w:lineRule="exact"/>
        <w:rPr>
          <w:rFonts w:ascii="宋体" w:hAnsi="宋体"/>
          <w:szCs w:val="21"/>
        </w:rPr>
      </w:pPr>
    </w:p>
    <w:tbl>
      <w:tblPr>
        <w:tblStyle w:val="33"/>
        <w:tblW w:w="9033"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724D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4516" w:type="dxa"/>
            <w:vAlign w:val="center"/>
          </w:tcPr>
          <w:p w14:paraId="09FDA17B">
            <w:pPr>
              <w:snapToGrid w:val="0"/>
              <w:spacing w:line="360" w:lineRule="exact"/>
              <w:rPr>
                <w:rFonts w:hint="eastAsia" w:ascii="宋体" w:hAnsi="宋体"/>
                <w:szCs w:val="21"/>
              </w:rPr>
            </w:pPr>
            <w:r>
              <w:rPr>
                <w:rFonts w:hint="eastAsia" w:ascii="宋体" w:hAnsi="宋体"/>
                <w:szCs w:val="21"/>
              </w:rPr>
              <w:t>甲方（章）</w:t>
            </w:r>
            <w:r>
              <w:rPr>
                <w:rFonts w:hint="eastAsia" w:ascii="宋体" w:hAnsi="宋体"/>
                <w:szCs w:val="21"/>
                <w:lang w:val="en-US" w:eastAsia="zh-CN"/>
              </w:rPr>
              <w:t>桂林理工大学</w:t>
            </w:r>
            <w:r>
              <w:rPr>
                <w:rFonts w:hint="eastAsia" w:ascii="宋体" w:hAnsi="宋体"/>
                <w:szCs w:val="21"/>
              </w:rPr>
              <w:t xml:space="preserve">           </w:t>
            </w:r>
          </w:p>
          <w:p w14:paraId="21BEE8EC">
            <w:pPr>
              <w:snapToGrid w:val="0"/>
              <w:spacing w:line="360" w:lineRule="exact"/>
              <w:rPr>
                <w:rFonts w:hint="eastAsia" w:ascii="宋体" w:hAnsi="宋体"/>
                <w:szCs w:val="21"/>
              </w:rPr>
            </w:pPr>
          </w:p>
          <w:p w14:paraId="4BB3B676">
            <w:pPr>
              <w:snapToGrid w:val="0"/>
              <w:spacing w:line="360" w:lineRule="exact"/>
              <w:ind w:firstLine="630" w:firstLineChars="300"/>
              <w:rPr>
                <w:rFonts w:ascii="宋体" w:hAnsi="宋体"/>
                <w:szCs w:val="21"/>
              </w:rPr>
            </w:pPr>
            <w:r>
              <w:rPr>
                <w:rFonts w:hint="eastAsia" w:ascii="宋体" w:hAnsi="宋体"/>
                <w:szCs w:val="21"/>
              </w:rPr>
              <w:t>年   月   日</w:t>
            </w:r>
          </w:p>
        </w:tc>
        <w:tc>
          <w:tcPr>
            <w:tcW w:w="4517" w:type="dxa"/>
            <w:vAlign w:val="center"/>
          </w:tcPr>
          <w:p w14:paraId="0CB6460B">
            <w:pPr>
              <w:snapToGrid w:val="0"/>
              <w:spacing w:line="360" w:lineRule="exact"/>
              <w:rPr>
                <w:rFonts w:hint="eastAsia" w:ascii="宋体" w:hAnsi="宋体"/>
                <w:szCs w:val="21"/>
              </w:rPr>
            </w:pPr>
            <w:r>
              <w:rPr>
                <w:rFonts w:hint="eastAsia" w:ascii="宋体" w:hAnsi="宋体"/>
                <w:szCs w:val="21"/>
              </w:rPr>
              <w:t xml:space="preserve">乙方（章）  </w:t>
            </w:r>
          </w:p>
          <w:p w14:paraId="25F24824">
            <w:pPr>
              <w:snapToGrid w:val="0"/>
              <w:spacing w:line="360" w:lineRule="exact"/>
              <w:rPr>
                <w:rFonts w:ascii="宋体" w:hAnsi="宋体"/>
                <w:szCs w:val="21"/>
              </w:rPr>
            </w:pPr>
          </w:p>
          <w:p w14:paraId="0C3BEF08">
            <w:pPr>
              <w:snapToGrid w:val="0"/>
              <w:spacing w:line="360" w:lineRule="exact"/>
              <w:rPr>
                <w:rFonts w:ascii="宋体" w:hAnsi="宋体"/>
                <w:szCs w:val="21"/>
              </w:rPr>
            </w:pPr>
            <w:r>
              <w:rPr>
                <w:rFonts w:hint="eastAsia" w:ascii="宋体" w:hAnsi="宋体"/>
                <w:szCs w:val="21"/>
              </w:rPr>
              <w:t xml:space="preserve">       年   月   日</w:t>
            </w:r>
          </w:p>
        </w:tc>
      </w:tr>
      <w:tr w14:paraId="04DA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295AE6F5">
            <w:pPr>
              <w:snapToGrid w:val="0"/>
              <w:spacing w:line="360" w:lineRule="exact"/>
              <w:rPr>
                <w:rFonts w:ascii="宋体" w:hAnsi="宋体"/>
                <w:szCs w:val="21"/>
              </w:rPr>
            </w:pPr>
            <w:r>
              <w:rPr>
                <w:rFonts w:hint="eastAsia" w:ascii="宋体" w:hAnsi="宋体"/>
                <w:szCs w:val="21"/>
              </w:rPr>
              <w:t>单位地址：桂林市七星区建干路12号</w:t>
            </w:r>
          </w:p>
        </w:tc>
        <w:tc>
          <w:tcPr>
            <w:tcW w:w="4517" w:type="dxa"/>
            <w:vAlign w:val="center"/>
          </w:tcPr>
          <w:p w14:paraId="1F5B1900">
            <w:pPr>
              <w:snapToGrid w:val="0"/>
              <w:spacing w:line="360" w:lineRule="exact"/>
              <w:rPr>
                <w:rFonts w:ascii="宋体" w:hAnsi="宋体"/>
                <w:szCs w:val="21"/>
              </w:rPr>
            </w:pPr>
            <w:r>
              <w:rPr>
                <w:rFonts w:hint="eastAsia" w:ascii="宋体" w:hAnsi="宋体"/>
                <w:szCs w:val="21"/>
              </w:rPr>
              <w:t>单位地址：</w:t>
            </w:r>
          </w:p>
        </w:tc>
      </w:tr>
      <w:tr w14:paraId="651F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exact"/>
        </w:trPr>
        <w:tc>
          <w:tcPr>
            <w:tcW w:w="4516" w:type="dxa"/>
            <w:vAlign w:val="center"/>
          </w:tcPr>
          <w:p w14:paraId="5BD8F8FF">
            <w:pPr>
              <w:snapToGrid w:val="0"/>
              <w:spacing w:line="360" w:lineRule="exact"/>
              <w:rPr>
                <w:rFonts w:ascii="宋体" w:hAnsi="宋体"/>
                <w:szCs w:val="21"/>
              </w:rPr>
            </w:pPr>
            <w:r>
              <w:rPr>
                <w:rFonts w:hint="eastAsia" w:ascii="宋体" w:hAnsi="宋体"/>
                <w:szCs w:val="21"/>
              </w:rPr>
              <w:t>法定代表人：</w:t>
            </w:r>
          </w:p>
        </w:tc>
        <w:tc>
          <w:tcPr>
            <w:tcW w:w="4517" w:type="dxa"/>
            <w:vAlign w:val="center"/>
          </w:tcPr>
          <w:p w14:paraId="2DD52601">
            <w:pPr>
              <w:snapToGrid w:val="0"/>
              <w:spacing w:line="360" w:lineRule="exact"/>
              <w:rPr>
                <w:rFonts w:ascii="宋体" w:hAnsi="宋体"/>
                <w:szCs w:val="21"/>
              </w:rPr>
            </w:pPr>
            <w:r>
              <w:rPr>
                <w:rFonts w:hint="eastAsia" w:ascii="宋体" w:hAnsi="宋体"/>
                <w:szCs w:val="21"/>
              </w:rPr>
              <w:t>法定代表人：</w:t>
            </w:r>
          </w:p>
        </w:tc>
      </w:tr>
      <w:tr w14:paraId="3027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6" w:hRule="exact"/>
        </w:trPr>
        <w:tc>
          <w:tcPr>
            <w:tcW w:w="4516" w:type="dxa"/>
            <w:vAlign w:val="center"/>
          </w:tcPr>
          <w:p w14:paraId="0F05C046">
            <w:pPr>
              <w:snapToGrid w:val="0"/>
              <w:spacing w:line="360" w:lineRule="exact"/>
              <w:rPr>
                <w:rFonts w:ascii="宋体" w:hAnsi="宋体"/>
                <w:szCs w:val="21"/>
              </w:rPr>
            </w:pPr>
            <w:r>
              <w:rPr>
                <w:rFonts w:hint="eastAsia" w:ascii="宋体" w:hAnsi="宋体"/>
                <w:szCs w:val="21"/>
              </w:rPr>
              <w:t>委托代理人：</w:t>
            </w:r>
          </w:p>
        </w:tc>
        <w:tc>
          <w:tcPr>
            <w:tcW w:w="4517" w:type="dxa"/>
            <w:vAlign w:val="center"/>
          </w:tcPr>
          <w:p w14:paraId="6AADFF4A">
            <w:pPr>
              <w:snapToGrid w:val="0"/>
              <w:spacing w:line="360" w:lineRule="exact"/>
              <w:rPr>
                <w:rFonts w:ascii="宋体" w:hAnsi="宋体"/>
                <w:szCs w:val="21"/>
              </w:rPr>
            </w:pPr>
            <w:r>
              <w:rPr>
                <w:rFonts w:hint="eastAsia" w:ascii="宋体" w:hAnsi="宋体"/>
                <w:szCs w:val="21"/>
              </w:rPr>
              <w:t>委托代理人：</w:t>
            </w:r>
          </w:p>
        </w:tc>
      </w:tr>
      <w:tr w14:paraId="7DE4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7D296609">
            <w:pPr>
              <w:snapToGrid w:val="0"/>
              <w:spacing w:line="360" w:lineRule="exact"/>
              <w:rPr>
                <w:rFonts w:ascii="宋体" w:hAnsi="宋体"/>
                <w:szCs w:val="21"/>
              </w:rPr>
            </w:pPr>
            <w:r>
              <w:rPr>
                <w:rFonts w:hint="eastAsia" w:ascii="宋体" w:hAnsi="宋体"/>
                <w:szCs w:val="21"/>
              </w:rPr>
              <w:t>电话：0773-5895090</w:t>
            </w:r>
          </w:p>
        </w:tc>
        <w:tc>
          <w:tcPr>
            <w:tcW w:w="4517" w:type="dxa"/>
            <w:vAlign w:val="center"/>
          </w:tcPr>
          <w:p w14:paraId="383C5710">
            <w:pPr>
              <w:snapToGrid w:val="0"/>
              <w:spacing w:line="360" w:lineRule="exact"/>
              <w:rPr>
                <w:rFonts w:ascii="宋体" w:hAnsi="宋体"/>
                <w:szCs w:val="21"/>
              </w:rPr>
            </w:pPr>
            <w:r>
              <w:rPr>
                <w:rFonts w:hint="eastAsia" w:ascii="宋体" w:hAnsi="宋体"/>
                <w:szCs w:val="21"/>
              </w:rPr>
              <w:t>电话：</w:t>
            </w:r>
          </w:p>
        </w:tc>
      </w:tr>
      <w:tr w14:paraId="2F53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14:paraId="4FB089D2">
            <w:pPr>
              <w:snapToGrid w:val="0"/>
              <w:spacing w:line="360" w:lineRule="exact"/>
              <w:rPr>
                <w:rFonts w:ascii="宋体" w:hAnsi="宋体"/>
                <w:szCs w:val="21"/>
              </w:rPr>
            </w:pPr>
            <w:r>
              <w:rPr>
                <w:rFonts w:hint="eastAsia" w:ascii="宋体" w:hAnsi="宋体"/>
                <w:szCs w:val="21"/>
              </w:rPr>
              <w:t>电子邮箱：zbk@glut.edu.cn</w:t>
            </w:r>
          </w:p>
        </w:tc>
        <w:tc>
          <w:tcPr>
            <w:tcW w:w="4517" w:type="dxa"/>
            <w:vAlign w:val="center"/>
          </w:tcPr>
          <w:p w14:paraId="42A42CB5">
            <w:pPr>
              <w:snapToGrid w:val="0"/>
              <w:spacing w:line="360" w:lineRule="exact"/>
              <w:rPr>
                <w:rFonts w:ascii="宋体" w:hAnsi="宋体"/>
                <w:szCs w:val="21"/>
              </w:rPr>
            </w:pPr>
            <w:r>
              <w:rPr>
                <w:rFonts w:hint="eastAsia" w:ascii="宋体" w:hAnsi="宋体"/>
                <w:szCs w:val="21"/>
              </w:rPr>
              <w:t>电子邮箱：</w:t>
            </w:r>
          </w:p>
        </w:tc>
      </w:tr>
      <w:tr w14:paraId="0F2B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14:paraId="4394334C">
            <w:pPr>
              <w:snapToGrid w:val="0"/>
              <w:spacing w:line="360" w:lineRule="exact"/>
              <w:rPr>
                <w:rFonts w:ascii="宋体" w:hAnsi="宋体"/>
                <w:szCs w:val="21"/>
              </w:rPr>
            </w:pPr>
            <w:r>
              <w:rPr>
                <w:rFonts w:hint="eastAsia" w:ascii="宋体" w:hAnsi="宋体"/>
                <w:szCs w:val="21"/>
              </w:rPr>
              <w:t>开户银行：中国银行桂林分行</w:t>
            </w:r>
          </w:p>
        </w:tc>
        <w:tc>
          <w:tcPr>
            <w:tcW w:w="4517" w:type="dxa"/>
            <w:vAlign w:val="center"/>
          </w:tcPr>
          <w:p w14:paraId="2780B1A5">
            <w:pPr>
              <w:snapToGrid w:val="0"/>
              <w:spacing w:line="360" w:lineRule="exact"/>
              <w:rPr>
                <w:rFonts w:ascii="宋体" w:hAnsi="宋体"/>
                <w:szCs w:val="21"/>
              </w:rPr>
            </w:pPr>
            <w:r>
              <w:rPr>
                <w:rFonts w:hint="eastAsia" w:ascii="宋体" w:hAnsi="宋体"/>
                <w:szCs w:val="21"/>
              </w:rPr>
              <w:t>开户银行：</w:t>
            </w:r>
          </w:p>
        </w:tc>
      </w:tr>
      <w:tr w14:paraId="3FAB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1CBADF9D">
            <w:pPr>
              <w:snapToGrid w:val="0"/>
              <w:spacing w:line="360" w:lineRule="exact"/>
              <w:rPr>
                <w:rFonts w:ascii="宋体" w:hAnsi="宋体"/>
                <w:szCs w:val="21"/>
              </w:rPr>
            </w:pPr>
            <w:r>
              <w:rPr>
                <w:rFonts w:hint="eastAsia" w:ascii="宋体" w:hAnsi="宋体"/>
                <w:szCs w:val="21"/>
              </w:rPr>
              <w:t>账号：6132 5748 8744</w:t>
            </w:r>
          </w:p>
        </w:tc>
        <w:tc>
          <w:tcPr>
            <w:tcW w:w="4517" w:type="dxa"/>
            <w:vAlign w:val="center"/>
          </w:tcPr>
          <w:p w14:paraId="482146F4">
            <w:pPr>
              <w:snapToGrid w:val="0"/>
              <w:spacing w:line="360" w:lineRule="exact"/>
              <w:rPr>
                <w:rFonts w:ascii="宋体" w:hAnsi="宋体"/>
                <w:szCs w:val="21"/>
              </w:rPr>
            </w:pPr>
            <w:r>
              <w:rPr>
                <w:rFonts w:hint="eastAsia" w:ascii="宋体" w:hAnsi="宋体"/>
                <w:szCs w:val="21"/>
              </w:rPr>
              <w:t>账号：</w:t>
            </w:r>
          </w:p>
        </w:tc>
      </w:tr>
      <w:tr w14:paraId="6041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3CBCADF4">
            <w:pPr>
              <w:snapToGrid w:val="0"/>
              <w:spacing w:line="360" w:lineRule="exact"/>
              <w:rPr>
                <w:rFonts w:ascii="宋体" w:hAnsi="宋体"/>
                <w:szCs w:val="21"/>
              </w:rPr>
            </w:pPr>
            <w:r>
              <w:rPr>
                <w:rFonts w:hint="eastAsia" w:ascii="宋体" w:hAnsi="宋体"/>
                <w:szCs w:val="21"/>
              </w:rPr>
              <w:t>邮政编码：541004</w:t>
            </w:r>
          </w:p>
        </w:tc>
        <w:tc>
          <w:tcPr>
            <w:tcW w:w="4517" w:type="dxa"/>
            <w:vAlign w:val="center"/>
          </w:tcPr>
          <w:p w14:paraId="2D6A40B5">
            <w:pPr>
              <w:snapToGrid w:val="0"/>
              <w:spacing w:line="360" w:lineRule="exact"/>
              <w:rPr>
                <w:rFonts w:ascii="宋体" w:hAnsi="宋体"/>
                <w:szCs w:val="21"/>
              </w:rPr>
            </w:pPr>
            <w:r>
              <w:rPr>
                <w:rFonts w:hint="eastAsia" w:ascii="宋体" w:hAnsi="宋体"/>
                <w:szCs w:val="21"/>
              </w:rPr>
              <w:t>邮政编码：</w:t>
            </w:r>
          </w:p>
        </w:tc>
      </w:tr>
    </w:tbl>
    <w:p w14:paraId="34EA384F">
      <w:pPr>
        <w:spacing w:line="460" w:lineRule="exact"/>
        <w:rPr>
          <w:color w:val="auto"/>
          <w:highlight w:val="none"/>
        </w:rPr>
      </w:pPr>
    </w:p>
    <w:sectPr>
      <w:headerReference r:id="rId11" w:type="first"/>
      <w:footerReference r:id="rId13" w:type="first"/>
      <w:headerReference r:id="rId10" w:type="default"/>
      <w:footerReference r:id="rId12" w:type="default"/>
      <w:pgSz w:w="11906" w:h="16838"/>
      <w:pgMar w:top="1417" w:right="1417" w:bottom="1417" w:left="1417" w:header="851" w:footer="567"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 w:name="Helvetica">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BDEDE1">
    <w:pPr>
      <w:pStyle w:val="22"/>
      <w:tabs>
        <w:tab w:val="clear" w:pos="4153"/>
      </w:tabs>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1270" r="635" b="635"/>
              <wp:wrapNone/>
              <wp:docPr id="4097" name="文本框 6"/>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1D8B57B2">
                          <w:pPr>
                            <w:pStyle w:val="22"/>
                          </w:pPr>
                          <w:r>
                            <w:fldChar w:fldCharType="begin"/>
                          </w:r>
                          <w:r>
                            <w:instrText xml:space="preserve"> PAGE  \* MERGEFORMAT </w:instrText>
                          </w:r>
                          <w:r>
                            <w:fldChar w:fldCharType="separate"/>
                          </w:r>
                          <w:r>
                            <w:t>1</w:t>
                          </w:r>
                          <w:r>
                            <w:fldChar w:fldCharType="end"/>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UWP1bRAAAAAgEAAA8AAAAAAAAAAQAgAAAAIgAA&#10;AGRycy9kb3ducmV2LnhtbFBLAQIUABQAAAAIAIdO4kDhqHzo1gEAAJsDAAAOAAAAAAAAAAEAIAAA&#10;ACABAABkcnMvZTJvRG9jLnhtbFBLBQYAAAAABgAGAFkBAABoBQAAAAA=&#10;">
              <v:fill on="f" focussize="0,0"/>
              <v:stroke on="f"/>
              <v:imagedata o:title=""/>
              <o:lock v:ext="edit" aspectratio="f"/>
              <v:textbox inset="0mm,0mm,0mm,0mm" style="mso-fit-shape-to-text:t;">
                <w:txbxContent>
                  <w:p w14:paraId="1D8B57B2">
                    <w:pPr>
                      <w:pStyle w:val="22"/>
                    </w:pPr>
                    <w:r>
                      <w:fldChar w:fldCharType="begin"/>
                    </w:r>
                    <w:r>
                      <w:instrText xml:space="preserve"> PAGE  \* MERGEFORMAT </w:instrText>
                    </w:r>
                    <w:r>
                      <w:fldChar w:fldCharType="separate"/>
                    </w:r>
                    <w:r>
                      <w:t>1</w:t>
                    </w:r>
                    <w:r>
                      <w:fldChar w:fldCharType="end"/>
                    </w:r>
                  </w:p>
                </w:txbxContent>
              </v:textbox>
            </v:rect>
          </w:pict>
        </mc:Fallback>
      </mc:AlternateContent>
    </w:r>
  </w:p>
  <w:p w14:paraId="0C5BA4EC">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67110">
    <w:pPr>
      <w:pStyle w:val="22"/>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635" b="0"/>
              <wp:wrapNone/>
              <wp:docPr id="4098" name="文本框 5"/>
              <wp:cNvGraphicFramePr/>
              <a:graphic xmlns:a="http://schemas.openxmlformats.org/drawingml/2006/main">
                <a:graphicData uri="http://schemas.microsoft.com/office/word/2010/wordprocessingShape">
                  <wps:wsp>
                    <wps:cNvSpPr/>
                    <wps:spPr>
                      <a:xfrm>
                        <a:off x="0" y="0"/>
                        <a:ext cx="114934" cy="153035"/>
                      </a:xfrm>
                      <a:prstGeom prst="rect">
                        <a:avLst/>
                      </a:prstGeom>
                      <a:ln>
                        <a:noFill/>
                      </a:ln>
                    </wps:spPr>
                    <wps:txbx>
                      <w:txbxContent>
                        <w:p w14:paraId="4C08BCD3"/>
                      </w:txbxContent>
                    </wps:txbx>
                    <wps:bodyPr vert="horz" wrap="none" lIns="0" tIns="0" rIns="0" bIns="0" anchor="t" upright="1">
                      <a:spAutoFit/>
                    </wps:bodyPr>
                  </wps:wsp>
                </a:graphicData>
              </a:graphic>
            </wp:anchor>
          </w:drawing>
        </mc:Choice>
        <mc:Fallback>
          <w:pict>
            <v:rect id="文本框 5" o:spid="_x0000_s1026" o:spt="1"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X+MR0QAAAAMBAAAPAAAAAAAAAAEAIAAAACIA&#10;AABkcnMvZG93bnJldi54bWxQSwECFAAUAAAACACHTuJAb3EmztcBAACcAwAADgAAAAAAAAABACAA&#10;AAAgAQAAZHJzL2Uyb0RvYy54bWxQSwUGAAAAAAYABgBZAQAAaQUAAAAA&#10;">
              <v:fill on="f" focussize="0,0"/>
              <v:stroke on="f"/>
              <v:imagedata o:title=""/>
              <o:lock v:ext="edit" aspectratio="f"/>
              <v:textbox inset="0mm,0mm,0mm,0mm" style="mso-fit-shape-to-text:t;">
                <w:txbxContent>
                  <w:p w14:paraId="4C08BCD3"/>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710F">
    <w:pPr>
      <w:pStyle w:val="22"/>
      <w:tabs>
        <w:tab w:val="clear" w:pos="4153"/>
      </w:tabs>
      <w:jc w:val="both"/>
    </w:pPr>
  </w:p>
  <w:p w14:paraId="26530C38">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0F12A">
    <w:pPr>
      <w:pStyle w:val="22"/>
      <w:tabs>
        <w:tab w:val="clear" w:pos="4153"/>
      </w:tabs>
    </w:pPr>
    <w: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635" b="0"/>
              <wp:wrapNone/>
              <wp:docPr id="3" name="文本框 5"/>
              <wp:cNvGraphicFramePr/>
              <a:graphic xmlns:a="http://schemas.openxmlformats.org/drawingml/2006/main">
                <a:graphicData uri="http://schemas.microsoft.com/office/word/2010/wordprocessingShape">
                  <wps:wsp>
                    <wps:cNvSpPr/>
                    <wps:spPr>
                      <a:xfrm>
                        <a:off x="0" y="0"/>
                        <a:ext cx="114934" cy="153035"/>
                      </a:xfrm>
                      <a:prstGeom prst="rect">
                        <a:avLst/>
                      </a:prstGeom>
                      <a:ln>
                        <a:noFill/>
                      </a:ln>
                    </wps:spPr>
                    <wps:txbx>
                      <w:txbxContent>
                        <w:p w14:paraId="27A03771"/>
                      </w:txbxContent>
                    </wps:txbx>
                    <wps:bodyPr vert="horz" wrap="none" lIns="0" tIns="0" rIns="0" bIns="0" anchor="t" upright="1">
                      <a:spAutoFit/>
                    </wps:bodyPr>
                  </wps:wsp>
                </a:graphicData>
              </a:graphic>
            </wp:anchor>
          </w:drawing>
        </mc:Choice>
        <mc:Fallback>
          <w:pict>
            <v:rect id="文本框 5" o:spid="_x0000_s1026" o:spt="1"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fl/jEdEAAAADAQAADwAAAAAAAAABACAAAAAiAAAA&#10;ZHJzL2Rvd25yZXYueG1sUEsBAhQAFAAAAAgAh07iQAI9RxrVAQAAmQMAAA4AAAAAAAAAAQAgAAAA&#10;IAEAAGRycy9lMm9Eb2MueG1sUEsFBgAAAAAGAAYAWQEAAGcFAAAAAA==&#10;">
              <v:fill on="f" focussize="0,0"/>
              <v:stroke on="f"/>
              <v:imagedata o:title=""/>
              <o:lock v:ext="edit" aspectratio="f"/>
              <v:textbox inset="0mm,0mm,0mm,0mm" style="mso-fit-shape-to-text:t;">
                <w:txbxContent>
                  <w:p w14:paraId="27A03771"/>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C3A1D">
    <w:pPr>
      <w:pStyle w:val="22"/>
      <w:tabs>
        <w:tab w:val="clear" w:pos="4153"/>
      </w:tabs>
      <w:jc w:val="both"/>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1270" r="635" b="635"/>
              <wp:wrapNone/>
              <wp:docPr id="1" name="文本框 6"/>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110E00CC">
                          <w:pPr>
                            <w:pStyle w:val="22"/>
                          </w:pPr>
                          <w:r>
                            <w:fldChar w:fldCharType="begin"/>
                          </w:r>
                          <w:r>
                            <w:instrText xml:space="preserve"> PAGE  \* MERGEFORMAT </w:instrText>
                          </w:r>
                          <w:r>
                            <w:fldChar w:fldCharType="separate"/>
                          </w:r>
                          <w:r>
                            <w:t>1</w:t>
                          </w:r>
                          <w:r>
                            <w:fldChar w:fldCharType="end"/>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UWP1bRAAAAAgEAAA8AAAAAAAAAAQAgAAAAIgAAAGRy&#10;cy9kb3ducmV2LnhtbFBLAQIUABQAAAAIAIdO4kB1ZNLP0wEAAJgDAAAOAAAAAAAAAAEAIAAAACAB&#10;AABkcnMvZTJvRG9jLnhtbFBLBQYAAAAABgAGAFkBAABlBQAAAAA=&#10;">
              <v:fill on="f" focussize="0,0"/>
              <v:stroke on="f"/>
              <v:imagedata o:title=""/>
              <o:lock v:ext="edit" aspectratio="f"/>
              <v:textbox inset="0mm,0mm,0mm,0mm" style="mso-fit-shape-to-text:t;">
                <w:txbxContent>
                  <w:p w14:paraId="110E00CC">
                    <w:pPr>
                      <w:pStyle w:val="22"/>
                    </w:pPr>
                    <w:r>
                      <w:fldChar w:fldCharType="begin"/>
                    </w:r>
                    <w:r>
                      <w:instrText xml:space="preserve"> PAGE  \* MERGEFORMAT </w:instrText>
                    </w:r>
                    <w:r>
                      <w:fldChar w:fldCharType="separate"/>
                    </w:r>
                    <w:r>
                      <w:t>1</w:t>
                    </w:r>
                    <w:r>
                      <w:fldChar w:fldCharType="end"/>
                    </w:r>
                  </w:p>
                </w:txbxContent>
              </v:textbox>
            </v:rect>
          </w:pict>
        </mc:Fallback>
      </mc:AlternateContent>
    </w:r>
  </w:p>
  <w:p w14:paraId="5FF446D4">
    <w:pPr>
      <w:pStyle w:val="2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6C22A">
    <w:pPr>
      <w:pStyle w:val="22"/>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1270" r="635" b="635"/>
              <wp:wrapNone/>
              <wp:docPr id="4099" name="文本框 4"/>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30244F75">
                          <w:pPr>
                            <w:pStyle w:val="22"/>
                            <w:jc w:val="center"/>
                          </w:pPr>
                          <w:r>
                            <w:fldChar w:fldCharType="begin"/>
                          </w:r>
                          <w:r>
                            <w:instrText xml:space="preserve"> PAGE  \* MERGEFORMAT </w:instrText>
                          </w:r>
                          <w:r>
                            <w:fldChar w:fldCharType="separate"/>
                          </w:r>
                          <w:r>
                            <w:t>72</w:t>
                          </w:r>
                          <w:r>
                            <w:fldChar w:fldCharType="end"/>
                          </w:r>
                        </w:p>
                      </w:txbxContent>
                    </wps:txbx>
                    <wps:bodyPr vert="horz" wrap="none" lIns="0" tIns="0" rIns="0" bIns="0" anchor="t" upright="1">
                      <a:spAutoFit/>
                    </wps:bodyPr>
                  </wps:wsp>
                </a:graphicData>
              </a:graphic>
            </wp:anchor>
          </w:drawing>
        </mc:Choice>
        <mc:Fallback>
          <w:pict>
            <v:rect id="文本框 4"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VFj9W0QAAAAIBAAAPAAAAAAAAAAEAIAAAACIA&#10;AABkcnMvZG93bnJldi54bWxQSwECFAAUAAAACACHTuJAfpCp9tcBAACbAwAADgAAAAAAAAABACAA&#10;AAAgAQAAZHJzL2Uyb0RvYy54bWxQSwUGAAAAAAYABgBZAQAAaQUAAAAA&#10;">
              <v:fill on="f" focussize="0,0"/>
              <v:stroke on="f"/>
              <v:imagedata o:title=""/>
              <o:lock v:ext="edit" aspectratio="f"/>
              <v:textbox inset="0mm,0mm,0mm,0mm" style="mso-fit-shape-to-text:t;">
                <w:txbxContent>
                  <w:p w14:paraId="30244F75">
                    <w:pPr>
                      <w:pStyle w:val="22"/>
                      <w:jc w:val="center"/>
                    </w:pPr>
                    <w:r>
                      <w:fldChar w:fldCharType="begin"/>
                    </w:r>
                    <w:r>
                      <w:instrText xml:space="preserve"> PAGE  \* MERGEFORMAT </w:instrText>
                    </w:r>
                    <w:r>
                      <w:fldChar w:fldCharType="separate"/>
                    </w:r>
                    <w:r>
                      <w:t>72</w:t>
                    </w:r>
                    <w:r>
                      <w:fldChar w:fldCharType="end"/>
                    </w:r>
                  </w:p>
                </w:txbxContent>
              </v:textbox>
            </v:rect>
          </w:pict>
        </mc:Fallback>
      </mc:AlternateContent>
    </w:r>
  </w:p>
  <w:p w14:paraId="2DA3A0E6">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351E9">
    <w:pPr>
      <w:pStyle w:val="2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635" b="2540"/>
              <wp:wrapNone/>
              <wp:docPr id="4100" name="文本框 3"/>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0000EB20">
                          <w:pPr>
                            <w:pStyle w:val="2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vert="horz" wrap="none" lIns="0" tIns="0" rIns="0" bIns="0" anchor="t" upright="1">
                      <a:spAutoFit/>
                    </wps:bodyPr>
                  </wps:wsp>
                </a:graphicData>
              </a:graphic>
            </wp:anchor>
          </w:drawing>
        </mc:Choice>
        <mc:Fallback>
          <w:pict>
            <v:rect id="文本框 3"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UWP1bRAAAAAgEAAA8AAAAAAAAAAQAgAAAAIgAA&#10;AGRycy9kb3ducmV2LnhtbFBLAQIUABQAAAAIAIdO4kAKRHzA1gEAAJsDAAAOAAAAAAAAAAEAIAAA&#10;ACABAABkcnMvZTJvRG9jLnhtbFBLBQYAAAAABgAGAFkBAABoBQAAAAA=&#10;">
              <v:fill on="f" focussize="0,0"/>
              <v:stroke on="f"/>
              <v:imagedata o:title=""/>
              <o:lock v:ext="edit" aspectratio="f"/>
              <v:textbox inset="0mm,0mm,0mm,0mm" style="mso-fit-shape-to-text:t;">
                <w:txbxContent>
                  <w:p w14:paraId="0000EB20">
                    <w:pPr>
                      <w:pStyle w:val="2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EE14C">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31465">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436BB">
    <w:pPr>
      <w:pStyle w:val="2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2D9E0">
    <w:pPr>
      <w:pStyle w:val="2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793440"/>
    <w:rsid w:val="04551CD2"/>
    <w:rsid w:val="07F27D26"/>
    <w:rsid w:val="081906D7"/>
    <w:rsid w:val="084C7770"/>
    <w:rsid w:val="08B3533F"/>
    <w:rsid w:val="0A405DF3"/>
    <w:rsid w:val="0E4D7882"/>
    <w:rsid w:val="0FE443F8"/>
    <w:rsid w:val="1109683D"/>
    <w:rsid w:val="12D0036B"/>
    <w:rsid w:val="14E135CF"/>
    <w:rsid w:val="16431B51"/>
    <w:rsid w:val="172D0D7B"/>
    <w:rsid w:val="17500185"/>
    <w:rsid w:val="18701110"/>
    <w:rsid w:val="199F56F0"/>
    <w:rsid w:val="1BF6798D"/>
    <w:rsid w:val="1CCB7A2A"/>
    <w:rsid w:val="1D1C4172"/>
    <w:rsid w:val="1E043524"/>
    <w:rsid w:val="20160297"/>
    <w:rsid w:val="22BA541F"/>
    <w:rsid w:val="22E5535D"/>
    <w:rsid w:val="24C65DE6"/>
    <w:rsid w:val="27606603"/>
    <w:rsid w:val="28D92356"/>
    <w:rsid w:val="2AE25969"/>
    <w:rsid w:val="2C5151F7"/>
    <w:rsid w:val="2D4B150D"/>
    <w:rsid w:val="2EE36F17"/>
    <w:rsid w:val="3161521F"/>
    <w:rsid w:val="31B60F00"/>
    <w:rsid w:val="334C7FB6"/>
    <w:rsid w:val="350A21BF"/>
    <w:rsid w:val="360C1DD5"/>
    <w:rsid w:val="36321AB2"/>
    <w:rsid w:val="39A2608B"/>
    <w:rsid w:val="3A204B65"/>
    <w:rsid w:val="3A280C69"/>
    <w:rsid w:val="3B6F08F3"/>
    <w:rsid w:val="3C3915BB"/>
    <w:rsid w:val="3D2F17FB"/>
    <w:rsid w:val="3EFE0783"/>
    <w:rsid w:val="3F505BDC"/>
    <w:rsid w:val="3FB62B14"/>
    <w:rsid w:val="3FBE6442"/>
    <w:rsid w:val="3FCD6F90"/>
    <w:rsid w:val="40D23E4C"/>
    <w:rsid w:val="40DC263F"/>
    <w:rsid w:val="413A5F85"/>
    <w:rsid w:val="45DD5CA6"/>
    <w:rsid w:val="46336D11"/>
    <w:rsid w:val="46775100"/>
    <w:rsid w:val="4CA556EE"/>
    <w:rsid w:val="4DC64B62"/>
    <w:rsid w:val="4FC161FC"/>
    <w:rsid w:val="510C4F82"/>
    <w:rsid w:val="52E16AFF"/>
    <w:rsid w:val="595710A8"/>
    <w:rsid w:val="5BFE196B"/>
    <w:rsid w:val="5E4426FE"/>
    <w:rsid w:val="5E5864B3"/>
    <w:rsid w:val="5F261328"/>
    <w:rsid w:val="5F7F7267"/>
    <w:rsid w:val="623F4681"/>
    <w:rsid w:val="627604AD"/>
    <w:rsid w:val="63BA20AB"/>
    <w:rsid w:val="63DB664C"/>
    <w:rsid w:val="65387443"/>
    <w:rsid w:val="6627781C"/>
    <w:rsid w:val="672515C7"/>
    <w:rsid w:val="6761234C"/>
    <w:rsid w:val="686F7054"/>
    <w:rsid w:val="690D4C0A"/>
    <w:rsid w:val="6A6107D0"/>
    <w:rsid w:val="6C731F01"/>
    <w:rsid w:val="6D6528D2"/>
    <w:rsid w:val="6EAD6932"/>
    <w:rsid w:val="6F733502"/>
    <w:rsid w:val="70497201"/>
    <w:rsid w:val="722E564B"/>
    <w:rsid w:val="72D52FCE"/>
    <w:rsid w:val="73C15F02"/>
    <w:rsid w:val="742046C7"/>
    <w:rsid w:val="742123D1"/>
    <w:rsid w:val="7446056F"/>
    <w:rsid w:val="75B16FEA"/>
    <w:rsid w:val="761558C9"/>
    <w:rsid w:val="763F777C"/>
    <w:rsid w:val="76933D43"/>
    <w:rsid w:val="772F74AA"/>
    <w:rsid w:val="7820118F"/>
    <w:rsid w:val="792043F7"/>
    <w:rsid w:val="7B602578"/>
    <w:rsid w:val="7CBC6918"/>
    <w:rsid w:val="7EA5419C"/>
    <w:rsid w:val="7F0F78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9" w:semiHidden="0" w:name="heading 5"/>
    <w:lsdException w:qFormat="1" w:uiPriority="0" w:name="heading 6"/>
    <w:lsdException w:qFormat="1" w:unhideWhenUsed="0" w:uiPriority="0" w:semiHidden="0" w:name="heading 7"/>
    <w:lsdException w:qFormat="1" w:unhideWhenUsed="0"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99"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4"/>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5">
    <w:name w:val="heading 4"/>
    <w:basedOn w:val="1"/>
    <w:next w:val="1"/>
    <w:link w:val="45"/>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6"/>
    <w:qFormat/>
    <w:uiPriority w:val="9"/>
    <w:pPr>
      <w:keepNext/>
      <w:keepLines/>
      <w:spacing w:before="280" w:after="290" w:line="376" w:lineRule="auto"/>
      <w:outlineLvl w:val="4"/>
    </w:pPr>
    <w:rPr>
      <w:b/>
      <w:bCs/>
      <w:sz w:val="28"/>
      <w:szCs w:val="28"/>
    </w:rPr>
  </w:style>
  <w:style w:type="paragraph" w:styleId="8">
    <w:name w:val="heading 7"/>
    <w:basedOn w:val="1"/>
    <w:next w:val="1"/>
    <w:link w:val="47"/>
    <w:qFormat/>
    <w:uiPriority w:val="0"/>
    <w:pPr>
      <w:keepNext/>
      <w:keepLines/>
      <w:spacing w:before="240" w:after="64" w:line="320" w:lineRule="auto"/>
      <w:outlineLvl w:val="6"/>
    </w:pPr>
    <w:rPr>
      <w:b/>
      <w:bCs/>
      <w:sz w:val="24"/>
    </w:rPr>
  </w:style>
  <w:style w:type="paragraph" w:styleId="9">
    <w:name w:val="heading 8"/>
    <w:basedOn w:val="1"/>
    <w:next w:val="1"/>
    <w:link w:val="48"/>
    <w:qFormat/>
    <w:uiPriority w:val="9"/>
    <w:pPr>
      <w:keepNext/>
      <w:keepLines/>
      <w:spacing w:before="240" w:after="64" w:line="320" w:lineRule="auto"/>
      <w:outlineLvl w:val="7"/>
    </w:pPr>
    <w:rPr>
      <w:rFonts w:ascii="等线 Light" w:hAnsi="等线 Light" w:eastAsia="等线 Light"/>
      <w:sz w:val="24"/>
    </w:rPr>
  </w:style>
  <w:style w:type="character" w:default="1" w:styleId="35">
    <w:name w:val="Default Paragraph Font"/>
    <w:qFormat/>
    <w:uiPriority w:val="1"/>
  </w:style>
  <w:style w:type="table" w:default="1" w:styleId="33">
    <w:name w:val="Normal Table"/>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index 8"/>
    <w:basedOn w:val="1"/>
    <w:next w:val="1"/>
    <w:qFormat/>
    <w:uiPriority w:val="0"/>
    <w:pPr>
      <w:ind w:left="2940"/>
    </w:pPr>
  </w:style>
  <w:style w:type="paragraph" w:styleId="11">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annotation text"/>
    <w:basedOn w:val="1"/>
    <w:next w:val="13"/>
    <w:link w:val="53"/>
    <w:qFormat/>
    <w:uiPriority w:val="0"/>
    <w:pPr>
      <w:jc w:val="left"/>
    </w:pPr>
  </w:style>
  <w:style w:type="paragraph" w:styleId="13">
    <w:name w:val="Body Text Indent"/>
    <w:basedOn w:val="1"/>
    <w:next w:val="14"/>
    <w:link w:val="55"/>
    <w:qFormat/>
    <w:uiPriority w:val="0"/>
    <w:pPr>
      <w:ind w:firstLine="830" w:firstLineChars="352"/>
    </w:pPr>
    <w:rPr>
      <w:rFonts w:ascii="仿宋_GB2312" w:eastAsia="仿宋_GB2312"/>
      <w:kern w:val="0"/>
      <w:sz w:val="32"/>
      <w:szCs w:val="20"/>
    </w:rPr>
  </w:style>
  <w:style w:type="paragraph" w:styleId="14">
    <w:name w:val="envelope return"/>
    <w:basedOn w:val="1"/>
    <w:qFormat/>
    <w:uiPriority w:val="0"/>
    <w:pPr>
      <w:snapToGrid w:val="0"/>
    </w:pPr>
    <w:rPr>
      <w:rFonts w:ascii="Arial" w:hAnsi="Arial"/>
    </w:rPr>
  </w:style>
  <w:style w:type="paragraph" w:styleId="15">
    <w:name w:val="Body Text 3"/>
    <w:basedOn w:val="1"/>
    <w:link w:val="54"/>
    <w:qFormat/>
    <w:uiPriority w:val="99"/>
    <w:pPr>
      <w:spacing w:after="120"/>
    </w:pPr>
    <w:rPr>
      <w:sz w:val="16"/>
      <w:szCs w:val="16"/>
    </w:rPr>
  </w:style>
  <w:style w:type="paragraph" w:styleId="16">
    <w:name w:val="Body Text"/>
    <w:basedOn w:val="1"/>
    <w:link w:val="50"/>
    <w:qFormat/>
    <w:uiPriority w:val="0"/>
    <w:pPr>
      <w:spacing w:after="120"/>
    </w:pPr>
  </w:style>
  <w:style w:type="paragraph" w:styleId="17">
    <w:name w:val="List 2"/>
    <w:basedOn w:val="1"/>
    <w:qFormat/>
    <w:uiPriority w:val="99"/>
    <w:pPr>
      <w:ind w:left="100" w:leftChars="200" w:hanging="200" w:hangingChars="200"/>
      <w:contextualSpacing/>
    </w:pPr>
  </w:style>
  <w:style w:type="paragraph" w:styleId="18">
    <w:name w:val="Plain Text"/>
    <w:basedOn w:val="1"/>
    <w:next w:val="1"/>
    <w:link w:val="57"/>
    <w:qFormat/>
    <w:uiPriority w:val="0"/>
    <w:rPr>
      <w:rFonts w:ascii="宋体" w:hAnsi="Courier New"/>
      <w:kern w:val="0"/>
      <w:sz w:val="20"/>
      <w:szCs w:val="21"/>
    </w:rPr>
  </w:style>
  <w:style w:type="paragraph" w:styleId="19">
    <w:name w:val="Date"/>
    <w:basedOn w:val="1"/>
    <w:next w:val="1"/>
    <w:link w:val="58"/>
    <w:qFormat/>
    <w:uiPriority w:val="99"/>
    <w:pPr>
      <w:ind w:left="100" w:leftChars="2500"/>
    </w:pPr>
  </w:style>
  <w:style w:type="paragraph" w:styleId="20">
    <w:name w:val="Body Text Indent 2"/>
    <w:basedOn w:val="1"/>
    <w:link w:val="89"/>
    <w:qFormat/>
    <w:uiPriority w:val="99"/>
    <w:pPr>
      <w:spacing w:after="120" w:line="480" w:lineRule="auto"/>
      <w:ind w:left="420" w:leftChars="200"/>
    </w:pPr>
  </w:style>
  <w:style w:type="paragraph" w:styleId="21">
    <w:name w:val="Balloon Text"/>
    <w:basedOn w:val="1"/>
    <w:link w:val="59"/>
    <w:qFormat/>
    <w:uiPriority w:val="0"/>
    <w:rPr>
      <w:sz w:val="18"/>
      <w:szCs w:val="18"/>
    </w:rPr>
  </w:style>
  <w:style w:type="paragraph" w:styleId="22">
    <w:name w:val="footer"/>
    <w:basedOn w:val="1"/>
    <w:next w:val="23"/>
    <w:link w:val="42"/>
    <w:qFormat/>
    <w:uiPriority w:val="99"/>
    <w:pPr>
      <w:tabs>
        <w:tab w:val="center" w:pos="4153"/>
        <w:tab w:val="right" w:pos="8306"/>
      </w:tabs>
      <w:snapToGrid w:val="0"/>
      <w:jc w:val="left"/>
    </w:pPr>
    <w:rPr>
      <w:rFonts w:ascii="Calibri" w:hAnsi="Calibri" w:eastAsia="宋体" w:cs="宋体"/>
      <w:sz w:val="18"/>
      <w:szCs w:val="18"/>
    </w:rPr>
  </w:style>
  <w:style w:type="paragraph" w:customStyle="1" w:styleId="23">
    <w:name w:val="_Style 2"/>
    <w:next w:val="1"/>
    <w:qFormat/>
    <w:uiPriority w:val="0"/>
    <w:pPr>
      <w:wordWrap w:val="0"/>
      <w:spacing w:before="360" w:after="360"/>
      <w:ind w:left="950" w:right="950"/>
      <w:jc w:val="center"/>
    </w:pPr>
    <w:rPr>
      <w:rFonts w:ascii="Calibri" w:hAnsi="Calibri" w:eastAsia="宋体" w:cs="Times New Roman"/>
      <w:i/>
      <w:sz w:val="21"/>
      <w:szCs w:val="22"/>
      <w:lang w:val="en-US" w:eastAsia="zh-CN" w:bidi="ar-SA"/>
    </w:rPr>
  </w:style>
  <w:style w:type="paragraph" w:styleId="24">
    <w:name w:val="header"/>
    <w:basedOn w:val="1"/>
    <w:link w:val="41"/>
    <w:qFormat/>
    <w:uiPriority w:val="99"/>
    <w:pPr>
      <w:pBdr>
        <w:bottom w:val="single" w:color="auto" w:sz="6" w:space="1"/>
      </w:pBdr>
      <w:tabs>
        <w:tab w:val="center" w:pos="4153"/>
        <w:tab w:val="right" w:pos="8306"/>
      </w:tabs>
      <w:snapToGrid w:val="0"/>
      <w:jc w:val="center"/>
    </w:pPr>
    <w:rPr>
      <w:rFonts w:ascii="Calibri" w:hAnsi="Calibri" w:eastAsia="宋体" w:cs="宋体"/>
      <w:sz w:val="18"/>
      <w:szCs w:val="18"/>
    </w:rPr>
  </w:style>
  <w:style w:type="paragraph" w:styleId="25">
    <w:name w:val="toc 1"/>
    <w:basedOn w:val="1"/>
    <w:next w:val="1"/>
    <w:qFormat/>
    <w:uiPriority w:val="39"/>
  </w:style>
  <w:style w:type="paragraph" w:styleId="26">
    <w:name w:val="footnote text"/>
    <w:basedOn w:val="1"/>
    <w:link w:val="88"/>
    <w:qFormat/>
    <w:uiPriority w:val="99"/>
    <w:pPr>
      <w:snapToGrid w:val="0"/>
      <w:jc w:val="left"/>
    </w:pPr>
    <w:rPr>
      <w:sz w:val="18"/>
      <w:szCs w:val="18"/>
    </w:rPr>
  </w:style>
  <w:style w:type="paragraph" w:styleId="27">
    <w:name w:val="table of figures"/>
    <w:basedOn w:val="1"/>
    <w:next w:val="1"/>
    <w:qFormat/>
    <w:uiPriority w:val="0"/>
    <w:pPr>
      <w:ind w:leftChars="200" w:hanging="200" w:hangingChars="200"/>
    </w:pPr>
    <w:rPr>
      <w:rFonts w:ascii="Times New Roman" w:hAnsi="Times New Roman" w:eastAsia="宋体" w:cs="Times New Roman"/>
    </w:rPr>
  </w:style>
  <w:style w:type="paragraph" w:styleId="28">
    <w:name w:val="toc 2"/>
    <w:basedOn w:val="1"/>
    <w:next w:val="1"/>
    <w:qFormat/>
    <w:uiPriority w:val="39"/>
    <w:pPr>
      <w:tabs>
        <w:tab w:val="right" w:leader="dot" w:pos="8296"/>
      </w:tabs>
      <w:ind w:left="420" w:leftChars="200"/>
    </w:pPr>
  </w:style>
  <w:style w:type="paragraph" w:styleId="29">
    <w:name w:val="Normal (Web)"/>
    <w:basedOn w:val="1"/>
    <w:qFormat/>
    <w:uiPriority w:val="99"/>
    <w:rPr>
      <w:rFonts w:ascii="Calibri" w:hAnsi="Calibri"/>
      <w:kern w:val="0"/>
      <w:sz w:val="24"/>
    </w:rPr>
  </w:style>
  <w:style w:type="paragraph" w:styleId="30">
    <w:name w:val="Title"/>
    <w:basedOn w:val="1"/>
    <w:next w:val="1"/>
    <w:link w:val="51"/>
    <w:qFormat/>
    <w:uiPriority w:val="0"/>
    <w:pPr>
      <w:spacing w:before="240" w:after="60"/>
      <w:jc w:val="center"/>
      <w:outlineLvl w:val="0"/>
    </w:pPr>
    <w:rPr>
      <w:rFonts w:ascii="Arial" w:hAnsi="Arial" w:cs="Arial"/>
      <w:b/>
      <w:bCs/>
      <w:sz w:val="32"/>
      <w:szCs w:val="32"/>
    </w:rPr>
  </w:style>
  <w:style w:type="paragraph" w:styleId="31">
    <w:name w:val="annotation subject"/>
    <w:basedOn w:val="12"/>
    <w:next w:val="12"/>
    <w:link w:val="60"/>
    <w:qFormat/>
    <w:uiPriority w:val="99"/>
    <w:rPr>
      <w:b/>
      <w:bCs/>
    </w:rPr>
  </w:style>
  <w:style w:type="paragraph" w:styleId="32">
    <w:name w:val="Body Text First Indent 2"/>
    <w:basedOn w:val="13"/>
    <w:next w:val="1"/>
    <w:link w:val="61"/>
    <w:qFormat/>
    <w:uiPriority w:val="99"/>
    <w:pPr>
      <w:ind w:firstLine="420" w:firstLineChars="200"/>
    </w:pPr>
    <w:rPr>
      <w:rFonts w:ascii="宋体" w:hAnsi="Courier New"/>
      <w:spacing w:val="-4"/>
      <w:sz w:val="18"/>
    </w:rPr>
  </w:style>
  <w:style w:type="table" w:styleId="34">
    <w:name w:val="Table Grid"/>
    <w:basedOn w:val="33"/>
    <w:qFormat/>
    <w:uiPriority w:val="5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Strong"/>
    <w:basedOn w:val="35"/>
    <w:qFormat/>
    <w:uiPriority w:val="22"/>
    <w:rPr>
      <w:b/>
    </w:rPr>
  </w:style>
  <w:style w:type="character" w:styleId="37">
    <w:name w:val="endnote reference"/>
    <w:qFormat/>
    <w:uiPriority w:val="99"/>
    <w:rPr>
      <w:vertAlign w:val="superscript"/>
    </w:rPr>
  </w:style>
  <w:style w:type="character" w:styleId="38">
    <w:name w:val="Hyperlink"/>
    <w:qFormat/>
    <w:uiPriority w:val="99"/>
    <w:rPr>
      <w:color w:val="0000FF"/>
      <w:u w:val="single"/>
    </w:rPr>
  </w:style>
  <w:style w:type="character" w:styleId="39">
    <w:name w:val="annotation reference"/>
    <w:qFormat/>
    <w:uiPriority w:val="0"/>
    <w:rPr>
      <w:sz w:val="21"/>
      <w:szCs w:val="21"/>
    </w:rPr>
  </w:style>
  <w:style w:type="character" w:styleId="40">
    <w:name w:val="HTML Sample"/>
    <w:basedOn w:val="35"/>
    <w:qFormat/>
    <w:uiPriority w:val="99"/>
    <w:rPr>
      <w:rFonts w:ascii="Courier New" w:hAnsi="Courier New"/>
    </w:rPr>
  </w:style>
  <w:style w:type="character" w:customStyle="1" w:styleId="41">
    <w:name w:val="页眉 字符"/>
    <w:basedOn w:val="35"/>
    <w:link w:val="24"/>
    <w:qFormat/>
    <w:uiPriority w:val="99"/>
    <w:rPr>
      <w:sz w:val="18"/>
      <w:szCs w:val="18"/>
    </w:rPr>
  </w:style>
  <w:style w:type="character" w:customStyle="1" w:styleId="42">
    <w:name w:val="页脚 字符"/>
    <w:basedOn w:val="35"/>
    <w:link w:val="22"/>
    <w:qFormat/>
    <w:uiPriority w:val="99"/>
    <w:rPr>
      <w:sz w:val="18"/>
      <w:szCs w:val="18"/>
    </w:rPr>
  </w:style>
  <w:style w:type="character" w:customStyle="1" w:styleId="43">
    <w:name w:val="标题 1 字符"/>
    <w:basedOn w:val="35"/>
    <w:link w:val="2"/>
    <w:qFormat/>
    <w:uiPriority w:val="9"/>
    <w:rPr>
      <w:rFonts w:ascii="Times New Roman" w:hAnsi="Times New Roman" w:eastAsia="宋体" w:cs="Times New Roman"/>
      <w:b/>
      <w:bCs/>
      <w:kern w:val="44"/>
      <w:sz w:val="44"/>
      <w:szCs w:val="44"/>
    </w:rPr>
  </w:style>
  <w:style w:type="character" w:customStyle="1" w:styleId="44">
    <w:name w:val="标题 2 字符"/>
    <w:basedOn w:val="35"/>
    <w:link w:val="3"/>
    <w:qFormat/>
    <w:uiPriority w:val="0"/>
    <w:rPr>
      <w:rFonts w:ascii="Cambria" w:hAnsi="Cambria" w:eastAsia="宋体" w:cs="Times New Roman"/>
      <w:b/>
      <w:bCs/>
      <w:sz w:val="32"/>
      <w:szCs w:val="32"/>
    </w:rPr>
  </w:style>
  <w:style w:type="character" w:customStyle="1" w:styleId="45">
    <w:name w:val="标题 4 字符"/>
    <w:basedOn w:val="35"/>
    <w:link w:val="5"/>
    <w:qFormat/>
    <w:uiPriority w:val="0"/>
    <w:rPr>
      <w:rFonts w:ascii="Arial" w:hAnsi="Times New Roman" w:eastAsia="黑体" w:cs="Times New Roman"/>
      <w:kern w:val="0"/>
      <w:sz w:val="28"/>
      <w:szCs w:val="20"/>
    </w:rPr>
  </w:style>
  <w:style w:type="character" w:customStyle="1" w:styleId="46">
    <w:name w:val="标题 5 字符"/>
    <w:basedOn w:val="35"/>
    <w:link w:val="6"/>
    <w:qFormat/>
    <w:uiPriority w:val="9"/>
    <w:rPr>
      <w:rFonts w:ascii="Times New Roman" w:hAnsi="Times New Roman" w:eastAsia="宋体" w:cs="Times New Roman"/>
      <w:b/>
      <w:bCs/>
      <w:sz w:val="28"/>
      <w:szCs w:val="28"/>
    </w:rPr>
  </w:style>
  <w:style w:type="character" w:customStyle="1" w:styleId="47">
    <w:name w:val="标题 7 字符"/>
    <w:basedOn w:val="35"/>
    <w:link w:val="8"/>
    <w:qFormat/>
    <w:uiPriority w:val="0"/>
    <w:rPr>
      <w:rFonts w:ascii="Times New Roman" w:hAnsi="Times New Roman" w:eastAsia="宋体" w:cs="Times New Roman"/>
      <w:b/>
      <w:bCs/>
      <w:sz w:val="24"/>
      <w:szCs w:val="24"/>
    </w:rPr>
  </w:style>
  <w:style w:type="character" w:customStyle="1" w:styleId="48">
    <w:name w:val="标题 8 字符"/>
    <w:basedOn w:val="35"/>
    <w:link w:val="9"/>
    <w:qFormat/>
    <w:uiPriority w:val="9"/>
    <w:rPr>
      <w:rFonts w:ascii="等线 Light" w:hAnsi="等线 Light" w:eastAsia="等线 Light" w:cs="Times New Roman"/>
      <w:sz w:val="24"/>
      <w:szCs w:val="24"/>
    </w:rPr>
  </w:style>
  <w:style w:type="character" w:customStyle="1" w:styleId="49">
    <w:name w:val="正文文本 字符"/>
    <w:basedOn w:val="35"/>
    <w:qFormat/>
    <w:uiPriority w:val="0"/>
    <w:rPr>
      <w:rFonts w:ascii="Times New Roman" w:hAnsi="Times New Roman" w:eastAsia="宋体" w:cs="Times New Roman"/>
      <w:szCs w:val="24"/>
    </w:rPr>
  </w:style>
  <w:style w:type="character" w:customStyle="1" w:styleId="50">
    <w:name w:val="正文文本 字符1"/>
    <w:link w:val="16"/>
    <w:qFormat/>
    <w:uiPriority w:val="0"/>
    <w:rPr>
      <w:rFonts w:ascii="Times New Roman" w:hAnsi="Times New Roman" w:eastAsia="宋体" w:cs="Times New Roman"/>
      <w:szCs w:val="24"/>
    </w:rPr>
  </w:style>
  <w:style w:type="character" w:customStyle="1" w:styleId="51">
    <w:name w:val="标题 字符"/>
    <w:basedOn w:val="35"/>
    <w:link w:val="30"/>
    <w:qFormat/>
    <w:uiPriority w:val="0"/>
    <w:rPr>
      <w:rFonts w:ascii="Arial" w:hAnsi="Arial" w:eastAsia="宋体" w:cs="Arial"/>
      <w:b/>
      <w:bCs/>
      <w:sz w:val="32"/>
      <w:szCs w:val="32"/>
    </w:rPr>
  </w:style>
  <w:style w:type="character" w:customStyle="1" w:styleId="52">
    <w:name w:val="批注文字 字符"/>
    <w:basedOn w:val="35"/>
    <w:qFormat/>
    <w:uiPriority w:val="0"/>
    <w:rPr>
      <w:rFonts w:ascii="Times New Roman" w:hAnsi="Times New Roman" w:eastAsia="宋体" w:cs="Times New Roman"/>
      <w:szCs w:val="24"/>
    </w:rPr>
  </w:style>
  <w:style w:type="character" w:customStyle="1" w:styleId="53">
    <w:name w:val="批注文字 字符2"/>
    <w:link w:val="12"/>
    <w:qFormat/>
    <w:uiPriority w:val="0"/>
    <w:rPr>
      <w:rFonts w:ascii="Times New Roman" w:hAnsi="Times New Roman" w:eastAsia="宋体" w:cs="Times New Roman"/>
      <w:szCs w:val="24"/>
    </w:rPr>
  </w:style>
  <w:style w:type="character" w:customStyle="1" w:styleId="54">
    <w:name w:val="正文文本 3 字符"/>
    <w:basedOn w:val="35"/>
    <w:link w:val="15"/>
    <w:qFormat/>
    <w:uiPriority w:val="99"/>
    <w:rPr>
      <w:rFonts w:ascii="Times New Roman" w:hAnsi="Times New Roman" w:eastAsia="宋体" w:cs="Times New Roman"/>
      <w:sz w:val="16"/>
      <w:szCs w:val="16"/>
    </w:rPr>
  </w:style>
  <w:style w:type="character" w:customStyle="1" w:styleId="55">
    <w:name w:val="正文文本缩进 字符"/>
    <w:basedOn w:val="35"/>
    <w:link w:val="13"/>
    <w:qFormat/>
    <w:uiPriority w:val="0"/>
    <w:rPr>
      <w:rFonts w:ascii="仿宋_GB2312" w:hAnsi="Times New Roman" w:eastAsia="仿宋_GB2312" w:cs="Times New Roman"/>
      <w:kern w:val="0"/>
      <w:sz w:val="32"/>
      <w:szCs w:val="20"/>
    </w:rPr>
  </w:style>
  <w:style w:type="character" w:customStyle="1" w:styleId="56">
    <w:name w:val="纯文本 字符"/>
    <w:basedOn w:val="35"/>
    <w:qFormat/>
    <w:uiPriority w:val="0"/>
    <w:rPr>
      <w:rFonts w:ascii="宋体" w:hAnsi="Courier New" w:cs="Courier New"/>
      <w:szCs w:val="24"/>
    </w:rPr>
  </w:style>
  <w:style w:type="character" w:customStyle="1" w:styleId="57">
    <w:name w:val="纯文本 字符3"/>
    <w:link w:val="18"/>
    <w:qFormat/>
    <w:uiPriority w:val="0"/>
    <w:rPr>
      <w:rFonts w:ascii="宋体" w:hAnsi="Courier New" w:eastAsia="宋体" w:cs="Times New Roman"/>
      <w:kern w:val="0"/>
      <w:sz w:val="20"/>
      <w:szCs w:val="21"/>
    </w:rPr>
  </w:style>
  <w:style w:type="character" w:customStyle="1" w:styleId="58">
    <w:name w:val="日期 字符"/>
    <w:basedOn w:val="35"/>
    <w:link w:val="19"/>
    <w:qFormat/>
    <w:uiPriority w:val="99"/>
    <w:rPr>
      <w:rFonts w:ascii="Times New Roman" w:hAnsi="Times New Roman" w:eastAsia="宋体" w:cs="Times New Roman"/>
      <w:szCs w:val="24"/>
    </w:rPr>
  </w:style>
  <w:style w:type="character" w:customStyle="1" w:styleId="59">
    <w:name w:val="批注框文本 字符"/>
    <w:basedOn w:val="35"/>
    <w:link w:val="21"/>
    <w:qFormat/>
    <w:uiPriority w:val="0"/>
    <w:rPr>
      <w:rFonts w:ascii="Times New Roman" w:hAnsi="Times New Roman" w:eastAsia="宋体" w:cs="Times New Roman"/>
      <w:sz w:val="18"/>
      <w:szCs w:val="18"/>
    </w:rPr>
  </w:style>
  <w:style w:type="character" w:customStyle="1" w:styleId="60">
    <w:name w:val="批注主题 字符"/>
    <w:basedOn w:val="52"/>
    <w:link w:val="31"/>
    <w:qFormat/>
    <w:uiPriority w:val="99"/>
    <w:rPr>
      <w:rFonts w:ascii="Times New Roman" w:hAnsi="Times New Roman" w:eastAsia="宋体" w:cs="Times New Roman"/>
      <w:b/>
      <w:bCs/>
      <w:szCs w:val="24"/>
    </w:rPr>
  </w:style>
  <w:style w:type="character" w:customStyle="1" w:styleId="61">
    <w:name w:val="正文文本首行缩进 2 字符"/>
    <w:basedOn w:val="55"/>
    <w:link w:val="32"/>
    <w:qFormat/>
    <w:uiPriority w:val="99"/>
    <w:rPr>
      <w:rFonts w:ascii="宋体" w:hAnsi="Courier New" w:eastAsia="仿宋_GB2312" w:cs="Times New Roman"/>
      <w:spacing w:val="-4"/>
      <w:kern w:val="0"/>
      <w:sz w:val="18"/>
      <w:szCs w:val="20"/>
    </w:rPr>
  </w:style>
  <w:style w:type="character" w:customStyle="1" w:styleId="62">
    <w:name w:val="纯文本 字符1"/>
    <w:qFormat/>
    <w:uiPriority w:val="0"/>
    <w:rPr>
      <w:rFonts w:ascii="宋体" w:hAnsi="Courier New"/>
    </w:rPr>
  </w:style>
  <w:style w:type="character" w:customStyle="1" w:styleId="63">
    <w:name w:val="正文文本 Char"/>
    <w:qFormat/>
    <w:uiPriority w:val="0"/>
    <w:rPr>
      <w:rFonts w:ascii="Times New Roman" w:hAnsi="Times New Roman"/>
      <w:kern w:val="2"/>
      <w:sz w:val="21"/>
      <w:szCs w:val="24"/>
    </w:rPr>
  </w:style>
  <w:style w:type="character" w:customStyle="1" w:styleId="64">
    <w:name w:val="纯文本 字符2"/>
    <w:qFormat/>
    <w:uiPriority w:val="0"/>
    <w:rPr>
      <w:rFonts w:ascii="宋体" w:hAnsi="Courier New" w:eastAsia="宋体" w:cs="Courier New"/>
      <w:szCs w:val="21"/>
    </w:rPr>
  </w:style>
  <w:style w:type="character" w:customStyle="1" w:styleId="65">
    <w:name w:val="apple-style-span"/>
    <w:qFormat/>
    <w:uiPriority w:val="0"/>
  </w:style>
  <w:style w:type="character" w:customStyle="1" w:styleId="66">
    <w:name w:val="批注文字 Char"/>
    <w:qFormat/>
    <w:uiPriority w:val="0"/>
    <w:rPr>
      <w:rFonts w:ascii="Times New Roman" w:hAnsi="Times New Roman"/>
      <w:kern w:val="2"/>
      <w:sz w:val="21"/>
      <w:szCs w:val="24"/>
    </w:rPr>
  </w:style>
  <w:style w:type="character" w:customStyle="1" w:styleId="67">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8">
    <w:name w:val="textcontents"/>
    <w:qFormat/>
    <w:uiPriority w:val="0"/>
  </w:style>
  <w:style w:type="character" w:customStyle="1" w:styleId="69">
    <w:name w:val="标题 1 字符1"/>
    <w:qFormat/>
    <w:uiPriority w:val="0"/>
    <w:rPr>
      <w:b/>
      <w:bCs/>
      <w:kern w:val="44"/>
      <w:sz w:val="44"/>
      <w:szCs w:val="44"/>
    </w:rPr>
  </w:style>
  <w:style w:type="character" w:customStyle="1" w:styleId="70">
    <w:name w:val="批注文字 Char2"/>
    <w:qFormat/>
    <w:uiPriority w:val="0"/>
    <w:rPr>
      <w:rFonts w:ascii="Times New Roman" w:hAnsi="Times New Roman"/>
      <w:kern w:val="2"/>
      <w:sz w:val="21"/>
      <w:szCs w:val="24"/>
    </w:rPr>
  </w:style>
  <w:style w:type="character" w:customStyle="1" w:styleId="71">
    <w:name w:val="标题 2 Char"/>
    <w:qFormat/>
    <w:uiPriority w:val="0"/>
    <w:rPr>
      <w:rFonts w:ascii="Cambria" w:hAnsi="Cambria" w:eastAsia="宋体" w:cs="Times New Roman"/>
      <w:b/>
      <w:bCs/>
      <w:kern w:val="2"/>
      <w:sz w:val="32"/>
      <w:szCs w:val="32"/>
    </w:rPr>
  </w:style>
  <w:style w:type="character" w:customStyle="1" w:styleId="72">
    <w:name w:val="纯文本 Char"/>
    <w:qFormat/>
    <w:uiPriority w:val="0"/>
    <w:rPr>
      <w:rFonts w:ascii="宋体" w:hAnsi="Courier New" w:eastAsia="宋体" w:cs="Courier New"/>
      <w:szCs w:val="21"/>
    </w:rPr>
  </w:style>
  <w:style w:type="character" w:customStyle="1" w:styleId="73">
    <w:name w:val="标题 8 Char"/>
    <w:qFormat/>
    <w:uiPriority w:val="0"/>
    <w:rPr>
      <w:rFonts w:ascii="Arial" w:hAnsi="Arial" w:eastAsia="黑体"/>
      <w:kern w:val="2"/>
      <w:sz w:val="24"/>
      <w:szCs w:val="24"/>
    </w:rPr>
  </w:style>
  <w:style w:type="character" w:customStyle="1" w:styleId="74">
    <w:name w:val="font51"/>
    <w:qFormat/>
    <w:uiPriority w:val="0"/>
    <w:rPr>
      <w:rFonts w:hint="default" w:ascii="Times New Roman" w:hAnsi="Times New Roman" w:cs="Times New Roman"/>
      <w:b/>
      <w:color w:val="000000"/>
      <w:sz w:val="18"/>
      <w:szCs w:val="18"/>
      <w:u w:val="none"/>
    </w:rPr>
  </w:style>
  <w:style w:type="character" w:customStyle="1" w:styleId="75">
    <w:name w:val="批注文字 字符1"/>
    <w:qFormat/>
    <w:uiPriority w:val="0"/>
    <w:rPr>
      <w:rFonts w:ascii="Times New Roman" w:hAnsi="Times New Roman"/>
      <w:kern w:val="2"/>
      <w:sz w:val="21"/>
      <w:szCs w:val="24"/>
    </w:rPr>
  </w:style>
  <w:style w:type="paragraph" w:customStyle="1" w:styleId="7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77">
    <w:name w:val="List Paragraph"/>
    <w:basedOn w:val="1"/>
    <w:qFormat/>
    <w:uiPriority w:val="34"/>
    <w:pPr>
      <w:ind w:firstLine="420" w:firstLineChars="200"/>
    </w:pPr>
  </w:style>
  <w:style w:type="paragraph" w:customStyle="1" w:styleId="78">
    <w:name w:val="Default"/>
    <w:qFormat/>
    <w:uiPriority w:val="0"/>
    <w:pPr>
      <w:widowControl w:val="0"/>
      <w:autoSpaceDE w:val="0"/>
      <w:autoSpaceDN w:val="0"/>
      <w:adjustRightInd w:val="0"/>
    </w:pPr>
    <w:rPr>
      <w:rFonts w:ascii="Arial" w:hAnsi="Arial" w:eastAsia="宋体" w:cs="Arial"/>
      <w:color w:val="000000"/>
      <w:kern w:val="0"/>
      <w:sz w:val="24"/>
      <w:szCs w:val="24"/>
      <w:lang w:val="en-US" w:eastAsia="zh-CN" w:bidi="ar-SA"/>
    </w:rPr>
  </w:style>
  <w:style w:type="paragraph" w:customStyle="1" w:styleId="79">
    <w:name w:val="Title1"/>
    <w:basedOn w:val="1"/>
    <w:next w:val="1"/>
    <w:qFormat/>
    <w:uiPriority w:val="0"/>
    <w:pPr>
      <w:jc w:val="center"/>
      <w:outlineLvl w:val="0"/>
    </w:pPr>
    <w:rPr>
      <w:rFonts w:ascii="Calibri Light" w:hAnsi="Calibri Light" w:eastAsia="Arial Unicode MS"/>
      <w:b/>
    </w:rPr>
  </w:style>
  <w:style w:type="paragraph" w:customStyle="1" w:styleId="80">
    <w:name w:val="默认段落字体 Para Char Char Char Char Char Char Char Char Char1 Char Char Char Char"/>
    <w:basedOn w:val="1"/>
    <w:qFormat/>
    <w:uiPriority w:val="0"/>
    <w:rPr>
      <w:rFonts w:ascii="Tahoma" w:hAnsi="Tahoma"/>
      <w:sz w:val="24"/>
      <w:szCs w:val="20"/>
    </w:rPr>
  </w:style>
  <w:style w:type="paragraph" w:customStyle="1" w:styleId="81">
    <w:name w:val="样式 0正文 + 首行缩进:  2 字符1"/>
    <w:basedOn w:val="1"/>
    <w:qFormat/>
    <w:uiPriority w:val="99"/>
    <w:pPr>
      <w:spacing w:line="360" w:lineRule="auto"/>
      <w:ind w:firstLine="200" w:firstLineChars="200"/>
    </w:pPr>
    <w:rPr>
      <w:szCs w:val="20"/>
    </w:rPr>
  </w:style>
  <w:style w:type="paragraph" w:customStyle="1" w:styleId="82">
    <w:name w:val="无间隔1"/>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Table Paragraph"/>
    <w:basedOn w:val="1"/>
    <w:qFormat/>
    <w:uiPriority w:val="1"/>
    <w:pPr>
      <w:jc w:val="left"/>
    </w:pPr>
    <w:rPr>
      <w:rFonts w:ascii="Calibri" w:hAnsi="Calibri"/>
      <w:kern w:val="0"/>
      <w:sz w:val="22"/>
      <w:szCs w:val="22"/>
      <w:lang w:eastAsia="en-US"/>
    </w:rPr>
  </w:style>
  <w:style w:type="paragraph" w:customStyle="1" w:styleId="84">
    <w:name w:val="正文-公11"/>
    <w:basedOn w:val="1"/>
    <w:qFormat/>
    <w:uiPriority w:val="0"/>
    <w:pPr>
      <w:ind w:firstLine="200" w:firstLineChars="200"/>
      <w:jc w:val="left"/>
    </w:pPr>
    <w:rPr>
      <w:rFonts w:eastAsia="仿宋_GB2312"/>
    </w:rPr>
  </w:style>
  <w:style w:type="paragraph" w:customStyle="1" w:styleId="85">
    <w:name w:val="my正文"/>
    <w:basedOn w:val="1"/>
    <w:link w:val="86"/>
    <w:qFormat/>
    <w:uiPriority w:val="0"/>
    <w:pPr>
      <w:spacing w:line="360" w:lineRule="auto"/>
      <w:ind w:firstLine="480" w:firstLineChars="200"/>
    </w:pPr>
    <w:rPr>
      <w:sz w:val="24"/>
      <w:lang w:val="zh-CN"/>
    </w:rPr>
  </w:style>
  <w:style w:type="character" w:customStyle="1" w:styleId="86">
    <w:name w:val="my正文 Char"/>
    <w:link w:val="85"/>
    <w:qFormat/>
    <w:uiPriority w:val="0"/>
    <w:rPr>
      <w:rFonts w:ascii="Times New Roman" w:hAnsi="Times New Roman" w:eastAsia="宋体" w:cs="Times New Roman"/>
      <w:sz w:val="24"/>
      <w:szCs w:val="24"/>
      <w:lang w:val="zh-CN"/>
    </w:rPr>
  </w:style>
  <w:style w:type="character" w:customStyle="1" w:styleId="87">
    <w:name w:val="纯文本 Char2"/>
    <w:qFormat/>
    <w:uiPriority w:val="0"/>
    <w:rPr>
      <w:rFonts w:ascii="宋体" w:hAnsi="Courier New" w:eastAsia="宋体" w:cs="Courier New"/>
      <w:szCs w:val="21"/>
    </w:rPr>
  </w:style>
  <w:style w:type="character" w:customStyle="1" w:styleId="88">
    <w:name w:val="脚注文本 字符"/>
    <w:basedOn w:val="35"/>
    <w:link w:val="26"/>
    <w:qFormat/>
    <w:uiPriority w:val="99"/>
    <w:rPr>
      <w:rFonts w:ascii="Times New Roman" w:hAnsi="Times New Roman" w:eastAsia="宋体" w:cs="Times New Roman"/>
      <w:sz w:val="18"/>
      <w:szCs w:val="18"/>
    </w:rPr>
  </w:style>
  <w:style w:type="character" w:customStyle="1" w:styleId="89">
    <w:name w:val="正文文本缩进 2 字符"/>
    <w:basedOn w:val="35"/>
    <w:link w:val="20"/>
    <w:qFormat/>
    <w:uiPriority w:val="99"/>
    <w:rPr>
      <w:rFonts w:ascii="Times New Roman" w:hAnsi="Times New Roman" w:eastAsia="宋体" w:cs="Times New Roman"/>
      <w:szCs w:val="24"/>
    </w:rPr>
  </w:style>
  <w:style w:type="paragraph" w:customStyle="1" w:styleId="90">
    <w:name w:val="Revision_8da7268b-aca7-4041-b8b6-6ee7bfb05fe0"/>
    <w:qFormat/>
    <w:uiPriority w:val="99"/>
    <w:rPr>
      <w:rFonts w:ascii="Times New Roman" w:hAnsi="Times New Roman" w:eastAsia="宋体" w:cs="Times New Roman"/>
      <w:kern w:val="2"/>
      <w:sz w:val="21"/>
      <w:szCs w:val="24"/>
      <w:lang w:val="en-US" w:eastAsia="zh-CN" w:bidi="ar-SA"/>
    </w:rPr>
  </w:style>
  <w:style w:type="character" w:customStyle="1" w:styleId="91">
    <w:name w:val="标题 1 Char"/>
    <w:link w:val="2"/>
    <w:qFormat/>
    <w:uiPriority w:val="0"/>
    <w:rPr>
      <w:rFonts w:ascii="Calibri" w:hAnsi="Calibri" w:eastAsia="宋体" w:cs="Times New Roman"/>
      <w:b/>
      <w:kern w:val="44"/>
      <w:sz w:val="28"/>
    </w:rPr>
  </w:style>
  <w:style w:type="paragraph" w:customStyle="1" w:styleId="92">
    <w:name w:val="Table Text"/>
    <w:basedOn w:val="1"/>
    <w:qFormat/>
    <w:uiPriority w:val="0"/>
    <w:rPr>
      <w:rFonts w:ascii="宋体" w:hAnsi="宋体" w:eastAsia="宋体" w:cs="宋体"/>
      <w:sz w:val="33"/>
      <w:szCs w:val="33"/>
      <w:lang w:val="en-US" w:eastAsia="en-US" w:bidi="ar-SA"/>
    </w:rPr>
  </w:style>
  <w:style w:type="table" w:customStyle="1" w:styleId="93">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ontractReview xmlns="http://schemas.wps.cn/vas-ai-hub/contract-review">
  <reviewItems>
    <reviewItem>
      <errorID>6db49f58-d5d4-4d7d-804b-f9014117d8a7</errorID>
      <errorWord>(</errorWord>
      <group>L1_Punc</group>
      <groupName>标点问题</groupName>
      <ability>L2_Punc_CN</ability>
      <abilityName/>
      <candidateList/>
      <explain>此处标点可能未正确匹配，请检查句子中是否存在标点冗余、缺失或使用错误的情况。</explain>
      <paraID> B7885DA</paraID>
      <start>21</start>
      <end>22</end>
      <status>unmodified</status>
      <modifiedWord/>
      <trackRevisions>false</trackRevisions>
    </reviewItem>
    <reviewItem>
      <errorID>cc23429f-cc51-4108-b0db-627822028822</errorID>
      <errorWord>上午00:00</errorWord>
      <group>L1_Knowledge</group>
      <groupName>知识性问题</groupName>
      <ability>L2_Time</ability>
      <abilityName>日期时间</abilityName>
      <candidateList/>
      <explain>时间与前缀不匹配，可能的时间前缀有“下午、晚上、凌晨、午夜”。</explain>
      <paraID>30AA9BD9</paraID>
      <start>29</start>
      <end>36</end>
      <status>unmodified</status>
      <modifiedWord/>
      <trackRevisions>false</trackRevisions>
    </reviewItem>
    <reviewItem>
      <errorID>6eb0eec9-1698-4298-8770-06e2593c4f2f</errorID>
      <errorWord>-</errorWord>
      <group>L1_Format</group>
      <groupName>格式问题</groupName>
      <ability>L2_HalfPunc_CN</ability>
      <abilityName/>
      <candidateList>
        <item>－</item>
      </candidateList>
      <explain>文本全半角错误。</explain>
      <paraID> 2523B31</paraID>
      <start>108</start>
      <end>109</end>
      <status>unmodified</status>
      <modifiedWord/>
      <trackRevisions>false</trackRevisions>
    </reviewItem>
    <reviewItem>
      <errorID>ac37a4be-e46a-46bd-8846-c091400c9cd2</errorID>
      <errorWord>-</errorWord>
      <group>L1_Format</group>
      <groupName>格式问题</groupName>
      <ability>L2_HalfPunc_CN</ability>
      <abilityName/>
      <candidateList>
        <item>－</item>
      </candidateList>
      <explain>文本全半角错误。</explain>
      <paraID> 2523B31</paraID>
      <start>113</start>
      <end>114</end>
      <status>unmodified</status>
      <modifiedWord/>
      <trackRevisions>false</trackRevisions>
    </reviewItem>
    <reviewItem>
      <errorID>bfa977d7-036e-4b63-8cdc-5589f947452b</errorID>
      <errorWord>-</errorWord>
      <group>L1_Format</group>
      <groupName>格式问题</groupName>
      <ability>L2_HalfPunc_CN</ability>
      <abilityName/>
      <candidateList>
        <item>－</item>
      </candidateList>
      <explain>文本全半角错误。</explain>
      <paraID> 2523B31</paraID>
      <start>120</start>
      <end>121</end>
      <status>unmodified</status>
      <modifiedWord/>
      <trackRevisions>false</trackRevisions>
    </reviewItem>
    <reviewItem>
      <errorID>c4350289-80a2-493b-b4dd-ede2386da677</errorID>
      <errorWord>-</errorWord>
      <group>L1_Format</group>
      <groupName>格式问题</groupName>
      <ability>L2_HalfPunc_CN</ability>
      <abilityName/>
      <candidateList>
        <item>－</item>
      </candidateList>
      <explain>文本全半角错误。</explain>
      <paraID> 2523B31</paraID>
      <start>126</start>
      <end>127</end>
      <status>unmodified</status>
      <modifiedWord/>
      <trackRevisions>false</trackRevisions>
    </reviewItem>
    <reviewItem>
      <errorID>fcf3887d-afd8-4db5-ad2e-dcba07ff836b</errorID>
      <errorWord>(</errorWord>
      <group>L1_Format</group>
      <groupName>格式问题</groupName>
      <ability>L2_HalfPunc_CN</ability>
      <abilityName/>
      <candidateList>
        <item>（</item>
      </candidateList>
      <explain>文本全半角错误。</explain>
      <paraID>3D773C4B</paraID>
      <start>63</start>
      <end>64</end>
      <status>unmodified</status>
      <modifiedWord/>
      <trackRevisions>false</trackRevisions>
    </reviewItem>
    <reviewItem>
      <errorID>5d1967d2-3cd4-4f48-8e96-92ddc9a2b5ea</errorID>
      <errorWord>)</errorWord>
      <group>L1_Format</group>
      <groupName>格式问题</groupName>
      <ability>L2_HalfPunc_CN</ability>
      <abilityName/>
      <candidateList>
        <item>）</item>
      </candidateList>
      <explain>文本全半角错误。</explain>
      <paraID>3D773C4B</paraID>
      <start>86</start>
      <end>87</end>
      <status>unmodified</status>
      <modifiedWord/>
      <trackRevisions>false</trackRevisions>
    </reviewItem>
    <reviewItem>
      <errorID>8a22b2ed-832a-4a1a-b4b4-f004216e9660</errorID>
      <errorWord>(</errorWord>
      <group>L1_Format</group>
      <groupName>格式问题</groupName>
      <ability>L2_HalfPunc_CN</ability>
      <abilityName/>
      <candidateList>
        <item>（</item>
      </candidateList>
      <explain>文本全半角错误。</explain>
      <paraID>3D773C4B</paraID>
      <start>95</start>
      <end>96</end>
      <status>unmodified</status>
      <modifiedWord/>
      <trackRevisions>false</trackRevisions>
    </reviewItem>
    <reviewItem>
      <errorID>e6904a58-9b96-4a69-8716-5c4cb62e1829</errorID>
      <errorWord>)</errorWord>
      <group>L1_Format</group>
      <groupName>格式问题</groupName>
      <ability>L2_HalfPunc_CN</ability>
      <abilityName/>
      <candidateList>
        <item>）</item>
      </candidateList>
      <explain>文本全半角错误。</explain>
      <paraID>3D773C4B</paraID>
      <start>111</start>
      <end>112</end>
      <status>unmodified</status>
      <modifiedWord/>
      <trackRevisions>false</trackRevisions>
    </reviewItem>
    <reviewItem>
      <errorID>56639eec-b4c7-4685-9b53-9508d6584cc0</errorID>
      <errorWord>(</errorWord>
      <group>L1_Format</group>
      <groupName>格式问题</groupName>
      <ability>L2_HalfPunc_CN</ability>
      <abilityName/>
      <candidateList>
        <item>（</item>
      </candidateList>
      <explain>文本全半角错误。</explain>
      <paraID>4762D87F</paraID>
      <start>10</start>
      <end>11</end>
      <status>unmodified</status>
      <modifiedWord/>
      <trackRevisions>false</trackRevisions>
    </reviewItem>
    <reviewItem>
      <errorID>16088a8d-3739-495c-8a05-7b95ef8a02c0</errorID>
      <errorWord>)</errorWord>
      <group>L1_Format</group>
      <groupName>格式问题</groupName>
      <ability>L2_HalfPunc_CN</ability>
      <abilityName/>
      <candidateList>
        <item>）</item>
      </candidateList>
      <explain>文本全半角错误。</explain>
      <paraID>4762D87F</paraID>
      <start>16</start>
      <end>17</end>
      <status>unmodified</status>
      <modifiedWord/>
      <trackRevisions>false</trackRevisions>
    </reviewItem>
    <reviewItem>
      <errorID>9b9d777c-03d9-45a0-aabf-a6f308783abf</errorID>
      <errorWord>操作合</errorWord>
      <group>L1_Word</group>
      <groupName>字词问题</groupName>
      <ability>L2_Typo</ability>
      <abilityName>字词错误</abilityName>
      <candidateList>
        <item>操作台</item>
      </candidateList>
      <explain/>
      <paraID>7845665B</paraID>
      <start>8</start>
      <end>11</end>
      <status>unmodified</status>
      <modifiedWord/>
      <trackRevisions>false</trackRevisions>
    </reviewItem>
    <reviewItem>
      <errorID>1a382776-6afa-4d0f-be7c-3a4e34b6cbb1</errorID>
      <errorWord>须要</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2E5396FB</paraID>
      <start>21</start>
      <end>23</end>
      <status>unmodified</status>
      <modifiedWord/>
      <trackRevisions>false</trackRevisions>
    </reviewItem>
    <reviewItem>
      <errorID>822d0afa-cb9a-4019-8baf-0bf5f60807d9</errorID>
      <errorWord>具备有</errorWord>
      <group>L1_Word</group>
      <groupName>字词问题</groupName>
      <ability>L2_Typo</ability>
      <abilityName>字词错误</abilityName>
      <candidateList>
        <item>具备</item>
      </candidateList>
      <explain/>
      <paraID>57D3FA0B</paraID>
      <start>8</start>
      <end>11</end>
      <status>unmodified</status>
      <modifiedWord/>
      <trackRevisions>false</trackRevisions>
    </reviewItem>
    <reviewItem>
      <errorID>179fccca-5068-402d-9807-26075e6a13a5</errorID>
      <errorWord>（</errorWord>
      <group>L1_Punc</group>
      <groupName>标点问题</groupName>
      <ability>L2_Punc_CN</ability>
      <abilityName/>
      <candidateList/>
      <explain>同一形式括号套用。</explain>
      <paraID> 70C59BE</paraID>
      <start>43</start>
      <end>44</end>
      <status>unmodified</status>
      <modifiedWord/>
      <trackRevisions>false</trackRevisions>
    </reviewItem>
    <reviewItem>
      <errorID>29658193-c65d-4774-a055-d2ca5465ee8c</errorID>
      <errorWord>）</errorWord>
      <group>L1_Punc</group>
      <groupName>标点问题</groupName>
      <ability>L2_Punc_CN</ability>
      <abilityName/>
      <candidateList/>
      <explain>同一形式括号套用。</explain>
      <paraID> 70C59BE</paraID>
      <start>87</start>
      <end>88</end>
      <status>unmodified</status>
      <modifiedWord/>
      <trackRevisions>false</trackRevisions>
    </reviewItem>
    <reviewItem>
      <errorID>508fd958-b8b1-4d91-bb79-c5292e101fee</errorID>
      <errorWord>：/</errorWord>
      <group>L1_Punc</group>
      <groupName>标点问题</groupName>
      <ability>L2_Punc_CN</ability>
      <abilityName/>
      <candidateList>
        <item>：</item>
      </candidateList>
      <explain/>
      <paraID>1D94CB16</paraID>
      <start>5</start>
      <end>7</end>
      <status>unmodified</status>
      <modifiedWord/>
      <trackRevisions>false</trackRevisions>
    </reviewItem>
    <reviewItem>
      <errorID>e7273a07-f2fa-483c-9b75-8a2f0d4bb399</errorID>
      <errorWord>,</errorWord>
      <group>L1_Format</group>
      <groupName>格式问题</groupName>
      <ability>L2_HalfPunc_CN</ability>
      <abilityName/>
      <candidateList>
        <item>，</item>
      </candidateList>
      <explain>文本全半角错误。</explain>
      <paraID>3A522B36</paraID>
      <start>182</start>
      <end>183</end>
      <status>unmodified</status>
      <modifiedWord/>
      <trackRevisions>false</trackRevisions>
    </reviewItem>
    <reviewItem>
      <errorID>d30e0f25-216f-4f71-a87f-6a2621670f08</errorID>
      <errorWord>（</errorWord>
      <group>L1_Punc</group>
      <groupName>标点问题</groupName>
      <ability>L2_Punc_CN</ability>
      <abilityName/>
      <candidateList/>
      <explain>同一形式括号套用。</explain>
      <paraID>758F50F8</paraID>
      <start>49</start>
      <end>50</end>
      <status>unmodified</status>
      <modifiedWord/>
      <trackRevisions>false</trackRevisions>
    </reviewItem>
    <reviewItem>
      <errorID>9a97e1e5-8e8a-462c-92f2-51574184853b</errorID>
      <errorWord>）</errorWord>
      <group>L1_Punc</group>
      <groupName>标点问题</groupName>
      <ability>L2_Punc_CN</ability>
      <abilityName/>
      <candidateList/>
      <explain>同一形式括号套用。</explain>
      <paraID>758F50F8</paraID>
      <start>57</start>
      <end>58</end>
      <status>unmodified</status>
      <modifiedWord/>
      <trackRevisions>false</trackRevisions>
    </reviewItem>
    <reviewItem>
      <errorID>f9165556-6dff-4fef-a3de-f2ed02473a39</errorID>
      <errorWord>下午15:00</errorWord>
      <group>L1_Knowledge</group>
      <groupName>知识性问题</groupName>
      <ability>L2_Time</ability>
      <abilityName>日期时间</abilityName>
      <candidateList>
        <item>15:00</item>
      </candidateList>
      <explain>24小时制的时间，不需要强调“下午”。</explain>
      <paraID>3B4500D3</paraID>
      <start>22</start>
      <end>29</end>
      <status>unmodified</status>
      <modifiedWord/>
      <trackRevisions>false</trackRevisions>
    </reviewItem>
    <reviewItem>
      <errorID>e66b38e7-221d-48de-8561-679e2cdb9a4e</errorID>
      <errorWord>：</errorWord>
      <group>L1_Word</group>
      <groupName>字词问题</groupName>
      <ability>L2_Typo</ability>
      <abilityName>字词错误</abilityName>
      <candidateList>
        <item>：以</item>
      </candidateList>
      <explain/>
      <paraID>4164B459</paraID>
      <start>6</start>
      <end>7</end>
      <status>unmodified</status>
      <modifiedWord/>
      <trackRevisions>false</trackRevisions>
    </reviewItem>
    <reviewItem>
      <errorID>12273f28-647b-4854-939e-236db9cc9ab1</errorID>
      <errorWord>法律、法规</errorWord>
      <group>L1_Word</group>
      <groupName>字词问题</groupName>
      <ability>L2_Typo</ability>
      <abilityName>字词错误</abilityName>
      <candidateList>
        <item>法律法规</item>
      </candidateList>
      <explain/>
      <paraID> 8BCDEFB</paraID>
      <start>38</start>
      <end>43</end>
      <status>unmodified</status>
      <modifiedWord/>
      <trackRevisions>false</trackRevisions>
    </reviewItem>
    <reviewItem>
      <errorID>7ec47752-8e43-406c-adc8-3ca69b5849a9</errorID>
      <errorWord>[2020]46号</errorWord>
      <group>L1_Knowledge</group>
      <groupName>知识性问题</groupName>
      <ability>L2_Knowledge</ability>
      <abilityName>其他知识</abilityName>
      <candidateList>
        <item>〔2020〕46号</item>
      </candidateList>
      <explain>发文字号格式错误。</explain>
      <paraID> 9C1670C</paraID>
      <start>26</start>
      <end>35</end>
      <status>unmodified</status>
      <modifiedWord/>
      <trackRevisions>false</trackRevisions>
    </reviewItem>
    <reviewItem>
      <errorID>60f34405-fd98-49c2-951a-34f17a523ebe</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 9C1670C</paraID>
      <start>216</start>
      <end>221</end>
      <status>unmodified</status>
      <modifiedWord/>
      <trackRevisions>false</trackRevisions>
    </reviewItem>
    <reviewItem>
      <errorID>58b232f0-518b-42e8-b44d-54d7b013d4d8</errorID>
      <errorWord>1%-2%</errorWord>
      <group>L1_Knowledge</group>
      <groupName>知识性问题</groupName>
      <ability>L2_Knowledge</ability>
      <abilityName>其他知识</abilityName>
      <candidateList>
        <item>1%—2%</item>
      </candidateList>
      <explain>1. “1%-2%”中的单位“%”仅出现在后一个数字上，容易引起歧义；根据《现代汉语标点符号数字用法规范手册》，数字表示范围两边需要使用统一的格式。2. 根据标点国标 4.13 中的规则，数字、时间或地域连接符应使用（视觉上更长的）“—”或“～”。</explain>
      <paraID> 9C1670C</paraID>
      <start>227</start>
      <end>232</end>
      <status>unmodified</status>
      <modifiedWord/>
      <trackRevisions>false</trackRevisions>
    </reviewItem>
    <reviewItem>
      <errorID>1392c856-7dd2-4022-9630-fcedd0c6f3b5</errorID>
      <errorWord>详见在</errorWord>
      <group>L1_Word</group>
      <groupName>字词问题</groupName>
      <ability>L2_Typo</ability>
      <abilityName>字词错误</abilityName>
      <candidateList>
        <item>详见</item>
      </candidateList>
      <explain/>
      <paraID>6AA4AA8B</paraID>
      <start>67</start>
      <end>70</end>
      <status>unmodified</status>
      <modifiedWord/>
      <trackRevisions>false</trackRevisions>
    </reviewItem>
    <reviewItem>
      <errorID>188b3d95-208c-47d1-a0e8-534cc088c5f8</errorID>
      <errorWord>，</errorWord>
      <group>L1_Word</group>
      <groupName>字词问题</groupName>
      <ability>L2_Typo</ability>
      <abilityName>字词错误</abilityName>
      <candidateList>
        <item>，在</item>
      </candidateList>
      <explain/>
      <paraID>2E94A48B</paraID>
      <start>37</start>
      <end>38</end>
      <status>unmodified</status>
      <modifiedWord/>
      <trackRevisions>false</trackRevisions>
    </reviewItem>
    <reviewItem>
      <errorID>f63165a7-d39d-4f51-b6bd-5ede41bdc035</errorID>
      <errorWord>做出</errorWord>
      <group>L1_Word</group>
      <groupName>字词问题</groupName>
      <ability>L2_Typo</ability>
      <abilityName>字词错误</abilityName>
      <candidateList>
        <item>作出</item>
      </candidateList>
      <explain/>
      <paraID>737A1C26</paraID>
      <start>64</start>
      <end>66</end>
      <status>unmodified</status>
      <modifiedWord/>
      <trackRevisions>false</trackRevisions>
    </reviewItem>
    <reviewItem>
      <errorID>7a8358ee-5037-4952-a70a-902705cd40ad</errorID>
      <errorWord>做出</errorWord>
      <group>L1_Word</group>
      <groupName>字词问题</groupName>
      <ability>L2_Typo</ability>
      <abilityName>字词错误</abilityName>
      <candidateList>
        <item>作出</item>
      </candidateList>
      <explain/>
      <paraID>4621501E</paraID>
      <start>70</start>
      <end>72</end>
      <status>unmodified</status>
      <modifiedWord/>
      <trackRevisions>false</trackRevisions>
    </reviewItem>
    <reviewItem>
      <errorID>78ce36f1-e791-4f8d-862a-7f55f5a3d741</errorID>
      <errorWord>务</errorWord>
      <group>L1_Word</group>
      <groupName>字词问题</groupName>
      <ability>L2_Typo</ability>
      <abilityName>字词错误</abilityName>
      <candidateList>
        <item>务费</item>
      </candidateList>
      <explain/>
      <paraID>166161FA</paraID>
      <start>13</start>
      <end>14</end>
      <status>unmodified</status>
      <modifiedWord/>
      <trackRevisions>false</trackRevisions>
    </reviewItem>
    <reviewItem>
      <errorID>1da2f503-719a-4100-a36c-bba896e2f42d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1CE2184B</paraID>
      <start>0</start>
      <end>2</end>
      <status>unmodified</status>
      <modifiedWord/>
      <trackRevisions>false</trackRevisions>
    </reviewItem>
    <reviewItem>
      <errorID>eb4845b4-2c06-4fdb-a07b-fa859a5a7ab0</errorID>
      <errorWord>六</errorWord>
      <group>L1_Word</group>
      <groupName>字词问题</groupName>
      <ability>L2_Typo</ability>
      <abilityName>字词错误</abilityName>
      <candidateList>
        <item>六个</item>
      </candidateList>
      <explain/>
      <paraID>49B2D2CF</paraID>
      <start>50</start>
      <end>51</end>
      <status>unmodified</status>
      <modifiedWord/>
      <trackRevisions>false</trackRevisions>
    </reviewItem>
    <reviewItem>
      <errorID>9a217435-e8ee-4158-808d-18b0864de264</errorID>
      <errorWord>，</errorWord>
      <group>L1_Word</group>
      <groupName>字词问题</groupName>
      <ability>L2_Typo</ability>
      <abilityName>字词错误</abilityName>
      <candidateList>
        <item>，以</item>
      </candidateList>
      <explain/>
      <paraID>7333C4A8</paraID>
      <start>48</start>
      <end>49</end>
      <status>unmodified</status>
      <modifiedWord/>
      <trackRevisions>false</trackRevisions>
    </reviewItem>
    <reviewItem>
      <errorID>341083b7-5032-498c-985c-afab6d5d5104</errorID>
      <errorWord>法治教育</errorWord>
      <group>L1_Word</group>
      <groupName>字词问题</groupName>
      <ability>L2_Typo</ability>
      <abilityName>字词错误</abilityName>
      <candidateList>
        <item>法制教育</item>
      </candidateList>
      <explain/>
      <paraID>5186054C</paraID>
      <start>2</start>
      <end>6</end>
      <status>unmodified</status>
      <modifiedWord/>
      <trackRevisions>false</trackRevisions>
    </reviewItem>
    <reviewItem>
      <errorID>7be23e51-38e5-40eb-bd80-7b55c8d7acf1</errorID>
      <errorWord>(2015)22号</errorWord>
      <group>L1_Knowledge</group>
      <groupName>知识性问题</groupName>
      <ability>L2_Knowledge</ability>
      <abilityName>其他知识</abilityName>
      <candidateList>
        <item>〔2015〕22号</item>
      </candidateList>
      <explain>发文字号格式错误。</explain>
      <paraID>4D2E8CA2</paraID>
      <start>49</start>
      <end>58</end>
      <status>unmodified</status>
      <modifiedWord/>
      <trackRevisions>false</trackRevisions>
    </reviewItem>
    <reviewItem>
      <errorID>f8639fda-6a7e-4121-ac4a-ccb542dda6b7</errorID>
      <errorWord>(2016)205号</errorWord>
      <group>L1_Knowledge</group>
      <groupName>知识性问题</groupName>
      <ability>L2_Knowledge</ability>
      <abilityName>其他知识</abilityName>
      <candidateList>
        <item>〔2016〕205号</item>
      </candidateList>
      <explain>发文字号格式错误。</explain>
      <paraID>4D2E8CA2</paraID>
      <start>94</start>
      <end>104</end>
      <status>unmodified</status>
      <modifiedWord/>
      <trackRevisions>false</trackRevisions>
    </reviewItem>
    <reviewItem>
      <errorID>910ed408-d03f-4851-b4e8-e4b0277a95b4</errorID>
      <errorWord>[2011]300号</errorWord>
      <group>L1_Knowledge</group>
      <groupName>知识性问题</groupName>
      <ability>L2_Knowledge</ability>
      <abilityName>其他知识</abilityName>
      <candidateList>
        <item>〔2011〕300号</item>
      </candidateList>
      <explain>发文字号格式错误。</explain>
      <paraID> 46BF4FB</paraID>
      <start>35</start>
      <end>45</end>
      <status>unmodified</status>
      <modifiedWord/>
      <trackRevisions>false</trackRevisions>
    </reviewItem>
    <reviewItem>
      <errorID>f512b765-0cf1-4c16-8bd3-165660c143ac</errorID>
      <errorWord>须</errorWord>
      <group>L1_Word</group>
      <groupName>字词问题</groupName>
      <ability>L2_Typo</ability>
      <abilityName>字词错误</abilityName>
      <candidateList>
        <item>需</item>
      </candidateList>
      <explain>存在发音相同字词的误用。</explain>
      <paraID> 46BF4FB</paraID>
      <start>82</start>
      <end>83</end>
      <status>unmodified</status>
      <modifiedWord/>
      <trackRevisions>false</trackRevisions>
    </reviewItem>
    <reviewItem>
      <errorID>470701bb-d81b-4af4-9f2a-11950f988ed4</errorID>
      <errorWord>(</errorWord>
      <group>L1_Format</group>
      <groupName>格式问题</groupName>
      <ability>L2_HalfPunc_CN</ability>
      <abilityName/>
      <candidateList>
        <item>（</item>
      </candidateList>
      <explain>文本全半角错误。</explain>
      <paraID>7B13CB8D</paraID>
      <start>73</start>
      <end>74</end>
      <status>unmodified</status>
      <modifiedWord/>
      <trackRevisions>false</trackRevisions>
    </reviewItem>
    <reviewItem>
      <errorID>62761eaa-09bf-4213-9db0-3fa29293a10d</errorID>
      <errorWord>)</errorWord>
      <group>L1_Format</group>
      <groupName>格式问题</groupName>
      <ability>L2_HalfPunc_CN</ability>
      <abilityName/>
      <candidateList>
        <item>）</item>
      </candidateList>
      <explain>文本全半角错误。</explain>
      <paraID>7B13CB8D</paraID>
      <start>96</start>
      <end>97</end>
      <status>unmodified</status>
      <modifiedWord/>
      <trackRevisions>false</trackRevisions>
    </reviewItem>
    <reviewItem>
      <errorID>60b436cd-ace7-4454-9415-4caba0895f4d</errorID>
      <errorWord>(</errorWord>
      <group>L1_Format</group>
      <groupName>格式问题</groupName>
      <ability>L2_HalfPunc_CN</ability>
      <abilityName/>
      <candidateList>
        <item>（</item>
      </candidateList>
      <explain>文本全半角错误。</explain>
      <paraID>7B13CB8D</paraID>
      <start>105</start>
      <end>106</end>
      <status>unmodified</status>
      <modifiedWord/>
      <trackRevisions>false</trackRevisions>
    </reviewItem>
    <reviewItem>
      <errorID>f8ffef75-1a0c-4aea-a840-c89c8b36478a</errorID>
      <errorWord>)</errorWord>
      <group>L1_Format</group>
      <groupName>格式问题</groupName>
      <ability>L2_HalfPunc_CN</ability>
      <abilityName/>
      <candidateList>
        <item>）</item>
      </candidateList>
      <explain>文本全半角错误。</explain>
      <paraID>7B13CB8D</paraID>
      <start>121</start>
      <end>122</end>
      <status>unmodified</status>
      <modifiedWord/>
      <trackRevisions>false</trackRevisions>
    </reviewItem>
    <reviewItem>
      <errorID>b9cbf836-2e50-48b7-8bed-adb419c591e1</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55F84733</paraID>
      <start>19</start>
      <end>21</end>
      <status>unmodified</status>
      <modifiedWord/>
      <trackRevisions>false</trackRevisions>
    </reviewItem>
    <reviewItem>
      <errorID>8abd779b-43ab-42db-8a75-8318d3004dac</errorID>
      <errorWord>-</errorWord>
      <group>L1_Format</group>
      <groupName>格式问题</groupName>
      <ability>L2_HalfPunc_CN</ability>
      <abilityName/>
      <candidateList>
        <item>－</item>
      </candidateList>
      <explain>文本全半角错误。</explain>
      <paraID>2BCD8E54</paraID>
      <start>20</start>
      <end>21</end>
      <status>unmodified</status>
      <modifiedWord/>
      <trackRevisions>false</trackRevisions>
    </reviewItem>
    <reviewItem>
      <errorID>d832b841-d379-4630-bcb4-da02b8d5743c</errorID>
      <errorWord>法律、法规</errorWord>
      <group>L1_Word</group>
      <groupName>字词问题</groupName>
      <ability>L2_Typo</ability>
      <abilityName>字词错误</abilityName>
      <candidateList>
        <item>法律法规</item>
      </candidateList>
      <explain/>
      <paraID>7E729468</paraID>
      <start>3</start>
      <end>8</end>
      <status>unmodified</status>
      <modifiedWord/>
      <trackRevisions>false</trackRevisions>
    </reviewItem>
    <reviewItem>
      <errorID>3e85d880-8344-4a67-9d43-af62f1c1739d</errorID>
      <errorWord>&lt;</errorWord>
      <group>L1_Format</group>
      <groupName>格式问题</groupName>
      <ability>L2_HalfPunc_CN</ability>
      <abilityName/>
      <candidateList>
        <item>〈</item>
      </candidateList>
      <explain>文本全半角错误。</explain>
      <paraID>4D5CC2CF</paraID>
      <start>49</start>
      <end>50</end>
      <status>unmodified</status>
      <modifiedWord/>
      <trackRevisions>false</trackRevisions>
    </reviewItem>
    <reviewItem>
      <errorID>4dc05387-c054-4cda-8727-94f87aa4a603</errorID>
      <errorWord>&lt;</errorWord>
      <group>L1_Format</group>
      <groupName>格式问题</groupName>
      <ability>L2_HalfPunc_CN</ability>
      <abilityName/>
      <candidateList>
        <item>〈</item>
      </candidateList>
      <explain>文本全半角错误。</explain>
      <paraID>1D62BB8E</paraID>
      <start>49</start>
      <end>50</end>
      <status>unmodified</status>
      <modifiedWord/>
      <trackRevisions>false</trackRevisions>
    </reviewItem>
    <reviewItem>
      <errorID>d91c07f9-9b1a-42f9-9da8-9165631d0cc4</errorID>
      <errorWord>&lt;</errorWord>
      <group>L1_Format</group>
      <groupName>格式问题</groupName>
      <ability>L2_HalfPunc_CN</ability>
      <abilityName/>
      <candidateList>
        <item>〈</item>
      </candidateList>
      <explain>文本全半角错误。</explain>
      <paraID>1F8870B4</paraID>
      <start>34</start>
      <end>35</end>
      <status>unmodified</status>
      <modifiedWord/>
      <trackRevisions>false</trackRevisions>
    </reviewItem>
    <reviewItem>
      <errorID>12e3ba43-157d-4a7a-bf99-4782725b378f</errorID>
      <errorWord>(</errorWord>
      <group>L1_Format</group>
      <groupName>格式问题</groupName>
      <ability>L2_HalfPunc_CN</ability>
      <abilityName/>
      <candidateList>
        <item>（</item>
      </candidateList>
      <explain>文本全半角错误。</explain>
      <paraID>3E94171B</paraID>
      <start>2</start>
      <end>3</end>
      <status>unmodified</status>
      <modifiedWord/>
      <trackRevisions>false</trackRevisions>
    </reviewItem>
    <reviewItem>
      <errorID>a1784442-4da2-4872-ae21-37976ecbcdb8</errorID>
      <errorWord>)</errorWord>
      <group>L1_Format</group>
      <groupName>格式问题</groupName>
      <ability>L2_HalfPunc_CN</ability>
      <abilityName/>
      <candidateList>
        <item>）</item>
      </candidateList>
      <explain>文本全半角错误。</explain>
      <paraID>3E94171B</paraID>
      <start>5</start>
      <end>6</end>
      <status>unmodified</status>
      <modifiedWord/>
      <trackRevisions>false</trackRevisions>
    </reviewItem>
    <reviewItem>
      <errorID>fb6f5e8c-53d9-469e-9e50-3fa9f643ddcb</errorID>
      <errorWord>(</errorWord>
      <group>L1_Format</group>
      <groupName>格式问题</groupName>
      <ability>L2_HalfPunc_CN</ability>
      <abilityName/>
      <candidateList>
        <item>（</item>
      </candidateList>
      <explain>文本全半角错误。</explain>
      <paraID>7C9B593D</paraID>
      <start>2</start>
      <end>3</end>
      <status>unmodified</status>
      <modifiedWord/>
      <trackRevisions>false</trackRevisions>
    </reviewItem>
    <reviewItem>
      <errorID>0ee30d54-0c19-45b7-acc7-5f8d0dd064a7</errorID>
      <errorWord>)</errorWord>
      <group>L1_Format</group>
      <groupName>格式问题</groupName>
      <ability>L2_HalfPunc_CN</ability>
      <abilityName/>
      <candidateList>
        <item>）</item>
      </candidateList>
      <explain>文本全半角错误。</explain>
      <paraID>7C9B593D</paraID>
      <start>6</start>
      <end>7</end>
      <status>unmodified</status>
      <modifiedWord/>
      <trackRevisions>false</trackRevisions>
    </reviewItem>
    <reviewItem>
      <errorID>d8b9af2a-5025-4b4c-9aba-56518a41205b</errorID>
      <errorWord>(</errorWord>
      <group>L1_Format</group>
      <groupName>格式问题</groupName>
      <ability>L2_HalfPunc_CN</ability>
      <abilityName/>
      <candidateList>
        <item>（</item>
      </candidateList>
      <explain>文本全半角错误。</explain>
      <paraID>47458303</paraID>
      <start>2</start>
      <end>3</end>
      <status>unmodified</status>
      <modifiedWord/>
      <trackRevisions>false</trackRevisions>
    </reviewItem>
    <reviewItem>
      <errorID>ff9799c0-6f12-43d0-b64d-d0b4034a70ba</errorID>
      <errorWord>)</errorWord>
      <group>L1_Format</group>
      <groupName>格式问题</groupName>
      <ability>L2_HalfPunc_CN</ability>
      <abilityName/>
      <candidateList>
        <item>）</item>
      </candidateList>
      <explain>文本全半角错误。</explain>
      <paraID>47458303</paraID>
      <start>6</start>
      <end>7</end>
      <status>unmodified</status>
      <modifiedWord/>
      <trackRevisions>false</trackRevisions>
    </reviewItem>
    <reviewItem>
      <errorID>c7360bae-b51d-4535-b713-cd4b231faec1</errorID>
      <errorWord>详实</errorWord>
      <group>L1_Word</group>
      <groupName>字词问题</groupName>
      <ability>L2_Typo</ability>
      <abilityName>字词错误</abilityName>
      <candidateList>
        <item>翔实</item>
      </candidateList>
      <explain>存在发音相同字词的误用。</explain>
      <paraID>47458303</paraID>
      <start>12</start>
      <end>14</end>
      <status>unmodified</status>
      <modifiedWord/>
      <trackRevisions>false</trackRevisions>
    </reviewItem>
    <reviewItem>
      <errorID>3d99e338-ee47-4f3d-84f0-7f402aa83bc7</errorID>
      <errorWord>(</errorWord>
      <group>L1_Format</group>
      <groupName>格式问题</groupName>
      <ability>L2_HalfPunc_CN</ability>
      <abilityName/>
      <candidateList>
        <item>（</item>
      </candidateList>
      <explain>文本全半角错误。</explain>
      <paraID>2AB6BD28</paraID>
      <start>2</start>
      <end>3</end>
      <status>unmodified</status>
      <modifiedWord/>
      <trackRevisions>false</trackRevisions>
    </reviewItem>
    <reviewItem>
      <errorID>5d871337-3968-4baf-8f41-b7c24a4e1a60</errorID>
      <errorWord>)</errorWord>
      <group>L1_Format</group>
      <groupName>格式问题</groupName>
      <ability>L2_HalfPunc_CN</ability>
      <abilityName/>
      <candidateList>
        <item>）</item>
      </candidateList>
      <explain>文本全半角错误。</explain>
      <paraID>2AB6BD28</paraID>
      <start>5</start>
      <end>6</end>
      <status>unmodified</status>
      <modifiedWord/>
      <trackRevisions>false</trackRevisions>
    </reviewItem>
    <reviewItem>
      <errorID>81cbbcbb-eb99-4b4b-98a3-704148e9e3c7</errorID>
      <errorWord>(</errorWord>
      <group>L1_Format</group>
      <groupName>格式问题</groupName>
      <ability>L2_HalfPunc_CN</ability>
      <abilityName/>
      <candidateList>
        <item>（</item>
      </candidateList>
      <explain>文本全半角错误。</explain>
      <paraID>2BE54FA3</paraID>
      <start>2</start>
      <end>3</end>
      <status>unmodified</status>
      <modifiedWord/>
      <trackRevisions>false</trackRevisions>
    </reviewItem>
    <reviewItem>
      <errorID>1aa9bc00-3be1-4eb2-bafb-664e17b1f423</errorID>
      <errorWord>)</errorWord>
      <group>L1_Format</group>
      <groupName>格式问题</groupName>
      <ability>L2_HalfPunc_CN</ability>
      <abilityName/>
      <candidateList>
        <item>）</item>
      </candidateList>
      <explain>文本全半角错误。</explain>
      <paraID>2BE54FA3</paraID>
      <start>6</start>
      <end>7</end>
      <status>unmodified</status>
      <modifiedWord/>
      <trackRevisions>false</trackRevisions>
    </reviewItem>
    <reviewItem>
      <errorID>c8af89b4-d86e-4e03-8f8c-dcbe2b91cb89</errorID>
      <errorWord>(</errorWord>
      <group>L1_Format</group>
      <groupName>格式问题</groupName>
      <ability>L2_HalfPunc_CN</ability>
      <abilityName/>
      <candidateList>
        <item>（</item>
      </candidateList>
      <explain>文本全半角错误。</explain>
      <paraID>518298FF</paraID>
      <start>2</start>
      <end>3</end>
      <status>unmodified</status>
      <modifiedWord/>
      <trackRevisions>false</trackRevisions>
    </reviewItem>
    <reviewItem>
      <errorID>94854b82-188b-4207-8ede-4c93cb1fabf8</errorID>
      <errorWord>)</errorWord>
      <group>L1_Format</group>
      <groupName>格式问题</groupName>
      <ability>L2_HalfPunc_CN</ability>
      <abilityName/>
      <candidateList>
        <item>）</item>
      </candidateList>
      <explain>文本全半角错误。</explain>
      <paraID>518298FF</paraID>
      <start>6</start>
      <end>7</end>
      <status>unmodified</status>
      <modifiedWord/>
      <trackRevisions>false</trackRevisions>
    </reviewItem>
    <reviewItem>
      <errorID>6f7d6330-1c3f-4c46-834c-08aa94c0747b</errorID>
      <errorWord>(</errorWord>
      <group>L1_Format</group>
      <groupName>格式问题</groupName>
      <ability>L2_HalfPunc_CN</ability>
      <abilityName/>
      <candidateList>
        <item>（</item>
      </candidateList>
      <explain>文本全半角错误。</explain>
      <paraID>2EE94403</paraID>
      <start>0</start>
      <end>1</end>
      <status>unmodified</status>
      <modifiedWord/>
      <trackRevisions>false</trackRevisions>
    </reviewItem>
    <reviewItem>
      <errorID>35b7fcc4-a7a4-4702-94ce-70bbf9fe2634</errorID>
      <errorWord>)</errorWord>
      <group>L1_Format</group>
      <groupName>格式问题</groupName>
      <ability>L2_HalfPunc_CN</ability>
      <abilityName/>
      <candidateList>
        <item>）</item>
      </candidateList>
      <explain>文本全半角错误。</explain>
      <paraID>2EE94403</paraID>
      <start>6</start>
      <end>7</end>
      <status>unmodified</status>
      <modifiedWord/>
      <trackRevisions>false</trackRevisions>
    </reviewItem>
    <reviewItem>
      <errorID>d88c5e47-4639-4d9b-8184-6e153623d89c</errorID>
      <errorWord>(</errorWord>
      <group>L1_Format</group>
      <groupName>格式问题</groupName>
      <ability>L2_HalfPunc_CN</ability>
      <abilityName/>
      <candidateList>
        <item>（</item>
      </candidateList>
      <explain>文本全半角错误。</explain>
      <paraID>24603D17</paraID>
      <start>2</start>
      <end>3</end>
      <status>unmodified</status>
      <modifiedWord/>
      <trackRevisions>false</trackRevisions>
    </reviewItem>
    <reviewItem>
      <errorID>a9c1bc30-f9e9-4f06-8630-6bd31a60c4ac</errorID>
      <errorWord>)</errorWord>
      <group>L1_Format</group>
      <groupName>格式问题</groupName>
      <ability>L2_HalfPunc_CN</ability>
      <abilityName/>
      <candidateList>
        <item>）</item>
      </candidateList>
      <explain>文本全半角错误。</explain>
      <paraID>24603D17</paraID>
      <start>5</start>
      <end>6</end>
      <status>unmodified</status>
      <modifiedWord/>
      <trackRevisions>false</trackRevisions>
    </reviewItem>
    <reviewItem>
      <errorID>389dcea9-7ea6-49ec-a94d-44fc49a01233</errorID>
      <errorWord>(</errorWord>
      <group>L1_Format</group>
      <groupName>格式问题</groupName>
      <ability>L2_HalfPunc_CN</ability>
      <abilityName/>
      <candidateList>
        <item>（</item>
      </candidateList>
      <explain>文本全半角错误。</explain>
      <paraID>6F979E2F</paraID>
      <start>2</start>
      <end>3</end>
      <status>unmodified</status>
      <modifiedWord/>
      <trackRevisions>false</trackRevisions>
    </reviewItem>
    <reviewItem>
      <errorID>b944fcd4-4398-4cc9-964d-0876357dd755</errorID>
      <errorWord>)</errorWord>
      <group>L1_Format</group>
      <groupName>格式问题</groupName>
      <ability>L2_HalfPunc_CN</ability>
      <abilityName/>
      <candidateList>
        <item>）</item>
      </candidateList>
      <explain>文本全半角错误。</explain>
      <paraID>6F979E2F</paraID>
      <start>6</start>
      <end>7</end>
      <status>unmodified</status>
      <modifiedWord/>
      <trackRevisions>false</trackRevisions>
    </reviewItem>
    <reviewItem>
      <errorID>e66d151b-48fa-4156-b723-44f0b17e7694</errorID>
      <errorWord>(</errorWord>
      <group>L1_Format</group>
      <groupName>格式问题</groupName>
      <ability>L2_HalfPunc_CN</ability>
      <abilityName/>
      <candidateList>
        <item>（</item>
      </candidateList>
      <explain>文本全半角错误。</explain>
      <paraID> 9FE9B41</paraID>
      <start>2</start>
      <end>3</end>
      <status>unmodified</status>
      <modifiedWord/>
      <trackRevisions>false</trackRevisions>
    </reviewItem>
    <reviewItem>
      <errorID>da26e70a-e5a8-4b55-b83d-39d69af010e9</errorID>
      <errorWord>)</errorWord>
      <group>L1_Format</group>
      <groupName>格式问题</groupName>
      <ability>L2_HalfPunc_CN</ability>
      <abilityName/>
      <candidateList>
        <item>）</item>
      </candidateList>
      <explain>文本全半角错误。</explain>
      <paraID> 9FE9B41</paraID>
      <start>6</start>
      <end>7</end>
      <status>unmodified</status>
      <modifiedWord/>
      <trackRevisions>false</trackRevisions>
    </reviewItem>
    <reviewItem>
      <errorID>a12e17ae-e0c6-46b5-9579-ca6758e2eab6</errorID>
      <errorWord>（</errorWord>
      <group>L1_Punc</group>
      <groupName>标点问题</groupName>
      <ability>L2_Punc_CN</ability>
      <abilityName/>
      <candidateList/>
      <explain>此处标点可能未正确匹配，请检查句子中是否存在标点冗余、缺失或使用错误的情况。</explain>
      <paraID>5FA969C1</paraID>
      <start>8</start>
      <end>9</end>
      <status>unmodified</status>
      <modifiedWord/>
      <trackRevisions>false</trackRevisions>
    </reviewItem>
    <reviewItem>
      <errorID>01a38e58-b7fc-450d-a0b8-1a61eb5c470a</errorID>
      <errorWord>(</errorWord>
      <group>L1_Format</group>
      <groupName>格式问题</groupName>
      <ability>L2_HalfPunc_CN</ability>
      <abilityName/>
      <candidateList>
        <item>（</item>
      </candidateList>
      <explain>文本全半角错误。</explain>
      <paraID>51E08650</paraID>
      <start>2</start>
      <end>3</end>
      <status>unmodified</status>
      <modifiedWord/>
      <trackRevisions>false</trackRevisions>
    </reviewItem>
    <reviewItem>
      <errorID>b61ed4c1-a8ff-4046-bda2-344b9a65b93a</errorID>
      <errorWord>)</errorWord>
      <group>L1_Format</group>
      <groupName>格式问题</groupName>
      <ability>L2_HalfPunc_CN</ability>
      <abilityName/>
      <candidateList>
        <item>）</item>
      </candidateList>
      <explain>文本全半角错误。</explain>
      <paraID>51E08650</paraID>
      <start>5</start>
      <end>6</end>
      <status>unmodified</status>
      <modifiedWord/>
      <trackRevisions>false</trackRevisions>
    </reviewItem>
    <reviewItem>
      <errorID>fb98b0ec-ad87-46c9-b1d3-13645cc5f1f7</errorID>
      <errorWord>(</errorWord>
      <group>L1_Format</group>
      <groupName>格式问题</groupName>
      <ability>L2_HalfPunc_CN</ability>
      <abilityName/>
      <candidateList>
        <item>（</item>
      </candidateList>
      <explain>文本全半角错误。</explain>
      <paraID>353F657D</paraID>
      <start>2</start>
      <end>3</end>
      <status>unmodified</status>
      <modifiedWord/>
      <trackRevisions>false</trackRevisions>
    </reviewItem>
    <reviewItem>
      <errorID>c5bf3921-2fd7-497b-8bc3-9ff03aff93ea</errorID>
      <errorWord>)</errorWord>
      <group>L1_Format</group>
      <groupName>格式问题</groupName>
      <ability>L2_HalfPunc_CN</ability>
      <abilityName/>
      <candidateList>
        <item>）</item>
      </candidateList>
      <explain>文本全半角错误。</explain>
      <paraID>353F657D</paraID>
      <start>6</start>
      <end>7</end>
      <status>unmodified</status>
      <modifiedWord/>
      <trackRevisions>false</trackRevisions>
    </reviewItem>
    <reviewItem>
      <errorID>ea1ec722-59b6-416e-a1d0-57f1f702f29a</errorID>
      <errorWord>(</errorWord>
      <group>L1_Format</group>
      <groupName>格式问题</groupName>
      <ability>L2_HalfPunc_CN</ability>
      <abilityName/>
      <candidateList>
        <item>（</item>
      </candidateList>
      <explain>文本全半角错误。</explain>
      <paraID> 14AF48C</paraID>
      <start>2</start>
      <end>3</end>
      <status>unmodified</status>
      <modifiedWord/>
      <trackRevisions>false</trackRevisions>
    </reviewItem>
    <reviewItem>
      <errorID>0e6520a3-82b1-4032-9d7c-2132974986f5</errorID>
      <errorWord>)</errorWord>
      <group>L1_Format</group>
      <groupName>格式问题</groupName>
      <ability>L2_HalfPunc_CN</ability>
      <abilityName/>
      <candidateList>
        <item>）</item>
      </candidateList>
      <explain>文本全半角错误。</explain>
      <paraID> 14AF48C</paraID>
      <start>6</start>
      <end>7</end>
      <status>unmodified</status>
      <modifiedWord/>
      <trackRevisions>false</trackRevisions>
    </reviewItem>
    <reviewItem>
      <errorID>c03028ea-a07d-44ba-a083-7c6300f75671</errorID>
      <errorWord>(</errorWord>
      <group>L1_Format</group>
      <groupName>格式问题</groupName>
      <ability>L2_HalfPunc_CN</ability>
      <abilityName/>
      <candidateList>
        <item>（</item>
      </candidateList>
      <explain>文本全半角错误。</explain>
      <paraID> 77C8031</paraID>
      <start>41</start>
      <end>42</end>
      <status>unmodified</status>
      <modifiedWord/>
      <trackRevisions>false</trackRevisions>
    </reviewItem>
    <reviewItem>
      <errorID>7201a38b-e35b-4785-9e93-d2d2a81b0ea7</errorID>
      <errorWord>)</errorWord>
      <group>L1_Format</group>
      <groupName>格式问题</groupName>
      <ability>L2_HalfPunc_CN</ability>
      <abilityName/>
      <candidateList>
        <item>）</item>
      </candidateList>
      <explain>文本全半角错误。</explain>
      <paraID> 77C8031</paraID>
      <start>69</start>
      <end>70</end>
      <status>unmodified</status>
      <modifiedWord/>
      <trackRevisions>false</trackRevisions>
    </reviewItem>
    <reviewItem>
      <errorID>c98a59cb-c034-4091-ac06-652990f71990</errorID>
      <errorWord>股东大会</errorWord>
      <group>L1_Word</group>
      <groupName>字词问题</groupName>
      <ability>L2_Typo</ability>
      <abilityName>字词错误</abilityName>
      <candidateList>
        <item>股东会</item>
      </candidateList>
      <explain/>
      <paraID>2B56B4FA</paraID>
      <start>113</start>
      <end>117</end>
      <status>unmodified</status>
      <modifiedWord/>
      <trackRevisions>false</trackRevisions>
    </reviewItem>
    <reviewItem>
      <errorID>60b492d0-a84a-459d-8b8b-3b8484d21f00</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960832C</paraID>
      <start>25</start>
      <end>27</end>
      <status>unmodified</status>
      <modifiedWord/>
      <trackRevisions>false</trackRevisions>
    </reviewItem>
    <reviewItem>
      <errorID>46cdf38b-9a3d-4849-bf25-0206f950039d</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F760795</paraID>
      <start>36</start>
      <end>39</end>
      <status>unmodified</status>
      <modifiedWord/>
      <trackRevisions>false</trackRevisions>
    </reviewItem>
    <reviewItem>
      <errorID>493fcfee-660b-4e68-b3a3-973e7ee198b7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647B64B5</paraID>
      <start>37</start>
      <end>40</end>
      <status>unmodified</status>
      <modifiedWord/>
      <trackRevisions>false</trackRevisions>
    </reviewItem>
    <reviewItem>
      <errorID>635f3d25-0265-42a5-b3fe-ca382c84e558</errorID>
      <errorWord>提出质疑</errorWord>
      <group>L1_Grammar</group>
      <groupName>语法问题</groupName>
      <ability>L2_Grammar</ability>
      <abilityName>语法错误</abilityName>
      <candidateList>
        <item>质疑</item>
      </candidateList>
      <explain>〈动〉提出疑问：～问难。</explain>
      <paraID>61F3A7BD</paraID>
      <start>53</start>
      <end>57</end>
      <status>unmodified</status>
      <modifiedWord/>
      <trackRevisions>false</trackRevisions>
    </reviewItem>
    <reviewItem>
      <errorID>169c52e1-5c40-4635-a156-f63fbe998f68</errorID>
      <errorWord>法律、法规</errorWord>
      <group>L1_Word</group>
      <groupName>字词问题</groupName>
      <ability>L2_Typo</ability>
      <abilityName>字词错误</abilityName>
      <candidateList>
        <item>法律法规</item>
      </candidateList>
      <explain/>
      <paraID>2276AF27</paraID>
      <start>29</start>
      <end>34</end>
      <status>unmodified</status>
      <modifiedWord/>
      <trackRevisions>false</trackRevisions>
    </reviewItem>
    <reviewItem>
      <errorID>22a992be-03ae-4bf0-9677-10425d2a8364</errorID>
      <errorWord>/）</errorWord>
      <group>L1_Punc</group>
      <groupName>标点问题</groupName>
      <ability>L2_Punc_CN</ability>
      <abilityName/>
      <candidateList>
        <item>）</item>
      </candidateList>
      <explain/>
      <paraID>41CE28C2</paraID>
      <start>22</start>
      <end>33</end>
      <status>unmodified</status>
      <modifiedWord/>
      <trackRevisions>false</trackRevisions>
    </reviewItem>
    <reviewItem>
      <errorID>17ed0a37-ed99-4932-89ad-c3d7419ed96f</errorID>
      <errorWord>/；</errorWord>
      <group>L1_Punc</group>
      <groupName>标点问题</groupName>
      <ability>L2_Punc_CN</ability>
      <abilityName/>
      <candidateList>
        <item>/</item>
      </candidateList>
      <explain/>
      <paraID>41CE28C2</paraID>
      <start>42</start>
      <end>52</end>
      <status>unmodified</status>
      <modifiedWord/>
      <trackRevisions>false</trackRevisions>
    </reviewItem>
    <reviewItem>
      <errorID>aa42d147-34db-4653-b0de-223d8c1992a1</errorID>
      <errorWord>按《中华人民共和国</errorWord>
      <group>L1_Word</group>
      <groupName>字词问题</groupName>
      <ability>L2_Typo</ability>
      <abilityName>字词错误</abilityName>
      <candidateList>
        <item>按照《中华人民共和国</item>
      </candidateList>
      <explain/>
      <paraID> FDD903E</paraID>
      <start>9</start>
      <end>18</end>
      <status>unmodified</status>
      <modifiedWord/>
      <trackRevisions>false</trackRevisions>
    </reviewItem>
    <reviewItem>
      <errorID>bad8aea3-520c-44ba-b619-2e9c36f6eed0</errorID>
      <errorWord>:</errorWord>
      <group>L1_Format</group>
      <groupName>格式问题</groupName>
      <ability>L2_HalfPunc_CN</ability>
      <abilityName/>
      <candidateList>
        <item>：</item>
      </candidateList>
      <explain>文本全半角错误。</explain>
      <paraID>6CBA088E</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17b101-a736-4dd8-87d0-4df0b10c91ce}">
  <ds:schemaRefs/>
</ds:datastoreItem>
</file>

<file path=customXml/itemProps3.xml><?xml version="1.0" encoding="utf-8"?>
<ds:datastoreItem xmlns:ds="http://schemas.openxmlformats.org/officeDocument/2006/customXml" ds:itemID="{4D1B94FE-A93E-4CE8-A27F-B323C4A5B7DC}">
  <ds:schemaRefs/>
</ds:datastoreItem>
</file>

<file path=customXml/itemProps4.xml><?xml version="1.0" encoding="utf-8"?>
<ds:datastoreItem xmlns:ds="http://schemas.openxmlformats.org/officeDocument/2006/customXml" ds:itemID="{373b6757-ae45-469f-8726-df65165cd473}">
  <ds:schemaRefs/>
</ds:datastoreItem>
</file>

<file path=docProps/app.xml><?xml version="1.0" encoding="utf-8"?>
<Properties xmlns="http://schemas.openxmlformats.org/officeDocument/2006/extended-properties" xmlns:vt="http://schemas.openxmlformats.org/officeDocument/2006/docPropsVTypes">
  <Template>Normal</Template>
  <Pages>115</Pages>
  <Words>18749</Words>
  <Characters>19929</Characters>
  <Paragraphs>1737</Paragraphs>
  <TotalTime>3</TotalTime>
  <ScaleCrop>false</ScaleCrop>
  <LinksUpToDate>false</LinksUpToDate>
  <CharactersWithSpaces>20065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2025-04-08T01:07:00Z</dcterms:created>
  <dc:creator>TSE James</dc:creator>
  <cp:lastModifiedBy>NTKO</cp:lastModifiedBy>
  <dcterms:modified xsi:type="dcterms:W3CDTF">2026-08-05T09:32:09Z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eyJoZGlkIjoiNGYyODdkZjM5MmMzZTg1ZmE0OTAzMjQ0OTM3ZjcyODIiLCJ1c2VySWQiOiI1NzE3NjE5ODMifQ==</vt:lpwstr>
  </property>
  <property fmtid="{D5CDD505-2E9C-101B-9397-08002B2CF9AE}" pid="3" name="KSOProductBuildVer">
    <vt:lpwstr>2052-12.1.0.26895</vt:lpwstr>
  </property>
  <property fmtid="{D5CDD505-2E9C-101B-9397-08002B2CF9AE}" pid="4" name="ICV">
    <vt:lpwstr>C5525B2B3AC440C283F3AB0BA6C09100_13</vt:lpwstr>
  </property>
</Properties>
</file>