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E05F85">
      <w:pPr>
        <w:tabs>
          <w:tab w:val="left" w:pos="1710"/>
        </w:tabs>
        <w:rPr>
          <w:color w:val="000000" w:themeColor="text1"/>
          <w:highlight w:val="none"/>
          <w14:textFill>
            <w14:solidFill>
              <w14:schemeClr w14:val="tx1"/>
            </w14:solidFill>
          </w14:textFill>
        </w:rPr>
      </w:pPr>
      <w:bookmarkStart w:id="0" w:name="_Toc183682338"/>
      <w:bookmarkStart w:id="1" w:name="_Toc217446030"/>
      <w:r>
        <w:rPr>
          <w:rFonts w:hint="eastAsia"/>
          <w:color w:val="000000" w:themeColor="text1"/>
          <w:highlight w:val="none"/>
          <w14:textFill>
            <w14:solidFill>
              <w14:schemeClr w14:val="tx1"/>
            </w14:solidFill>
          </w14:textFill>
        </w:rPr>
        <w:drawing>
          <wp:anchor distT="0" distB="0" distL="114300" distR="114300" simplePos="0" relativeHeight="251661312" behindDoc="1" locked="0" layoutInCell="1" allowOverlap="1">
            <wp:simplePos x="0" y="0"/>
            <wp:positionH relativeFrom="column">
              <wp:posOffset>-1005840</wp:posOffset>
            </wp:positionH>
            <wp:positionV relativeFrom="paragraph">
              <wp:posOffset>-945515</wp:posOffset>
            </wp:positionV>
            <wp:extent cx="7158355" cy="10781030"/>
            <wp:effectExtent l="0" t="0" r="4445"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0"/>
                    <a:stretch>
                      <a:fillRect/>
                    </a:stretch>
                  </pic:blipFill>
                  <pic:spPr>
                    <a:xfrm>
                      <a:off x="0" y="0"/>
                      <a:ext cx="7158355" cy="10781030"/>
                    </a:xfrm>
                    <a:prstGeom prst="rect">
                      <a:avLst/>
                    </a:prstGeom>
                  </pic:spPr>
                </pic:pic>
              </a:graphicData>
            </a:graphic>
          </wp:anchor>
        </w:drawing>
      </w:r>
    </w:p>
    <w:p w14:paraId="018EB718">
      <w:pPr>
        <w:tabs>
          <w:tab w:val="left" w:pos="171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1"/>
                    <a:stretch>
                      <a:fillRect/>
                    </a:stretch>
                  </pic:blipFill>
                  <pic:spPr>
                    <a:xfrm>
                      <a:off x="0" y="0"/>
                      <a:ext cx="4654550" cy="584200"/>
                    </a:xfrm>
                    <a:prstGeom prst="rect">
                      <a:avLst/>
                    </a:prstGeom>
                  </pic:spPr>
                </pic:pic>
              </a:graphicData>
            </a:graphic>
          </wp:anchor>
        </w:drawing>
      </w:r>
    </w:p>
    <w:p w14:paraId="5F809E02">
      <w:pPr>
        <w:tabs>
          <w:tab w:val="left" w:pos="1710"/>
        </w:tabs>
        <w:rPr>
          <w:color w:val="000000" w:themeColor="text1"/>
          <w:highlight w:val="none"/>
          <w14:textFill>
            <w14:solidFill>
              <w14:schemeClr w14:val="tx1"/>
            </w14:solidFill>
          </w14:textFill>
        </w:rPr>
      </w:pPr>
    </w:p>
    <w:p w14:paraId="0ECD94F3">
      <w:pPr>
        <w:tabs>
          <w:tab w:val="left" w:pos="1710"/>
        </w:tabs>
        <w:rPr>
          <w:color w:val="000000" w:themeColor="text1"/>
          <w:highlight w:val="none"/>
          <w14:textFill>
            <w14:solidFill>
              <w14:schemeClr w14:val="tx1"/>
            </w14:solidFill>
          </w14:textFill>
        </w:rPr>
      </w:pPr>
    </w:p>
    <w:p w14:paraId="7188E826">
      <w:pPr>
        <w:tabs>
          <w:tab w:val="left" w:pos="1710"/>
        </w:tabs>
        <w:rPr>
          <w:color w:val="000000" w:themeColor="text1"/>
          <w:highlight w:val="none"/>
          <w14:textFill>
            <w14:solidFill>
              <w14:schemeClr w14:val="tx1"/>
            </w14:solidFill>
          </w14:textFill>
        </w:rPr>
      </w:pPr>
    </w:p>
    <w:p w14:paraId="28A1CD8A">
      <w:pPr>
        <w:tabs>
          <w:tab w:val="left" w:pos="1710"/>
        </w:tabs>
        <w:rPr>
          <w:color w:val="000000" w:themeColor="text1"/>
          <w:highlight w:val="none"/>
          <w14:textFill>
            <w14:solidFill>
              <w14:schemeClr w14:val="tx1"/>
            </w14:solidFill>
          </w14:textFill>
        </w:rPr>
      </w:pPr>
    </w:p>
    <w:p w14:paraId="6C177F95">
      <w:pPr>
        <w:tabs>
          <w:tab w:val="left" w:pos="1710"/>
        </w:tabs>
        <w:rPr>
          <w:color w:val="000000" w:themeColor="text1"/>
          <w:highlight w:val="none"/>
          <w14:textFill>
            <w14:solidFill>
              <w14:schemeClr w14:val="tx1"/>
            </w14:solidFill>
          </w14:textFill>
        </w:rPr>
      </w:pPr>
    </w:p>
    <w:p w14:paraId="2115E5DB">
      <w:pPr>
        <w:tabs>
          <w:tab w:val="left" w:pos="1710"/>
        </w:tabs>
        <w:rPr>
          <w:color w:val="000000" w:themeColor="text1"/>
          <w:highlight w:val="none"/>
          <w14:textFill>
            <w14:solidFill>
              <w14:schemeClr w14:val="tx1"/>
            </w14:solidFill>
          </w14:textFill>
        </w:rPr>
      </w:pPr>
    </w:p>
    <w:p w14:paraId="62988FAC">
      <w:pPr>
        <w:tabs>
          <w:tab w:val="left" w:pos="1710"/>
        </w:tabs>
        <w:rPr>
          <w:color w:val="000000" w:themeColor="text1"/>
          <w:highlight w:val="none"/>
          <w14:textFill>
            <w14:solidFill>
              <w14:schemeClr w14:val="tx1"/>
            </w14:solidFill>
          </w14:textFill>
        </w:rPr>
      </w:pPr>
    </w:p>
    <w:p w14:paraId="3E705047">
      <w:pPr>
        <w:tabs>
          <w:tab w:val="left" w:pos="1710"/>
        </w:tabs>
        <w:rPr>
          <w:color w:val="000000" w:themeColor="text1"/>
          <w:highlight w:val="none"/>
          <w14:textFill>
            <w14:solidFill>
              <w14:schemeClr w14:val="tx1"/>
            </w14:solidFill>
          </w14:textFill>
        </w:rPr>
      </w:pPr>
    </w:p>
    <w:p w14:paraId="348C39AC">
      <w:pPr>
        <w:tabs>
          <w:tab w:val="left" w:pos="1710"/>
        </w:tabs>
        <w:rPr>
          <w:color w:val="000000" w:themeColor="text1"/>
          <w:highlight w:val="none"/>
          <w14:textFill>
            <w14:solidFill>
              <w14:schemeClr w14:val="tx1"/>
            </w14:solidFill>
          </w14:textFill>
        </w:rPr>
      </w:pPr>
    </w:p>
    <w:p w14:paraId="61977F8A">
      <w:pPr>
        <w:tabs>
          <w:tab w:val="left" w:pos="1710"/>
        </w:tabs>
        <w:rPr>
          <w:color w:val="000000" w:themeColor="text1"/>
          <w:highlight w:val="none"/>
          <w14:textFill>
            <w14:solidFill>
              <w14:schemeClr w14:val="tx1"/>
            </w14:solidFill>
          </w14:textFill>
        </w:rPr>
      </w:pPr>
    </w:p>
    <w:p w14:paraId="17E36277">
      <w:pPr>
        <w:tabs>
          <w:tab w:val="left" w:pos="1710"/>
        </w:tabs>
        <w:rPr>
          <w:color w:val="000000" w:themeColor="text1"/>
          <w:highlight w:val="none"/>
          <w14:textFill>
            <w14:solidFill>
              <w14:schemeClr w14:val="tx1"/>
            </w14:solidFill>
          </w14:textFill>
        </w:rPr>
      </w:pPr>
    </w:p>
    <w:p w14:paraId="211F6CF7">
      <w:pPr>
        <w:tabs>
          <w:tab w:val="left" w:pos="1710"/>
        </w:tabs>
        <w:rPr>
          <w:color w:val="000000" w:themeColor="text1"/>
          <w:highlight w:val="none"/>
          <w14:textFill>
            <w14:solidFill>
              <w14:schemeClr w14:val="tx1"/>
            </w14:solidFill>
          </w14:textFill>
        </w:rPr>
      </w:pPr>
    </w:p>
    <w:p w14:paraId="58C59188">
      <w:pPr>
        <w:tabs>
          <w:tab w:val="left" w:pos="1710"/>
        </w:tabs>
        <w:rPr>
          <w:color w:val="000000" w:themeColor="text1"/>
          <w:highlight w:val="none"/>
          <w14:textFill>
            <w14:solidFill>
              <w14:schemeClr w14:val="tx1"/>
            </w14:solidFill>
          </w14:textFill>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0C4F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tcPr>
          <w:p w14:paraId="2213B452">
            <w:pPr>
              <w:snapToGrid w:val="0"/>
              <w:spacing w:line="240" w:lineRule="atLeast"/>
              <w:jc w:val="center"/>
              <w:rPr>
                <w:b/>
                <w:color w:val="000000" w:themeColor="text1"/>
                <w:sz w:val="60"/>
                <w:szCs w:val="60"/>
                <w:highlight w:val="none"/>
                <w14:textFill>
                  <w14:solidFill>
                    <w14:schemeClr w14:val="tx1"/>
                  </w14:solidFill>
                </w14:textFill>
              </w:rPr>
            </w:pPr>
            <w:r>
              <w:rPr>
                <w:b/>
                <w:color w:val="000000" w:themeColor="text1"/>
                <w:sz w:val="60"/>
                <w:szCs w:val="60"/>
                <w:highlight w:val="none"/>
                <w14:textFill>
                  <w14:solidFill>
                    <w14:schemeClr w14:val="tx1"/>
                  </w14:solidFill>
                </w14:textFill>
              </w:rPr>
              <w:t>招  标  文  件</w:t>
            </w:r>
          </w:p>
        </w:tc>
      </w:tr>
      <w:tr w14:paraId="352A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69EDBA3A">
            <w:pPr>
              <w:rPr>
                <w:b/>
                <w:color w:val="000000" w:themeColor="text1"/>
                <w:sz w:val="32"/>
                <w:szCs w:val="32"/>
                <w:highlight w:val="none"/>
                <w14:textFill>
                  <w14:solidFill>
                    <w14:schemeClr w14:val="tx1"/>
                  </w14:solidFill>
                </w14:textFill>
              </w:rPr>
            </w:pPr>
            <w:r>
              <w:rPr>
                <w:b/>
                <w:color w:val="000000" w:themeColor="text1"/>
                <w:sz w:val="32"/>
                <w:szCs w:val="32"/>
                <w:highlight w:val="none"/>
                <w14:textFill>
                  <w14:solidFill>
                    <w14:schemeClr w14:val="tx1"/>
                  </w14:solidFill>
                </w14:textFill>
              </w:rPr>
              <w:t>项目名称：</w:t>
            </w:r>
          </w:p>
        </w:tc>
        <w:tc>
          <w:tcPr>
            <w:tcW w:w="5433" w:type="dxa"/>
            <w:vAlign w:val="center"/>
          </w:tcPr>
          <w:p w14:paraId="71F0FC54">
            <w:pPr>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桂林医科大学2026年智慧课程建设项目</w:t>
            </w:r>
          </w:p>
        </w:tc>
      </w:tr>
      <w:tr w14:paraId="297B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183C2443">
            <w:pPr>
              <w:rPr>
                <w:b/>
                <w:color w:val="000000" w:themeColor="text1"/>
                <w:sz w:val="32"/>
                <w:szCs w:val="32"/>
                <w:highlight w:val="none"/>
                <w14:textFill>
                  <w14:solidFill>
                    <w14:schemeClr w14:val="tx1"/>
                  </w14:solidFill>
                </w14:textFill>
              </w:rPr>
            </w:pPr>
            <w:r>
              <w:rPr>
                <w:b/>
                <w:color w:val="000000" w:themeColor="text1"/>
                <w:sz w:val="32"/>
                <w:szCs w:val="32"/>
                <w:highlight w:val="none"/>
                <w14:textFill>
                  <w14:solidFill>
                    <w14:schemeClr w14:val="tx1"/>
                  </w14:solidFill>
                </w14:textFill>
              </w:rPr>
              <w:t>项目编号：</w:t>
            </w:r>
          </w:p>
        </w:tc>
        <w:tc>
          <w:tcPr>
            <w:tcW w:w="5433" w:type="dxa"/>
            <w:vAlign w:val="center"/>
          </w:tcPr>
          <w:p w14:paraId="121922D7">
            <w:pPr>
              <w:rPr>
                <w:rFonts w:hint="eastAsia" w:eastAsia="宋体"/>
                <w:b/>
                <w:color w:val="000000" w:themeColor="text1"/>
                <w:sz w:val="32"/>
                <w:szCs w:val="32"/>
                <w:highlight w:val="none"/>
                <w:lang w:eastAsia="zh-CN"/>
                <w14:textFill>
                  <w14:solidFill>
                    <w14:schemeClr w14:val="tx1"/>
                  </w14:solidFill>
                </w14:textFill>
              </w:rPr>
            </w:pPr>
            <w:r>
              <w:rPr>
                <w:rFonts w:hint="eastAsia"/>
                <w:b/>
                <w:color w:val="000000" w:themeColor="text1"/>
                <w:sz w:val="32"/>
                <w:szCs w:val="32"/>
                <w:highlight w:val="none"/>
                <w:lang w:eastAsia="zh-CN"/>
                <w14:textFill>
                  <w14:solidFill>
                    <w14:schemeClr w14:val="tx1"/>
                  </w14:solidFill>
                </w14:textFill>
              </w:rPr>
              <w:t>GXZC2026-G3-002352-JDZB</w:t>
            </w:r>
          </w:p>
        </w:tc>
      </w:tr>
      <w:tr w14:paraId="522F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68E0C3FC">
            <w:pPr>
              <w:rPr>
                <w:b/>
                <w:color w:val="000000" w:themeColor="text1"/>
                <w:sz w:val="32"/>
                <w:szCs w:val="32"/>
                <w:highlight w:val="none"/>
                <w14:textFill>
                  <w14:solidFill>
                    <w14:schemeClr w14:val="tx1"/>
                  </w14:solidFill>
                </w14:textFill>
              </w:rPr>
            </w:pPr>
            <w:r>
              <w:rPr>
                <w:b/>
                <w:color w:val="000000" w:themeColor="text1"/>
                <w:sz w:val="32"/>
                <w:szCs w:val="32"/>
                <w:highlight w:val="none"/>
                <w14:textFill>
                  <w14:solidFill>
                    <w14:schemeClr w14:val="tx1"/>
                  </w14:solidFill>
                </w14:textFill>
              </w:rPr>
              <w:t>联系电话：</w:t>
            </w:r>
          </w:p>
        </w:tc>
        <w:tc>
          <w:tcPr>
            <w:tcW w:w="5433" w:type="dxa"/>
            <w:vAlign w:val="center"/>
          </w:tcPr>
          <w:p w14:paraId="56775BA8">
            <w:pPr>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0773-3696789转2</w:t>
            </w:r>
          </w:p>
        </w:tc>
      </w:tr>
    </w:tbl>
    <w:p w14:paraId="21632F88">
      <w:pPr>
        <w:tabs>
          <w:tab w:val="left" w:pos="1710"/>
        </w:tabs>
        <w:rPr>
          <w:color w:val="000000" w:themeColor="text1"/>
          <w:highlight w:val="none"/>
          <w14:textFill>
            <w14:solidFill>
              <w14:schemeClr w14:val="tx1"/>
            </w14:solidFill>
          </w14:textFill>
        </w:rPr>
      </w:pPr>
    </w:p>
    <w:p w14:paraId="12F0A76F">
      <w:pPr>
        <w:rPr>
          <w:color w:val="000000" w:themeColor="text1"/>
          <w:highlight w:val="none"/>
          <w14:textFill>
            <w14:solidFill>
              <w14:schemeClr w14:val="tx1"/>
            </w14:solidFill>
          </w14:textFill>
        </w:rPr>
      </w:pPr>
    </w:p>
    <w:p w14:paraId="44315918">
      <w:pPr>
        <w:rPr>
          <w:color w:val="000000" w:themeColor="text1"/>
          <w:highlight w:val="none"/>
          <w14:textFill>
            <w14:solidFill>
              <w14:schemeClr w14:val="tx1"/>
            </w14:solidFill>
          </w14:textFill>
        </w:rPr>
      </w:pPr>
    </w:p>
    <w:p w14:paraId="0DE5C995">
      <w:pPr>
        <w:rPr>
          <w:color w:val="000000" w:themeColor="text1"/>
          <w:highlight w:val="none"/>
          <w14:textFill>
            <w14:solidFill>
              <w14:schemeClr w14:val="tx1"/>
            </w14:solidFill>
          </w14:textFill>
        </w:rPr>
      </w:pPr>
    </w:p>
    <w:p w14:paraId="2757E51C">
      <w:pPr>
        <w:rPr>
          <w:color w:val="000000" w:themeColor="text1"/>
          <w:highlight w:val="none"/>
          <w14:textFill>
            <w14:solidFill>
              <w14:schemeClr w14:val="tx1"/>
            </w14:solidFill>
          </w14:textFill>
        </w:rPr>
      </w:pPr>
    </w:p>
    <w:p w14:paraId="235BA941">
      <w:pPr>
        <w:rPr>
          <w:color w:val="000000" w:themeColor="text1"/>
          <w:highlight w:val="none"/>
          <w14:textFill>
            <w14:solidFill>
              <w14:schemeClr w14:val="tx1"/>
            </w14:solidFill>
          </w14:textFill>
        </w:rPr>
      </w:pPr>
    </w:p>
    <w:p w14:paraId="25C2E713">
      <w:pPr>
        <w:rPr>
          <w:color w:val="000000" w:themeColor="text1"/>
          <w:highlight w:val="none"/>
          <w14:textFill>
            <w14:solidFill>
              <w14:schemeClr w14:val="tx1"/>
            </w14:solidFill>
          </w14:textFill>
        </w:rPr>
      </w:pPr>
    </w:p>
    <w:p w14:paraId="674EA7BE">
      <w:pPr>
        <w:rPr>
          <w:color w:val="000000" w:themeColor="text1"/>
          <w:highlight w:val="none"/>
          <w14:textFill>
            <w14:solidFill>
              <w14:schemeClr w14:val="tx1"/>
            </w14:solidFill>
          </w14:textFill>
        </w:rPr>
      </w:pPr>
    </w:p>
    <w:p w14:paraId="34F26CAD">
      <w:pPr>
        <w:rPr>
          <w:color w:val="000000" w:themeColor="text1"/>
          <w:highlight w:val="none"/>
          <w14:textFill>
            <w14:solidFill>
              <w14:schemeClr w14:val="tx1"/>
            </w14:solidFill>
          </w14:textFill>
        </w:rPr>
      </w:pPr>
    </w:p>
    <w:p w14:paraId="00258DDC">
      <w:pPr>
        <w:rPr>
          <w:color w:val="000000" w:themeColor="text1"/>
          <w:highlight w:val="none"/>
          <w14:textFill>
            <w14:solidFill>
              <w14:schemeClr w14:val="tx1"/>
            </w14:solidFill>
          </w14:textFill>
        </w:rPr>
      </w:pPr>
    </w:p>
    <w:p w14:paraId="1EB805E7">
      <w:pPr>
        <w:rPr>
          <w:color w:val="000000" w:themeColor="text1"/>
          <w:highlight w:val="none"/>
          <w14:textFill>
            <w14:solidFill>
              <w14:schemeClr w14:val="tx1"/>
            </w14:solidFill>
          </w14:textFill>
        </w:rPr>
      </w:pPr>
    </w:p>
    <w:p w14:paraId="2CBC6E3B">
      <w:pPr>
        <w:rPr>
          <w:color w:val="000000" w:themeColor="text1"/>
          <w:highlight w:val="none"/>
          <w14:textFill>
            <w14:solidFill>
              <w14:schemeClr w14:val="tx1"/>
            </w14:solidFill>
          </w14:textFill>
        </w:rPr>
      </w:pPr>
    </w:p>
    <w:p w14:paraId="671E5B35">
      <w:pPr>
        <w:rPr>
          <w:color w:val="000000" w:themeColor="text1"/>
          <w:highlight w:val="none"/>
          <w14:textFill>
            <w14:solidFill>
              <w14:schemeClr w14:val="tx1"/>
            </w14:solidFill>
          </w14:textFill>
        </w:rPr>
      </w:pPr>
    </w:p>
    <w:p w14:paraId="0AE14DE7">
      <w:pPr>
        <w:rPr>
          <w:color w:val="000000" w:themeColor="text1"/>
          <w:highlight w:val="none"/>
          <w14:textFill>
            <w14:solidFill>
              <w14:schemeClr w14:val="tx1"/>
            </w14:solidFill>
          </w14:textFill>
        </w:rPr>
      </w:pPr>
    </w:p>
    <w:p w14:paraId="24370C41">
      <w:pPr>
        <w:rPr>
          <w:color w:val="000000" w:themeColor="text1"/>
          <w:highlight w:val="none"/>
          <w14:textFill>
            <w14:solidFill>
              <w14:schemeClr w14:val="tx1"/>
            </w14:solidFill>
          </w14:textFill>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09BD139D">
        <w:tblPrEx>
          <w:tblCellMar>
            <w:top w:w="0" w:type="dxa"/>
            <w:left w:w="108" w:type="dxa"/>
            <w:bottom w:w="0" w:type="dxa"/>
            <w:right w:w="108" w:type="dxa"/>
          </w:tblCellMar>
        </w:tblPrEx>
        <w:trPr>
          <w:trHeight w:val="703" w:hRule="atLeast"/>
          <w:jc w:val="center"/>
        </w:trPr>
        <w:tc>
          <w:tcPr>
            <w:tcW w:w="2707" w:type="dxa"/>
            <w:vAlign w:val="center"/>
          </w:tcPr>
          <w:p w14:paraId="7FE477E3">
            <w:pPr>
              <w:autoSpaceDE w:val="0"/>
              <w:autoSpaceDN w:val="0"/>
              <w:adjustRightInd w:val="0"/>
              <w:jc w:val="right"/>
              <w:rPr>
                <w:b/>
                <w:color w:val="000000" w:themeColor="text1"/>
                <w:sz w:val="32"/>
                <w:szCs w:val="32"/>
                <w:highlight w:val="none"/>
                <w14:textFill>
                  <w14:solidFill>
                    <w14:schemeClr w14:val="tx1"/>
                  </w14:solidFill>
                </w14:textFill>
              </w:rPr>
            </w:pPr>
            <w:r>
              <w:rPr>
                <w:b/>
                <w:color w:val="000000" w:themeColor="text1"/>
                <w:sz w:val="32"/>
                <w:szCs w:val="32"/>
                <w:highlight w:val="none"/>
                <w14:textFill>
                  <w14:solidFill>
                    <w14:schemeClr w14:val="tx1"/>
                  </w14:solidFill>
                </w14:textFill>
              </w:rPr>
              <w:t xml:space="preserve">  采购人：</w:t>
            </w:r>
          </w:p>
        </w:tc>
        <w:tc>
          <w:tcPr>
            <w:tcW w:w="5577" w:type="dxa"/>
            <w:gridSpan w:val="2"/>
            <w:vAlign w:val="center"/>
          </w:tcPr>
          <w:p w14:paraId="27045889">
            <w:pPr>
              <w:autoSpaceDE w:val="0"/>
              <w:autoSpaceDN w:val="0"/>
              <w:adjustRightInd w:val="0"/>
              <w:jc w:val="left"/>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桂林医科大学</w:t>
            </w:r>
          </w:p>
        </w:tc>
      </w:tr>
      <w:tr w14:paraId="3EDFE72A">
        <w:tblPrEx>
          <w:tblCellMar>
            <w:top w:w="0" w:type="dxa"/>
            <w:left w:w="108" w:type="dxa"/>
            <w:bottom w:w="0" w:type="dxa"/>
            <w:right w:w="108" w:type="dxa"/>
          </w:tblCellMar>
        </w:tblPrEx>
        <w:trPr>
          <w:trHeight w:val="703" w:hRule="atLeast"/>
          <w:jc w:val="center"/>
        </w:trPr>
        <w:tc>
          <w:tcPr>
            <w:tcW w:w="2713" w:type="dxa"/>
            <w:gridSpan w:val="2"/>
          </w:tcPr>
          <w:p w14:paraId="76F424F1">
            <w:pPr>
              <w:autoSpaceDE w:val="0"/>
              <w:autoSpaceDN w:val="0"/>
              <w:adjustRightInd w:val="0"/>
              <w:jc w:val="right"/>
              <w:rPr>
                <w:b/>
                <w:color w:val="000000" w:themeColor="text1"/>
                <w:sz w:val="32"/>
                <w:szCs w:val="32"/>
                <w:highlight w:val="none"/>
                <w14:textFill>
                  <w14:solidFill>
                    <w14:schemeClr w14:val="tx1"/>
                  </w14:solidFill>
                </w14:textFill>
              </w:rPr>
            </w:pPr>
            <w:r>
              <w:rPr>
                <w:b/>
                <w:color w:val="000000" w:themeColor="text1"/>
                <w:sz w:val="32"/>
                <w:szCs w:val="32"/>
                <w:highlight w:val="none"/>
                <w14:textFill>
                  <w14:solidFill>
                    <w14:schemeClr w14:val="tx1"/>
                  </w14:solidFill>
                </w14:textFill>
              </w:rPr>
              <w:t>采购代理机构：</w:t>
            </w:r>
          </w:p>
        </w:tc>
        <w:tc>
          <w:tcPr>
            <w:tcW w:w="5571" w:type="dxa"/>
          </w:tcPr>
          <w:p w14:paraId="74A0F989">
            <w:pPr>
              <w:autoSpaceDE w:val="0"/>
              <w:autoSpaceDN w:val="0"/>
              <w:adjustRightInd w:val="0"/>
              <w:rPr>
                <w:b/>
                <w:color w:val="000000" w:themeColor="text1"/>
                <w:sz w:val="32"/>
                <w:szCs w:val="32"/>
                <w:highlight w:val="none"/>
                <w:u w:val="single"/>
                <w14:textFill>
                  <w14:solidFill>
                    <w14:schemeClr w14:val="tx1"/>
                  </w14:solidFill>
                </w14:textFill>
              </w:rPr>
            </w:pPr>
            <w:r>
              <w:rPr>
                <w:b/>
                <w:color w:val="000000" w:themeColor="text1"/>
                <w:sz w:val="32"/>
                <w:szCs w:val="32"/>
                <w:highlight w:val="none"/>
                <w14:textFill>
                  <w14:solidFill>
                    <w14:schemeClr w14:val="tx1"/>
                  </w14:solidFill>
                </w14:textFill>
              </w:rPr>
              <w:t>广西机电设备招标有限公司</w:t>
            </w:r>
          </w:p>
        </w:tc>
      </w:tr>
    </w:tbl>
    <w:p w14:paraId="2DCEDB4D">
      <w:pPr>
        <w:rPr>
          <w:color w:val="000000" w:themeColor="text1"/>
          <w:highlight w:val="none"/>
          <w14:textFill>
            <w14:solidFill>
              <w14:schemeClr w14:val="tx1"/>
            </w14:solidFill>
          </w14:textFill>
        </w:rPr>
      </w:pPr>
    </w:p>
    <w:p w14:paraId="60D7A73F">
      <w:pPr>
        <w:ind w:firstLine="321" w:firstLineChars="100"/>
        <w:jc w:val="center"/>
        <w:rPr>
          <w:b/>
          <w:color w:val="000000" w:themeColor="text1"/>
          <w:sz w:val="32"/>
          <w:szCs w:val="32"/>
          <w:highlight w:val="none"/>
          <w14:textFill>
            <w14:solidFill>
              <w14:schemeClr w14:val="tx1"/>
            </w14:solidFill>
          </w14:textFill>
        </w:rPr>
        <w:sectPr>
          <w:headerReference r:id="rId3" w:type="first"/>
          <w:footerReference r:id="rId5" w:type="first"/>
          <w:footerReference r:id="rId4" w:type="even"/>
          <w:type w:val="nextColumn"/>
          <w:pgSz w:w="11906" w:h="16838"/>
          <w:pgMar w:top="1418" w:right="1418" w:bottom="1246" w:left="1418" w:header="851" w:footer="992" w:gutter="0"/>
          <w:pgNumType w:start="0"/>
          <w:cols w:space="720" w:num="1"/>
          <w:titlePg/>
          <w:docGrid w:linePitch="312" w:charSpace="0"/>
        </w:sectPr>
      </w:pPr>
      <w:bookmarkStart w:id="2" w:name="_Toc32587"/>
      <w:r>
        <w:rPr>
          <w:b/>
          <w:color w:val="000000" w:themeColor="text1"/>
          <w:sz w:val="32"/>
          <w:szCs w:val="32"/>
          <w:highlight w:val="none"/>
          <w14:textFill>
            <w14:solidFill>
              <w14:schemeClr w14:val="tx1"/>
            </w14:solidFill>
          </w14:textFill>
        </w:rPr>
        <w:t>202</w:t>
      </w:r>
      <w:r>
        <w:rPr>
          <w:rFonts w:hint="eastAsia"/>
          <w:b/>
          <w:color w:val="000000" w:themeColor="text1"/>
          <w:sz w:val="32"/>
          <w:szCs w:val="32"/>
          <w:highlight w:val="none"/>
          <w14:textFill>
            <w14:solidFill>
              <w14:schemeClr w14:val="tx1"/>
            </w14:solidFill>
          </w14:textFill>
        </w:rPr>
        <w:t>6</w:t>
      </w:r>
      <w:r>
        <w:rPr>
          <w:b/>
          <w:color w:val="000000" w:themeColor="text1"/>
          <w:sz w:val="32"/>
          <w:szCs w:val="32"/>
          <w:highlight w:val="none"/>
          <w14:textFill>
            <w14:solidFill>
              <w14:schemeClr w14:val="tx1"/>
            </w14:solidFill>
          </w14:textFill>
        </w:rPr>
        <w:t>年</w:t>
      </w:r>
      <w:r>
        <w:rPr>
          <w:rFonts w:hint="eastAsia"/>
          <w:b/>
          <w:color w:val="000000" w:themeColor="text1"/>
          <w:sz w:val="32"/>
          <w:szCs w:val="32"/>
          <w:highlight w:val="none"/>
          <w:lang w:val="en-US" w:eastAsia="zh-CN"/>
          <w14:textFill>
            <w14:solidFill>
              <w14:schemeClr w14:val="tx1"/>
            </w14:solidFill>
          </w14:textFill>
        </w:rPr>
        <w:t>8</w:t>
      </w:r>
      <w:r>
        <w:rPr>
          <w:b/>
          <w:color w:val="000000" w:themeColor="text1"/>
          <w:sz w:val="32"/>
          <w:szCs w:val="32"/>
          <w:highlight w:val="none"/>
          <w14:textFill>
            <w14:solidFill>
              <w14:schemeClr w14:val="tx1"/>
            </w14:solidFill>
          </w14:textFill>
        </w:rPr>
        <w:t>月</w:t>
      </w:r>
    </w:p>
    <w:p w14:paraId="3F05F109">
      <w:pPr>
        <w:pStyle w:val="27"/>
        <w:snapToGrid w:val="0"/>
        <w:spacing w:before="120" w:after="120" w:line="320" w:lineRule="exact"/>
        <w:jc w:val="center"/>
        <w:outlineLvl w:val="0"/>
        <w:rPr>
          <w:rFonts w:ascii="Times New Roman" w:hAnsi="Times New Roman" w:cs="Times New Roman"/>
          <w:color w:val="000000" w:themeColor="text1"/>
          <w:sz w:val="32"/>
          <w:szCs w:val="32"/>
          <w:highlight w:val="none"/>
          <w14:textFill>
            <w14:solidFill>
              <w14:schemeClr w14:val="tx1"/>
            </w14:solidFill>
          </w14:textFill>
        </w:rPr>
      </w:pPr>
      <w:bookmarkStart w:id="3" w:name="_Toc12253"/>
      <w:r>
        <w:rPr>
          <w:rFonts w:ascii="Times New Roman" w:hAnsi="Times New Roman" w:cs="Times New Roman"/>
          <w:color w:val="000000" w:themeColor="text1"/>
          <w:sz w:val="32"/>
          <w:szCs w:val="32"/>
          <w:highlight w:val="none"/>
          <w14:textFill>
            <w14:solidFill>
              <w14:schemeClr w14:val="tx1"/>
            </w14:solidFill>
          </w14:textFill>
        </w:rPr>
        <w:t>目    录</w:t>
      </w:r>
      <w:bookmarkEnd w:id="2"/>
      <w:bookmarkEnd w:id="3"/>
    </w:p>
    <w:p w14:paraId="5140540A">
      <w:pPr>
        <w:pStyle w:val="34"/>
        <w:tabs>
          <w:tab w:val="right" w:leader="dot" w:pos="9070"/>
          <w:tab w:val="clear" w:pos="8398"/>
        </w:tabs>
        <w:ind w:firstLine="241"/>
        <w:rPr>
          <w:rFonts w:hint="eastAsia"/>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fldChar w:fldCharType="begin"/>
      </w:r>
      <w:r>
        <w:rPr>
          <w:rStyle w:val="57"/>
          <w:rFonts w:ascii="Times New Roman" w:hAnsi="Times New Roman"/>
          <w:color w:val="000000" w:themeColor="text1"/>
          <w:highlight w:val="none"/>
          <w14:textFill>
            <w14:solidFill>
              <w14:schemeClr w14:val="tx1"/>
            </w14:solidFill>
          </w14:textFill>
        </w:rPr>
        <w:instrText xml:space="preserve"> TOC \o "1-1" \h \z \u </w:instrText>
      </w:r>
      <w:r>
        <w:rPr>
          <w:rFonts w:ascii="Times New Roman" w:hAnsi="Times New Roman"/>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"_Toc14392" </w:instrText>
      </w:r>
      <w:r>
        <w:rPr>
          <w:color w:val="000000" w:themeColor="text1"/>
          <w:highlight w:val="none"/>
          <w14:textFill>
            <w14:solidFill>
              <w14:schemeClr w14:val="tx1"/>
            </w14:solidFill>
          </w14:textFill>
        </w:rPr>
        <w:fldChar w:fldCharType="separate"/>
      </w:r>
      <w:r>
        <w:rPr>
          <w:rFonts w:ascii="Times New Roman" w:hAnsi="Times New Roman"/>
          <w:color w:val="000000" w:themeColor="text1"/>
          <w:szCs w:val="32"/>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_Toc14392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EF050D7">
      <w:pPr>
        <w:pStyle w:val="34"/>
        <w:tabs>
          <w:tab w:val="right" w:leader="dot" w:pos="9070"/>
          <w:tab w:val="clear" w:pos="8398"/>
        </w:tabs>
        <w:ind w:firstLine="241"/>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"_Toc18834" </w:instrText>
      </w:r>
      <w:r>
        <w:rPr>
          <w:color w:val="000000" w:themeColor="text1"/>
          <w:highlight w:val="none"/>
          <w14:textFill>
            <w14:solidFill>
              <w14:schemeClr w14:val="tx1"/>
            </w14:solidFill>
          </w14:textFill>
        </w:rPr>
        <w:fldChar w:fldCharType="separate"/>
      </w:r>
      <w:r>
        <w:rPr>
          <w:rFonts w:ascii="Times New Roman" w:hAnsi="Times New Roman"/>
          <w:color w:val="000000" w:themeColor="text1"/>
          <w:szCs w:val="32"/>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_Toc18834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E6F2E22">
      <w:pPr>
        <w:pStyle w:val="34"/>
        <w:tabs>
          <w:tab w:val="right" w:leader="dot" w:pos="9070"/>
          <w:tab w:val="clear" w:pos="8398"/>
        </w:tabs>
        <w:ind w:firstLine="241"/>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"_Toc32464" </w:instrText>
      </w:r>
      <w:r>
        <w:rPr>
          <w:color w:val="000000" w:themeColor="text1"/>
          <w:highlight w:val="none"/>
          <w14:textFill>
            <w14:solidFill>
              <w14:schemeClr w14:val="tx1"/>
            </w14:solidFill>
          </w14:textFill>
        </w:rPr>
        <w:fldChar w:fldCharType="separate"/>
      </w:r>
      <w:r>
        <w:rPr>
          <w:rFonts w:hint="eastAsia"/>
          <w:color w:val="000000" w:themeColor="text1"/>
          <w:szCs w:val="32"/>
          <w:highlight w:val="none"/>
          <w14:textFill>
            <w14:solidFill>
              <w14:schemeClr w14:val="tx1"/>
            </w14:solidFill>
          </w14:textFill>
        </w:rPr>
        <w:t>第</w:t>
      </w:r>
      <w:r>
        <w:rPr>
          <w:color w:val="000000" w:themeColor="text1"/>
          <w:szCs w:val="32"/>
          <w:highlight w:val="none"/>
          <w14:textFill>
            <w14:solidFill>
              <w14:schemeClr w14:val="tx1"/>
            </w14:solidFill>
          </w14:textFill>
        </w:rPr>
        <w:t xml:space="preserve">三章  </w:t>
      </w:r>
      <w:r>
        <w:rPr>
          <w:rFonts w:hint="eastAsia"/>
          <w:color w:val="000000" w:themeColor="text1"/>
          <w:szCs w:val="32"/>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_Toc32464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127DD5">
      <w:pPr>
        <w:pStyle w:val="34"/>
        <w:tabs>
          <w:tab w:val="right" w:leader="dot" w:pos="9070"/>
          <w:tab w:val="clear" w:pos="8398"/>
        </w:tabs>
        <w:ind w:firstLine="241"/>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"_Toc15741" </w:instrText>
      </w:r>
      <w:r>
        <w:rPr>
          <w:color w:val="000000" w:themeColor="text1"/>
          <w:highlight w:val="none"/>
          <w14:textFill>
            <w14:solidFill>
              <w14:schemeClr w14:val="tx1"/>
            </w14:solidFill>
          </w14:textFill>
        </w:rPr>
        <w:fldChar w:fldCharType="separate"/>
      </w:r>
      <w:r>
        <w:rPr>
          <w:rFonts w:ascii="Times New Roman" w:hAnsi="Times New Roman"/>
          <w:color w:val="000000" w:themeColor="text1"/>
          <w:szCs w:val="32"/>
          <w:highlight w:val="none"/>
          <w14:textFill>
            <w14:solidFill>
              <w14:schemeClr w14:val="tx1"/>
            </w14:solidFill>
          </w14:textFill>
        </w:rPr>
        <w:t>第四章  评审方法及标准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01A73FA">
      <w:pPr>
        <w:pStyle w:val="34"/>
        <w:tabs>
          <w:tab w:val="right" w:leader="dot" w:pos="9070"/>
          <w:tab w:val="clear" w:pos="8398"/>
        </w:tabs>
        <w:ind w:firstLine="241"/>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"_Toc665" </w:instrText>
      </w:r>
      <w:r>
        <w:rPr>
          <w:color w:val="000000" w:themeColor="text1"/>
          <w:highlight w:val="none"/>
          <w14:textFill>
            <w14:solidFill>
              <w14:schemeClr w14:val="tx1"/>
            </w14:solidFill>
          </w14:textFill>
        </w:rPr>
        <w:fldChar w:fldCharType="separate"/>
      </w:r>
      <w:r>
        <w:rPr>
          <w:rFonts w:ascii="Times New Roman" w:hAnsi="Times New Roman"/>
          <w:color w:val="000000" w:themeColor="text1"/>
          <w:szCs w:val="32"/>
          <w:highlight w:val="none"/>
          <w14:textFill>
            <w14:solidFill>
              <w14:schemeClr w14:val="tx1"/>
            </w14:solidFill>
          </w14:textFill>
        </w:rPr>
        <w:t>第五章  合同主要条款格式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1653128">
      <w:pPr>
        <w:pStyle w:val="34"/>
        <w:tabs>
          <w:tab w:val="right" w:leader="dot" w:pos="9070"/>
          <w:tab w:val="clear" w:pos="8398"/>
        </w:tabs>
        <w:ind w:firstLine="241"/>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"_Toc26786" </w:instrText>
      </w:r>
      <w:r>
        <w:rPr>
          <w:color w:val="000000" w:themeColor="text1"/>
          <w:highlight w:val="none"/>
          <w14:textFill>
            <w14:solidFill>
              <w14:schemeClr w14:val="tx1"/>
            </w14:solidFill>
          </w14:textFill>
        </w:rPr>
        <w:fldChar w:fldCharType="separate"/>
      </w:r>
      <w:r>
        <w:rPr>
          <w:rFonts w:ascii="Times New Roman" w:hAnsi="Times New Roman"/>
          <w:color w:val="000000" w:themeColor="text1"/>
          <w:szCs w:val="32"/>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_Toc26786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864EAAD">
      <w:pPr>
        <w:pStyle w:val="34"/>
        <w:ind w:firstLine="241"/>
        <w:rPr>
          <w:rFonts w:ascii="Times New Roman" w:hAnsi="Times New Roman"/>
          <w:color w:val="000000" w:themeColor="text1"/>
          <w:sz w:val="28"/>
          <w:szCs w:val="28"/>
          <w:highlight w:val="none"/>
          <w14:textFill>
            <w14:solidFill>
              <w14:schemeClr w14:val="tx1"/>
            </w14:solidFill>
          </w14:textFill>
        </w:rPr>
      </w:pPr>
      <w:r>
        <w:rPr>
          <w:rFonts w:ascii="Times New Roman" w:hAnsi="Times New Roman"/>
          <w:color w:val="000000" w:themeColor="text1"/>
          <w:szCs w:val="28"/>
          <w:highlight w:val="none"/>
          <w14:textFill>
            <w14:solidFill>
              <w14:schemeClr w14:val="tx1"/>
            </w14:solidFill>
          </w14:textFill>
        </w:rPr>
        <w:fldChar w:fldCharType="end"/>
      </w:r>
    </w:p>
    <w:p w14:paraId="24B85D47">
      <w:pPr>
        <w:spacing w:before="120" w:beforeLines="50" w:line="480" w:lineRule="exact"/>
        <w:rPr>
          <w:color w:val="000000" w:themeColor="text1"/>
          <w:sz w:val="28"/>
          <w:szCs w:val="28"/>
          <w:highlight w:val="none"/>
          <w14:textFill>
            <w14:solidFill>
              <w14:schemeClr w14:val="tx1"/>
            </w14:solidFill>
          </w14:textFill>
        </w:rPr>
      </w:pPr>
    </w:p>
    <w:p w14:paraId="79A8CF00">
      <w:pPr>
        <w:spacing w:before="120" w:beforeLines="50" w:line="480" w:lineRule="exact"/>
        <w:rPr>
          <w:color w:val="000000" w:themeColor="text1"/>
          <w:sz w:val="30"/>
          <w:highlight w:val="none"/>
          <w14:textFill>
            <w14:solidFill>
              <w14:schemeClr w14:val="tx1"/>
            </w14:solidFill>
          </w14:textFill>
        </w:rPr>
        <w:sectPr>
          <w:headerReference r:id="rId6" w:type="first"/>
          <w:pgSz w:w="11906" w:h="16838"/>
          <w:pgMar w:top="1418" w:right="1418" w:bottom="1246" w:left="1418" w:header="851" w:footer="992" w:gutter="0"/>
          <w:pgNumType w:start="0"/>
          <w:cols w:space="720" w:num="1"/>
          <w:titlePg/>
          <w:docGrid w:linePitch="312" w:charSpace="0"/>
        </w:sectPr>
      </w:pPr>
    </w:p>
    <w:p w14:paraId="5B215983">
      <w:pPr>
        <w:pStyle w:val="27"/>
        <w:snapToGrid w:val="0"/>
        <w:spacing w:before="120" w:after="120" w:line="320" w:lineRule="exact"/>
        <w:jc w:val="center"/>
        <w:outlineLvl w:val="0"/>
        <w:rPr>
          <w:rFonts w:ascii="Times New Roman" w:hAnsi="Times New Roman" w:cs="Times New Roman"/>
          <w:color w:val="000000" w:themeColor="text1"/>
          <w:sz w:val="32"/>
          <w:szCs w:val="32"/>
          <w:highlight w:val="none"/>
          <w14:textFill>
            <w14:solidFill>
              <w14:schemeClr w14:val="tx1"/>
            </w14:solidFill>
          </w14:textFill>
        </w:rPr>
      </w:pPr>
      <w:bookmarkStart w:id="4" w:name="_Toc254970630"/>
      <w:bookmarkStart w:id="5" w:name="_Toc254970489"/>
      <w:bookmarkStart w:id="6" w:name="_Toc14392"/>
      <w:r>
        <w:rPr>
          <w:rFonts w:ascii="Times New Roman" w:hAnsi="Times New Roman" w:cs="Times New Roman"/>
          <w:color w:val="000000" w:themeColor="text1"/>
          <w:sz w:val="32"/>
          <w:szCs w:val="32"/>
          <w:highlight w:val="none"/>
          <w14:textFill>
            <w14:solidFill>
              <w14:schemeClr w14:val="tx1"/>
            </w14:solidFill>
          </w14:textFill>
        </w:rPr>
        <w:t xml:space="preserve">第一章  </w:t>
      </w:r>
      <w:bookmarkEnd w:id="4"/>
      <w:bookmarkEnd w:id="5"/>
      <w:r>
        <w:rPr>
          <w:rFonts w:ascii="Times New Roman" w:hAnsi="Times New Roman" w:cs="Times New Roman"/>
          <w:color w:val="000000" w:themeColor="text1"/>
          <w:sz w:val="32"/>
          <w:szCs w:val="32"/>
          <w:highlight w:val="none"/>
          <w14:textFill>
            <w14:solidFill>
              <w14:schemeClr w14:val="tx1"/>
            </w14:solidFill>
          </w14:textFill>
        </w:rPr>
        <w:t>招标公告</w:t>
      </w:r>
      <w:bookmarkEnd w:id="6"/>
    </w:p>
    <w:p w14:paraId="36F2F7B0">
      <w:pPr>
        <w:spacing w:line="400" w:lineRule="exact"/>
        <w:jc w:val="center"/>
        <w:rPr>
          <w:b/>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广西机电设备招标有限公司关于</w:t>
      </w:r>
      <w:r>
        <w:rPr>
          <w:rFonts w:hint="eastAsia"/>
          <w:color w:val="000000" w:themeColor="text1"/>
          <w:kern w:val="0"/>
          <w:sz w:val="24"/>
          <w:highlight w:val="none"/>
          <w14:textFill>
            <w14:solidFill>
              <w14:schemeClr w14:val="tx1"/>
            </w14:solidFill>
          </w14:textFill>
        </w:rPr>
        <w:t>桂林医科大学2026年智慧课程建设项目</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lang w:eastAsia="zh-CN"/>
          <w14:textFill>
            <w14:solidFill>
              <w14:schemeClr w14:val="tx1"/>
            </w14:solidFill>
          </w14:textFill>
        </w:rPr>
        <w:t>GXZC2026-G3-002352-JDZB</w:t>
      </w:r>
      <w:r>
        <w:rPr>
          <w:color w:val="000000" w:themeColor="text1"/>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公开招标公告</w:t>
      </w:r>
    </w:p>
    <w:p w14:paraId="4BBB26AF">
      <w:pPr>
        <w:ind w:firstLine="409" w:firstLineChars="195"/>
        <w:jc w:val="left"/>
        <w:rPr>
          <w:color w:val="000000" w:themeColor="text1"/>
          <w:kern w:val="0"/>
          <w:szCs w:val="21"/>
          <w:highlight w:val="none"/>
          <w14:textFill>
            <w14:solidFill>
              <w14:schemeClr w14:val="tx1"/>
            </w14:solidFill>
          </w14:textFill>
        </w:rPr>
      </w:pPr>
    </w:p>
    <w:p w14:paraId="3F6835E8">
      <w:pPr>
        <w:spacing w:line="312" w:lineRule="auto"/>
        <w:ind w:firstLine="420" w:firstLineChars="200"/>
        <w:jc w:val="left"/>
        <w:rPr>
          <w:b/>
          <w:bCs/>
          <w:color w:val="000000" w:themeColor="text1"/>
          <w:kern w:val="0"/>
          <w:sz w:val="22"/>
          <w:szCs w:val="22"/>
          <w:highlight w:val="none"/>
          <w14:textFill>
            <w14:solidFill>
              <w14:schemeClr w14:val="tx1"/>
            </w14:solidFill>
          </w14:textFill>
        </w:rPr>
      </w:pPr>
      <w:bookmarkStart w:id="7" w:name="_Hlk132795121"/>
      <w:bookmarkStart w:id="8" w:name="_Hlk132877709"/>
      <w:r>
        <w:rPr>
          <w:rFonts w:hint="eastAsia"/>
          <w:color w:val="000000" w:themeColor="text1"/>
          <w:szCs w:val="21"/>
          <w:highlight w:val="none"/>
          <w14:textFill>
            <w14:solidFill>
              <w14:schemeClr w14:val="tx1"/>
            </w14:solidFill>
          </w14:textFill>
        </w:rPr>
        <w:t>项目概况：桂林医科大学2026年智慧课程建设项目的潜在投标人应在广西政府采购云平台（https://www.gcy.zfcg.gxzf.gov.cn/）获取招标文件，并于</w:t>
      </w:r>
      <w:r>
        <w:rPr>
          <w:rFonts w:hint="eastAsia"/>
          <w:color w:val="000000" w:themeColor="text1"/>
          <w:szCs w:val="21"/>
          <w:highlight w:val="none"/>
          <w:lang w:val="en-US" w:eastAsia="zh-CN"/>
          <w14:textFill>
            <w14:solidFill>
              <w14:schemeClr w14:val="tx1"/>
            </w14:solidFill>
          </w14:textFill>
        </w:rPr>
        <w:t>2026</w:t>
      </w:r>
      <w:r>
        <w:rPr>
          <w:rFonts w:hint="eastAsia"/>
          <w:color w:val="000000" w:themeColor="text1"/>
          <w:szCs w:val="21"/>
          <w:highlight w:val="none"/>
          <w14:textFill>
            <w14:solidFill>
              <w14:schemeClr w14:val="tx1"/>
            </w14:solidFill>
          </w14:textFill>
        </w:rPr>
        <w:t>年</w:t>
      </w:r>
      <w:r>
        <w:rPr>
          <w:rFonts w:hint="eastAsia"/>
          <w:color w:val="000000" w:themeColor="text1"/>
          <w:szCs w:val="21"/>
          <w:highlight w:val="none"/>
          <w:lang w:val="en-US" w:eastAsia="zh-CN"/>
          <w14:textFill>
            <w14:solidFill>
              <w14:schemeClr w14:val="tx1"/>
            </w14:solidFill>
          </w14:textFill>
        </w:rPr>
        <w:t>8</w:t>
      </w:r>
      <w:r>
        <w:rPr>
          <w:rFonts w:hint="eastAsia"/>
          <w:color w:val="000000" w:themeColor="text1"/>
          <w:szCs w:val="21"/>
          <w:highlight w:val="none"/>
          <w14:textFill>
            <w14:solidFill>
              <w14:schemeClr w14:val="tx1"/>
            </w14:solidFill>
          </w14:textFill>
        </w:rPr>
        <w:t>月</w:t>
      </w:r>
      <w:r>
        <w:rPr>
          <w:rFonts w:hint="eastAsia"/>
          <w:color w:val="000000" w:themeColor="text1"/>
          <w:szCs w:val="21"/>
          <w:highlight w:val="none"/>
          <w:lang w:val="en-US" w:eastAsia="zh-CN"/>
          <w14:textFill>
            <w14:solidFill>
              <w14:schemeClr w14:val="tx1"/>
            </w14:solidFill>
          </w14:textFill>
        </w:rPr>
        <w:t>24</w:t>
      </w:r>
      <w:r>
        <w:rPr>
          <w:rFonts w:hint="eastAsia"/>
          <w:color w:val="000000" w:themeColor="text1"/>
          <w:szCs w:val="21"/>
          <w:highlight w:val="none"/>
          <w14:textFill>
            <w14:solidFill>
              <w14:schemeClr w14:val="tx1"/>
            </w14:solidFill>
          </w14:textFill>
        </w:rPr>
        <w:t>日 09:30（北京时间）前递交投标文件。</w:t>
      </w:r>
      <w:bookmarkEnd w:id="7"/>
    </w:p>
    <w:bookmarkEnd w:id="8"/>
    <w:p w14:paraId="15DAD097">
      <w:pPr>
        <w:spacing w:line="312" w:lineRule="auto"/>
        <w:ind w:firstLine="442" w:firstLineChars="200"/>
        <w:jc w:val="left"/>
        <w:rPr>
          <w:b/>
          <w:bCs/>
          <w:color w:val="000000" w:themeColor="text1"/>
          <w:kern w:val="0"/>
          <w:sz w:val="22"/>
          <w:szCs w:val="22"/>
          <w:highlight w:val="none"/>
          <w14:textFill>
            <w14:solidFill>
              <w14:schemeClr w14:val="tx1"/>
            </w14:solidFill>
          </w14:textFill>
        </w:rPr>
      </w:pPr>
      <w:r>
        <w:rPr>
          <w:rFonts w:hint="eastAsia"/>
          <w:b/>
          <w:bCs/>
          <w:color w:val="000000" w:themeColor="text1"/>
          <w:kern w:val="0"/>
          <w:sz w:val="22"/>
          <w:szCs w:val="22"/>
          <w:highlight w:val="none"/>
          <w14:textFill>
            <w14:solidFill>
              <w14:schemeClr w14:val="tx1"/>
            </w14:solidFill>
          </w14:textFill>
        </w:rPr>
        <w:t>一、项目基本情况</w:t>
      </w:r>
    </w:p>
    <w:p w14:paraId="355D66EA">
      <w:pPr>
        <w:spacing w:line="312" w:lineRule="auto"/>
        <w:ind w:firstLine="420" w:firstLineChars="200"/>
        <w:jc w:val="left"/>
        <w:rPr>
          <w:rFonts w:hint="eastAsia" w:eastAsia="宋体"/>
          <w:color w:val="000000" w:themeColor="text1"/>
          <w:kern w:val="0"/>
          <w:szCs w:val="21"/>
          <w:highlight w:val="none"/>
          <w:lang w:eastAsia="zh-CN"/>
          <w14:textFill>
            <w14:solidFill>
              <w14:schemeClr w14:val="tx1"/>
            </w14:solidFill>
          </w14:textFill>
        </w:rPr>
      </w:pPr>
      <w:r>
        <w:rPr>
          <w:color w:val="000000" w:themeColor="text1"/>
          <w:kern w:val="0"/>
          <w:szCs w:val="21"/>
          <w:highlight w:val="none"/>
          <w14:textFill>
            <w14:solidFill>
              <w14:schemeClr w14:val="tx1"/>
            </w14:solidFill>
          </w14:textFill>
        </w:rPr>
        <w:t>项目编号：</w:t>
      </w:r>
      <w:r>
        <w:rPr>
          <w:rFonts w:hint="eastAsia"/>
          <w:color w:val="000000" w:themeColor="text1"/>
          <w:kern w:val="0"/>
          <w:szCs w:val="21"/>
          <w:highlight w:val="none"/>
          <w:lang w:eastAsia="zh-CN"/>
          <w14:textFill>
            <w14:solidFill>
              <w14:schemeClr w14:val="tx1"/>
            </w14:solidFill>
          </w14:textFill>
        </w:rPr>
        <w:t>GXZC2026-G3-002352-JDZB</w:t>
      </w:r>
    </w:p>
    <w:p w14:paraId="617F62BB">
      <w:pPr>
        <w:spacing w:line="312"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项目名称：</w:t>
      </w:r>
      <w:r>
        <w:rPr>
          <w:rFonts w:hint="eastAsia"/>
          <w:color w:val="000000" w:themeColor="text1"/>
          <w:kern w:val="0"/>
          <w:szCs w:val="21"/>
          <w:highlight w:val="none"/>
          <w14:textFill>
            <w14:solidFill>
              <w14:schemeClr w14:val="tx1"/>
            </w14:solidFill>
          </w14:textFill>
        </w:rPr>
        <w:t>桂林医科大学2026年智慧课程建设项目</w:t>
      </w:r>
    </w:p>
    <w:p w14:paraId="5738B653">
      <w:pPr>
        <w:spacing w:line="312" w:lineRule="auto"/>
        <w:ind w:firstLine="420" w:firstLineChars="200"/>
        <w:jc w:val="left"/>
        <w:rPr>
          <w:color w:val="000000" w:themeColor="text1"/>
          <w:kern w:val="0"/>
          <w:szCs w:val="21"/>
          <w:highlight w:val="none"/>
          <w14:textFill>
            <w14:solidFill>
              <w14:schemeClr w14:val="tx1"/>
            </w14:solidFill>
          </w14:textFill>
        </w:rPr>
      </w:pPr>
      <w:bookmarkStart w:id="9" w:name="_Hlk132878038"/>
      <w:r>
        <w:rPr>
          <w:color w:val="000000" w:themeColor="text1"/>
          <w:kern w:val="0"/>
          <w:szCs w:val="21"/>
          <w:highlight w:val="none"/>
          <w14:textFill>
            <w14:solidFill>
              <w14:schemeClr w14:val="tx1"/>
            </w14:solidFill>
          </w14:textFill>
        </w:rPr>
        <w:t>预算</w:t>
      </w:r>
      <w:r>
        <w:rPr>
          <w:rFonts w:hint="eastAsia"/>
          <w:color w:val="000000" w:themeColor="text1"/>
          <w:kern w:val="0"/>
          <w:szCs w:val="21"/>
          <w:highlight w:val="none"/>
          <w14:textFill>
            <w14:solidFill>
              <w14:schemeClr w14:val="tx1"/>
            </w14:solidFill>
          </w14:textFill>
        </w:rPr>
        <w:t>总</w:t>
      </w:r>
      <w:r>
        <w:rPr>
          <w:color w:val="000000" w:themeColor="text1"/>
          <w:kern w:val="0"/>
          <w:szCs w:val="21"/>
          <w:highlight w:val="none"/>
          <w14:textFill>
            <w14:solidFill>
              <w14:schemeClr w14:val="tx1"/>
            </w14:solidFill>
          </w14:textFill>
        </w:rPr>
        <w:t>金额</w:t>
      </w:r>
      <w:r>
        <w:rPr>
          <w:rFonts w:hint="eastAsia"/>
          <w:color w:val="000000" w:themeColor="text1"/>
          <w:kern w:val="0"/>
          <w:szCs w:val="21"/>
          <w:highlight w:val="none"/>
          <w14:textFill>
            <w14:solidFill>
              <w14:schemeClr w14:val="tx1"/>
            </w14:solidFill>
          </w14:textFill>
        </w:rPr>
        <w:t>（元）</w:t>
      </w:r>
      <w:r>
        <w:rPr>
          <w:color w:val="000000" w:themeColor="text1"/>
          <w:kern w:val="0"/>
          <w:szCs w:val="21"/>
          <w:highlight w:val="none"/>
          <w14:textFill>
            <w14:solidFill>
              <w14:schemeClr w14:val="tx1"/>
            </w14:solidFill>
          </w14:textFill>
        </w:rPr>
        <w:t>：</w:t>
      </w:r>
      <w:r>
        <w:rPr>
          <w:rFonts w:hint="eastAsia"/>
          <w:color w:val="000000" w:themeColor="text1"/>
          <w:kern w:val="0"/>
          <w:szCs w:val="21"/>
          <w:highlight w:val="none"/>
          <w14:textFill>
            <w14:solidFill>
              <w14:schemeClr w14:val="tx1"/>
            </w14:solidFill>
          </w14:textFill>
        </w:rPr>
        <w:t>3180000</w:t>
      </w:r>
    </w:p>
    <w:bookmarkEnd w:id="9"/>
    <w:p w14:paraId="5252A603">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采购需求</w:t>
      </w:r>
      <w:r>
        <w:rPr>
          <w:color w:val="000000" w:themeColor="text1"/>
          <w:kern w:val="0"/>
          <w:szCs w:val="21"/>
          <w:highlight w:val="none"/>
          <w14:textFill>
            <w14:solidFill>
              <w14:schemeClr w14:val="tx1"/>
            </w14:solidFill>
          </w14:textFill>
        </w:rPr>
        <w:t>：</w:t>
      </w:r>
    </w:p>
    <w:p w14:paraId="4D8A818F">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标项一：桂林医科大学2026年智慧课程建设项目-A分标</w:t>
      </w:r>
    </w:p>
    <w:p w14:paraId="6E601A5A">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数量：1</w:t>
      </w:r>
    </w:p>
    <w:p w14:paraId="3FDC915B">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预算金额（元）：1830000</w:t>
      </w:r>
    </w:p>
    <w:p w14:paraId="0F7739CA">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简要规格描述或项目基本概况介绍、用途：用于教学医院案例库建设和36门智慧课程建设，</w:t>
      </w:r>
      <w:r>
        <w:rPr>
          <w:rFonts w:ascii="Arial" w:hAnsi="Arial" w:cs="Arial"/>
          <w:color w:val="000000" w:themeColor="text1"/>
          <w:kern w:val="0"/>
          <w:szCs w:val="21"/>
          <w:highlight w:val="none"/>
          <w14:textFill>
            <w14:solidFill>
              <w14:schemeClr w14:val="tx1"/>
            </w14:solidFill>
          </w14:textFill>
        </w:rPr>
        <w:t>如需进一步了解详细内容，详见</w:t>
      </w:r>
      <w:r>
        <w:rPr>
          <w:rFonts w:hint="eastAsia" w:ascii="Arial" w:hAnsi="Arial" w:cs="Arial"/>
          <w:color w:val="000000" w:themeColor="text1"/>
          <w:highlight w:val="none"/>
          <w14:textFill>
            <w14:solidFill>
              <w14:schemeClr w14:val="tx1"/>
            </w14:solidFill>
          </w14:textFill>
        </w:rPr>
        <w:t>招标</w:t>
      </w:r>
      <w:r>
        <w:rPr>
          <w:rFonts w:ascii="Arial" w:hAnsi="Arial" w:cs="Arial"/>
          <w:color w:val="000000" w:themeColor="text1"/>
          <w:kern w:val="0"/>
          <w:szCs w:val="21"/>
          <w:highlight w:val="none"/>
          <w14:textFill>
            <w14:solidFill>
              <w14:schemeClr w14:val="tx1"/>
            </w14:solidFill>
          </w14:textFill>
        </w:rPr>
        <w:t>文件</w:t>
      </w:r>
      <w:r>
        <w:rPr>
          <w:rFonts w:hint="eastAsia" w:ascii="Arial" w:hAnsi="Arial" w:cs="Arial"/>
          <w:color w:val="000000" w:themeColor="text1"/>
          <w:kern w:val="0"/>
          <w:szCs w:val="21"/>
          <w:highlight w:val="none"/>
          <w14:textFill>
            <w14:solidFill>
              <w14:schemeClr w14:val="tx1"/>
            </w14:solidFill>
          </w14:textFill>
        </w:rPr>
        <w:t>。</w:t>
      </w:r>
    </w:p>
    <w:p w14:paraId="4143B4E2">
      <w:pPr>
        <w:spacing w:line="312" w:lineRule="auto"/>
        <w:ind w:firstLine="735" w:firstLineChars="35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最高限价</w:t>
      </w:r>
      <w:r>
        <w:rPr>
          <w:rFonts w:hint="eastAsia"/>
          <w:color w:val="000000" w:themeColor="text1"/>
          <w:kern w:val="0"/>
          <w:szCs w:val="21"/>
          <w:highlight w:val="none"/>
          <w14:textFill>
            <w14:solidFill>
              <w14:schemeClr w14:val="tx1"/>
            </w14:solidFill>
          </w14:textFill>
        </w:rPr>
        <w:t>（如有）</w:t>
      </w:r>
      <w:r>
        <w:rPr>
          <w:color w:val="000000" w:themeColor="text1"/>
          <w:kern w:val="0"/>
          <w:szCs w:val="21"/>
          <w:highlight w:val="none"/>
          <w14:textFill>
            <w14:solidFill>
              <w14:schemeClr w14:val="tx1"/>
            </w14:solidFill>
          </w14:textFill>
        </w:rPr>
        <w:t xml:space="preserve">： </w:t>
      </w:r>
      <w:r>
        <w:rPr>
          <w:rFonts w:hint="eastAsia"/>
          <w:color w:val="000000" w:themeColor="text1"/>
          <w:kern w:val="0"/>
          <w:szCs w:val="21"/>
          <w:highlight w:val="none"/>
          <w14:textFill>
            <w14:solidFill>
              <w14:schemeClr w14:val="tx1"/>
            </w14:solidFill>
          </w14:textFill>
        </w:rPr>
        <w:t>1830000</w:t>
      </w:r>
    </w:p>
    <w:p w14:paraId="27A22D96">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合同履约期限：自签订合同之日起180日历日内全部交付完成并验收合格</w:t>
      </w:r>
    </w:p>
    <w:p w14:paraId="601C9DAE">
      <w:pPr>
        <w:spacing w:line="312" w:lineRule="auto"/>
        <w:ind w:firstLine="735" w:firstLineChars="35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本项目</w:t>
      </w:r>
      <w:r>
        <w:rPr>
          <w:rFonts w:hint="eastAsia"/>
          <w:color w:val="000000" w:themeColor="text1"/>
          <w:kern w:val="0"/>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否</w:t>
      </w:r>
      <w:r>
        <w:rPr>
          <w:rFonts w:hint="eastAsia"/>
          <w:color w:val="000000" w:themeColor="text1"/>
          <w:kern w:val="0"/>
          <w:szCs w:val="21"/>
          <w:highlight w:val="none"/>
          <w14:textFill>
            <w14:solidFill>
              <w14:schemeClr w14:val="tx1"/>
            </w14:solidFill>
          </w14:textFill>
        </w:rPr>
        <w:t>）接受</w:t>
      </w:r>
      <w:r>
        <w:rPr>
          <w:color w:val="000000" w:themeColor="text1"/>
          <w:kern w:val="0"/>
          <w:szCs w:val="21"/>
          <w:highlight w:val="none"/>
          <w14:textFill>
            <w14:solidFill>
              <w14:schemeClr w14:val="tx1"/>
            </w14:solidFill>
          </w14:textFill>
        </w:rPr>
        <w:t>联合体投标。</w:t>
      </w:r>
    </w:p>
    <w:p w14:paraId="08231AAE">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备注：</w:t>
      </w:r>
    </w:p>
    <w:p w14:paraId="6AD15271">
      <w:pPr>
        <w:spacing w:line="312" w:lineRule="auto"/>
        <w:ind w:firstLine="735" w:firstLineChars="350"/>
        <w:jc w:val="left"/>
        <w:rPr>
          <w:color w:val="000000" w:themeColor="text1"/>
          <w:kern w:val="0"/>
          <w:szCs w:val="21"/>
          <w:highlight w:val="none"/>
          <w14:textFill>
            <w14:solidFill>
              <w14:schemeClr w14:val="tx1"/>
            </w14:solidFill>
          </w14:textFill>
        </w:rPr>
      </w:pPr>
    </w:p>
    <w:p w14:paraId="757A4420">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标项二：桂林医科大学2026年智慧课程建设项目-B分标</w:t>
      </w:r>
    </w:p>
    <w:p w14:paraId="2EC8865B">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数量：1</w:t>
      </w:r>
    </w:p>
    <w:p w14:paraId="762E0727">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预算金额（元）：1350000</w:t>
      </w:r>
    </w:p>
    <w:p w14:paraId="717FA0D2">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简要规格描述或项目基本概况介绍、用途：用于34门智慧课程建设和相应AI辅助教学工具建设，</w:t>
      </w:r>
      <w:r>
        <w:rPr>
          <w:rFonts w:ascii="Arial" w:hAnsi="Arial" w:cs="Arial"/>
          <w:color w:val="000000" w:themeColor="text1"/>
          <w:kern w:val="0"/>
          <w:szCs w:val="21"/>
          <w:highlight w:val="none"/>
          <w14:textFill>
            <w14:solidFill>
              <w14:schemeClr w14:val="tx1"/>
            </w14:solidFill>
          </w14:textFill>
        </w:rPr>
        <w:t>如需进一步了解详细内容，详见</w:t>
      </w:r>
      <w:r>
        <w:rPr>
          <w:rFonts w:hint="eastAsia" w:ascii="Arial" w:hAnsi="Arial" w:cs="Arial"/>
          <w:color w:val="000000" w:themeColor="text1"/>
          <w:highlight w:val="none"/>
          <w14:textFill>
            <w14:solidFill>
              <w14:schemeClr w14:val="tx1"/>
            </w14:solidFill>
          </w14:textFill>
        </w:rPr>
        <w:t>招标</w:t>
      </w:r>
      <w:r>
        <w:rPr>
          <w:rFonts w:ascii="Arial" w:hAnsi="Arial" w:cs="Arial"/>
          <w:color w:val="000000" w:themeColor="text1"/>
          <w:kern w:val="0"/>
          <w:szCs w:val="21"/>
          <w:highlight w:val="none"/>
          <w14:textFill>
            <w14:solidFill>
              <w14:schemeClr w14:val="tx1"/>
            </w14:solidFill>
          </w14:textFill>
        </w:rPr>
        <w:t>文件</w:t>
      </w:r>
      <w:r>
        <w:rPr>
          <w:rFonts w:hint="eastAsia" w:ascii="Arial" w:hAnsi="Arial" w:cs="Arial"/>
          <w:color w:val="000000" w:themeColor="text1"/>
          <w:kern w:val="0"/>
          <w:szCs w:val="21"/>
          <w:highlight w:val="none"/>
          <w14:textFill>
            <w14:solidFill>
              <w14:schemeClr w14:val="tx1"/>
            </w14:solidFill>
          </w14:textFill>
        </w:rPr>
        <w:t>。</w:t>
      </w:r>
    </w:p>
    <w:p w14:paraId="780B3B36">
      <w:pPr>
        <w:spacing w:line="312" w:lineRule="auto"/>
        <w:ind w:firstLine="735" w:firstLineChars="35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最高限价</w:t>
      </w:r>
      <w:r>
        <w:rPr>
          <w:rFonts w:hint="eastAsia"/>
          <w:color w:val="000000" w:themeColor="text1"/>
          <w:kern w:val="0"/>
          <w:szCs w:val="21"/>
          <w:highlight w:val="none"/>
          <w14:textFill>
            <w14:solidFill>
              <w14:schemeClr w14:val="tx1"/>
            </w14:solidFill>
          </w14:textFill>
        </w:rPr>
        <w:t>（如有）</w:t>
      </w:r>
      <w:r>
        <w:rPr>
          <w:color w:val="000000" w:themeColor="text1"/>
          <w:kern w:val="0"/>
          <w:szCs w:val="21"/>
          <w:highlight w:val="none"/>
          <w14:textFill>
            <w14:solidFill>
              <w14:schemeClr w14:val="tx1"/>
            </w14:solidFill>
          </w14:textFill>
        </w:rPr>
        <w:t xml:space="preserve">： </w:t>
      </w:r>
      <w:r>
        <w:rPr>
          <w:rFonts w:hint="eastAsia"/>
          <w:color w:val="000000" w:themeColor="text1"/>
          <w:kern w:val="0"/>
          <w:szCs w:val="21"/>
          <w:highlight w:val="none"/>
          <w14:textFill>
            <w14:solidFill>
              <w14:schemeClr w14:val="tx1"/>
            </w14:solidFill>
          </w14:textFill>
        </w:rPr>
        <w:t>1350000</w:t>
      </w:r>
    </w:p>
    <w:p w14:paraId="5E10B002">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合同履约期限：自签订合同之日起180日历日内全部交付完成并验收合格</w:t>
      </w:r>
    </w:p>
    <w:p w14:paraId="26501B1E">
      <w:pPr>
        <w:spacing w:line="312" w:lineRule="auto"/>
        <w:ind w:firstLine="735" w:firstLineChars="35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本项目</w:t>
      </w:r>
      <w:r>
        <w:rPr>
          <w:rFonts w:hint="eastAsia"/>
          <w:color w:val="000000" w:themeColor="text1"/>
          <w:kern w:val="0"/>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否</w:t>
      </w:r>
      <w:r>
        <w:rPr>
          <w:rFonts w:hint="eastAsia"/>
          <w:color w:val="000000" w:themeColor="text1"/>
          <w:kern w:val="0"/>
          <w:szCs w:val="21"/>
          <w:highlight w:val="none"/>
          <w14:textFill>
            <w14:solidFill>
              <w14:schemeClr w14:val="tx1"/>
            </w14:solidFill>
          </w14:textFill>
        </w:rPr>
        <w:t>）接受</w:t>
      </w:r>
      <w:r>
        <w:rPr>
          <w:color w:val="000000" w:themeColor="text1"/>
          <w:kern w:val="0"/>
          <w:szCs w:val="21"/>
          <w:highlight w:val="none"/>
          <w14:textFill>
            <w14:solidFill>
              <w14:schemeClr w14:val="tx1"/>
            </w14:solidFill>
          </w14:textFill>
        </w:rPr>
        <w:t>联合体投标。</w:t>
      </w:r>
    </w:p>
    <w:p w14:paraId="40B46E30">
      <w:pPr>
        <w:spacing w:line="312" w:lineRule="auto"/>
        <w:ind w:firstLine="735" w:firstLineChars="35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备注：</w:t>
      </w:r>
    </w:p>
    <w:p w14:paraId="20CACC77">
      <w:pPr>
        <w:spacing w:line="312" w:lineRule="auto"/>
        <w:ind w:firstLine="442" w:firstLineChars="200"/>
        <w:jc w:val="left"/>
        <w:rPr>
          <w:b/>
          <w:bCs/>
          <w:color w:val="000000" w:themeColor="text1"/>
          <w:kern w:val="0"/>
          <w:sz w:val="22"/>
          <w:szCs w:val="22"/>
          <w:highlight w:val="none"/>
          <w14:textFill>
            <w14:solidFill>
              <w14:schemeClr w14:val="tx1"/>
            </w14:solidFill>
          </w14:textFill>
        </w:rPr>
      </w:pPr>
    </w:p>
    <w:p w14:paraId="3FE2ABBE">
      <w:pPr>
        <w:spacing w:line="312" w:lineRule="auto"/>
        <w:ind w:firstLine="442" w:firstLineChars="200"/>
        <w:jc w:val="left"/>
        <w:rPr>
          <w:b/>
          <w:bCs/>
          <w:color w:val="000000" w:themeColor="text1"/>
          <w:kern w:val="0"/>
          <w:sz w:val="22"/>
          <w:szCs w:val="22"/>
          <w:highlight w:val="none"/>
          <w14:textFill>
            <w14:solidFill>
              <w14:schemeClr w14:val="tx1"/>
            </w14:solidFill>
          </w14:textFill>
        </w:rPr>
      </w:pPr>
      <w:r>
        <w:rPr>
          <w:rFonts w:hint="eastAsia"/>
          <w:b/>
          <w:bCs/>
          <w:color w:val="000000" w:themeColor="text1"/>
          <w:kern w:val="0"/>
          <w:sz w:val="22"/>
          <w:szCs w:val="22"/>
          <w:highlight w:val="none"/>
          <w14:textFill>
            <w14:solidFill>
              <w14:schemeClr w14:val="tx1"/>
            </w14:solidFill>
          </w14:textFill>
        </w:rPr>
        <w:t>二、申请人的资格要求</w:t>
      </w:r>
    </w:p>
    <w:p w14:paraId="0027EB64">
      <w:pPr>
        <w:spacing w:line="312" w:lineRule="auto"/>
        <w:ind w:firstLine="420" w:firstLineChars="200"/>
        <w:jc w:val="left"/>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r>
        <w:rPr>
          <w:rFonts w:hint="eastAsia"/>
          <w:color w:val="000000" w:themeColor="text1"/>
          <w:kern w:val="0"/>
          <w:szCs w:val="21"/>
          <w:highlight w:val="none"/>
          <w14:textFill>
            <w14:solidFill>
              <w14:schemeClr w14:val="tx1"/>
            </w14:solidFill>
          </w14:textFill>
        </w:rPr>
        <w:t>.满足</w:t>
      </w:r>
      <w:r>
        <w:rPr>
          <w:color w:val="000000" w:themeColor="text1"/>
          <w:kern w:val="0"/>
          <w:szCs w:val="21"/>
          <w:highlight w:val="none"/>
          <w14:textFill>
            <w14:solidFill>
              <w14:schemeClr w14:val="tx1"/>
            </w14:solidFill>
          </w14:textFill>
        </w:rPr>
        <w:t>《中华人民共和国政府采购法》第二十二条规定；</w:t>
      </w:r>
      <w:r>
        <w:rPr>
          <w:color w:val="000000" w:themeColor="text1"/>
          <w:szCs w:val="21"/>
          <w:highlight w:val="none"/>
          <w14:textFill>
            <w14:solidFill>
              <w14:schemeClr w14:val="tx1"/>
            </w14:solidFill>
          </w14:textFill>
        </w:rPr>
        <w:t xml:space="preserve"> </w:t>
      </w:r>
    </w:p>
    <w:p w14:paraId="1981EE3F">
      <w:pPr>
        <w:spacing w:line="312"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2.落实政府采购政策需满足的资格要求：</w:t>
      </w:r>
      <w:bookmarkStart w:id="10" w:name="_Hlk132878088"/>
      <w:r>
        <w:rPr>
          <w:rFonts w:hint="eastAsia"/>
          <w:color w:val="000000" w:themeColor="text1"/>
          <w:szCs w:val="21"/>
          <w:highlight w:val="none"/>
          <w14:textFill>
            <w14:solidFill>
              <w14:schemeClr w14:val="tx1"/>
            </w14:solidFill>
          </w14:textFill>
        </w:rPr>
        <w:t xml:space="preserve"> </w:t>
      </w:r>
      <w:bookmarkStart w:id="11" w:name="_Hlk132880574"/>
      <w:r>
        <w:rPr>
          <w:rFonts w:hint="eastAsia"/>
          <w:color w:val="000000" w:themeColor="text1"/>
          <w:szCs w:val="21"/>
          <w:highlight w:val="none"/>
          <w14:textFill>
            <w14:solidFill>
              <w14:schemeClr w14:val="tx1"/>
            </w14:solidFill>
          </w14:textFill>
        </w:rPr>
        <w:sym w:font="Wingdings 2" w:char="0052"/>
      </w:r>
      <w:r>
        <w:rPr>
          <w:rFonts w:hint="eastAsia"/>
          <w:color w:val="000000" w:themeColor="text1"/>
          <w:kern w:val="0"/>
          <w:szCs w:val="21"/>
          <w:highlight w:val="none"/>
          <w14:textFill>
            <w14:solidFill>
              <w14:schemeClr w14:val="tx1"/>
            </w14:solidFill>
          </w14:textFill>
        </w:rPr>
        <w:t>无</w:t>
      </w:r>
    </w:p>
    <w:bookmarkEnd w:id="10"/>
    <w:bookmarkEnd w:id="11"/>
    <w:p w14:paraId="5C0AEB26">
      <w:pPr>
        <w:spacing w:line="312"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3.</w:t>
      </w:r>
      <w:r>
        <w:rPr>
          <w:rFonts w:hint="eastAsia"/>
          <w:color w:val="000000" w:themeColor="text1"/>
          <w:kern w:val="0"/>
          <w:szCs w:val="21"/>
          <w:highlight w:val="none"/>
          <w14:textFill>
            <w14:solidFill>
              <w14:schemeClr w14:val="tx1"/>
            </w14:solidFill>
          </w14:textFill>
        </w:rPr>
        <w:t>本项目的</w:t>
      </w:r>
      <w:r>
        <w:rPr>
          <w:color w:val="000000" w:themeColor="text1"/>
          <w:kern w:val="0"/>
          <w:szCs w:val="21"/>
          <w:highlight w:val="none"/>
          <w14:textFill>
            <w14:solidFill>
              <w14:schemeClr w14:val="tx1"/>
            </w14:solidFill>
          </w14:textFill>
        </w:rPr>
        <w:t>特定资格</w:t>
      </w:r>
      <w:r>
        <w:rPr>
          <w:rFonts w:hint="eastAsia"/>
          <w:color w:val="000000" w:themeColor="text1"/>
          <w:kern w:val="0"/>
          <w:szCs w:val="21"/>
          <w:highlight w:val="none"/>
          <w14:textFill>
            <w14:solidFill>
              <w14:schemeClr w14:val="tx1"/>
            </w14:solidFill>
          </w14:textFill>
        </w:rPr>
        <w:t>要求</w:t>
      </w:r>
    </w:p>
    <w:p w14:paraId="4F7CA591">
      <w:pPr>
        <w:spacing w:line="312"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（1）资质要求：无。</w:t>
      </w:r>
    </w:p>
    <w:p w14:paraId="663F6F5F">
      <w:pPr>
        <w:spacing w:line="312"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（2）业绩要求：无。</w:t>
      </w:r>
    </w:p>
    <w:p w14:paraId="259D850C">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w:t>
      </w:r>
      <w:r>
        <w:rPr>
          <w:rFonts w:hint="eastAsia"/>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000000" w:themeColor="text1"/>
          <w:kern w:val="0"/>
          <w:szCs w:val="21"/>
          <w:highlight w:val="none"/>
          <w14:textFill>
            <w14:solidFill>
              <w14:schemeClr w14:val="tx1"/>
            </w14:solidFill>
          </w14:textFill>
        </w:rPr>
        <w:t>本</w:t>
      </w:r>
      <w:r>
        <w:rPr>
          <w:color w:val="000000" w:themeColor="text1"/>
          <w:kern w:val="0"/>
          <w:szCs w:val="21"/>
          <w:highlight w:val="none"/>
          <w14:textFill>
            <w14:solidFill>
              <w14:schemeClr w14:val="tx1"/>
            </w14:solidFill>
          </w14:textFill>
        </w:rPr>
        <w:t>项目的采购活动</w:t>
      </w:r>
      <w:r>
        <w:rPr>
          <w:rFonts w:hint="eastAsia"/>
          <w:color w:val="000000" w:themeColor="text1"/>
          <w:kern w:val="0"/>
          <w:szCs w:val="21"/>
          <w:highlight w:val="none"/>
          <w14:textFill>
            <w14:solidFill>
              <w14:schemeClr w14:val="tx1"/>
            </w14:solidFill>
          </w14:textFill>
        </w:rPr>
        <w:t>。</w:t>
      </w:r>
    </w:p>
    <w:p w14:paraId="72F7AF8C">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w:t>
      </w:r>
      <w:r>
        <w:rPr>
          <w:color w:val="000000" w:themeColor="text1"/>
          <w:kern w:val="0"/>
          <w:szCs w:val="21"/>
          <w:highlight w:val="none"/>
          <w14:textFill>
            <w14:solidFill>
              <w14:schemeClr w14:val="tx1"/>
            </w14:solidFill>
          </w14:textFill>
        </w:rPr>
        <w:t>未被列入失信被执行人、重大税收违法失信主体、政府采购严重违法失信行为记录名单。</w:t>
      </w:r>
    </w:p>
    <w:p w14:paraId="0ECDC1DB">
      <w:pPr>
        <w:spacing w:line="312" w:lineRule="auto"/>
        <w:ind w:firstLine="420" w:firstLineChars="200"/>
        <w:jc w:val="left"/>
        <w:rPr>
          <w:color w:val="000000" w:themeColor="text1"/>
          <w:kern w:val="0"/>
          <w:szCs w:val="21"/>
          <w:highlight w:val="none"/>
          <w14:textFill>
            <w14:solidFill>
              <w14:schemeClr w14:val="tx1"/>
            </w14:solidFill>
          </w14:textFill>
        </w:rPr>
      </w:pPr>
      <w:bookmarkStart w:id="12" w:name="_Hlk132878178"/>
      <w:r>
        <w:rPr>
          <w:rFonts w:hint="eastAsia"/>
          <w:color w:val="000000" w:themeColor="text1"/>
          <w:kern w:val="0"/>
          <w:szCs w:val="21"/>
          <w:highlight w:val="none"/>
          <w14:textFill>
            <w14:solidFill>
              <w14:schemeClr w14:val="tx1"/>
            </w14:solidFill>
          </w14:textFill>
        </w:rPr>
        <w:t>（5）本项目（</w:t>
      </w:r>
      <w:r>
        <w:rPr>
          <w:color w:val="000000" w:themeColor="text1"/>
          <w:szCs w:val="21"/>
          <w:highlight w:val="none"/>
          <w14:textFill>
            <w14:solidFill>
              <w14:schemeClr w14:val="tx1"/>
            </w14:solidFill>
          </w14:textFill>
        </w:rPr>
        <w:sym w:font="Wingdings 2" w:char="F052"/>
      </w:r>
      <w:r>
        <w:rPr>
          <w:rFonts w:hint="eastAsia"/>
          <w:color w:val="000000" w:themeColor="text1"/>
          <w:kern w:val="0"/>
          <w:szCs w:val="21"/>
          <w:highlight w:val="none"/>
          <w14:textFill>
            <w14:solidFill>
              <w14:schemeClr w14:val="tx1"/>
            </w14:solidFill>
          </w14:textFill>
        </w:rPr>
        <w:t>不允许）分公司参与投标。</w:t>
      </w:r>
    </w:p>
    <w:p w14:paraId="02C11670">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rFonts w:hint="eastAsia"/>
          <w:color w:val="000000" w:themeColor="text1"/>
          <w:kern w:val="0"/>
          <w:szCs w:val="21"/>
          <w:highlight w:val="none"/>
          <w14:textFill>
            <w14:solidFill>
              <w14:schemeClr w14:val="tx1"/>
            </w14:solidFill>
          </w14:textFill>
        </w:rPr>
        <w:t>本项目（</w:t>
      </w:r>
      <w:r>
        <w:rPr>
          <w:color w:val="000000" w:themeColor="text1"/>
          <w:szCs w:val="21"/>
          <w:highlight w:val="none"/>
          <w14:textFill>
            <w14:solidFill>
              <w14:schemeClr w14:val="tx1"/>
            </w14:solidFill>
          </w14:textFill>
        </w:rPr>
        <w:sym w:font="Wingdings 2" w:char="F052"/>
      </w:r>
      <w:r>
        <w:rPr>
          <w:rFonts w:hint="eastAsia"/>
          <w:color w:val="000000" w:themeColor="text1"/>
          <w:kern w:val="0"/>
          <w:szCs w:val="21"/>
          <w:highlight w:val="none"/>
          <w14:textFill>
            <w14:solidFill>
              <w14:schemeClr w14:val="tx1"/>
            </w14:solidFill>
          </w14:textFill>
        </w:rPr>
        <w:t>不允许）分包。</w:t>
      </w:r>
    </w:p>
    <w:p w14:paraId="139E7FA5">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（7）</w:t>
      </w:r>
      <w:r>
        <w:rPr>
          <w:color w:val="000000" w:themeColor="text1"/>
          <w:kern w:val="0"/>
          <w:szCs w:val="21"/>
          <w:highlight w:val="none"/>
          <w14:textFill>
            <w14:solidFill>
              <w14:schemeClr w14:val="tx1"/>
            </w14:solidFill>
          </w14:textFill>
        </w:rPr>
        <w:t>本项目</w:t>
      </w:r>
      <w:r>
        <w:rPr>
          <w:rFonts w:hint="eastAsia"/>
          <w:color w:val="000000" w:themeColor="text1"/>
          <w:kern w:val="0"/>
          <w:szCs w:val="21"/>
          <w:highlight w:val="none"/>
          <w14:textFill>
            <w14:solidFill>
              <w14:schemeClr w14:val="tx1"/>
            </w14:solidFill>
          </w14:textFill>
        </w:rPr>
        <w:t>（</w:t>
      </w:r>
      <w:r>
        <w:rPr>
          <w:color w:val="000000" w:themeColor="text1"/>
          <w:szCs w:val="21"/>
          <w:highlight w:val="none"/>
          <w14:textFill>
            <w14:solidFill>
              <w14:schemeClr w14:val="tx1"/>
            </w14:solidFill>
          </w14:textFill>
        </w:rPr>
        <w:sym w:font="Wingdings 2" w:char="F052"/>
      </w:r>
      <w:r>
        <w:rPr>
          <w:color w:val="000000" w:themeColor="text1"/>
          <w:kern w:val="0"/>
          <w:szCs w:val="21"/>
          <w:highlight w:val="none"/>
          <w14:textFill>
            <w14:solidFill>
              <w14:schemeClr w14:val="tx1"/>
            </w14:solidFill>
          </w14:textFill>
        </w:rPr>
        <w:t>不接受</w:t>
      </w:r>
      <w:r>
        <w:rPr>
          <w:rFonts w:hint="eastAsia"/>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联合体投标。</w:t>
      </w:r>
    </w:p>
    <w:bookmarkEnd w:id="12"/>
    <w:p w14:paraId="02E84C10">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（8）</w:t>
      </w:r>
      <w:r>
        <w:rPr>
          <w:color w:val="000000" w:themeColor="text1"/>
          <w:kern w:val="0"/>
          <w:szCs w:val="21"/>
          <w:highlight w:val="none"/>
          <w14:textFill>
            <w14:solidFill>
              <w14:schemeClr w14:val="tx1"/>
            </w14:solidFill>
          </w14:textFill>
        </w:rPr>
        <w:t>按照招标公告的规定获得招标文件。</w:t>
      </w:r>
    </w:p>
    <w:p w14:paraId="07999475">
      <w:pPr>
        <w:spacing w:line="312" w:lineRule="auto"/>
        <w:ind w:firstLine="442" w:firstLineChars="200"/>
        <w:jc w:val="left"/>
        <w:rPr>
          <w:b/>
          <w:bCs/>
          <w:color w:val="000000" w:themeColor="text1"/>
          <w:kern w:val="0"/>
          <w:sz w:val="22"/>
          <w:szCs w:val="22"/>
          <w:highlight w:val="none"/>
          <w14:textFill>
            <w14:solidFill>
              <w14:schemeClr w14:val="tx1"/>
            </w14:solidFill>
          </w14:textFill>
        </w:rPr>
      </w:pPr>
      <w:r>
        <w:rPr>
          <w:rFonts w:hint="eastAsia"/>
          <w:b/>
          <w:bCs/>
          <w:color w:val="000000" w:themeColor="text1"/>
          <w:kern w:val="0"/>
          <w:sz w:val="22"/>
          <w:szCs w:val="22"/>
          <w:highlight w:val="none"/>
          <w14:textFill>
            <w14:solidFill>
              <w14:schemeClr w14:val="tx1"/>
            </w14:solidFill>
          </w14:textFill>
        </w:rPr>
        <w:t>三、获取招标文件</w:t>
      </w:r>
    </w:p>
    <w:p w14:paraId="3CF6A824">
      <w:pPr>
        <w:spacing w:line="312" w:lineRule="auto"/>
        <w:ind w:firstLine="420" w:firstLineChars="20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w:t>
      </w:r>
      <w:r>
        <w:rPr>
          <w:rFonts w:ascii="Arial" w:hAnsi="Arial" w:cs="Arial"/>
          <w:color w:val="000000" w:themeColor="text1"/>
          <w:highlight w:val="none"/>
          <w:u w:val="single"/>
          <w14:textFill>
            <w14:solidFill>
              <w14:schemeClr w14:val="tx1"/>
            </w14:solidFill>
          </w14:textFill>
        </w:rPr>
        <w:t>20</w:t>
      </w:r>
      <w:r>
        <w:rPr>
          <w:rFonts w:hint="eastAsia" w:ascii="Arial" w:hAnsi="Arial" w:cs="Arial"/>
          <w:color w:val="000000" w:themeColor="text1"/>
          <w:highlight w:val="none"/>
          <w:u w:val="single"/>
          <w14:textFill>
            <w14:solidFill>
              <w14:schemeClr w14:val="tx1"/>
            </w14:solidFill>
          </w14:textFill>
        </w:rPr>
        <w:t>26</w:t>
      </w:r>
      <w:r>
        <w:rPr>
          <w:rFonts w:ascii="Arial" w:hAnsi="Arial" w:cs="Arial"/>
          <w:color w:val="000000" w:themeColor="text1"/>
          <w:highlight w:val="none"/>
          <w:u w:val="single"/>
          <w14:textFill>
            <w14:solidFill>
              <w14:schemeClr w14:val="tx1"/>
            </w14:solidFill>
          </w14:textFill>
        </w:rPr>
        <w:t>年</w:t>
      </w:r>
      <w:r>
        <w:rPr>
          <w:rFonts w:hint="eastAsia" w:ascii="Arial" w:hAnsi="Arial" w:cs="Arial"/>
          <w:color w:val="000000" w:themeColor="text1"/>
          <w:highlight w:val="none"/>
          <w:u w:val="single"/>
          <w:lang w:val="en-US" w:eastAsia="zh-CN"/>
          <w14:textFill>
            <w14:solidFill>
              <w14:schemeClr w14:val="tx1"/>
            </w14:solidFill>
          </w14:textFill>
        </w:rPr>
        <w:t>8</w:t>
      </w:r>
      <w:r>
        <w:rPr>
          <w:rFonts w:ascii="Arial" w:hAnsi="Arial" w:cs="Arial"/>
          <w:color w:val="000000" w:themeColor="text1"/>
          <w:highlight w:val="none"/>
          <w:u w:val="single"/>
          <w14:textFill>
            <w14:solidFill>
              <w14:schemeClr w14:val="tx1"/>
            </w14:solidFill>
          </w14:textFill>
        </w:rPr>
        <w:t>月</w:t>
      </w:r>
      <w:r>
        <w:rPr>
          <w:rFonts w:hint="eastAsia" w:ascii="Arial" w:hAnsi="Arial" w:cs="Arial"/>
          <w:color w:val="000000" w:themeColor="text1"/>
          <w:highlight w:val="none"/>
          <w:u w:val="single"/>
          <w:lang w:val="en-US" w:eastAsia="zh-CN"/>
          <w14:textFill>
            <w14:solidFill>
              <w14:schemeClr w14:val="tx1"/>
            </w14:solidFill>
          </w14:textFill>
        </w:rPr>
        <w:t>3</w:t>
      </w:r>
      <w:r>
        <w:rPr>
          <w:rFonts w:hint="eastAsia" w:ascii="Arial" w:hAnsi="Arial" w:cs="Arial"/>
          <w:color w:val="000000" w:themeColor="text1"/>
          <w:highlight w:val="none"/>
          <w:u w:val="single"/>
          <w14:textFill>
            <w14:solidFill>
              <w14:schemeClr w14:val="tx1"/>
            </w14:solidFill>
          </w14:textFill>
        </w:rPr>
        <w:t xml:space="preserve"> </w:t>
      </w:r>
      <w:r>
        <w:rPr>
          <w:rFonts w:ascii="Arial" w:hAnsi="Arial" w:cs="Arial"/>
          <w:color w:val="000000" w:themeColor="text1"/>
          <w:highlight w:val="none"/>
          <w:u w:val="single"/>
          <w14:textFill>
            <w14:solidFill>
              <w14:schemeClr w14:val="tx1"/>
            </w14:solidFill>
          </w14:textFill>
        </w:rPr>
        <w:t>日起至20</w:t>
      </w:r>
      <w:r>
        <w:rPr>
          <w:rFonts w:hint="eastAsia" w:ascii="Arial" w:hAnsi="Arial" w:cs="Arial"/>
          <w:color w:val="000000" w:themeColor="text1"/>
          <w:highlight w:val="none"/>
          <w:u w:val="single"/>
          <w14:textFill>
            <w14:solidFill>
              <w14:schemeClr w14:val="tx1"/>
            </w14:solidFill>
          </w14:textFill>
        </w:rPr>
        <w:t>26</w:t>
      </w:r>
      <w:r>
        <w:rPr>
          <w:rFonts w:ascii="Arial" w:hAnsi="Arial" w:cs="Arial"/>
          <w:color w:val="000000" w:themeColor="text1"/>
          <w:highlight w:val="none"/>
          <w:u w:val="single"/>
          <w14:textFill>
            <w14:solidFill>
              <w14:schemeClr w14:val="tx1"/>
            </w14:solidFill>
          </w14:textFill>
        </w:rPr>
        <w:t>年</w:t>
      </w:r>
      <w:r>
        <w:rPr>
          <w:rFonts w:hint="eastAsia" w:ascii="Arial" w:hAnsi="Arial" w:cs="Arial"/>
          <w:color w:val="000000" w:themeColor="text1"/>
          <w:highlight w:val="none"/>
          <w:u w:val="single"/>
          <w:lang w:val="en-US" w:eastAsia="zh-CN"/>
          <w14:textFill>
            <w14:solidFill>
              <w14:schemeClr w14:val="tx1"/>
            </w14:solidFill>
          </w14:textFill>
        </w:rPr>
        <w:t>8</w:t>
      </w:r>
      <w:r>
        <w:rPr>
          <w:rFonts w:ascii="Arial" w:hAnsi="Arial" w:cs="Arial"/>
          <w:color w:val="000000" w:themeColor="text1"/>
          <w:highlight w:val="none"/>
          <w:u w:val="single"/>
          <w14:textFill>
            <w14:solidFill>
              <w14:schemeClr w14:val="tx1"/>
            </w14:solidFill>
          </w14:textFill>
        </w:rPr>
        <w:t>月</w:t>
      </w:r>
      <w:r>
        <w:rPr>
          <w:rFonts w:hint="eastAsia" w:ascii="Arial" w:hAnsi="Arial" w:cs="Arial"/>
          <w:color w:val="000000" w:themeColor="text1"/>
          <w:highlight w:val="none"/>
          <w:u w:val="single"/>
          <w:lang w:val="en-US" w:eastAsia="zh-CN"/>
          <w14:textFill>
            <w14:solidFill>
              <w14:schemeClr w14:val="tx1"/>
            </w14:solidFill>
          </w14:textFill>
        </w:rPr>
        <w:t>10</w:t>
      </w:r>
      <w:r>
        <w:rPr>
          <w:rFonts w:ascii="Arial" w:hAnsi="Arial" w:cs="Arial"/>
          <w:color w:val="000000" w:themeColor="text1"/>
          <w:highlight w:val="none"/>
          <w:u w:val="single"/>
          <w14:textFill>
            <w14:solidFill>
              <w14:schemeClr w14:val="tx1"/>
            </w14:solidFill>
          </w14:textFill>
        </w:rPr>
        <w:t>日</w:t>
      </w:r>
      <w:r>
        <w:rPr>
          <w:rFonts w:ascii="Arial" w:hAnsi="Arial" w:cs="Arial"/>
          <w:color w:val="000000" w:themeColor="text1"/>
          <w:highlight w:val="none"/>
          <w14:textFill>
            <w14:solidFill>
              <w14:schemeClr w14:val="tx1"/>
            </w14:solidFill>
          </w14:textFill>
        </w:rPr>
        <w:t>，每天上午00时00分至12时00分，下午12时00分至23时59分（北京时间，法定节假日除外）</w:t>
      </w:r>
      <w:r>
        <w:rPr>
          <w:rFonts w:hint="eastAsia"/>
          <w:color w:val="000000" w:themeColor="text1"/>
          <w:highlight w:val="none"/>
          <w14:textFill>
            <w14:solidFill>
              <w14:schemeClr w14:val="tx1"/>
            </w14:solidFill>
          </w14:textFill>
        </w:rPr>
        <w:t>。</w:t>
      </w:r>
    </w:p>
    <w:p w14:paraId="73A1C983">
      <w:pPr>
        <w:spacing w:line="312"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地点（网址）：</w:t>
      </w:r>
      <w:bookmarkStart w:id="13" w:name="_Hlk132880625"/>
      <w:bookmarkStart w:id="14" w:name="_Hlk132878204"/>
      <w:r>
        <w:rPr>
          <w:rFonts w:ascii="Arial" w:hAnsi="Arial" w:cs="Arial"/>
          <w:color w:val="000000" w:themeColor="text1"/>
          <w:kern w:val="0"/>
          <w:szCs w:val="21"/>
          <w:highlight w:val="none"/>
          <w14:textFill>
            <w14:solidFill>
              <w14:schemeClr w14:val="tx1"/>
            </w14:solidFill>
          </w14:textFill>
        </w:rPr>
        <w:t xml:space="preserve">广西政府采购云平台 </w:t>
      </w:r>
      <w:bookmarkEnd w:id="13"/>
      <w:bookmarkEnd w:id="14"/>
      <w:r>
        <w:rPr>
          <w:rFonts w:hint="eastAsia"/>
          <w:color w:val="000000" w:themeColor="text1"/>
          <w:szCs w:val="21"/>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"https://www.gcy.zfcg.gxzf.gov.cn/" </w:instrText>
      </w:r>
      <w:r>
        <w:rPr>
          <w:color w:val="000000" w:themeColor="text1"/>
          <w:highlight w:val="none"/>
          <w14:textFill>
            <w14:solidFill>
              <w14:schemeClr w14:val="tx1"/>
            </w14:solidFill>
          </w14:textFill>
        </w:rPr>
        <w:fldChar w:fldCharType="separate"/>
      </w:r>
      <w:r>
        <w:rPr>
          <w:rStyle w:val="57"/>
          <w:color w:val="000000" w:themeColor="text1"/>
          <w:szCs w:val="21"/>
          <w:highlight w:val="none"/>
          <w14:textFill>
            <w14:solidFill>
              <w14:schemeClr w14:val="tx1"/>
            </w14:solidFill>
          </w14:textFill>
        </w:rPr>
        <w:t>https://www.gcy.zfcg.gxzf.gov.cn/</w:t>
      </w:r>
      <w:r>
        <w:rPr>
          <w:rStyle w:val="57"/>
          <w:color w:val="000000" w:themeColor="text1"/>
          <w:szCs w:val="21"/>
          <w:highlight w:val="none"/>
          <w14:textFill>
            <w14:solidFill>
              <w14:schemeClr w14:val="tx1"/>
            </w14:solidFill>
          </w14:textFill>
        </w:rPr>
        <w:fldChar w:fldCharType="end"/>
      </w:r>
      <w:r>
        <w:rPr>
          <w:rFonts w:hint="eastAsia"/>
          <w:color w:val="000000" w:themeColor="text1"/>
          <w:szCs w:val="21"/>
          <w:highlight w:val="none"/>
          <w14:textFill>
            <w14:solidFill>
              <w14:schemeClr w14:val="tx1"/>
            </w14:solidFill>
          </w14:textFill>
        </w:rPr>
        <w:t>）</w:t>
      </w:r>
    </w:p>
    <w:p w14:paraId="1B2AF8C2">
      <w:pPr>
        <w:spacing w:line="312"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方式：</w:t>
      </w:r>
      <w:bookmarkStart w:id="15" w:name="_Hlk132878211"/>
      <w:bookmarkStart w:id="16" w:name="_Hlk132880632"/>
      <w:r>
        <w:rPr>
          <w:rFonts w:hint="eastAsia"/>
          <w:color w:val="000000" w:themeColor="text1"/>
          <w:szCs w:val="21"/>
          <w:highlight w:val="none"/>
          <w14:textFill>
            <w14:solidFill>
              <w14:schemeClr w14:val="tx1"/>
            </w14:solidFill>
          </w14:textFill>
        </w:rPr>
        <w:t>供应商登录广西政府采购云平台在线申请获取采购文件（进入“项目采购”应用，在获取采购文件菜单中选择项目，申请获取采购文件）</w:t>
      </w:r>
      <w:bookmarkEnd w:id="15"/>
    </w:p>
    <w:bookmarkEnd w:id="16"/>
    <w:p w14:paraId="7717CCDB">
      <w:pPr>
        <w:spacing w:line="312" w:lineRule="auto"/>
        <w:ind w:firstLine="420" w:firstLineChars="20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售价（元）：</w:t>
      </w:r>
      <w:r>
        <w:rPr>
          <w:color w:val="000000" w:themeColor="text1"/>
          <w:highlight w:val="none"/>
          <w14:textFill>
            <w14:solidFill>
              <w14:schemeClr w14:val="tx1"/>
            </w14:solidFill>
          </w14:textFill>
        </w:rPr>
        <w:t>0</w:t>
      </w:r>
    </w:p>
    <w:p w14:paraId="6D6BF66B">
      <w:pPr>
        <w:spacing w:line="312" w:lineRule="auto"/>
        <w:ind w:firstLine="442" w:firstLineChars="200"/>
        <w:jc w:val="left"/>
        <w:rPr>
          <w:b/>
          <w:bCs/>
          <w:color w:val="000000" w:themeColor="text1"/>
          <w:kern w:val="0"/>
          <w:sz w:val="22"/>
          <w:szCs w:val="22"/>
          <w:highlight w:val="none"/>
          <w14:textFill>
            <w14:solidFill>
              <w14:schemeClr w14:val="tx1"/>
            </w14:solidFill>
          </w14:textFill>
        </w:rPr>
      </w:pPr>
      <w:r>
        <w:rPr>
          <w:rFonts w:hint="eastAsia"/>
          <w:b/>
          <w:bCs/>
          <w:color w:val="000000" w:themeColor="text1"/>
          <w:kern w:val="0"/>
          <w:sz w:val="22"/>
          <w:szCs w:val="22"/>
          <w:highlight w:val="none"/>
          <w14:textFill>
            <w14:solidFill>
              <w14:schemeClr w14:val="tx1"/>
            </w14:solidFill>
          </w14:textFill>
        </w:rPr>
        <w:t>四、提交投标文件截止时间、开标时间和地点</w:t>
      </w:r>
    </w:p>
    <w:p w14:paraId="42D41042">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提交投标文件截止时间：</w:t>
      </w:r>
      <w:r>
        <w:rPr>
          <w:color w:val="000000" w:themeColor="text1"/>
          <w:kern w:val="0"/>
          <w:szCs w:val="21"/>
          <w:highlight w:val="none"/>
          <w:u w:val="single"/>
          <w14:textFill>
            <w14:solidFill>
              <w14:schemeClr w14:val="tx1"/>
            </w14:solidFill>
          </w14:textFill>
        </w:rPr>
        <w:t>20</w:t>
      </w:r>
      <w:r>
        <w:rPr>
          <w:rFonts w:hint="eastAsia"/>
          <w:color w:val="000000" w:themeColor="text1"/>
          <w:kern w:val="0"/>
          <w:szCs w:val="21"/>
          <w:highlight w:val="none"/>
          <w:u w:val="single"/>
          <w:lang w:val="en-US" w:eastAsia="zh-CN"/>
          <w14:textFill>
            <w14:solidFill>
              <w14:schemeClr w14:val="tx1"/>
            </w14:solidFill>
          </w14:textFill>
        </w:rPr>
        <w:t>26</w:t>
      </w:r>
      <w:r>
        <w:rPr>
          <w:color w:val="000000" w:themeColor="text1"/>
          <w:kern w:val="0"/>
          <w:szCs w:val="21"/>
          <w:highlight w:val="none"/>
          <w:u w:val="single"/>
          <w14:textFill>
            <w14:solidFill>
              <w14:schemeClr w14:val="tx1"/>
            </w14:solidFill>
          </w14:textFill>
        </w:rPr>
        <w:t>年</w:t>
      </w:r>
      <w:r>
        <w:rPr>
          <w:rFonts w:hint="eastAsia"/>
          <w:color w:val="000000" w:themeColor="text1"/>
          <w:kern w:val="0"/>
          <w:szCs w:val="21"/>
          <w:highlight w:val="none"/>
          <w:u w:val="single"/>
          <w:lang w:val="en-US" w:eastAsia="zh-CN"/>
          <w14:textFill>
            <w14:solidFill>
              <w14:schemeClr w14:val="tx1"/>
            </w14:solidFill>
          </w14:textFill>
        </w:rPr>
        <w:t>8</w:t>
      </w:r>
      <w:r>
        <w:rPr>
          <w:color w:val="000000" w:themeColor="text1"/>
          <w:kern w:val="0"/>
          <w:szCs w:val="21"/>
          <w:highlight w:val="none"/>
          <w:u w:val="single"/>
          <w14:textFill>
            <w14:solidFill>
              <w14:schemeClr w14:val="tx1"/>
            </w14:solidFill>
          </w14:textFill>
        </w:rPr>
        <w:t>月</w:t>
      </w:r>
      <w:r>
        <w:rPr>
          <w:rFonts w:hint="eastAsia"/>
          <w:color w:val="000000" w:themeColor="text1"/>
          <w:kern w:val="0"/>
          <w:szCs w:val="21"/>
          <w:highlight w:val="none"/>
          <w:u w:val="single"/>
          <w:lang w:val="en-US" w:eastAsia="zh-CN"/>
          <w14:textFill>
            <w14:solidFill>
              <w14:schemeClr w14:val="tx1"/>
            </w14:solidFill>
          </w14:textFill>
        </w:rPr>
        <w:t>24</w:t>
      </w:r>
      <w:r>
        <w:rPr>
          <w:color w:val="000000" w:themeColor="text1"/>
          <w:kern w:val="0"/>
          <w:szCs w:val="21"/>
          <w:highlight w:val="none"/>
          <w:u w:val="single"/>
          <w14:textFill>
            <w14:solidFill>
              <w14:schemeClr w14:val="tx1"/>
            </w14:solidFill>
          </w14:textFill>
        </w:rPr>
        <w:t>日</w:t>
      </w:r>
      <w:r>
        <w:rPr>
          <w:rFonts w:hint="eastAsia"/>
          <w:color w:val="000000" w:themeColor="text1"/>
          <w:kern w:val="0"/>
          <w:szCs w:val="21"/>
          <w:highlight w:val="none"/>
          <w:u w:val="single"/>
          <w14:textFill>
            <w14:solidFill>
              <w14:schemeClr w14:val="tx1"/>
            </w14:solidFill>
          </w14:textFill>
        </w:rPr>
        <w:t xml:space="preserve"> 09:30</w:t>
      </w:r>
      <w:r>
        <w:rPr>
          <w:rFonts w:hint="eastAsia"/>
          <w:color w:val="000000" w:themeColor="text1"/>
          <w:kern w:val="0"/>
          <w:szCs w:val="21"/>
          <w:highlight w:val="none"/>
          <w14:textFill>
            <w14:solidFill>
              <w14:schemeClr w14:val="tx1"/>
            </w14:solidFill>
          </w14:textFill>
        </w:rPr>
        <w:t>（北京时间）</w:t>
      </w:r>
    </w:p>
    <w:p w14:paraId="344ECF20">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投标地点（网址）：</w:t>
      </w:r>
      <w:r>
        <w:rPr>
          <w:rFonts w:hint="eastAsia"/>
          <w:color w:val="000000" w:themeColor="text1"/>
          <w:szCs w:val="21"/>
          <w:highlight w:val="none"/>
          <w14:textFill>
            <w14:solidFill>
              <w14:schemeClr w14:val="tx1"/>
            </w14:solidFill>
          </w14:textFill>
        </w:rPr>
        <w:t xml:space="preserve"> 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78820F59">
      <w:pPr>
        <w:spacing w:line="312" w:lineRule="auto"/>
        <w:ind w:firstLine="420" w:firstLineChars="200"/>
        <w:jc w:val="left"/>
        <w:rPr>
          <w:color w:val="000000" w:themeColor="text1"/>
          <w:kern w:val="0"/>
          <w:szCs w:val="21"/>
          <w:highlight w:val="none"/>
          <w:u w:val="single"/>
          <w14:textFill>
            <w14:solidFill>
              <w14:schemeClr w14:val="tx1"/>
            </w14:solidFill>
          </w14:textFill>
        </w:rPr>
      </w:pPr>
      <w:r>
        <w:rPr>
          <w:rFonts w:hint="eastAsia"/>
          <w:color w:val="000000" w:themeColor="text1"/>
          <w:kern w:val="0"/>
          <w:szCs w:val="21"/>
          <w:highlight w:val="none"/>
          <w14:textFill>
            <w14:solidFill>
              <w14:schemeClr w14:val="tx1"/>
            </w14:solidFill>
          </w14:textFill>
        </w:rPr>
        <w:t>开标时间：</w:t>
      </w:r>
      <w:r>
        <w:rPr>
          <w:color w:val="000000" w:themeColor="text1"/>
          <w:kern w:val="0"/>
          <w:szCs w:val="21"/>
          <w:highlight w:val="none"/>
          <w:u w:val="single"/>
          <w14:textFill>
            <w14:solidFill>
              <w14:schemeClr w14:val="tx1"/>
            </w14:solidFill>
          </w14:textFill>
        </w:rPr>
        <w:t>20</w:t>
      </w:r>
      <w:r>
        <w:rPr>
          <w:rFonts w:hint="eastAsia"/>
          <w:color w:val="000000" w:themeColor="text1"/>
          <w:kern w:val="0"/>
          <w:szCs w:val="21"/>
          <w:highlight w:val="none"/>
          <w:u w:val="single"/>
          <w:lang w:val="en-US" w:eastAsia="zh-CN"/>
          <w14:textFill>
            <w14:solidFill>
              <w14:schemeClr w14:val="tx1"/>
            </w14:solidFill>
          </w14:textFill>
        </w:rPr>
        <w:t>26</w:t>
      </w:r>
      <w:r>
        <w:rPr>
          <w:color w:val="000000" w:themeColor="text1"/>
          <w:kern w:val="0"/>
          <w:szCs w:val="21"/>
          <w:highlight w:val="none"/>
          <w:u w:val="single"/>
          <w14:textFill>
            <w14:solidFill>
              <w14:schemeClr w14:val="tx1"/>
            </w14:solidFill>
          </w14:textFill>
        </w:rPr>
        <w:t>年</w:t>
      </w:r>
      <w:r>
        <w:rPr>
          <w:rFonts w:hint="eastAsia"/>
          <w:color w:val="000000" w:themeColor="text1"/>
          <w:kern w:val="0"/>
          <w:szCs w:val="21"/>
          <w:highlight w:val="none"/>
          <w:u w:val="single"/>
          <w:lang w:val="en-US" w:eastAsia="zh-CN"/>
          <w14:textFill>
            <w14:solidFill>
              <w14:schemeClr w14:val="tx1"/>
            </w14:solidFill>
          </w14:textFill>
        </w:rPr>
        <w:t>8</w:t>
      </w:r>
      <w:r>
        <w:rPr>
          <w:color w:val="000000" w:themeColor="text1"/>
          <w:kern w:val="0"/>
          <w:szCs w:val="21"/>
          <w:highlight w:val="none"/>
          <w:u w:val="single"/>
          <w14:textFill>
            <w14:solidFill>
              <w14:schemeClr w14:val="tx1"/>
            </w14:solidFill>
          </w14:textFill>
        </w:rPr>
        <w:t>月</w:t>
      </w:r>
      <w:r>
        <w:rPr>
          <w:rFonts w:hint="eastAsia"/>
          <w:color w:val="000000" w:themeColor="text1"/>
          <w:kern w:val="0"/>
          <w:szCs w:val="21"/>
          <w:highlight w:val="none"/>
          <w:u w:val="single"/>
          <w:lang w:val="en-US" w:eastAsia="zh-CN"/>
          <w14:textFill>
            <w14:solidFill>
              <w14:schemeClr w14:val="tx1"/>
            </w14:solidFill>
          </w14:textFill>
        </w:rPr>
        <w:t>24</w:t>
      </w:r>
      <w:r>
        <w:rPr>
          <w:color w:val="000000" w:themeColor="text1"/>
          <w:kern w:val="0"/>
          <w:szCs w:val="21"/>
          <w:highlight w:val="none"/>
          <w:u w:val="single"/>
          <w14:textFill>
            <w14:solidFill>
              <w14:schemeClr w14:val="tx1"/>
            </w14:solidFill>
          </w14:textFill>
        </w:rPr>
        <w:t>日</w:t>
      </w:r>
      <w:r>
        <w:rPr>
          <w:rFonts w:hint="eastAsia"/>
          <w:color w:val="000000" w:themeColor="text1"/>
          <w:kern w:val="0"/>
          <w:szCs w:val="21"/>
          <w:highlight w:val="none"/>
          <w:u w:val="single"/>
          <w14:textFill>
            <w14:solidFill>
              <w14:schemeClr w14:val="tx1"/>
            </w14:solidFill>
          </w14:textFill>
        </w:rPr>
        <w:t xml:space="preserve"> 09:30</w:t>
      </w:r>
      <w:r>
        <w:rPr>
          <w:color w:val="000000" w:themeColor="text1"/>
          <w:kern w:val="0"/>
          <w:szCs w:val="21"/>
          <w:highlight w:val="none"/>
          <w:u w:val="single"/>
          <w14:textFill>
            <w14:solidFill>
              <w14:schemeClr w14:val="tx1"/>
            </w14:solidFill>
          </w14:textFill>
        </w:rPr>
        <w:t xml:space="preserve">   </w:t>
      </w:r>
    </w:p>
    <w:p w14:paraId="1DC130FA">
      <w:pPr>
        <w:spacing w:line="312"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开标地点：</w:t>
      </w:r>
      <w:bookmarkStart w:id="17" w:name="_Hlk88997106"/>
      <w:r>
        <w:rPr>
          <w:rFonts w:hint="eastAsia"/>
          <w:color w:val="000000" w:themeColor="text1"/>
          <w:szCs w:val="21"/>
          <w:highlight w:val="none"/>
          <w14:textFill>
            <w14:solidFill>
              <w14:schemeClr w14:val="tx1"/>
            </w14:solidFill>
          </w14:textFill>
        </w:rPr>
        <w:t>供应商登录广西政府采购云平台电子开标大厅开标。</w:t>
      </w:r>
      <w:bookmarkEnd w:id="17"/>
    </w:p>
    <w:p w14:paraId="7E542B50">
      <w:pPr>
        <w:spacing w:line="312" w:lineRule="auto"/>
        <w:ind w:firstLine="442" w:firstLineChars="200"/>
        <w:jc w:val="left"/>
        <w:rPr>
          <w:b/>
          <w:bCs/>
          <w:color w:val="000000" w:themeColor="text1"/>
          <w:kern w:val="0"/>
          <w:sz w:val="22"/>
          <w:szCs w:val="22"/>
          <w:highlight w:val="none"/>
          <w14:textFill>
            <w14:solidFill>
              <w14:schemeClr w14:val="tx1"/>
            </w14:solidFill>
          </w14:textFill>
        </w:rPr>
      </w:pPr>
      <w:r>
        <w:rPr>
          <w:rFonts w:hint="eastAsia"/>
          <w:b/>
          <w:bCs/>
          <w:color w:val="000000" w:themeColor="text1"/>
          <w:kern w:val="0"/>
          <w:sz w:val="22"/>
          <w:szCs w:val="22"/>
          <w:highlight w:val="none"/>
          <w14:textFill>
            <w14:solidFill>
              <w14:schemeClr w14:val="tx1"/>
            </w14:solidFill>
          </w14:textFill>
        </w:rPr>
        <w:t>五、公告期限</w:t>
      </w:r>
    </w:p>
    <w:p w14:paraId="55F98ED7">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自本公告发布之日起5个工作日。</w:t>
      </w:r>
    </w:p>
    <w:p w14:paraId="5AE80AE1">
      <w:pPr>
        <w:spacing w:line="312" w:lineRule="auto"/>
        <w:ind w:firstLine="442" w:firstLineChars="200"/>
        <w:jc w:val="left"/>
        <w:rPr>
          <w:b/>
          <w:bCs/>
          <w:color w:val="000000" w:themeColor="text1"/>
          <w:kern w:val="0"/>
          <w:sz w:val="22"/>
          <w:szCs w:val="22"/>
          <w:highlight w:val="none"/>
          <w14:textFill>
            <w14:solidFill>
              <w14:schemeClr w14:val="tx1"/>
            </w14:solidFill>
          </w14:textFill>
        </w:rPr>
      </w:pPr>
      <w:r>
        <w:rPr>
          <w:rFonts w:hint="eastAsia"/>
          <w:b/>
          <w:bCs/>
          <w:color w:val="000000" w:themeColor="text1"/>
          <w:kern w:val="0"/>
          <w:sz w:val="22"/>
          <w:szCs w:val="22"/>
          <w:highlight w:val="none"/>
          <w14:textFill>
            <w14:solidFill>
              <w14:schemeClr w14:val="tx1"/>
            </w14:solidFill>
          </w14:textFill>
        </w:rPr>
        <w:t>六、其他补充事宜</w:t>
      </w:r>
    </w:p>
    <w:p w14:paraId="3CEE3149">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1.公告发布媒体：广西壮族自治区政府采购网、中国政府采购网</w:t>
      </w:r>
    </w:p>
    <w:p w14:paraId="3CFCC884">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w:t>
      </w:r>
      <w:r>
        <w:rPr>
          <w:color w:val="000000" w:themeColor="text1"/>
          <w:kern w:val="0"/>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color w:val="000000" w:themeColor="text1"/>
          <w:kern w:val="0"/>
          <w:szCs w:val="21"/>
          <w:highlight w:val="none"/>
          <w14:textFill>
            <w14:solidFill>
              <w14:schemeClr w14:val="tx1"/>
            </w14:solidFill>
          </w14:textFill>
        </w:rPr>
        <w:t>需落实的政府采购政策：</w:t>
      </w:r>
      <w:r>
        <w:rPr>
          <w:color w:val="000000" w:themeColor="text1"/>
          <w:kern w:val="0"/>
          <w:szCs w:val="21"/>
          <w:highlight w:val="none"/>
          <w14:textFill>
            <w14:solidFill>
              <w14:schemeClr w14:val="tx1"/>
            </w14:solidFill>
          </w14:textFill>
        </w:rPr>
        <w:t>政府采购促进中小企业、监狱企业发展、促进残疾人就业</w:t>
      </w:r>
      <w:r>
        <w:rPr>
          <w:rFonts w:hint="eastAsia"/>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节能环保</w:t>
      </w:r>
      <w:r>
        <w:rPr>
          <w:rFonts w:hint="eastAsia"/>
          <w:color w:val="000000" w:themeColor="text1"/>
          <w:kern w:val="0"/>
          <w:szCs w:val="21"/>
          <w:highlight w:val="none"/>
          <w14:textFill>
            <w14:solidFill>
              <w14:schemeClr w14:val="tx1"/>
            </w14:solidFill>
          </w14:textFill>
        </w:rPr>
        <w:t>、对本国产品的支持</w:t>
      </w:r>
      <w:r>
        <w:rPr>
          <w:color w:val="000000" w:themeColor="text1"/>
          <w:kern w:val="0"/>
          <w:szCs w:val="21"/>
          <w:highlight w:val="none"/>
          <w14:textFill>
            <w14:solidFill>
              <w14:schemeClr w14:val="tx1"/>
            </w14:solidFill>
          </w14:textFill>
        </w:rPr>
        <w:t>等有关政策，具体详见招标文件。</w:t>
      </w:r>
    </w:p>
    <w:p w14:paraId="423E2637">
      <w:pPr>
        <w:spacing w:line="312" w:lineRule="auto"/>
        <w:ind w:firstLine="420" w:firstLineChars="200"/>
        <w:jc w:val="left"/>
        <w:rPr>
          <w:color w:val="000000" w:themeColor="text1"/>
          <w:kern w:val="0"/>
          <w:szCs w:val="21"/>
          <w:highlight w:val="none"/>
          <w14:textFill>
            <w14:solidFill>
              <w14:schemeClr w14:val="tx1"/>
            </w14:solidFill>
          </w14:textFill>
        </w:rPr>
      </w:pPr>
      <w:r>
        <w:rPr>
          <w:rFonts w:cs="宋体"/>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本项目（</w:t>
      </w:r>
      <w:r>
        <w:rPr>
          <w:color w:val="000000" w:themeColor="text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sym w:font="Wingdings 2" w:char="F052"/>
      </w:r>
      <w:r>
        <w:rPr>
          <w:rFonts w:hint="eastAsia" w:cs="宋体"/>
          <w:color w:val="000000" w:themeColor="text1"/>
          <w:highlight w:val="none"/>
          <w14:textFill>
            <w14:solidFill>
              <w14:schemeClr w14:val="tx1"/>
            </w14:solidFill>
          </w14:textFill>
        </w:rPr>
        <w:t>否）采用远程异地评审</w:t>
      </w:r>
      <w:r>
        <w:rPr>
          <w:rFonts w:hint="eastAsia"/>
          <w:color w:val="000000" w:themeColor="text1"/>
          <w:kern w:val="0"/>
          <w:szCs w:val="21"/>
          <w:highlight w:val="none"/>
          <w14:textFill>
            <w14:solidFill>
              <w14:schemeClr w14:val="tx1"/>
            </w14:solidFill>
          </w14:textFill>
        </w:rPr>
        <w:t>。</w:t>
      </w:r>
    </w:p>
    <w:p w14:paraId="3030CF7A">
      <w:pPr>
        <w:spacing w:line="312" w:lineRule="auto"/>
        <w:ind w:firstLine="420" w:firstLineChars="20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4.</w:t>
      </w:r>
      <w:r>
        <w:rPr>
          <w:rFonts w:hint="eastAsia"/>
          <w:color w:val="000000" w:themeColor="text1"/>
          <w:kern w:val="0"/>
          <w:szCs w:val="21"/>
          <w:highlight w:val="none"/>
          <w14:textFill>
            <w14:solidFill>
              <w14:schemeClr w14:val="tx1"/>
            </w14:solidFill>
          </w14:textFill>
        </w:rPr>
        <w:t>注意事项：</w:t>
      </w:r>
    </w:p>
    <w:p w14:paraId="7C82A8D9">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4629DC50">
      <w:pPr>
        <w:spacing w:line="276" w:lineRule="auto"/>
        <w:ind w:firstLine="420" w:firstLineChars="200"/>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39EAA7E9">
      <w:pPr>
        <w:spacing w:line="312" w:lineRule="auto"/>
        <w:ind w:firstLine="420" w:firstLineChars="200"/>
        <w:jc w:val="left"/>
        <w:rPr>
          <w:b/>
          <w:bCs/>
          <w:color w:val="000000" w:themeColor="text1"/>
          <w:kern w:val="0"/>
          <w:sz w:val="22"/>
          <w:szCs w:val="22"/>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（3）若对项目采购电子交易系统操作有疑问，可登录广西政府采购云平台（https://www.gcy.zfcg.gxzf.gov.cn/），点击右侧咨询小采或帮助文档或拨打客服热线95763</w:t>
      </w:r>
    </w:p>
    <w:p w14:paraId="5B5D62E6">
      <w:pPr>
        <w:adjustRightInd w:val="0"/>
        <w:snapToGrid w:val="0"/>
        <w:spacing w:line="360" w:lineRule="exact"/>
        <w:ind w:firstLine="442" w:firstLineChars="200"/>
        <w:rPr>
          <w:rFonts w:hint="default" w:ascii="Arial" w:hAnsi="Arial" w:cs="Arial"/>
          <w:b/>
          <w:color w:val="000000" w:themeColor="text1"/>
          <w:szCs w:val="21"/>
          <w:highlight w:val="none"/>
          <w14:textFill>
            <w14:solidFill>
              <w14:schemeClr w14:val="tx1"/>
            </w14:solidFill>
          </w14:textFill>
        </w:rPr>
      </w:pPr>
      <w:r>
        <w:rPr>
          <w:rFonts w:hint="eastAsia"/>
          <w:b/>
          <w:bCs/>
          <w:color w:val="000000" w:themeColor="text1"/>
          <w:kern w:val="0"/>
          <w:sz w:val="22"/>
          <w:szCs w:val="22"/>
          <w:highlight w:val="none"/>
          <w:lang w:val="en-US" w:eastAsia="zh-CN"/>
          <w14:textFill>
            <w14:solidFill>
              <w14:schemeClr w14:val="tx1"/>
            </w14:solidFill>
          </w14:textFill>
        </w:rPr>
        <w:t>5.</w:t>
      </w:r>
      <w:r>
        <w:rPr>
          <w:rFonts w:hint="default" w:ascii="Arial" w:hAnsi="Arial" w:cs="Arial"/>
          <w:b/>
          <w:color w:val="000000" w:themeColor="text1"/>
          <w:szCs w:val="21"/>
          <w:highlight w:val="none"/>
          <w14:textFill>
            <w14:solidFill>
              <w14:schemeClr w14:val="tx1"/>
            </w14:solidFill>
          </w14:textFill>
        </w:rPr>
        <w:t>本项目共分为A、B</w:t>
      </w:r>
      <w:r>
        <w:rPr>
          <w:rFonts w:hint="eastAsia" w:ascii="Arial" w:hAnsi="Arial" w:cs="Arial"/>
          <w:b/>
          <w:color w:val="000000" w:themeColor="text1"/>
          <w:szCs w:val="21"/>
          <w:highlight w:val="none"/>
          <w:lang w:val="en-US" w:eastAsia="zh-CN"/>
          <w14:textFill>
            <w14:solidFill>
              <w14:schemeClr w14:val="tx1"/>
            </w14:solidFill>
          </w14:textFill>
        </w:rPr>
        <w:t>两个</w:t>
      </w:r>
      <w:r>
        <w:rPr>
          <w:rFonts w:hint="default" w:ascii="Arial" w:hAnsi="Arial" w:cs="Arial"/>
          <w:b/>
          <w:color w:val="000000" w:themeColor="text1"/>
          <w:szCs w:val="21"/>
          <w:highlight w:val="none"/>
          <w14:textFill>
            <w14:solidFill>
              <w14:schemeClr w14:val="tx1"/>
            </w14:solidFill>
          </w14:textFill>
        </w:rPr>
        <w:t>分标，</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可以参与任意一个或</w:t>
      </w:r>
      <w:r>
        <w:rPr>
          <w:rFonts w:hint="eastAsia" w:ascii="Arial" w:hAnsi="Arial" w:cs="Arial"/>
          <w:b/>
          <w:color w:val="000000" w:themeColor="text1"/>
          <w:szCs w:val="21"/>
          <w:highlight w:val="none"/>
          <w:lang w:val="en-US" w:eastAsia="zh-CN"/>
          <w14:textFill>
            <w14:solidFill>
              <w14:schemeClr w14:val="tx1"/>
            </w14:solidFill>
          </w14:textFill>
        </w:rPr>
        <w:t>两</w:t>
      </w:r>
      <w:r>
        <w:rPr>
          <w:rFonts w:hint="default" w:ascii="Arial" w:hAnsi="Arial" w:cs="Arial"/>
          <w:b/>
          <w:color w:val="000000" w:themeColor="text1"/>
          <w:szCs w:val="21"/>
          <w:highlight w:val="none"/>
          <w14:textFill>
            <w14:solidFill>
              <w14:schemeClr w14:val="tx1"/>
            </w14:solidFill>
          </w14:textFill>
        </w:rPr>
        <w:t>个分标的投标，但最多只能成为其中一个分标的中标人，处理原则如下：</w:t>
      </w:r>
    </w:p>
    <w:p w14:paraId="1C8B915F">
      <w:pPr>
        <w:adjustRightInd w:val="0"/>
        <w:snapToGrid w:val="0"/>
        <w:spacing w:line="360" w:lineRule="exact"/>
        <w:ind w:firstLine="380" w:firstLineChars="200"/>
        <w:rPr>
          <w:rFonts w:hint="default" w:eastAsia="宋体"/>
          <w:b/>
          <w:bCs/>
          <w:color w:val="000000" w:themeColor="text1"/>
          <w:kern w:val="0"/>
          <w:sz w:val="22"/>
          <w:szCs w:val="22"/>
          <w:highlight w:val="none"/>
          <w:lang w:val="en-US" w:eastAsia="zh-CN"/>
          <w14:textFill>
            <w14:solidFill>
              <w14:schemeClr w14:val="tx1"/>
            </w14:solidFill>
          </w14:textFill>
        </w:rPr>
      </w:pPr>
      <w:r>
        <w:rPr>
          <w:rFonts w:hint="default" w:ascii="Arial" w:hAnsi="Arial" w:eastAsia="宋体" w:cs="Arial"/>
          <w:i w:val="0"/>
          <w:caps w:val="0"/>
          <w:color w:val="000000" w:themeColor="text1"/>
          <w:spacing w:val="0"/>
          <w:sz w:val="19"/>
          <w:szCs w:val="19"/>
          <w:highlight w:val="none"/>
          <w:shd w:val="clear" w:fill="FFFFFF"/>
          <w14:textFill>
            <w14:solidFill>
              <w14:schemeClr w14:val="tx1"/>
            </w14:solidFill>
          </w14:textFill>
        </w:rPr>
        <w:t>①</w:t>
      </w:r>
      <w:r>
        <w:rPr>
          <w:rFonts w:hint="default" w:ascii="Arial" w:hAnsi="Arial" w:cs="Arial"/>
          <w:b/>
          <w:color w:val="000000" w:themeColor="text1"/>
          <w:szCs w:val="21"/>
          <w:highlight w:val="none"/>
          <w14:textFill>
            <w14:solidFill>
              <w14:schemeClr w14:val="tx1"/>
            </w14:solidFill>
          </w14:textFill>
        </w:rPr>
        <w:t>若某</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同时在两个分标综合得分排名第一时，则按A分标→B分标的先后顺序（即A分标优先于B分标）推荐中标候选人。该</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一旦被推荐为</w:t>
      </w:r>
      <w:r>
        <w:rPr>
          <w:rFonts w:hint="eastAsia" w:ascii="Arial" w:hAnsi="Arial" w:cs="Arial"/>
          <w:b/>
          <w:color w:val="000000" w:themeColor="text1"/>
          <w:szCs w:val="21"/>
          <w:highlight w:val="none"/>
          <w:lang w:val="en-US" w:eastAsia="zh-CN"/>
          <w14:textFill>
            <w14:solidFill>
              <w14:schemeClr w14:val="tx1"/>
            </w14:solidFill>
          </w14:textFill>
        </w:rPr>
        <w:t>A分标</w:t>
      </w:r>
      <w:r>
        <w:rPr>
          <w:rFonts w:hint="default" w:ascii="Arial" w:hAnsi="Arial" w:cs="Arial"/>
          <w:b/>
          <w:color w:val="000000" w:themeColor="text1"/>
          <w:szCs w:val="21"/>
          <w:highlight w:val="none"/>
          <w14:textFill>
            <w14:solidFill>
              <w14:schemeClr w14:val="tx1"/>
            </w14:solidFill>
          </w14:textFill>
        </w:rPr>
        <w:t>的第一中标候选人，则在其综合得分排名第一的</w:t>
      </w:r>
      <w:r>
        <w:rPr>
          <w:rFonts w:hint="eastAsia" w:ascii="Arial" w:hAnsi="Arial" w:cs="Arial"/>
          <w:b/>
          <w:color w:val="000000" w:themeColor="text1"/>
          <w:szCs w:val="21"/>
          <w:highlight w:val="none"/>
          <w:lang w:val="en-US" w:eastAsia="zh-CN"/>
          <w14:textFill>
            <w14:solidFill>
              <w14:schemeClr w14:val="tx1"/>
            </w14:solidFill>
          </w14:textFill>
        </w:rPr>
        <w:t>B</w:t>
      </w:r>
      <w:r>
        <w:rPr>
          <w:rFonts w:hint="default" w:ascii="Arial" w:hAnsi="Arial" w:cs="Arial"/>
          <w:b/>
          <w:color w:val="000000" w:themeColor="text1"/>
          <w:szCs w:val="21"/>
          <w:highlight w:val="none"/>
          <w14:textFill>
            <w14:solidFill>
              <w14:schemeClr w14:val="tx1"/>
            </w14:solidFill>
          </w14:textFill>
        </w:rPr>
        <w:t>分标被推荐为末位中标候选人，相应分标的其他</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排名依次自动上升一位。</w:t>
      </w:r>
    </w:p>
    <w:p w14:paraId="130BC947">
      <w:pPr>
        <w:spacing w:line="312" w:lineRule="auto"/>
        <w:ind w:firstLine="442" w:firstLineChars="200"/>
        <w:jc w:val="left"/>
        <w:rPr>
          <w:b/>
          <w:bCs/>
          <w:color w:val="000000" w:themeColor="text1"/>
          <w:kern w:val="0"/>
          <w:sz w:val="22"/>
          <w:szCs w:val="22"/>
          <w:highlight w:val="none"/>
          <w14:textFill>
            <w14:solidFill>
              <w14:schemeClr w14:val="tx1"/>
            </w14:solidFill>
          </w14:textFill>
        </w:rPr>
      </w:pPr>
      <w:r>
        <w:rPr>
          <w:rFonts w:hint="eastAsia"/>
          <w:b/>
          <w:bCs/>
          <w:color w:val="000000" w:themeColor="text1"/>
          <w:kern w:val="0"/>
          <w:sz w:val="22"/>
          <w:szCs w:val="22"/>
          <w:highlight w:val="none"/>
          <w14:textFill>
            <w14:solidFill>
              <w14:schemeClr w14:val="tx1"/>
            </w14:solidFill>
          </w14:textFill>
        </w:rPr>
        <w:t>七、对本次招标提出询问，请按以下方式联系</w:t>
      </w:r>
    </w:p>
    <w:p w14:paraId="7EC7A022">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1.采购人信息</w:t>
      </w:r>
    </w:p>
    <w:p w14:paraId="621364FE">
      <w:pPr>
        <w:spacing w:line="312" w:lineRule="auto"/>
        <w:ind w:firstLine="420" w:firstLineChars="200"/>
        <w:jc w:val="left"/>
        <w:rPr>
          <w:color w:val="000000" w:themeColor="text1"/>
          <w:kern w:val="0"/>
          <w:szCs w:val="21"/>
          <w:highlight w:val="none"/>
          <w:u w:val="single"/>
          <w14:textFill>
            <w14:solidFill>
              <w14:schemeClr w14:val="tx1"/>
            </w14:solidFill>
          </w14:textFill>
        </w:rPr>
      </w:pPr>
      <w:bookmarkStart w:id="18" w:name="_Hlk19048373"/>
      <w:r>
        <w:rPr>
          <w:rFonts w:hint="eastAsia"/>
          <w:color w:val="000000" w:themeColor="text1"/>
          <w:kern w:val="0"/>
          <w:szCs w:val="21"/>
          <w:highlight w:val="none"/>
          <w14:textFill>
            <w14:solidFill>
              <w14:schemeClr w14:val="tx1"/>
            </w14:solidFill>
          </w14:textFill>
        </w:rPr>
        <w:t>名称</w:t>
      </w:r>
      <w:r>
        <w:rPr>
          <w:color w:val="000000" w:themeColor="text1"/>
          <w:kern w:val="0"/>
          <w:szCs w:val="21"/>
          <w:highlight w:val="none"/>
          <w14:textFill>
            <w14:solidFill>
              <w14:schemeClr w14:val="tx1"/>
            </w14:solidFill>
          </w14:textFill>
        </w:rPr>
        <w:t>：</w:t>
      </w:r>
      <w:r>
        <w:rPr>
          <w:rFonts w:hint="eastAsia"/>
          <w:color w:val="000000" w:themeColor="text1"/>
          <w:kern w:val="0"/>
          <w:szCs w:val="21"/>
          <w:highlight w:val="none"/>
          <w:u w:val="single"/>
          <w14:textFill>
            <w14:solidFill>
              <w14:schemeClr w14:val="tx1"/>
            </w14:solidFill>
          </w14:textFill>
        </w:rPr>
        <w:t>桂林医科大学</w:t>
      </w:r>
    </w:p>
    <w:p w14:paraId="28A73A32">
      <w:pPr>
        <w:spacing w:line="312" w:lineRule="auto"/>
        <w:ind w:firstLine="420" w:firstLineChars="200"/>
        <w:jc w:val="left"/>
        <w:rPr>
          <w:color w:val="000000" w:themeColor="text1"/>
          <w:kern w:val="0"/>
          <w:szCs w:val="21"/>
          <w:highlight w:val="none"/>
          <w:u w:val="single"/>
          <w14:textFill>
            <w14:solidFill>
              <w14:schemeClr w14:val="tx1"/>
            </w14:solidFill>
          </w14:textFill>
        </w:rPr>
      </w:pPr>
      <w:r>
        <w:rPr>
          <w:color w:val="000000" w:themeColor="text1"/>
          <w:kern w:val="0"/>
          <w:szCs w:val="21"/>
          <w:highlight w:val="none"/>
          <w14:textFill>
            <w14:solidFill>
              <w14:schemeClr w14:val="tx1"/>
            </w14:solidFill>
          </w14:textFill>
        </w:rPr>
        <w:t>地址：</w:t>
      </w:r>
      <w:r>
        <w:rPr>
          <w:rFonts w:hint="eastAsia"/>
          <w:color w:val="000000" w:themeColor="text1"/>
          <w:kern w:val="0"/>
          <w:szCs w:val="21"/>
          <w:highlight w:val="none"/>
          <w:u w:val="single"/>
          <w14:textFill>
            <w14:solidFill>
              <w14:schemeClr w14:val="tx1"/>
            </w14:solidFill>
          </w14:textFill>
        </w:rPr>
        <w:t>桂林市临桂区致远路1号</w:t>
      </w:r>
    </w:p>
    <w:p w14:paraId="05F2454F">
      <w:pPr>
        <w:spacing w:line="312" w:lineRule="auto"/>
        <w:ind w:firstLine="420" w:firstLineChars="200"/>
        <w:jc w:val="left"/>
        <w:rPr>
          <w:rFonts w:hint="eastAsia" w:eastAsia="宋体"/>
          <w:color w:val="000000" w:themeColor="text1"/>
          <w:kern w:val="0"/>
          <w:szCs w:val="21"/>
          <w:highlight w:val="none"/>
          <w:u w:val="single"/>
          <w:lang w:eastAsia="zh-CN"/>
          <w14:textFill>
            <w14:solidFill>
              <w14:schemeClr w14:val="tx1"/>
            </w14:solidFill>
          </w14:textFill>
        </w:rPr>
      </w:pPr>
      <w:r>
        <w:rPr>
          <w:rFonts w:hint="eastAsia"/>
          <w:color w:val="000000" w:themeColor="text1"/>
          <w:kern w:val="0"/>
          <w:szCs w:val="21"/>
          <w:highlight w:val="none"/>
          <w14:textFill>
            <w14:solidFill>
              <w14:schemeClr w14:val="tx1"/>
            </w14:solidFill>
          </w14:textFill>
        </w:rPr>
        <w:t>项目联系人：</w:t>
      </w:r>
      <w:r>
        <w:rPr>
          <w:rFonts w:hint="eastAsia"/>
          <w:color w:val="000000" w:themeColor="text1"/>
          <w:kern w:val="0"/>
          <w:szCs w:val="21"/>
          <w:highlight w:val="none"/>
          <w:u w:val="single"/>
          <w:lang w:eastAsia="zh-CN"/>
          <w14:textFill>
            <w14:solidFill>
              <w14:schemeClr w14:val="tx1"/>
            </w14:solidFill>
          </w14:textFill>
        </w:rPr>
        <w:t>顾老师</w:t>
      </w:r>
    </w:p>
    <w:p w14:paraId="3D93EBF7">
      <w:pPr>
        <w:spacing w:line="312" w:lineRule="auto"/>
        <w:ind w:firstLine="420" w:firstLineChars="200"/>
        <w:jc w:val="left"/>
        <w:rPr>
          <w:color w:val="000000" w:themeColor="text1"/>
          <w:kern w:val="0"/>
          <w:szCs w:val="21"/>
          <w:highlight w:val="none"/>
          <w:u w:val="single"/>
          <w14:textFill>
            <w14:solidFill>
              <w14:schemeClr w14:val="tx1"/>
            </w14:solidFill>
          </w14:textFill>
        </w:rPr>
      </w:pPr>
      <w:r>
        <w:rPr>
          <w:rFonts w:hint="eastAsia"/>
          <w:color w:val="000000" w:themeColor="text1"/>
          <w:kern w:val="0"/>
          <w:szCs w:val="21"/>
          <w:highlight w:val="none"/>
          <w14:textFill>
            <w14:solidFill>
              <w14:schemeClr w14:val="tx1"/>
            </w14:solidFill>
          </w14:textFill>
        </w:rPr>
        <w:t>项目</w:t>
      </w:r>
      <w:r>
        <w:rPr>
          <w:color w:val="000000" w:themeColor="text1"/>
          <w:kern w:val="0"/>
          <w:szCs w:val="21"/>
          <w:highlight w:val="none"/>
          <w14:textFill>
            <w14:solidFill>
              <w14:schemeClr w14:val="tx1"/>
            </w14:solidFill>
          </w14:textFill>
        </w:rPr>
        <w:t>联系</w:t>
      </w:r>
      <w:r>
        <w:rPr>
          <w:rFonts w:hint="eastAsia"/>
          <w:color w:val="000000" w:themeColor="text1"/>
          <w:kern w:val="0"/>
          <w:szCs w:val="21"/>
          <w:highlight w:val="none"/>
          <w14:textFill>
            <w14:solidFill>
              <w14:schemeClr w14:val="tx1"/>
            </w14:solidFill>
          </w14:textFill>
        </w:rPr>
        <w:t>方式</w:t>
      </w:r>
      <w:r>
        <w:rPr>
          <w:color w:val="000000" w:themeColor="text1"/>
          <w:kern w:val="0"/>
          <w:szCs w:val="21"/>
          <w:highlight w:val="none"/>
          <w14:textFill>
            <w14:solidFill>
              <w14:schemeClr w14:val="tx1"/>
            </w14:solidFill>
          </w14:textFill>
        </w:rPr>
        <w:t>：</w:t>
      </w:r>
      <w:r>
        <w:rPr>
          <w:rFonts w:hint="eastAsia"/>
          <w:color w:val="000000" w:themeColor="text1"/>
          <w:kern w:val="0"/>
          <w:szCs w:val="21"/>
          <w:highlight w:val="none"/>
          <w:u w:val="single"/>
          <w14:textFill>
            <w14:solidFill>
              <w14:schemeClr w14:val="tx1"/>
            </w14:solidFill>
          </w14:textFill>
        </w:rPr>
        <w:t xml:space="preserve"> </w:t>
      </w:r>
      <w:r>
        <w:rPr>
          <w:color w:val="000000" w:themeColor="text1"/>
          <w:kern w:val="0"/>
          <w:szCs w:val="21"/>
          <w:highlight w:val="none"/>
          <w:u w:val="single"/>
          <w14:textFill>
            <w14:solidFill>
              <w14:schemeClr w14:val="tx1"/>
            </w14:solidFill>
          </w14:textFill>
        </w:rPr>
        <w:t xml:space="preserve"> </w:t>
      </w:r>
      <w:r>
        <w:rPr>
          <w:rFonts w:hint="eastAsia"/>
          <w:color w:val="000000" w:themeColor="text1"/>
          <w:kern w:val="0"/>
          <w:szCs w:val="21"/>
          <w:highlight w:val="none"/>
          <w:u w:val="single"/>
          <w14:textFill>
            <w14:solidFill>
              <w14:schemeClr w14:val="tx1"/>
            </w14:solidFill>
          </w14:textFill>
        </w:rPr>
        <w:t>0773-3662950</w:t>
      </w:r>
    </w:p>
    <w:p w14:paraId="12AAA8F2">
      <w:pPr>
        <w:spacing w:line="312" w:lineRule="auto"/>
        <w:ind w:firstLine="420" w:firstLineChars="200"/>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2.采购代理机构信息</w:t>
      </w:r>
    </w:p>
    <w:p w14:paraId="2925024E">
      <w:pPr>
        <w:spacing w:line="312" w:lineRule="auto"/>
        <w:ind w:firstLine="420" w:firstLineChars="200"/>
        <w:jc w:val="left"/>
        <w:rPr>
          <w:color w:val="000000" w:themeColor="text1"/>
          <w:kern w:val="0"/>
          <w:szCs w:val="21"/>
          <w:highlight w:val="none"/>
          <w:u w:val="single"/>
          <w14:textFill>
            <w14:solidFill>
              <w14:schemeClr w14:val="tx1"/>
            </w14:solidFill>
          </w14:textFill>
        </w:rPr>
      </w:pPr>
      <w:r>
        <w:rPr>
          <w:rFonts w:hint="eastAsia"/>
          <w:color w:val="000000" w:themeColor="text1"/>
          <w:kern w:val="0"/>
          <w:szCs w:val="21"/>
          <w:highlight w:val="none"/>
          <w14:textFill>
            <w14:solidFill>
              <w14:schemeClr w14:val="tx1"/>
            </w14:solidFill>
          </w14:textFill>
        </w:rPr>
        <w:t>名称</w:t>
      </w:r>
      <w:r>
        <w:rPr>
          <w:color w:val="000000" w:themeColor="text1"/>
          <w:kern w:val="0"/>
          <w:szCs w:val="21"/>
          <w:highlight w:val="none"/>
          <w14:textFill>
            <w14:solidFill>
              <w14:schemeClr w14:val="tx1"/>
            </w14:solidFill>
          </w14:textFill>
        </w:rPr>
        <w:t>：</w:t>
      </w:r>
      <w:r>
        <w:rPr>
          <w:color w:val="000000" w:themeColor="text1"/>
          <w:kern w:val="0"/>
          <w:szCs w:val="21"/>
          <w:highlight w:val="none"/>
          <w:u w:val="single"/>
          <w14:textFill>
            <w14:solidFill>
              <w14:schemeClr w14:val="tx1"/>
            </w14:solidFill>
          </w14:textFill>
        </w:rPr>
        <w:t>广西机电设备招标有限公司</w:t>
      </w:r>
    </w:p>
    <w:p w14:paraId="3001DD12">
      <w:pPr>
        <w:spacing w:line="312" w:lineRule="auto"/>
        <w:ind w:firstLine="420" w:firstLineChars="200"/>
        <w:jc w:val="left"/>
        <w:rPr>
          <w:color w:val="000000" w:themeColor="text1"/>
          <w:highlight w:val="none"/>
          <w:u w:val="single"/>
          <w14:textFill>
            <w14:solidFill>
              <w14:schemeClr w14:val="tx1"/>
            </w14:solidFill>
          </w14:textFill>
        </w:rPr>
      </w:pPr>
      <w:r>
        <w:rPr>
          <w:color w:val="000000" w:themeColor="text1"/>
          <w:kern w:val="0"/>
          <w:szCs w:val="21"/>
          <w:highlight w:val="none"/>
          <w14:textFill>
            <w14:solidFill>
              <w14:schemeClr w14:val="tx1"/>
            </w14:solidFill>
          </w14:textFill>
        </w:rPr>
        <w:t>地址：</w:t>
      </w:r>
      <w:r>
        <w:rPr>
          <w:rFonts w:hint="eastAsia"/>
          <w:color w:val="000000" w:themeColor="text1"/>
          <w:highlight w:val="none"/>
          <w:u w:val="single"/>
          <w14:textFill>
            <w14:solidFill>
              <w14:schemeClr w14:val="tx1"/>
            </w14:solidFill>
          </w14:textFill>
        </w:rPr>
        <w:t>广西桂林市七星区骖鸾路31号湘商大厦603</w:t>
      </w:r>
    </w:p>
    <w:bookmarkEnd w:id="18"/>
    <w:p w14:paraId="64F43344">
      <w:pPr>
        <w:spacing w:line="312" w:lineRule="auto"/>
        <w:ind w:firstLine="420" w:firstLineChars="200"/>
        <w:jc w:val="left"/>
        <w:rPr>
          <w:color w:val="000000" w:themeColor="text1"/>
          <w:kern w:val="0"/>
          <w:szCs w:val="21"/>
          <w:highlight w:val="none"/>
          <w:u w:val="single"/>
          <w14:textFill>
            <w14:solidFill>
              <w14:schemeClr w14:val="tx1"/>
            </w14:solidFill>
          </w14:textFill>
        </w:rPr>
      </w:pPr>
      <w:r>
        <w:rPr>
          <w:color w:val="000000" w:themeColor="text1"/>
          <w:kern w:val="0"/>
          <w:szCs w:val="21"/>
          <w:highlight w:val="none"/>
          <w14:textFill>
            <w14:solidFill>
              <w14:schemeClr w14:val="tx1"/>
            </w14:solidFill>
          </w14:textFill>
        </w:rPr>
        <w:t>项目联系人：</w:t>
      </w:r>
      <w:r>
        <w:rPr>
          <w:rFonts w:hint="eastAsia"/>
          <w:color w:val="000000" w:themeColor="text1"/>
          <w:kern w:val="0"/>
          <w:szCs w:val="21"/>
          <w:highlight w:val="none"/>
          <w:u w:val="single"/>
          <w14:textFill>
            <w14:solidFill>
              <w14:schemeClr w14:val="tx1"/>
            </w14:solidFill>
          </w14:textFill>
        </w:rPr>
        <w:t>曾昭卉、栗晓奇</w:t>
      </w:r>
    </w:p>
    <w:p w14:paraId="4047D1E9">
      <w:pPr>
        <w:spacing w:line="312" w:lineRule="auto"/>
        <w:ind w:firstLine="420" w:firstLineChars="200"/>
        <w:jc w:val="left"/>
        <w:rPr>
          <w:color w:val="000000" w:themeColor="text1"/>
          <w:kern w:val="0"/>
          <w:szCs w:val="21"/>
          <w:highlight w:val="none"/>
          <w:u w:val="single"/>
          <w14:textFill>
            <w14:solidFill>
              <w14:schemeClr w14:val="tx1"/>
            </w14:solidFill>
          </w14:textFill>
        </w:rPr>
      </w:pPr>
      <w:r>
        <w:rPr>
          <w:rFonts w:hint="eastAsia"/>
          <w:color w:val="000000" w:themeColor="text1"/>
          <w:kern w:val="0"/>
          <w:szCs w:val="21"/>
          <w:highlight w:val="none"/>
          <w14:textFill>
            <w14:solidFill>
              <w14:schemeClr w14:val="tx1"/>
            </w14:solidFill>
          </w14:textFill>
        </w:rPr>
        <w:t>项目联系方式</w:t>
      </w:r>
      <w:r>
        <w:rPr>
          <w:color w:val="000000" w:themeColor="text1"/>
          <w:kern w:val="0"/>
          <w:szCs w:val="21"/>
          <w:highlight w:val="none"/>
          <w:u w:val="single"/>
          <w14:textFill>
            <w14:solidFill>
              <w14:schemeClr w14:val="tx1"/>
            </w14:solidFill>
          </w14:textFill>
        </w:rPr>
        <w:t>：</w:t>
      </w:r>
      <w:r>
        <w:rPr>
          <w:rFonts w:hint="eastAsia"/>
          <w:color w:val="000000" w:themeColor="text1"/>
          <w:kern w:val="0"/>
          <w:szCs w:val="21"/>
          <w:highlight w:val="none"/>
          <w:u w:val="single"/>
          <w14:textFill>
            <w14:solidFill>
              <w14:schemeClr w14:val="tx1"/>
            </w14:solidFill>
          </w14:textFill>
        </w:rPr>
        <w:t>0773-3696789转2</w:t>
      </w:r>
      <w:r>
        <w:rPr>
          <w:color w:val="000000" w:themeColor="text1"/>
          <w:kern w:val="0"/>
          <w:szCs w:val="21"/>
          <w:highlight w:val="none"/>
          <w:u w:val="single"/>
          <w14:textFill>
            <w14:solidFill>
              <w14:schemeClr w14:val="tx1"/>
            </w14:solidFill>
          </w14:textFill>
        </w:rPr>
        <w:t xml:space="preserve">  </w:t>
      </w:r>
    </w:p>
    <w:p w14:paraId="7EBEFB7A">
      <w:pPr>
        <w:spacing w:line="312" w:lineRule="auto"/>
        <w:ind w:firstLine="422" w:firstLineChars="200"/>
        <w:jc w:val="left"/>
        <w:rPr>
          <w:b/>
          <w:bCs/>
          <w:color w:val="000000" w:themeColor="text1"/>
          <w:kern w:val="0"/>
          <w:szCs w:val="21"/>
          <w:highlight w:val="none"/>
          <w14:textFill>
            <w14:solidFill>
              <w14:schemeClr w14:val="tx1"/>
            </w14:solidFill>
          </w14:textFill>
        </w:rPr>
      </w:pPr>
    </w:p>
    <w:p w14:paraId="595443C8">
      <w:pPr>
        <w:spacing w:line="312" w:lineRule="auto"/>
        <w:ind w:firstLine="422" w:firstLineChars="200"/>
        <w:jc w:val="left"/>
        <w:rPr>
          <w:b/>
          <w:bCs/>
          <w:color w:val="000000" w:themeColor="text1"/>
          <w:kern w:val="0"/>
          <w:szCs w:val="21"/>
          <w:highlight w:val="none"/>
          <w14:textFill>
            <w14:solidFill>
              <w14:schemeClr w14:val="tx1"/>
            </w14:solidFill>
          </w14:textFill>
        </w:rPr>
      </w:pPr>
    </w:p>
    <w:p w14:paraId="0EE50C04">
      <w:pPr>
        <w:spacing w:line="312" w:lineRule="auto"/>
        <w:ind w:firstLine="420" w:firstLineChars="200"/>
        <w:jc w:val="righ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广西机电设备招标有限公司</w:t>
      </w:r>
    </w:p>
    <w:p w14:paraId="675D131E">
      <w:pPr>
        <w:spacing w:line="312" w:lineRule="auto"/>
        <w:ind w:firstLine="420" w:firstLineChars="200"/>
        <w:jc w:val="right"/>
        <w:rPr>
          <w:color w:val="000000" w:themeColor="text1"/>
          <w:kern w:val="0"/>
          <w:sz w:val="18"/>
          <w:szCs w:val="18"/>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2026</w:t>
      </w:r>
      <w:r>
        <w:rPr>
          <w:color w:val="000000" w:themeColor="text1"/>
          <w:kern w:val="0"/>
          <w:szCs w:val="21"/>
          <w:highlight w:val="none"/>
          <w14:textFill>
            <w14:solidFill>
              <w14:schemeClr w14:val="tx1"/>
            </w14:solidFill>
          </w14:textFill>
        </w:rPr>
        <w:t>年</w:t>
      </w:r>
      <w:r>
        <w:rPr>
          <w:rFonts w:hint="eastAsia"/>
          <w:color w:val="000000" w:themeColor="text1"/>
          <w:kern w:val="0"/>
          <w:szCs w:val="21"/>
          <w:highlight w:val="none"/>
          <w:lang w:val="en-US" w:eastAsia="zh-CN"/>
          <w14:textFill>
            <w14:solidFill>
              <w14:schemeClr w14:val="tx1"/>
            </w14:solidFill>
          </w14:textFill>
        </w:rPr>
        <w:t>8</w:t>
      </w:r>
      <w:r>
        <w:rPr>
          <w:color w:val="000000" w:themeColor="text1"/>
          <w:kern w:val="0"/>
          <w:szCs w:val="21"/>
          <w:highlight w:val="none"/>
          <w14:textFill>
            <w14:solidFill>
              <w14:schemeClr w14:val="tx1"/>
            </w14:solidFill>
          </w14:textFill>
        </w:rPr>
        <w:t>月</w:t>
      </w:r>
      <w:r>
        <w:rPr>
          <w:rFonts w:hint="eastAsia"/>
          <w:color w:val="000000" w:themeColor="text1"/>
          <w:kern w:val="0"/>
          <w:szCs w:val="21"/>
          <w:highlight w:val="none"/>
          <w:lang w:val="en-US" w:eastAsia="zh-CN"/>
          <w14:textFill>
            <w14:solidFill>
              <w14:schemeClr w14:val="tx1"/>
            </w14:solidFill>
          </w14:textFill>
        </w:rPr>
        <w:t>3</w:t>
      </w:r>
      <w:r>
        <w:rPr>
          <w:color w:val="000000" w:themeColor="text1"/>
          <w:kern w:val="0"/>
          <w:szCs w:val="21"/>
          <w:highlight w:val="none"/>
          <w14:textFill>
            <w14:solidFill>
              <w14:schemeClr w14:val="tx1"/>
            </w14:solidFill>
          </w14:textFill>
        </w:rPr>
        <w:t>日</w:t>
      </w:r>
    </w:p>
    <w:p w14:paraId="415F2A4F">
      <w:pPr>
        <w:spacing w:line="312" w:lineRule="auto"/>
        <w:ind w:firstLine="422" w:firstLineChars="200"/>
        <w:jc w:val="left"/>
        <w:rPr>
          <w:b/>
          <w:bCs/>
          <w:color w:val="000000" w:themeColor="text1"/>
          <w:kern w:val="0"/>
          <w:szCs w:val="21"/>
          <w:highlight w:val="none"/>
          <w14:textFill>
            <w14:solidFill>
              <w14:schemeClr w14:val="tx1"/>
            </w14:solidFill>
          </w14:textFill>
        </w:rPr>
      </w:pPr>
    </w:p>
    <w:p w14:paraId="63D96134">
      <w:pPr>
        <w:spacing w:line="312" w:lineRule="auto"/>
        <w:ind w:firstLine="420" w:firstLineChars="200"/>
        <w:jc w:val="left"/>
        <w:rPr>
          <w:color w:val="000000" w:themeColor="text1"/>
          <w:kern w:val="0"/>
          <w:szCs w:val="21"/>
          <w:highlight w:val="none"/>
          <w14:textFill>
            <w14:solidFill>
              <w14:schemeClr w14:val="tx1"/>
            </w14:solidFill>
          </w14:textFill>
        </w:rPr>
      </w:pPr>
    </w:p>
    <w:p w14:paraId="25395901">
      <w:pPr>
        <w:spacing w:line="312" w:lineRule="auto"/>
        <w:ind w:firstLine="420" w:firstLineChars="200"/>
        <w:jc w:val="left"/>
        <w:rPr>
          <w:color w:val="000000" w:themeColor="text1"/>
          <w:kern w:val="0"/>
          <w:szCs w:val="21"/>
          <w:highlight w:val="none"/>
          <w14:textFill>
            <w14:solidFill>
              <w14:schemeClr w14:val="tx1"/>
            </w14:solidFill>
          </w14:textFill>
        </w:rPr>
      </w:pPr>
    </w:p>
    <w:p w14:paraId="20E54589">
      <w:pPr>
        <w:spacing w:line="312" w:lineRule="auto"/>
        <w:ind w:firstLine="420" w:firstLineChars="200"/>
        <w:jc w:val="left"/>
        <w:rPr>
          <w:color w:val="000000" w:themeColor="text1"/>
          <w:kern w:val="0"/>
          <w:szCs w:val="21"/>
          <w:highlight w:val="none"/>
          <w14:textFill>
            <w14:solidFill>
              <w14:schemeClr w14:val="tx1"/>
            </w14:solidFill>
          </w14:textFill>
        </w:rPr>
      </w:pPr>
    </w:p>
    <w:p w14:paraId="799798F3">
      <w:pPr>
        <w:spacing w:line="312" w:lineRule="auto"/>
        <w:ind w:firstLine="420" w:firstLineChars="200"/>
        <w:jc w:val="left"/>
        <w:rPr>
          <w:color w:val="000000" w:themeColor="text1"/>
          <w:kern w:val="0"/>
          <w:szCs w:val="21"/>
          <w:highlight w:val="none"/>
          <w14:textFill>
            <w14:solidFill>
              <w14:schemeClr w14:val="tx1"/>
            </w14:solidFill>
          </w14:textFill>
        </w:rPr>
      </w:pPr>
    </w:p>
    <w:p w14:paraId="6EC70FCD">
      <w:pPr>
        <w:spacing w:line="312" w:lineRule="auto"/>
        <w:ind w:firstLine="420" w:firstLineChars="200"/>
        <w:jc w:val="left"/>
        <w:rPr>
          <w:color w:val="000000" w:themeColor="text1"/>
          <w:kern w:val="0"/>
          <w:szCs w:val="21"/>
          <w:highlight w:val="none"/>
          <w14:textFill>
            <w14:solidFill>
              <w14:schemeClr w14:val="tx1"/>
            </w14:solidFill>
          </w14:textFill>
        </w:rPr>
      </w:pPr>
    </w:p>
    <w:p w14:paraId="1E8639AF">
      <w:pPr>
        <w:spacing w:line="312" w:lineRule="auto"/>
        <w:ind w:firstLine="420" w:firstLineChars="200"/>
        <w:jc w:val="left"/>
        <w:rPr>
          <w:color w:val="000000" w:themeColor="text1"/>
          <w:kern w:val="0"/>
          <w:szCs w:val="21"/>
          <w:highlight w:val="none"/>
          <w14:textFill>
            <w14:solidFill>
              <w14:schemeClr w14:val="tx1"/>
            </w14:solidFill>
          </w14:textFill>
        </w:rPr>
      </w:pPr>
    </w:p>
    <w:p w14:paraId="5054A8AF">
      <w:pPr>
        <w:spacing w:line="312" w:lineRule="auto"/>
        <w:ind w:firstLine="420" w:firstLineChars="200"/>
        <w:jc w:val="left"/>
        <w:rPr>
          <w:color w:val="000000" w:themeColor="text1"/>
          <w:kern w:val="0"/>
          <w:szCs w:val="21"/>
          <w:highlight w:val="none"/>
          <w14:textFill>
            <w14:solidFill>
              <w14:schemeClr w14:val="tx1"/>
            </w14:solidFill>
          </w14:textFill>
        </w:rPr>
      </w:pPr>
    </w:p>
    <w:p w14:paraId="65022FFA">
      <w:pPr>
        <w:spacing w:line="312" w:lineRule="auto"/>
        <w:ind w:firstLine="420" w:firstLineChars="200"/>
        <w:jc w:val="left"/>
        <w:rPr>
          <w:color w:val="000000" w:themeColor="text1"/>
          <w:kern w:val="0"/>
          <w:szCs w:val="21"/>
          <w:highlight w:val="none"/>
          <w14:textFill>
            <w14:solidFill>
              <w14:schemeClr w14:val="tx1"/>
            </w14:solidFill>
          </w14:textFill>
        </w:rPr>
      </w:pPr>
    </w:p>
    <w:p w14:paraId="741FCC56">
      <w:pPr>
        <w:spacing w:line="312" w:lineRule="auto"/>
        <w:ind w:firstLine="420" w:firstLineChars="200"/>
        <w:jc w:val="left"/>
        <w:rPr>
          <w:color w:val="000000" w:themeColor="text1"/>
          <w:kern w:val="0"/>
          <w:szCs w:val="21"/>
          <w:highlight w:val="none"/>
          <w14:textFill>
            <w14:solidFill>
              <w14:schemeClr w14:val="tx1"/>
            </w14:solidFill>
          </w14:textFill>
        </w:rPr>
      </w:pPr>
    </w:p>
    <w:p w14:paraId="315EE8A3">
      <w:pPr>
        <w:spacing w:line="312" w:lineRule="auto"/>
        <w:ind w:firstLine="420" w:firstLineChars="200"/>
        <w:jc w:val="left"/>
        <w:rPr>
          <w:color w:val="000000" w:themeColor="text1"/>
          <w:kern w:val="0"/>
          <w:szCs w:val="21"/>
          <w:highlight w:val="none"/>
          <w14:textFill>
            <w14:solidFill>
              <w14:schemeClr w14:val="tx1"/>
            </w14:solidFill>
          </w14:textFill>
        </w:rPr>
      </w:pPr>
    </w:p>
    <w:p w14:paraId="0BA768E9">
      <w:pPr>
        <w:pStyle w:val="27"/>
        <w:snapToGrid w:val="0"/>
        <w:spacing w:before="120" w:after="120" w:line="320" w:lineRule="exact"/>
        <w:jc w:val="center"/>
        <w:outlineLvl w:val="0"/>
        <w:rPr>
          <w:rFonts w:ascii="Times New Roman" w:hAnsi="Times New Roman" w:cs="Times New Roman"/>
          <w:color w:val="000000" w:themeColor="text1"/>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135" w:right="1133" w:bottom="1246" w:left="1418" w:header="851" w:footer="903" w:gutter="0"/>
          <w:pgNumType w:start="1"/>
          <w:cols w:space="720" w:num="1"/>
          <w:docGrid w:linePitch="312" w:charSpace="0"/>
        </w:sectPr>
      </w:pPr>
    </w:p>
    <w:p w14:paraId="1CD11561">
      <w:pPr>
        <w:pStyle w:val="27"/>
        <w:snapToGrid w:val="0"/>
        <w:spacing w:before="120" w:after="120" w:line="320" w:lineRule="exact"/>
        <w:jc w:val="center"/>
        <w:outlineLvl w:val="0"/>
        <w:rPr>
          <w:rFonts w:ascii="Times New Roman" w:hAnsi="Times New Roman" w:cs="Times New Roman"/>
          <w:color w:val="000000" w:themeColor="text1"/>
          <w:sz w:val="32"/>
          <w:szCs w:val="32"/>
          <w:highlight w:val="none"/>
          <w14:textFill>
            <w14:solidFill>
              <w14:schemeClr w14:val="tx1"/>
            </w14:solidFill>
          </w14:textFill>
        </w:rPr>
      </w:pPr>
      <w:bookmarkStart w:id="19" w:name="_Toc18834"/>
      <w:r>
        <w:rPr>
          <w:rFonts w:ascii="Times New Roman" w:hAnsi="Times New Roman" w:cs="Times New Roman"/>
          <w:color w:val="000000" w:themeColor="text1"/>
          <w:sz w:val="32"/>
          <w:szCs w:val="32"/>
          <w:highlight w:val="none"/>
          <w14:textFill>
            <w14:solidFill>
              <w14:schemeClr w14:val="tx1"/>
            </w14:solidFill>
          </w14:textFill>
        </w:rPr>
        <w:t>第二章  采购需求</w:t>
      </w:r>
      <w:bookmarkEnd w:id="19"/>
    </w:p>
    <w:p w14:paraId="7275C332">
      <w:pPr>
        <w:spacing w:before="120"/>
        <w:rPr>
          <w:rFonts w:hint="eastAsia" w:ascii="宋体" w:hAnsi="宋体" w:cs="宋体"/>
          <w:b/>
          <w:bCs/>
          <w:color w:val="000000" w:themeColor="text1"/>
          <w:sz w:val="28"/>
          <w:szCs w:val="28"/>
          <w:highlight w:val="none"/>
          <w14:textFill>
            <w14:solidFill>
              <w14:schemeClr w14:val="tx1"/>
            </w14:solidFill>
          </w14:textFill>
        </w:rPr>
      </w:pPr>
    </w:p>
    <w:p w14:paraId="1A52E84D">
      <w:pPr>
        <w:spacing w:line="360" w:lineRule="auto"/>
        <w:jc w:val="center"/>
        <w:rPr>
          <w:rFonts w:hint="eastAsia" w:ascii="黑体" w:hAnsi="黑体" w:eastAsia="黑体" w:cs="Arial"/>
          <w:b/>
          <w:color w:val="000000" w:themeColor="text1"/>
          <w:kern w:val="0"/>
          <w:sz w:val="28"/>
          <w:szCs w:val="28"/>
          <w:highlight w:val="none"/>
          <w14:textFill>
            <w14:solidFill>
              <w14:schemeClr w14:val="tx1"/>
            </w14:solidFill>
          </w14:textFill>
        </w:rPr>
      </w:pPr>
      <w:r>
        <w:rPr>
          <w:rFonts w:ascii="黑体" w:hAnsi="黑体" w:eastAsia="黑体" w:cs="Arial"/>
          <w:b/>
          <w:color w:val="000000" w:themeColor="text1"/>
          <w:kern w:val="0"/>
          <w:sz w:val="28"/>
          <w:szCs w:val="28"/>
          <w:highlight w:val="none"/>
          <w14:textFill>
            <w14:solidFill>
              <w14:schemeClr w14:val="tx1"/>
            </w14:solidFill>
          </w14:textFill>
        </w:rPr>
        <w:t>桂林医科大学2026年智慧课程建设项目-A分标</w:t>
      </w:r>
    </w:p>
    <w:p w14:paraId="23EB8925">
      <w:pPr>
        <w:spacing w:line="360" w:lineRule="auto"/>
        <w:rPr>
          <w:rFonts w:hint="eastAsia" w:ascii="黑体" w:hAnsi="黑体" w:eastAsia="黑体" w:cs="Arial"/>
          <w:b/>
          <w:color w:val="000000" w:themeColor="text1"/>
          <w:kern w:val="0"/>
          <w:sz w:val="28"/>
          <w:szCs w:val="28"/>
          <w:highlight w:val="none"/>
          <w14:textFill>
            <w14:solidFill>
              <w14:schemeClr w14:val="tx1"/>
            </w14:solidFill>
          </w14:textFill>
        </w:rPr>
      </w:pPr>
      <w:r>
        <w:rPr>
          <w:rFonts w:ascii="黑体" w:hAnsi="黑体" w:eastAsia="黑体" w:cs="Arial"/>
          <w:b/>
          <w:color w:val="000000" w:themeColor="text1"/>
          <w:kern w:val="0"/>
          <w:sz w:val="28"/>
          <w:szCs w:val="28"/>
          <w:highlight w:val="none"/>
          <w14:textFill>
            <w14:solidFill>
              <w14:schemeClr w14:val="tx1"/>
            </w14:solidFill>
          </w14:textFill>
        </w:rPr>
        <w:t>一、</w:t>
      </w:r>
      <w:r>
        <w:rPr>
          <w:rFonts w:hint="eastAsia" w:ascii="黑体" w:hAnsi="黑体" w:eastAsia="黑体" w:cs="Arial"/>
          <w:b/>
          <w:color w:val="000000" w:themeColor="text1"/>
          <w:kern w:val="0"/>
          <w:sz w:val="28"/>
          <w:szCs w:val="28"/>
          <w:highlight w:val="none"/>
          <w14:textFill>
            <w14:solidFill>
              <w14:schemeClr w14:val="tx1"/>
            </w14:solidFill>
          </w14:textFill>
        </w:rPr>
        <w:t>总体</w:t>
      </w:r>
      <w:r>
        <w:rPr>
          <w:rFonts w:ascii="黑体" w:hAnsi="黑体" w:eastAsia="黑体" w:cs="Arial"/>
          <w:b/>
          <w:color w:val="000000" w:themeColor="text1"/>
          <w:kern w:val="0"/>
          <w:sz w:val="28"/>
          <w:szCs w:val="28"/>
          <w:highlight w:val="none"/>
          <w14:textFill>
            <w14:solidFill>
              <w14:schemeClr w14:val="tx1"/>
            </w14:solidFill>
          </w14:textFill>
        </w:rPr>
        <w:t>要求</w:t>
      </w:r>
    </w:p>
    <w:p w14:paraId="3196445B">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.政府采购政策的应用</w:t>
      </w:r>
    </w:p>
    <w:p w14:paraId="4D7633F6">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详见招标文件“评审方法及标准</w:t>
      </w:r>
      <w:r>
        <w:rPr>
          <w:color w:val="000000" w:themeColor="text1"/>
          <w:szCs w:val="21"/>
          <w:highlight w:val="none"/>
          <w14:textFill>
            <w14:solidFill>
              <w14:schemeClr w14:val="tx1"/>
            </w14:solidFill>
          </w14:textFill>
        </w:rPr>
        <w:t>/政府采购政策应用说明”。</w:t>
      </w:r>
    </w:p>
    <w:p w14:paraId="6403AFF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.采购需求要求未尽事宜</w:t>
      </w:r>
      <w:r>
        <w:rPr>
          <w:color w:val="000000" w:themeColor="text1"/>
          <w:szCs w:val="21"/>
          <w:highlight w:val="none"/>
          <w14:textFill>
            <w14:solidFill>
              <w14:schemeClr w14:val="tx1"/>
            </w14:solidFill>
          </w14:textFill>
        </w:rPr>
        <w:t>由</w:t>
      </w:r>
      <w:r>
        <w:rPr>
          <w:rFonts w:hint="eastAsia"/>
          <w:color w:val="000000" w:themeColor="text1"/>
          <w:szCs w:val="21"/>
          <w:highlight w:val="none"/>
          <w14:textFill>
            <w14:solidFill>
              <w14:schemeClr w14:val="tx1"/>
            </w14:solidFill>
          </w14:textFill>
        </w:rPr>
        <w:t>采购人与中标供应商</w:t>
      </w:r>
      <w:r>
        <w:rPr>
          <w:color w:val="000000" w:themeColor="text1"/>
          <w:szCs w:val="21"/>
          <w:highlight w:val="none"/>
          <w14:textFill>
            <w14:solidFill>
              <w14:schemeClr w14:val="tx1"/>
            </w14:solidFill>
          </w14:textFill>
        </w:rPr>
        <w:t>在采购合同中约定。</w:t>
      </w:r>
    </w:p>
    <w:p w14:paraId="36305BAF">
      <w:pPr>
        <w:spacing w:line="400" w:lineRule="exact"/>
        <w:rPr>
          <w:color w:val="000000" w:themeColor="text1"/>
          <w:sz w:val="22"/>
          <w:szCs w:val="22"/>
          <w:highlight w:val="none"/>
          <w14:textFill>
            <w14:solidFill>
              <w14:schemeClr w14:val="tx1"/>
            </w14:solidFill>
          </w14:textFill>
        </w:rPr>
      </w:pPr>
      <w:r>
        <w:rPr>
          <w:rFonts w:hint="eastAsia"/>
          <w:b/>
          <w:bCs/>
          <w:color w:val="000000" w:themeColor="text1"/>
          <w:sz w:val="22"/>
          <w:szCs w:val="22"/>
          <w:highlight w:val="none"/>
          <w14:textFill>
            <w14:solidFill>
              <w14:schemeClr w14:val="tx1"/>
            </w14:solidFill>
          </w14:textFill>
        </w:rPr>
        <w:t>3.标注“▲”的条款或要求系指实质性条款或实质性要求，必须满足，如存在负偏离将导致投标无效。</w:t>
      </w:r>
      <w:r>
        <w:rPr>
          <w:rFonts w:hint="eastAsia" w:ascii="宋体"/>
          <w:b/>
          <w:color w:val="000000" w:themeColor="text1"/>
          <w:sz w:val="22"/>
          <w:szCs w:val="22"/>
          <w:highlight w:val="none"/>
          <w14:textFill>
            <w14:solidFill>
              <w14:schemeClr w14:val="tx1"/>
            </w14:solidFill>
          </w14:textFill>
        </w:rPr>
        <w:t>标注“</w:t>
      </w:r>
      <w:r>
        <w:rPr>
          <w:rFonts w:hint="eastAsia" w:ascii="宋体" w:hAnsi="宋体" w:cs="宋体"/>
          <w:color w:val="000000" w:themeColor="text1"/>
          <w:kern w:val="0"/>
          <w:szCs w:val="21"/>
          <w:highlight w:val="none"/>
          <w:lang w:bidi="ar"/>
          <w14:textFill>
            <w14:solidFill>
              <w14:schemeClr w14:val="tx1"/>
            </w14:solidFill>
          </w14:textFill>
        </w:rPr>
        <w:t>●</w:t>
      </w:r>
      <w:r>
        <w:rPr>
          <w:rFonts w:hint="eastAsia" w:ascii="宋体"/>
          <w:b/>
          <w:color w:val="000000" w:themeColor="text1"/>
          <w:sz w:val="22"/>
          <w:szCs w:val="22"/>
          <w:highlight w:val="none"/>
          <w14:textFill>
            <w14:solidFill>
              <w14:schemeClr w14:val="tx1"/>
            </w14:solidFill>
          </w14:textFill>
        </w:rPr>
        <w:t>”</w:t>
      </w:r>
      <w:r>
        <w:rPr>
          <w:rFonts w:hint="eastAsia" w:ascii="Arial" w:hAnsi="Arial" w:cs="Arial"/>
          <w:color w:val="000000" w:themeColor="text1"/>
          <w:sz w:val="20"/>
          <w:szCs w:val="18"/>
          <w:highlight w:val="none"/>
          <w14:textFill>
            <w14:solidFill>
              <w14:schemeClr w14:val="tx1"/>
            </w14:solidFill>
          </w14:textFill>
        </w:rPr>
        <w:t>“</w:t>
      </w:r>
      <w:r>
        <w:rPr>
          <w:rFonts w:ascii="Arial" w:hAnsi="Arial" w:cs="Arial"/>
          <w:color w:val="000000" w:themeColor="text1"/>
          <w:sz w:val="20"/>
          <w:szCs w:val="18"/>
          <w:highlight w:val="none"/>
          <w14:textFill>
            <w14:solidFill>
              <w14:schemeClr w14:val="tx1"/>
            </w14:solidFill>
          </w14:textFill>
        </w:rPr>
        <w:t>★</w:t>
      </w:r>
      <w:r>
        <w:rPr>
          <w:rFonts w:hint="eastAsia" w:ascii="Arial" w:hAnsi="Arial" w:cs="Arial"/>
          <w:color w:val="000000" w:themeColor="text1"/>
          <w:sz w:val="20"/>
          <w:szCs w:val="18"/>
          <w:highlight w:val="none"/>
          <w14:textFill>
            <w14:solidFill>
              <w14:schemeClr w14:val="tx1"/>
            </w14:solidFill>
          </w14:textFill>
        </w:rPr>
        <w:t>”</w:t>
      </w:r>
      <w:r>
        <w:rPr>
          <w:rFonts w:hint="eastAsia" w:ascii="宋体"/>
          <w:b/>
          <w:color w:val="000000" w:themeColor="text1"/>
          <w:sz w:val="22"/>
          <w:szCs w:val="22"/>
          <w:highlight w:val="none"/>
          <w14:textFill>
            <w14:solidFill>
              <w14:schemeClr w14:val="tx1"/>
            </w14:solidFill>
          </w14:textFill>
        </w:rPr>
        <w:t>的条款</w:t>
      </w:r>
      <w:r>
        <w:rPr>
          <w:rFonts w:hint="eastAsia" w:ascii="宋体" w:hAnsi="宋体" w:cs="宋体"/>
          <w:b/>
          <w:color w:val="000000" w:themeColor="text1"/>
          <w:sz w:val="22"/>
          <w:szCs w:val="22"/>
          <w:highlight w:val="none"/>
          <w14:textFill>
            <w14:solidFill>
              <w14:schemeClr w14:val="tx1"/>
            </w14:solidFill>
          </w14:textFill>
        </w:rPr>
        <w:t>作为加分项评标依据，详见评标办法，</w:t>
      </w:r>
      <w:r>
        <w:rPr>
          <w:rFonts w:hint="eastAsia" w:ascii="宋体" w:hAnsi="宋体" w:cs="宋体"/>
          <w:b/>
          <w:bCs/>
          <w:color w:val="000000" w:themeColor="text1"/>
          <w:szCs w:val="21"/>
          <w:highlight w:val="none"/>
          <w14:textFill>
            <w14:solidFill>
              <w14:schemeClr w14:val="tx1"/>
            </w14:solidFill>
          </w14:textFill>
        </w:rPr>
        <w:t>无标识则表示一般指标项</w:t>
      </w:r>
      <w:r>
        <w:rPr>
          <w:rFonts w:hint="eastAsia" w:ascii="宋体" w:hAnsi="宋体" w:cs="宋体"/>
          <w:b/>
          <w:color w:val="000000" w:themeColor="text1"/>
          <w:sz w:val="22"/>
          <w:szCs w:val="22"/>
          <w:highlight w:val="none"/>
          <w14:textFill>
            <w14:solidFill>
              <w14:schemeClr w14:val="tx1"/>
            </w14:solidFill>
          </w14:textFill>
        </w:rPr>
        <w:t>。</w:t>
      </w:r>
    </w:p>
    <w:p w14:paraId="0F4E33EF">
      <w:pPr>
        <w:spacing w:line="360" w:lineRule="auto"/>
        <w:rPr>
          <w:rFonts w:hint="eastAsia" w:ascii="黑体" w:hAnsi="黑体" w:eastAsia="黑体" w:cs="Arial"/>
          <w:b/>
          <w:color w:val="000000" w:themeColor="text1"/>
          <w:kern w:val="0"/>
          <w:sz w:val="28"/>
          <w:szCs w:val="28"/>
          <w:highlight w:val="none"/>
          <w14:textFill>
            <w14:solidFill>
              <w14:schemeClr w14:val="tx1"/>
            </w14:solidFill>
          </w14:textFill>
        </w:rPr>
      </w:pPr>
      <w:r>
        <w:rPr>
          <w:rFonts w:hint="eastAsia" w:ascii="黑体" w:hAnsi="黑体" w:eastAsia="黑体" w:cs="Arial"/>
          <w:b/>
          <w:color w:val="000000" w:themeColor="text1"/>
          <w:kern w:val="0"/>
          <w:sz w:val="28"/>
          <w:szCs w:val="28"/>
          <w:highlight w:val="none"/>
          <w14:textFill>
            <w14:solidFill>
              <w14:schemeClr w14:val="tx1"/>
            </w14:solidFill>
          </w14:textFill>
        </w:rPr>
        <w:t>二、技术要求</w:t>
      </w:r>
    </w:p>
    <w:p w14:paraId="56E721EB">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1.需实现的功能、目标及应用场景</w:t>
      </w:r>
    </w:p>
    <w:p w14:paraId="5E4FCF0E">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满足招标文件要求，验收达到合格标准。</w:t>
      </w:r>
    </w:p>
    <w:p w14:paraId="78D45766">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需执行的国家相关标准、行业标准、地方标准或者其他标准、规范</w:t>
      </w:r>
    </w:p>
    <w:p w14:paraId="32FD84DD">
      <w:pPr>
        <w:spacing w:line="360" w:lineRule="auto"/>
        <w:rPr>
          <w:i/>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本项目应执行的国家相关标准、行业标准、地方标准或者其他标准、规范为：</w:t>
      </w:r>
      <w:r>
        <w:rPr>
          <w:rFonts w:hint="eastAsia"/>
          <w:color w:val="000000" w:themeColor="text1"/>
          <w:szCs w:val="21"/>
          <w:highlight w:val="none"/>
          <w:u w:val="single"/>
          <w14:textFill>
            <w14:solidFill>
              <w14:schemeClr w14:val="tx1"/>
            </w14:solidFill>
          </w14:textFill>
        </w:rPr>
        <w:t xml:space="preserve"> </w:t>
      </w:r>
      <w:r>
        <w:rPr>
          <w:rFonts w:hint="eastAsia"/>
          <w:i/>
          <w:color w:val="000000" w:themeColor="text1"/>
          <w:szCs w:val="21"/>
          <w:highlight w:val="none"/>
          <w:u w:val="single"/>
          <w14:textFill>
            <w14:solidFill>
              <w14:schemeClr w14:val="tx1"/>
            </w14:solidFill>
          </w14:textFill>
        </w:rPr>
        <w:t>详见技术指标要求.</w:t>
      </w:r>
    </w:p>
    <w:p w14:paraId="34CAE5B1">
      <w:pPr>
        <w:spacing w:line="360" w:lineRule="auto"/>
        <w:rPr>
          <w:color w:val="000000" w:themeColor="text1"/>
          <w:szCs w:val="21"/>
          <w:highlight w:val="none"/>
          <w:u w:val="single"/>
          <w14:textFill>
            <w14:solidFill>
              <w14:schemeClr w14:val="tx1"/>
            </w14:solidFill>
          </w14:textFill>
        </w:rPr>
      </w:pPr>
      <w:bookmarkStart w:id="20" w:name="_Hlk132878373"/>
      <w:r>
        <w:rPr>
          <w:rFonts w:hint="eastAsia"/>
          <w:color w:val="000000" w:themeColor="text1"/>
          <w:szCs w:val="21"/>
          <w:highlight w:val="none"/>
          <w14:textFill>
            <w14:solidFill>
              <w14:schemeClr w14:val="tx1"/>
            </w14:solidFill>
          </w14:textFill>
        </w:rPr>
        <w:t>【备注：查询网址：国标</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"https://openstd.samr.gov.cn/bzgk/gb/index" </w:instrText>
      </w:r>
      <w:r>
        <w:rPr>
          <w:color w:val="000000" w:themeColor="text1"/>
          <w:highlight w:val="none"/>
          <w14:textFill>
            <w14:solidFill>
              <w14:schemeClr w14:val="tx1"/>
            </w14:solidFill>
          </w14:textFill>
        </w:rPr>
        <w:fldChar w:fldCharType="separate"/>
      </w:r>
      <w:r>
        <w:rPr>
          <w:rStyle w:val="57"/>
          <w:color w:val="000000" w:themeColor="text1"/>
          <w:szCs w:val="21"/>
          <w:highlight w:val="none"/>
          <w14:textFill>
            <w14:solidFill>
              <w14:schemeClr w14:val="tx1"/>
            </w14:solidFill>
          </w14:textFill>
        </w:rPr>
        <w:t>https://openstd.samr.gov.cn/bzgk/gb/index</w:t>
      </w:r>
      <w:r>
        <w:rPr>
          <w:rStyle w:val="57"/>
          <w:color w:val="000000" w:themeColor="text1"/>
          <w:szCs w:val="21"/>
          <w:highlight w:val="none"/>
          <w14:textFill>
            <w14:solidFill>
              <w14:schemeClr w14:val="tx1"/>
            </w14:solidFill>
          </w14:textFill>
        </w:rPr>
        <w:fldChar w:fldCharType="end"/>
      </w:r>
      <w:r>
        <w:rPr>
          <w:rFonts w:hint="eastAsia"/>
          <w:color w:val="000000" w:themeColor="text1"/>
          <w:szCs w:val="21"/>
          <w:highlight w:val="none"/>
          <w14:textFill>
            <w14:solidFill>
              <w14:schemeClr w14:val="tx1"/>
            </w14:solidFill>
          </w14:textFill>
        </w:rPr>
        <w:t>，行标</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"https://hbba.sacinfo.org.cn/" </w:instrText>
      </w:r>
      <w:r>
        <w:rPr>
          <w:color w:val="000000" w:themeColor="text1"/>
          <w:highlight w:val="none"/>
          <w14:textFill>
            <w14:solidFill>
              <w14:schemeClr w14:val="tx1"/>
            </w14:solidFill>
          </w14:textFill>
        </w:rPr>
        <w:fldChar w:fldCharType="separate"/>
      </w:r>
      <w:r>
        <w:rPr>
          <w:rStyle w:val="57"/>
          <w:color w:val="000000" w:themeColor="text1"/>
          <w:szCs w:val="21"/>
          <w:highlight w:val="none"/>
          <w14:textFill>
            <w14:solidFill>
              <w14:schemeClr w14:val="tx1"/>
            </w14:solidFill>
          </w14:textFill>
        </w:rPr>
        <w:t>https://hbba.sacinfo.org.cn/</w:t>
      </w:r>
      <w:r>
        <w:rPr>
          <w:rStyle w:val="57"/>
          <w:color w:val="000000" w:themeColor="text1"/>
          <w:szCs w:val="21"/>
          <w:highlight w:val="none"/>
          <w14:textFill>
            <w14:solidFill>
              <w14:schemeClr w14:val="tx1"/>
            </w14:solidFill>
          </w14:textFill>
        </w:rPr>
        <w:fldChar w:fldCharType="end"/>
      </w:r>
      <w:r>
        <w:rPr>
          <w:rStyle w:val="57"/>
          <w:rFonts w:hint="eastAsia"/>
          <w:color w:val="000000" w:themeColor="text1"/>
          <w:szCs w:val="21"/>
          <w:highlight w:val="none"/>
          <w14:textFill>
            <w14:solidFill>
              <w14:schemeClr w14:val="tx1"/>
            </w14:solidFill>
          </w14:textFill>
        </w:rPr>
        <w:t>】</w:t>
      </w:r>
    </w:p>
    <w:bookmarkEnd w:id="20"/>
    <w:p w14:paraId="72AD91A9">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3.标的所属行业：</w:t>
      </w:r>
      <w:r>
        <w:rPr>
          <w:rFonts w:hint="eastAsia" w:ascii="宋体" w:hAnsi="宋体" w:cs="宋体"/>
          <w:b/>
          <w:bCs/>
          <w:color w:val="000000" w:themeColor="text1"/>
          <w:szCs w:val="21"/>
          <w:highlight w:val="none"/>
          <w14:textFill>
            <w14:solidFill>
              <w14:schemeClr w14:val="tx1"/>
            </w14:solidFill>
          </w14:textFill>
        </w:rPr>
        <w:t>软件和信息技术服务业</w:t>
      </w:r>
    </w:p>
    <w:p w14:paraId="701FF08A">
      <w:pPr>
        <w:spacing w:line="360" w:lineRule="auto"/>
        <w:rPr>
          <w:color w:val="000000" w:themeColor="text1"/>
          <w:szCs w:val="21"/>
          <w:highlight w:val="none"/>
          <w14:textFill>
            <w14:solidFill>
              <w14:schemeClr w14:val="tx1"/>
            </w14:solidFill>
          </w14:textFill>
        </w:rPr>
      </w:pPr>
      <w:bookmarkStart w:id="21" w:name="_Hlk132878382"/>
      <w:r>
        <w:rPr>
          <w:rFonts w:hint="eastAsia"/>
          <w:color w:val="000000" w:themeColor="text1"/>
          <w:szCs w:val="21"/>
          <w:highlight w:val="none"/>
          <w14:textFill>
            <w14:solidFill>
              <w14:schemeClr w14:val="tx1"/>
            </w14:solidFill>
          </w14:textFill>
        </w:rPr>
        <w:t>【备注：所属行业根据《关于印发中小企业划型标准规定的通知》（工信部联企业〔2011〕300号）</w:t>
      </w:r>
    </w:p>
    <w:p w14:paraId="0E2076BE">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以及《金融业企业划型标准规定》（银发〔2015〕309号）认定】</w:t>
      </w:r>
    </w:p>
    <w:bookmarkEnd w:id="21"/>
    <w:p w14:paraId="110DBA6D">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5.核心产品</w:t>
      </w:r>
    </w:p>
    <w:p w14:paraId="52850C8C">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本项目为服务项目，不适用核心产品规定。</w:t>
      </w:r>
    </w:p>
    <w:p w14:paraId="0EF3F57D">
      <w:pPr>
        <w:numPr>
          <w:ilvl w:val="0"/>
          <w:numId w:val="1"/>
        </w:num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服务内容和标准</w:t>
      </w:r>
      <w:bookmarkStart w:id="22" w:name="_Hlk132878399"/>
    </w:p>
    <w:tbl>
      <w:tblPr>
        <w:tblStyle w:val="51"/>
        <w:tblW w:w="5258" w:type="pct"/>
        <w:tblInd w:w="-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805"/>
        <w:gridCol w:w="555"/>
        <w:gridCol w:w="6570"/>
        <w:gridCol w:w="725"/>
        <w:gridCol w:w="763"/>
      </w:tblGrid>
      <w:tr w14:paraId="5CBB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trPr>
        <w:tc>
          <w:tcPr>
            <w:tcW w:w="4999" w:type="pct"/>
            <w:gridSpan w:val="6"/>
            <w:tcMar>
              <w:top w:w="13" w:type="dxa"/>
              <w:left w:w="57" w:type="dxa"/>
              <w:bottom w:w="0" w:type="dxa"/>
              <w:right w:w="57" w:type="dxa"/>
            </w:tcMar>
            <w:vAlign w:val="center"/>
          </w:tcPr>
          <w:p w14:paraId="088FDA3D">
            <w:pPr>
              <w:kinsoku w:val="0"/>
              <w:wordWrap w:val="0"/>
              <w:autoSpaceDE w:val="0"/>
              <w:autoSpaceDN w:val="0"/>
              <w:adjustRightInd w:val="0"/>
              <w:snapToGrid w:val="0"/>
              <w:jc w:val="left"/>
              <w:rPr>
                <w:rFonts w:hint="eastAsia" w:ascii="宋体" w:hAnsi="宋体" w:cs="宋体"/>
                <w:b/>
                <w:bCs/>
                <w:snapToGrid w:val="0"/>
                <w:color w:val="000000" w:themeColor="text1"/>
                <w:sz w:val="24"/>
                <w:highlight w:val="none"/>
                <w:lang w:val="zh-CN" w:bidi="zh-CN"/>
                <w14:textFill>
                  <w14:solidFill>
                    <w14:schemeClr w14:val="tx1"/>
                  </w14:solidFill>
                </w14:textFill>
              </w:rPr>
            </w:pPr>
            <w:r>
              <w:rPr>
                <w:rFonts w:hint="eastAsia" w:ascii="宋体" w:hAnsi="宋体" w:cs="宋体"/>
                <w:b/>
                <w:bCs/>
                <w:snapToGrid w:val="0"/>
                <w:color w:val="000000" w:themeColor="text1"/>
                <w:sz w:val="24"/>
                <w:highlight w:val="none"/>
                <w:lang w:val="zh-CN" w:bidi="zh-CN"/>
                <w14:textFill>
                  <w14:solidFill>
                    <w14:schemeClr w14:val="tx1"/>
                  </w14:solidFill>
                </w14:textFill>
              </w:rPr>
              <w:t>一、技术要求</w:t>
            </w:r>
          </w:p>
        </w:tc>
      </w:tr>
      <w:tr w14:paraId="1131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7FBCF7E6">
            <w:pPr>
              <w:kinsoku w:val="0"/>
              <w:wordWrap w:val="0"/>
              <w:autoSpaceDE w:val="0"/>
              <w:autoSpaceDN w:val="0"/>
              <w:adjustRightInd w:val="0"/>
              <w:snapToGrid w:val="0"/>
              <w:jc w:val="center"/>
              <w:rPr>
                <w:rFonts w:hint="eastAsia" w:ascii="宋体" w:hAnsi="宋体" w:cs="宋体"/>
                <w:b/>
                <w:bCs/>
                <w:snapToGrid w:val="0"/>
                <w:color w:val="000000" w:themeColor="text1"/>
                <w:szCs w:val="21"/>
                <w:highlight w:val="none"/>
                <w:lang w:val="zh-CN" w:bidi="zh-CN"/>
                <w14:textFill>
                  <w14:solidFill>
                    <w14:schemeClr w14:val="tx1"/>
                  </w14:solidFill>
                </w14:textFill>
              </w:rPr>
            </w:pPr>
            <w:r>
              <w:rPr>
                <w:rFonts w:hint="eastAsia" w:ascii="宋体" w:hAnsi="宋体" w:cs="宋体"/>
                <w:b/>
                <w:bCs/>
                <w:snapToGrid w:val="0"/>
                <w:color w:val="000000" w:themeColor="text1"/>
                <w:szCs w:val="21"/>
                <w:highlight w:val="none"/>
                <w:lang w:val="zh-CN" w:bidi="zh-CN"/>
                <w14:textFill>
                  <w14:solidFill>
                    <w14:schemeClr w14:val="tx1"/>
                  </w14:solidFill>
                </w14:textFill>
              </w:rPr>
              <w:t>序号</w:t>
            </w:r>
          </w:p>
        </w:tc>
        <w:tc>
          <w:tcPr>
            <w:tcW w:w="683" w:type="pct"/>
            <w:gridSpan w:val="2"/>
            <w:tcMar>
              <w:top w:w="13" w:type="dxa"/>
              <w:left w:w="57" w:type="dxa"/>
              <w:bottom w:w="0" w:type="dxa"/>
              <w:right w:w="57" w:type="dxa"/>
            </w:tcMar>
            <w:vAlign w:val="center"/>
          </w:tcPr>
          <w:p w14:paraId="3D63B1CA">
            <w:pPr>
              <w:kinsoku w:val="0"/>
              <w:wordWrap w:val="0"/>
              <w:autoSpaceDE w:val="0"/>
              <w:autoSpaceDN w:val="0"/>
              <w:adjustRightInd w:val="0"/>
              <w:snapToGrid w:val="0"/>
              <w:jc w:val="center"/>
              <w:rPr>
                <w:rFonts w:hint="eastAsia" w:ascii="宋体" w:hAnsi="宋体" w:cs="宋体"/>
                <w:b/>
                <w:bCs/>
                <w:snapToGrid w:val="0"/>
                <w:color w:val="000000" w:themeColor="text1"/>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采购内容</w:t>
            </w:r>
          </w:p>
        </w:tc>
        <w:tc>
          <w:tcPr>
            <w:tcW w:w="3298" w:type="pct"/>
            <w:tcMar>
              <w:top w:w="13" w:type="dxa"/>
              <w:left w:w="57" w:type="dxa"/>
              <w:bottom w:w="0" w:type="dxa"/>
              <w:right w:w="57" w:type="dxa"/>
            </w:tcMar>
            <w:vAlign w:val="center"/>
          </w:tcPr>
          <w:p w14:paraId="3CA5A7BC">
            <w:pPr>
              <w:kinsoku w:val="0"/>
              <w:wordWrap w:val="0"/>
              <w:autoSpaceDE w:val="0"/>
              <w:autoSpaceDN w:val="0"/>
              <w:adjustRightInd w:val="0"/>
              <w:snapToGrid w:val="0"/>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szCs w:val="21"/>
                <w:highlight w:val="none"/>
                <w:lang w:val="zh-CN" w:bidi="zh-CN"/>
                <w14:textFill>
                  <w14:solidFill>
                    <w14:schemeClr w14:val="tx1"/>
                  </w14:solidFill>
                </w14:textFill>
              </w:rPr>
              <w:t>技术要求（指技术参数、性能配置等）</w:t>
            </w:r>
          </w:p>
        </w:tc>
        <w:tc>
          <w:tcPr>
            <w:tcW w:w="364" w:type="pct"/>
            <w:vAlign w:val="center"/>
          </w:tcPr>
          <w:p w14:paraId="561E31C1">
            <w:pPr>
              <w:kinsoku w:val="0"/>
              <w:wordWrap w:val="0"/>
              <w:autoSpaceDE w:val="0"/>
              <w:autoSpaceDN w:val="0"/>
              <w:adjustRightInd w:val="0"/>
              <w:snapToGrid w:val="0"/>
              <w:jc w:val="center"/>
              <w:rPr>
                <w:rFonts w:hint="eastAsia" w:ascii="宋体" w:hAnsi="宋体" w:cs="宋体"/>
                <w:b/>
                <w:bCs/>
                <w:snapToGrid w:val="0"/>
                <w:color w:val="000000" w:themeColor="text1"/>
                <w:szCs w:val="21"/>
                <w:highlight w:val="none"/>
                <w:lang w:val="zh-CN" w:bidi="zh-CN"/>
                <w14:textFill>
                  <w14:solidFill>
                    <w14:schemeClr w14:val="tx1"/>
                  </w14:solidFill>
                </w14:textFill>
              </w:rPr>
            </w:pPr>
            <w:r>
              <w:rPr>
                <w:rFonts w:hint="eastAsia" w:ascii="宋体" w:hAnsi="宋体" w:cs="宋体"/>
                <w:b/>
                <w:bCs/>
                <w:snapToGrid w:val="0"/>
                <w:color w:val="000000" w:themeColor="text1"/>
                <w:szCs w:val="21"/>
                <w:highlight w:val="none"/>
                <w:lang w:val="zh-CN" w:bidi="zh-CN"/>
                <w14:textFill>
                  <w14:solidFill>
                    <w14:schemeClr w14:val="tx1"/>
                  </w14:solidFill>
                </w14:textFill>
              </w:rPr>
              <w:t>计量</w:t>
            </w:r>
          </w:p>
          <w:p w14:paraId="50A2D5EA">
            <w:pPr>
              <w:kinsoku w:val="0"/>
              <w:wordWrap w:val="0"/>
              <w:autoSpaceDE w:val="0"/>
              <w:autoSpaceDN w:val="0"/>
              <w:adjustRightInd w:val="0"/>
              <w:snapToGrid w:val="0"/>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szCs w:val="21"/>
                <w:highlight w:val="none"/>
                <w:lang w:val="zh-CN" w:bidi="zh-CN"/>
                <w14:textFill>
                  <w14:solidFill>
                    <w14:schemeClr w14:val="tx1"/>
                  </w14:solidFill>
                </w14:textFill>
              </w:rPr>
              <w:t>单位</w:t>
            </w:r>
          </w:p>
        </w:tc>
        <w:tc>
          <w:tcPr>
            <w:tcW w:w="381" w:type="pct"/>
            <w:vAlign w:val="center"/>
          </w:tcPr>
          <w:p w14:paraId="63780EFB">
            <w:pPr>
              <w:kinsoku w:val="0"/>
              <w:wordWrap w:val="0"/>
              <w:autoSpaceDE w:val="0"/>
              <w:autoSpaceDN w:val="0"/>
              <w:adjustRightInd w:val="0"/>
              <w:snapToGrid w:val="0"/>
              <w:jc w:val="center"/>
              <w:rPr>
                <w:rFonts w:hint="eastAsia" w:ascii="宋体" w:hAnsi="宋体" w:cs="宋体"/>
                <w:b/>
                <w:bCs/>
                <w:snapToGrid w:val="0"/>
                <w:color w:val="000000" w:themeColor="text1"/>
                <w:szCs w:val="21"/>
                <w:highlight w:val="none"/>
                <w:lang w:bidi="zh-CN"/>
                <w14:textFill>
                  <w14:solidFill>
                    <w14:schemeClr w14:val="tx1"/>
                  </w14:solidFill>
                </w14:textFill>
              </w:rPr>
            </w:pPr>
            <w:r>
              <w:rPr>
                <w:rFonts w:hint="eastAsia" w:ascii="宋体" w:hAnsi="宋体" w:cs="宋体"/>
                <w:b/>
                <w:bCs/>
                <w:snapToGrid w:val="0"/>
                <w:color w:val="000000" w:themeColor="text1"/>
                <w:szCs w:val="21"/>
                <w:highlight w:val="none"/>
                <w:lang w:val="zh-CN" w:bidi="zh-CN"/>
                <w14:textFill>
                  <w14:solidFill>
                    <w14:schemeClr w14:val="tx1"/>
                  </w14:solidFill>
                </w14:textFill>
              </w:rPr>
              <w:t>数量</w:t>
            </w:r>
          </w:p>
        </w:tc>
      </w:tr>
      <w:tr w14:paraId="6D46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72B82FAA">
            <w:pPr>
              <w:widowControl/>
              <w:kinsoku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1</w:t>
            </w:r>
          </w:p>
        </w:tc>
        <w:tc>
          <w:tcPr>
            <w:tcW w:w="683" w:type="pct"/>
            <w:gridSpan w:val="2"/>
            <w:tcMar>
              <w:top w:w="13" w:type="dxa"/>
              <w:left w:w="57" w:type="dxa"/>
              <w:bottom w:w="0" w:type="dxa"/>
              <w:right w:w="57" w:type="dxa"/>
            </w:tcMar>
            <w:vAlign w:val="center"/>
          </w:tcPr>
          <w:p w14:paraId="2DCEC9F1">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第一临床医学院2026年</w:t>
            </w:r>
            <w:r>
              <w:rPr>
                <w:rFonts w:hint="eastAsia" w:ascii="宋体" w:hAnsi="宋体" w:cs="宋体"/>
                <w:b/>
                <w:bCs/>
                <w:snapToGrid w:val="0"/>
                <w:color w:val="000000" w:themeColor="text1"/>
                <w:szCs w:val="21"/>
                <w:highlight w:val="none"/>
                <w:lang w:val="zh-CN"/>
                <w14:textFill>
                  <w14:solidFill>
                    <w14:schemeClr w14:val="tx1"/>
                  </w14:solidFill>
                </w14:textFill>
              </w:rPr>
              <w:t>智慧课程建设</w:t>
            </w:r>
            <w:r>
              <w:rPr>
                <w:rFonts w:hint="eastAsia" w:ascii="宋体" w:hAnsi="宋体" w:cs="宋体"/>
                <w:b/>
                <w:bCs/>
                <w:snapToGrid w:val="0"/>
                <w:color w:val="000000" w:themeColor="text1"/>
                <w:szCs w:val="21"/>
                <w:highlight w:val="none"/>
                <w14:textFill>
                  <w14:solidFill>
                    <w14:schemeClr w14:val="tx1"/>
                  </w14:solidFill>
                </w14:textFill>
              </w:rPr>
              <w:t>服务项目</w:t>
            </w:r>
          </w:p>
        </w:tc>
        <w:tc>
          <w:tcPr>
            <w:tcW w:w="3298" w:type="pct"/>
            <w:tcMar>
              <w:top w:w="13" w:type="dxa"/>
              <w:left w:w="57" w:type="dxa"/>
              <w:bottom w:w="0" w:type="dxa"/>
              <w:right w:w="57" w:type="dxa"/>
            </w:tcMar>
            <w:vAlign w:val="center"/>
          </w:tcPr>
          <w:p w14:paraId="4F9A8C18">
            <w:pPr>
              <w:numPr>
                <w:ilvl w:val="0"/>
                <w:numId w:val="2"/>
              </w:num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建设总体要求</w:t>
            </w:r>
            <w:r>
              <w:rPr>
                <w:rFonts w:hint="eastAsia" w:ascii="仿宋" w:hAnsi="仿宋" w:eastAsia="仿宋" w:cs="仿宋"/>
                <w:snapToGrid w:val="0"/>
                <w:color w:val="000000" w:themeColor="text1"/>
                <w:szCs w:val="21"/>
                <w:highlight w:val="none"/>
                <w:lang w:val="zh-CN"/>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完成《内科学》《外科学》《妇产科学》《病理学》《临床技能进阶》《医学影像诊断学》《核医学》《儿科学》《皮肤性病学》9门临床医学核心课程智慧化建设。对标人才培养方案与课程教学大纲，系统梳理各课程临床理论、诊疗技术、病例分析、实操规范等核心知识点，搭建完整、系统的课程知识体系。结合临床课程跨学科融合、理实一体、诊疗思维递进的教学特点，梳理知识点内在逻辑关系，全面完成9门课程知识图谱、问题图谱、能力（目标）图谱及课程思政图谱的搭建、优化与上线运行工作。课程制作团队联合课程主要负责人，依据课程教学大纲及混合式教学要求，统筹完成课程整体教学设计。结合各学科诊疗特点和培养目标，凝练课程特色、突出育人内涵，打造适配临床医学人才培养的智慧化精品课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2.完成</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内科学</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cs="宋体"/>
                <w:snapToGrid w:val="0"/>
                <w:color w:val="000000" w:themeColor="text1"/>
                <w:szCs w:val="21"/>
                <w:highlight w:val="none"/>
                <w:lang w:val="zh-CN"/>
                <w14:textFill>
                  <w14:solidFill>
                    <w14:schemeClr w14:val="tx1"/>
                  </w14:solidFill>
                </w14:textFill>
              </w:rPr>
              <w:t>《外科学》《妇产科学》《病理学》《临床技能进阶》《医学影像诊断学》《核医学》《</w:t>
            </w:r>
            <w:r>
              <w:rPr>
                <w:rFonts w:hint="eastAsia" w:cs="宋体"/>
                <w:snapToGrid w:val="0"/>
                <w:color w:val="000000" w:themeColor="text1"/>
                <w:szCs w:val="21"/>
                <w:highlight w:val="none"/>
                <w14:textFill>
                  <w14:solidFill>
                    <w14:schemeClr w14:val="tx1"/>
                  </w14:solidFill>
                </w14:textFill>
              </w:rPr>
              <w:t>儿科学</w:t>
            </w:r>
            <w:r>
              <w:rPr>
                <w:rFonts w:hint="eastAsia" w:cs="宋体"/>
                <w:snapToGrid w:val="0"/>
                <w:color w:val="000000" w:themeColor="text1"/>
                <w:szCs w:val="21"/>
                <w:highlight w:val="none"/>
                <w:lang w:val="zh-CN"/>
                <w14:textFill>
                  <w14:solidFill>
                    <w14:schemeClr w14:val="tx1"/>
                  </w14:solidFill>
                </w14:textFill>
              </w:rPr>
              <w:t>》《皮肤性病学》</w:t>
            </w:r>
            <w:r>
              <w:rPr>
                <w:rFonts w:hint="eastAsia" w:ascii="宋体" w:hAnsi="宋体" w:cs="宋体"/>
                <w:snapToGrid w:val="0"/>
                <w:color w:val="000000" w:themeColor="text1"/>
                <w:kern w:val="0"/>
                <w:szCs w:val="21"/>
                <w:highlight w:val="none"/>
                <w:lang w:bidi="ar"/>
                <w14:textFill>
                  <w14:solidFill>
                    <w14:schemeClr w14:val="tx1"/>
                  </w14:solidFill>
                </w14:textFill>
              </w:rPr>
              <w:t>总计9门课程的教学任务搭建工具建设，通过教学任务搭建工具创建课程项目或任务，支持老师开展以PBL、项目式教学、任务驱动教学、案例式教学、CDIO等多种行动导向教学模式。围绕各课程教学重难点与临床岗位场景，为每门课程建设3个标准化、可复用、可推广的临床教学任务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3.结合第一临床医学院课程专业性强、需跨学科整合的特点，</w:t>
            </w:r>
            <w:r>
              <w:rPr>
                <w:rFonts w:hint="eastAsia" w:ascii="宋体" w:hAnsi="宋体" w:cs="宋体"/>
                <w:snapToGrid w:val="0"/>
                <w:color w:val="000000" w:themeColor="text1"/>
                <w:szCs w:val="21"/>
                <w:highlight w:val="none"/>
                <w:lang w:val="zh-CN"/>
                <w14:textFill>
                  <w14:solidFill>
                    <w14:schemeClr w14:val="tx1"/>
                  </w14:solidFill>
                </w14:textFill>
              </w:rPr>
              <w:t>对接DeepSeek、</w:t>
            </w:r>
            <w:r>
              <w:rPr>
                <w:rFonts w:hint="eastAsia" w:ascii="宋体" w:hAnsi="宋体" w:cs="宋体"/>
                <w:snapToGrid w:val="0"/>
                <w:color w:val="000000" w:themeColor="text1"/>
                <w:szCs w:val="21"/>
                <w:highlight w:val="none"/>
                <w14:textFill>
                  <w14:solidFill>
                    <w14:schemeClr w14:val="tx1"/>
                  </w14:solidFill>
                </w14:textFill>
              </w:rPr>
              <w:t>豆包等</w:t>
            </w:r>
            <w:r>
              <w:rPr>
                <w:rFonts w:hint="eastAsia" w:ascii="宋体" w:hAnsi="宋体" w:cs="宋体"/>
                <w:snapToGrid w:val="0"/>
                <w:color w:val="000000" w:themeColor="text1"/>
                <w:szCs w:val="21"/>
                <w:highlight w:val="none"/>
                <w:lang w:val="zh-CN"/>
                <w14:textFill>
                  <w14:solidFill>
                    <w14:schemeClr w14:val="tx1"/>
                  </w14:solidFill>
                </w14:textFill>
              </w:rPr>
              <w:t>通用大模型和医学教育垂直专属大模型</w:t>
            </w:r>
            <w:r>
              <w:rPr>
                <w:rFonts w:hint="eastAsia" w:ascii="宋体" w:hAnsi="宋体" w:cs="宋体"/>
                <w:snapToGrid w:val="0"/>
                <w:color w:val="000000" w:themeColor="text1"/>
                <w:kern w:val="0"/>
                <w:szCs w:val="21"/>
                <w:highlight w:val="none"/>
                <w:lang w:bidi="ar"/>
                <w14:textFill>
                  <w14:solidFill>
                    <w14:schemeClr w14:val="tx1"/>
                  </w14:solidFill>
                </w14:textFill>
              </w:rPr>
              <w:t>，进行专业课程知识库训练，为临床医学专业搭建智慧环境，针对临床医学专业，进行精细化专业课程知识库训练，打造专属AI助教，助力师生开展智慧化教学活动。创建丰富且精准的问答库、知识库，开展增强式私有模型训练，配置功能多样的 AI 助教，开通便捷的 AI 工作台, 每门课程落地3个AI实践任务（其中需涵盖病例讨论思辨擂台），丰富临床智慧教学场景。</w:t>
            </w:r>
          </w:p>
          <w:p w14:paraId="4CBD7D28">
            <w:pPr>
              <w:numPr>
                <w:ilvl w:val="255"/>
                <w:numId w:val="0"/>
              </w:num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内科学、外科学两门课程横纵交叉共建的双维度课程任务架构，可基于人体系统维度拆分内科学、外科学课程的任务体系，支持两门课程跨学科任务融合、资源互通、考核联动，适配内外科学一体化临床教学数字化建设要求。</w:t>
            </w:r>
          </w:p>
          <w:p w14:paraId="64A61312">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23" w:name="_Toc22000"/>
            <w:r>
              <w:rPr>
                <w:rFonts w:hint="eastAsia" w:ascii="宋体" w:hAnsi="宋体" w:cs="宋体"/>
                <w:b/>
                <w:bCs/>
                <w:snapToGrid w:val="0"/>
                <w:color w:val="000000" w:themeColor="text1"/>
                <w:szCs w:val="21"/>
                <w:highlight w:val="none"/>
                <w14:textFill>
                  <w14:solidFill>
                    <w14:schemeClr w14:val="tx1"/>
                  </w14:solidFill>
                </w14:textFill>
              </w:rPr>
              <w:t>二、智慧</w:t>
            </w:r>
            <w:r>
              <w:rPr>
                <w:rFonts w:hint="eastAsia" w:ascii="宋体" w:hAnsi="宋体" w:cs="宋体"/>
                <w:b/>
                <w:bCs/>
                <w:snapToGrid w:val="0"/>
                <w:color w:val="000000" w:themeColor="text1"/>
                <w:szCs w:val="21"/>
                <w:highlight w:val="none"/>
                <w:lang w:val="zh-CN"/>
                <w14:textFill>
                  <w14:solidFill>
                    <w14:schemeClr w14:val="tx1"/>
                  </w14:solidFill>
                </w14:textFill>
              </w:rPr>
              <w:t>课程</w:t>
            </w:r>
            <w:r>
              <w:rPr>
                <w:rFonts w:hint="eastAsia" w:ascii="宋体" w:hAnsi="宋体" w:cs="宋体"/>
                <w:b/>
                <w:bCs/>
                <w:snapToGrid w:val="0"/>
                <w:color w:val="000000" w:themeColor="text1"/>
                <w:szCs w:val="21"/>
                <w:highlight w:val="none"/>
                <w14:textFill>
                  <w14:solidFill>
                    <w14:schemeClr w14:val="tx1"/>
                  </w14:solidFill>
                </w14:textFill>
              </w:rPr>
              <w:t>专属</w:t>
            </w:r>
            <w:r>
              <w:rPr>
                <w:rFonts w:hint="eastAsia" w:ascii="宋体" w:hAnsi="宋体" w:cs="宋体"/>
                <w:b/>
                <w:bCs/>
                <w:snapToGrid w:val="0"/>
                <w:color w:val="000000" w:themeColor="text1"/>
                <w:szCs w:val="21"/>
                <w:highlight w:val="none"/>
                <w:lang w:val="zh-CN"/>
                <w14:textFill>
                  <w14:solidFill>
                    <w14:schemeClr w14:val="tx1"/>
                  </w14:solidFill>
                </w14:textFill>
              </w:rPr>
              <w:t>AI环境搭建</w:t>
            </w:r>
            <w:bookmarkEnd w:id="23"/>
          </w:p>
          <w:p w14:paraId="13CFED0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1.通用大语言模型对接</w:t>
            </w:r>
          </w:p>
          <w:p w14:paraId="4F31E15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根据学校配置，完成指定通用大语言模型或多个通用大模型对接。</w:t>
            </w:r>
          </w:p>
          <w:p w14:paraId="6B7FD7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（1）需支持针对</w:t>
            </w:r>
            <w:r>
              <w:rPr>
                <w:rFonts w:hint="eastAsia" w:ascii="宋体" w:hAnsi="宋体" w:cs="宋体"/>
                <w:snapToGrid w:val="0"/>
                <w:color w:val="000000" w:themeColor="text1"/>
                <w:szCs w:val="21"/>
                <w:highlight w:val="none"/>
                <w:lang w:val="zh-CN"/>
                <w14:textFill>
                  <w14:solidFill>
                    <w14:schemeClr w14:val="tx1"/>
                  </w14:solidFill>
                </w14:textFill>
              </w:rPr>
              <w:t>医学教育垂直专属大模型，依托权威医学数智教育实验室技术架构，深度融合医学教学、临床案例与专业知识体系。要求具备高精度医学语义理解、专业知识推理与多场景教学适配能力，可支撑智能备课教案生成、临床案例解析、师生智能问答及个性化分层导学，全面满足院校医学教育数字化、AI赋能教学应用需求。</w:t>
            </w:r>
          </w:p>
          <w:p w14:paraId="6FB24E3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拥有医学垂直领域专属大模型，已完成与教学平台、课程AI智能体的深度适配整合，可呈现医学垂类大模型与教学平台、课程AI智能体的联动交互过程，直观展示医学专业领域知识传递、智能问答等实操功能，支持验证各项功能落地效果。</w:t>
            </w:r>
          </w:p>
          <w:p w14:paraId="4554360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2.课程专属AI知识库训练</w:t>
            </w:r>
          </w:p>
          <w:p w14:paraId="6114C0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2.1在线课程自我训练</w:t>
            </w:r>
          </w:p>
          <w:p w14:paraId="6B6FC62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）支持一键同步在线课程，对已有资源进行智能化训练。</w:t>
            </w:r>
          </w:p>
          <w:p w14:paraId="49D09B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）支持增量同步在线课程，保持与课程内容的一致。</w:t>
            </w:r>
          </w:p>
          <w:p w14:paraId="2FBD6C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2.2资源上传与训练</w:t>
            </w:r>
          </w:p>
          <w:p w14:paraId="783CE8D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）课程单元内容建设，可编辑视频、文档、图片、音频、图书、公式、符号、附件、网页、动画等。</w:t>
            </w:r>
          </w:p>
          <w:p w14:paraId="5C98DAC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）支持导入并编辑内容。</w:t>
            </w:r>
          </w:p>
          <w:p w14:paraId="7859CFB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）视频上传与播放支持rmvb、3gp、mpg、mpeg、mov、wmv、avi、mkv、mp4、flv、vob、f4v等高清和网络格式。</w:t>
            </w:r>
          </w:p>
          <w:p w14:paraId="53616EC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）支持2G以上文件上传。支持查看资源上传与训练状态，支持查看训练资源来源。支持按时间范围查看资源上传情况。</w:t>
            </w:r>
          </w:p>
          <w:p w14:paraId="67D6C02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2.3学术文献一键对接训练</w:t>
            </w:r>
          </w:p>
          <w:p w14:paraId="5FF95E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）支持对接文献库，一次性导入不超过30本课程相关书籍，进行训练。</w:t>
            </w:r>
          </w:p>
          <w:p w14:paraId="65F071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）支持反复导入。</w:t>
            </w:r>
          </w:p>
          <w:p w14:paraId="21A8C1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2.4AI知识库管理功能</w:t>
            </w:r>
          </w:p>
          <w:p w14:paraId="07C10134">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1</w:t>
            </w:r>
            <w:r>
              <w:rPr>
                <w:rFonts w:hint="eastAsia" w:ascii="宋体" w:hAnsi="宋体" w:cs="宋体"/>
                <w:b/>
                <w:bCs/>
                <w:snapToGrid w:val="0"/>
                <w:color w:val="000000" w:themeColor="text1"/>
                <w:szCs w:val="21"/>
                <w:highlight w:val="none"/>
                <w:lang w:val="zh-CN"/>
                <w14:textFill>
                  <w14:solidFill>
                    <w14:schemeClr w14:val="tx1"/>
                  </w14:solidFill>
                </w14:textFill>
              </w:rPr>
              <w:t>）支持“单位AI知识库”与“公共AI知识库”双维度管理，可按创建人、创建时间、知识库名称等条件进行精准检索与筛选。</w:t>
            </w:r>
          </w:p>
          <w:p w14:paraId="7E8CA9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支持新增知识库、知识库管理及召回参数设置等核心操作，可实时统计并展示总文件数、总字符数等关键数据，支持列表与卡片两种视图切换，同时具备分页查询功能，实现对知识库资源的全生命周期管理与高效调用。</w:t>
            </w:r>
          </w:p>
          <w:p w14:paraId="51BB079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）支持在公共AI知识库订阅相关学科、专业、领域的知识库，为保证资源适配，公共知识库建设数量不低于1900个，</w:t>
            </w:r>
            <w:r>
              <w:rPr>
                <w:rFonts w:hint="eastAsia" w:ascii="宋体" w:hAnsi="宋体" w:cs="宋体"/>
                <w:snapToGrid w:val="0"/>
                <w:color w:val="000000" w:themeColor="text1"/>
                <w:szCs w:val="21"/>
                <w:highlight w:val="none"/>
                <w14:textFill>
                  <w14:solidFill>
                    <w14:schemeClr w14:val="tx1"/>
                  </w14:solidFill>
                </w14:textFill>
              </w:rPr>
              <w:t>并持续更新。</w:t>
            </w:r>
          </w:p>
          <w:p w14:paraId="3D27859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3.AI问答库建设</w:t>
            </w:r>
          </w:p>
          <w:p w14:paraId="19284E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建设课程问答库，涵盖常见问题、重点难点问题与拓展性问题，为教师与学生提供即时问题解决支持。同时，问答库应支持智能检索与语义理解，提升答疑效率与精准度。</w:t>
            </w:r>
          </w:p>
          <w:p w14:paraId="11A2F2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3.1需求调研与主题确定</w:t>
            </w:r>
          </w:p>
          <w:p w14:paraId="4733D9F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）合作沟通：供应商与课程教学团队进行深入沟通，了解各学科的教学需求、痛点及期望。</w:t>
            </w:r>
          </w:p>
          <w:p w14:paraId="5CD5DE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）主题界定：根据课程设计和师生需求，明确问答库的主题范围。</w:t>
            </w:r>
          </w:p>
          <w:p w14:paraId="346C1ED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）目标设定：确立问答库的使用目标，如辅助教学、自学辅导、考试复习等。</w:t>
            </w:r>
          </w:p>
          <w:p w14:paraId="7A087A9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3.2问答库数据结构设计</w:t>
            </w:r>
          </w:p>
          <w:p w14:paraId="48A93A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）数据结构规划：设计高效的数据存储与检索结构，确保问答对的快速响应与准确匹配。</w:t>
            </w:r>
          </w:p>
          <w:p w14:paraId="4193B99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）技术选型：选择适合的人工智能技术框架，如自然语言处理（NLP）引擎，以支持问答对的智能匹配与语义理解。</w:t>
            </w:r>
          </w:p>
          <w:p w14:paraId="162B86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3.3问答对收集与验证</w:t>
            </w:r>
          </w:p>
          <w:p w14:paraId="1BE94B9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）内容收集：通过多渠道收集问答素材，包括课程现有资源、电子书、论文、网络资源等。</w:t>
            </w:r>
          </w:p>
          <w:p w14:paraId="01A3B04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）质量审核：由课程负责人对问答对进行逐条审核，确保内容的准确性、适用性和教育性。</w:t>
            </w:r>
          </w:p>
          <w:p w14:paraId="166AB11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）标准化处理：对问答对进行标准化处理，统一格式与表述风格，提高问答库的整体质量。</w:t>
            </w:r>
          </w:p>
          <w:p w14:paraId="34F2CB6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3.4实施与测试优化</w:t>
            </w:r>
          </w:p>
          <w:p w14:paraId="54B62D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）功能测试：进行全面的功能测试，包括问答匹配准确性、响应速度、用户界面友好性等。</w:t>
            </w:r>
          </w:p>
          <w:p w14:paraId="703EFDF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）优化调整：根据测试结果及用户反馈，对系统进行必要的优化调整，提升系统性能与用户体验。</w:t>
            </w:r>
          </w:p>
          <w:p w14:paraId="57B0C57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3.5技术支持与更新维护</w:t>
            </w:r>
          </w:p>
          <w:p w14:paraId="73E88C2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）问答时支持智能推荐问题关联的相关微应用，点击应用可直接跳转到应用界面，实现应用跳转和业务处理；</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6AA61B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）支持用户手动上传文档至问答库，上传后系统可对上传的文档进行解析，解析后可智能回答文档相关问题；</w:t>
            </w:r>
          </w:p>
          <w:p w14:paraId="3CBE8E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同步校本网络教学平台已建设的网络课程资料进行智能解析，解析后可围绕课程内容进行人机问答；支持根据用户输入问题进行匹配提示；支持问答无匹配时，提供语义相似度最高的热门问题；支持未知问题回复语自定义设置。</w:t>
            </w:r>
          </w:p>
          <w:p w14:paraId="1441200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）支持根据学科发展及用户需求，定期更新问答库内容，保持问答库的时效性与准确性，跟踪周期至少一学期。支持对系统进行定期维护与升级，修复潜在漏洞，提升系统安全性与稳定性。</w:t>
            </w:r>
          </w:p>
          <w:p w14:paraId="2A1A93E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4.AI助教问答与资源推荐</w:t>
            </w:r>
          </w:p>
          <w:p w14:paraId="38FB02A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提供训练后的</w:t>
            </w:r>
            <w:r>
              <w:rPr>
                <w:rFonts w:hint="eastAsia" w:ascii="宋体" w:hAnsi="宋体" w:cs="宋体"/>
                <w:snapToGrid w:val="0"/>
                <w:color w:val="000000" w:themeColor="text1"/>
                <w:szCs w:val="21"/>
                <w:highlight w:val="none"/>
                <w14:textFill>
                  <w14:solidFill>
                    <w14:schemeClr w14:val="tx1"/>
                  </w14:solidFill>
                </w14:textFill>
              </w:rPr>
              <w:t>课程</w:t>
            </w:r>
            <w:r>
              <w:rPr>
                <w:rFonts w:hint="eastAsia" w:ascii="宋体" w:hAnsi="宋体" w:cs="宋体"/>
                <w:snapToGrid w:val="0"/>
                <w:color w:val="000000" w:themeColor="text1"/>
                <w:szCs w:val="21"/>
                <w:highlight w:val="none"/>
                <w:lang w:val="zh-CN"/>
                <w14:textFill>
                  <w14:solidFill>
                    <w14:schemeClr w14:val="tx1"/>
                  </w14:solidFill>
                </w14:textFill>
              </w:rPr>
              <w:t>AI助教，可提供问答与资源推荐。</w:t>
            </w:r>
          </w:p>
          <w:p w14:paraId="5296F3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）支持多轮对话，可基于上一个问题的回答继续进行后续问答；提问时支持通过语音输入问题；</w:t>
            </w:r>
          </w:p>
          <w:p w14:paraId="0ECF178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）提问时支持上传图片通过读取图片内的问题进行提问；</w:t>
            </w:r>
          </w:p>
          <w:p w14:paraId="3BB71D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）提问时支持用户上传文档，让大模型围绕此份文档智能回答相关问题；</w:t>
            </w:r>
          </w:p>
          <w:p w14:paraId="5F092D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）支持用户自主选择是否需要大模型回复；</w:t>
            </w:r>
          </w:p>
          <w:p w14:paraId="0C3751CC">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）助教输出的答案支持显示来源，可截取显示与答案有关的原文内容，也可通过来源跳转回原文全文展开学习。</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65B1980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）支持查询图书、期刊等文献，根据用户输入问题推荐相关文献，图书、期刊等推荐文献支持通过在线查看原文、文献传递等途径获取；</w:t>
            </w:r>
          </w:p>
          <w:p w14:paraId="4D4C86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）支持针对用户网络课程学习进度和掌握情况，个性化推荐学习资源；</w:t>
            </w:r>
          </w:p>
          <w:p w14:paraId="426D95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）支持移动端、PC端多种使用渠道。</w:t>
            </w:r>
          </w:p>
          <w:p w14:paraId="2A370C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AI助教可自动对没有答案的问题描述进行关键词识别并统计聚类，按照关键词问答频率由高到低排序，同时可以批量导出未知问题；支持统计历史会话，可按照时间范围、使用渠道等维度进行筛选，并可查看、导出会话具体内容。</w:t>
            </w:r>
          </w:p>
          <w:p w14:paraId="5E25933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5.课程学习助手开通</w:t>
            </w:r>
          </w:p>
          <w:p w14:paraId="5918FF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主动为学生推荐待办任务，帮助学生分析薄弱知识点针对学生提出的概念性问题，运用苏格拉底对话，为学生进行启发式讲解针对学生上传的复杂题目、电路图、实验数据图进行讲解、解读针对学生上传的文档进行文档理解、总结归纳，生成思维导图。</w:t>
            </w:r>
          </w:p>
          <w:p w14:paraId="1C75CA0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6.课程内容安全检测</w:t>
            </w:r>
          </w:p>
          <w:p w14:paraId="161C039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支持对平台用户发布</w:t>
            </w:r>
            <w:r>
              <w:rPr>
                <w:rFonts w:hint="eastAsia" w:ascii="宋体" w:hAnsi="宋体" w:cs="宋体"/>
                <w:snapToGrid w:val="0"/>
                <w:color w:val="000000" w:themeColor="text1"/>
                <w:szCs w:val="21"/>
                <w:highlight w:val="none"/>
                <w14:textFill>
                  <w14:solidFill>
                    <w14:schemeClr w14:val="tx1"/>
                  </w14:solidFill>
                </w14:textFill>
              </w:rPr>
              <w:t>的敏感</w:t>
            </w:r>
            <w:r>
              <w:rPr>
                <w:rFonts w:hint="eastAsia" w:ascii="宋体" w:hAnsi="宋体" w:cs="宋体"/>
                <w:snapToGrid w:val="0"/>
                <w:color w:val="000000" w:themeColor="text1"/>
                <w:szCs w:val="21"/>
                <w:highlight w:val="none"/>
                <w:lang w:val="zh-CN"/>
                <w14:textFill>
                  <w14:solidFill>
                    <w14:schemeClr w14:val="tx1"/>
                  </w14:solidFill>
                </w14:textFill>
              </w:rPr>
              <w:t>文本、图片、文档、视频等内容的分析和监控</w:t>
            </w:r>
            <w:r>
              <w:rPr>
                <w:rFonts w:hint="eastAsia" w:ascii="宋体" w:hAnsi="宋体" w:cs="宋体"/>
                <w:snapToGrid w:val="0"/>
                <w:color w:val="000000" w:themeColor="text1"/>
                <w:szCs w:val="21"/>
                <w:highlight w:val="none"/>
                <w14:textFill>
                  <w14:solidFill>
                    <w14:schemeClr w14:val="tx1"/>
                  </w14:solidFill>
                </w14:textFill>
              </w:rPr>
              <w:t>功能</w:t>
            </w:r>
            <w:r>
              <w:rPr>
                <w:rFonts w:hint="eastAsia" w:ascii="宋体" w:hAnsi="宋体" w:cs="宋体"/>
                <w:snapToGrid w:val="0"/>
                <w:color w:val="000000" w:themeColor="text1"/>
                <w:szCs w:val="21"/>
                <w:highlight w:val="none"/>
                <w:lang w:val="zh-CN"/>
                <w14:textFill>
                  <w14:solidFill>
                    <w14:schemeClr w14:val="tx1"/>
                  </w14:solidFill>
                </w14:textFill>
              </w:rPr>
              <w:t>，可按时间筛选查看、编辑、删除内容以及自定义修改监控内容；</w:t>
            </w:r>
            <w:r>
              <w:rPr>
                <w:rFonts w:hint="eastAsia" w:ascii="宋体" w:hAnsi="宋体" w:cs="宋体"/>
                <w:snapToGrid w:val="0"/>
                <w:color w:val="000000" w:themeColor="text1"/>
                <w:szCs w:val="21"/>
                <w:highlight w:val="none"/>
                <w14:textFill>
                  <w14:solidFill>
                    <w14:schemeClr w14:val="tx1"/>
                  </w14:solidFill>
                </w14:textFill>
              </w:rPr>
              <w:t>支持自定义敏感关键词、敏感忽略词、用户黑白名单、图片名单。支持通过用户风险统计、垃圾发布量、垃圾发布率的维度统计用户风险。</w:t>
            </w:r>
          </w:p>
          <w:p w14:paraId="4A2B1964">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24" w:name="_Toc28803"/>
            <w:r>
              <w:rPr>
                <w:rFonts w:hint="eastAsia" w:ascii="宋体" w:hAnsi="宋体" w:cs="宋体"/>
                <w:b/>
                <w:bCs/>
                <w:snapToGrid w:val="0"/>
                <w:color w:val="000000" w:themeColor="text1"/>
                <w:szCs w:val="21"/>
                <w:highlight w:val="none"/>
                <w14:textFill>
                  <w14:solidFill>
                    <w14:schemeClr w14:val="tx1"/>
                  </w14:solidFill>
                </w14:textFill>
              </w:rPr>
              <w:t>三、智慧</w:t>
            </w:r>
            <w:r>
              <w:rPr>
                <w:rFonts w:hint="eastAsia" w:ascii="宋体" w:hAnsi="宋体" w:cs="宋体"/>
                <w:b/>
                <w:bCs/>
                <w:snapToGrid w:val="0"/>
                <w:color w:val="000000" w:themeColor="text1"/>
                <w:szCs w:val="21"/>
                <w:highlight w:val="none"/>
                <w:lang w:val="zh-CN"/>
                <w14:textFill>
                  <w14:solidFill>
                    <w14:schemeClr w14:val="tx1"/>
                  </w14:solidFill>
                </w14:textFill>
              </w:rPr>
              <w:t>课程图谱建设服务</w:t>
            </w:r>
            <w:bookmarkEnd w:id="24"/>
          </w:p>
          <w:p w14:paraId="3107B19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1.课程图谱设计</w:t>
            </w:r>
          </w:p>
          <w:p w14:paraId="770D3A0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知识图谱设计。通过图谱可视化工具展示课程内容的逻辑结构和知识点之间的关联，帮助学生更直观地理解课程体系，为学生构建更完整的知识网络，培养学生的系统思维能力。</w:t>
            </w:r>
          </w:p>
          <w:p w14:paraId="666B15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）供应商根据课程教学团队需求，完成目标图谱设计。通过分解课程目标、关联知识点、提供融入教学活动与评估建议，实现课程设计、教学实施与学习评价的一致性，保障教学成效，助力课程目标有效达成。</w:t>
            </w:r>
          </w:p>
          <w:p w14:paraId="0C5B57C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）供应商根据课程教学团队需求，完成问题图谱设计，帮助学生梳理问题逻辑，逐步引导学生解决复杂问题。</w:t>
            </w:r>
          </w:p>
          <w:p w14:paraId="3BC4159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）供应商根据课程教学团队需求，完成课程思政图谱设计。通过标记思政标签，融入课程思政元素，构建课程思政图谱，明确课程中思想政治教育的切入点与实施路径，实现价值引领与知识传授的有机结合。</w:t>
            </w:r>
          </w:p>
          <w:p w14:paraId="52D4200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2.知识图谱建设与应用</w:t>
            </w:r>
          </w:p>
          <w:p w14:paraId="14EF050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）支持知识点多层级架构建立，生成分类－知识点关系。</w:t>
            </w:r>
          </w:p>
          <w:p w14:paraId="2F9FFC8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手动添加、批量导入等方式构建知识图谱。批量导入需支持填写知识点名称、标签信息、认知维度、分类属性、教学目标、知识点说明等信息数据。手动编辑需支持单个修改知识点属性编辑，可批量或单独对当前知识点进行移动。</w:t>
            </w:r>
          </w:p>
          <w:p w14:paraId="5CF9088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）支持智能导入，用户上传课程大纲、教材或PPT文件等，系统智能识别构建生成知识图谱。</w:t>
            </w:r>
          </w:p>
          <w:p w14:paraId="0F5146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）支持本地导入</w:t>
            </w:r>
            <w:r>
              <w:rPr>
                <w:rFonts w:hint="eastAsia" w:ascii="宋体" w:hAnsi="宋体" w:cs="宋体"/>
                <w:snapToGrid w:val="0"/>
                <w:color w:val="000000" w:themeColor="text1"/>
                <w:szCs w:val="21"/>
                <w:highlight w:val="none"/>
                <w14:textFill>
                  <w14:solidFill>
                    <w14:schemeClr w14:val="tx1"/>
                  </w14:solidFill>
                </w14:textFill>
              </w:rPr>
              <w:t>X</w:t>
            </w:r>
            <w:r>
              <w:rPr>
                <w:rFonts w:hint="eastAsia" w:ascii="宋体" w:hAnsi="宋体" w:cs="宋体"/>
                <w:snapToGrid w:val="0"/>
                <w:color w:val="000000" w:themeColor="text1"/>
                <w:szCs w:val="21"/>
                <w:highlight w:val="none"/>
                <w:lang w:val="zh-CN"/>
                <w14:textFill>
                  <w14:solidFill>
                    <w14:schemeClr w14:val="tx1"/>
                  </w14:solidFill>
                </w14:textFill>
              </w:rPr>
              <w:t>mind格式的思维导图文件，自动读取文件数据，生成课程知识图谱，并能够导出excel格式文件。</w:t>
            </w:r>
          </w:p>
          <w:p w14:paraId="155798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）支持与教学平台打通，可通过教学平台现有课程章节选择生成章节图谱。</w:t>
            </w:r>
          </w:p>
          <w:p w14:paraId="7E90FEF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）创建图谱支持同步其他课程图谱，支持全量同步或者部分选择同步。支持教学平台所教的课程导入及从教务课程导入功能支持导入知识点之间的关系。</w:t>
            </w:r>
          </w:p>
          <w:p w14:paraId="251E3B8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）支持AI生成图谱功能，系统可以基于教师已经建设好的网络课程结合AI应用自动生成知识图谱，并支持直接使用生成的图谱，同时支持在生成的图谱上进行自定义化修改。</w:t>
            </w:r>
          </w:p>
          <w:p w14:paraId="546DB9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）知识图谱知识点支持说明添加，可添加富文本编辑框、公式编辑等富媒体文本。支持AI生成知识点说明。</w:t>
            </w:r>
          </w:p>
          <w:p w14:paraId="368FF79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）支持知识图谱自定义编辑功能，系统提供至少8种图谱形态，用户可根据课程性质选择合适的图谱形态进行编辑。</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5EF7DF91">
            <w:pPr>
              <w:widowControl/>
              <w:numPr>
                <w:ilvl w:val="0"/>
                <w:numId w:val="3"/>
              </w:numPr>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支持进行跨课知识点关联，实现不同课程之间知识的聚合联动，关联后可以实现跨课学习并进行专业下多门课程的知识点关联展示应用。</w:t>
            </w:r>
          </w:p>
          <w:p w14:paraId="29922583">
            <w:pPr>
              <w:widowControl/>
              <w:numPr>
                <w:ilvl w:val="0"/>
                <w:numId w:val="3"/>
              </w:numPr>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知识图谱显示支持2D和3D展示效果，用户可自主地进行模式切换。</w:t>
            </w:r>
          </w:p>
          <w:p w14:paraId="35AB6C6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3.问题图谱建设与应用</w:t>
            </w:r>
          </w:p>
          <w:p w14:paraId="79EF15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）基于课程知识图谱，建设不少于三层的问题体系，系统提供对每层级问题的定义能力，允许用户添加问题详情及其与知识点的关联。</w:t>
            </w:r>
          </w:p>
          <w:p w14:paraId="1821E8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）支持用户可根据教学需求，自定义栏目标题和描述，以适应多样化的教学情境。支持用户对栏目中节点的名称、描述、标签和知识点进行修改，保持内容的时效性和准确性。</w:t>
            </w:r>
          </w:p>
          <w:p w14:paraId="346F0F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）支持通过图谱形式展现问题与知识点的关联，使用户能够直观理解知识间的联系。</w:t>
            </w:r>
          </w:p>
          <w:p w14:paraId="5A0EE33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）提供两种子级问题关联方式，包括层级连线和板块关联功能，以展示问题间的层级结构。</w:t>
            </w:r>
          </w:p>
          <w:p w14:paraId="0064AF7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）支持批量导入问题数据和一键导出问题图谱数据，简化教学资源的准备工作。</w:t>
            </w:r>
          </w:p>
          <w:p w14:paraId="665B45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）支持开启探索模式，模拟学生学习路径，通过问题选择和知识点关联，促进学生的深入思考。在探索模式中，用户被引导将核心问题与子问题连接，形成知识网络，并通过提交与标准答案对比，实现自我评估。</w:t>
            </w:r>
          </w:p>
          <w:p w14:paraId="493C301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4.课程思政图谱建设与应用</w:t>
            </w:r>
          </w:p>
          <w:p w14:paraId="4A5ADF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）支持自动根据现有的图谱信息生成课程思政图谱的功能。支持将标签为“课程思政”的知识点以花朵的形式呈现，以视觉突出其在课程中的核心地位，同时以花苞的形式展示其他的知识点。</w:t>
            </w:r>
          </w:p>
          <w:p w14:paraId="0E822327">
            <w:pPr>
              <w:kinsoku w:val="0"/>
              <w:wordWrap w:val="0"/>
              <w:autoSpaceDE w:val="0"/>
              <w:autoSpaceDN w:val="0"/>
              <w:adjustRightInd w:val="0"/>
              <w:snapToGrid w:val="0"/>
              <w:spacing w:line="360" w:lineRule="auto"/>
              <w:rPr>
                <w:snapToGrid w:val="0"/>
                <w:color w:val="000000" w:themeColor="text1"/>
                <w:kern w:val="0"/>
                <w:sz w:val="28"/>
                <w:szCs w:val="22"/>
                <w:highlight w:val="none"/>
                <w:lang w:bidi="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协助用户完成思政案例建设需求，如提供相关视频、图片或资源等。</w:t>
            </w:r>
          </w:p>
          <w:p w14:paraId="73F867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）支持搜索功能覆盖知识点、分类和标签，实现全面性，满足用户不同维度的搜索需求。</w:t>
            </w:r>
          </w:p>
          <w:p w14:paraId="285F9AF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）支持通过点击操作，可深入分类卡片获取详细信息，知识点用户也可以选择开启卡片，直接跳转至微课进行学习，实现知识获取的快速通道。</w:t>
            </w:r>
          </w:p>
          <w:p w14:paraId="0E0F089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5.目标图谱建设</w:t>
            </w:r>
          </w:p>
          <w:p w14:paraId="2C305F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）系统允许根据不同班级特点定制课程目标，以满足特定教学需求。支持课程目标模板导入/一键导出功能，便于教师对于课程目标可以直观浏览和整理，同时也能有效地和其他工具同时使用。</w:t>
            </w:r>
          </w:p>
          <w:p w14:paraId="07F5DA4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）支持课程目标与知识点进行关联，以展示目标与教学内容的直接联系。</w:t>
            </w:r>
          </w:p>
          <w:p w14:paraId="235FEE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）支持以柱状图展示课程目标关联知识点的个数，提供直观的统计信息；</w:t>
            </w:r>
          </w:p>
          <w:p w14:paraId="73B4AE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）支持以列表形式展示课程目标总数、课程目标名称、课程目标说明、课程目标标签以及所关联的知识点个数，方便用户快速浏览和了解。</w:t>
            </w:r>
          </w:p>
          <w:p w14:paraId="55B7AE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）支持以图谱形式展示每个课程目标所关联的知识点情况，增强信息的可视化效果。</w:t>
            </w:r>
          </w:p>
          <w:p w14:paraId="45E1027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6.自定义图谱建设</w:t>
            </w:r>
          </w:p>
          <w:p w14:paraId="1194CC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）具备自定义图谱功能，可根据个性化的图谱展示进行自定义图谱建设。</w:t>
            </w:r>
          </w:p>
          <w:p w14:paraId="2F9DD5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）提供多种图谱样式，满足教师不同教学场景，供自由选择。</w:t>
            </w:r>
          </w:p>
          <w:p w14:paraId="24C8813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7.知识点微课建设与应用</w:t>
            </w:r>
          </w:p>
          <w:p w14:paraId="3974D86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）支持教师对课程章节内容，包括——视频、音频、文档、图书、章节测验等进行知识点标记，作为知识点教学任务进行设置，方便学生按知识点进行任务学习。</w:t>
            </w:r>
          </w:p>
          <w:p w14:paraId="5AECAED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）支持按知识点上传资源，并查看知识点关联资源数量，方便教师按知识点管理资源。</w:t>
            </w:r>
          </w:p>
          <w:p w14:paraId="7575CB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）知识点卡片须具备资料添加功能，可通过添加资料关联建设知识点下相关课程资料及其他相关资源。</w:t>
            </w:r>
          </w:p>
          <w:p w14:paraId="0F551D1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）支持多种题型的创建管理，包括单选、多选、填空、判断、简答、名词解析、论述、计算、分录、连线、排序等常见题型。</w:t>
            </w:r>
          </w:p>
          <w:p w14:paraId="2FB01CA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）支持在创建或编辑题目时标记每道题对应的知识点标签，并支持按知识点筛选管理题目。支持按模板批量导入题目时导入题目知识点，支持批量编辑题目关联知识点。</w:t>
            </w:r>
          </w:p>
          <w:p w14:paraId="54F0C1B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）题目关联知识点操作时系统支持智能推荐知识点，便于教师快速进行关联操作。</w:t>
            </w:r>
          </w:p>
          <w:p w14:paraId="1C25754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）支持AI生成学习内容，系统结合AI可根据教师网络课程内容自动生成知识点学习内容，生成的内容可一键加入微课中。</w:t>
            </w:r>
          </w:p>
          <w:p w14:paraId="209B14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）支持错题显示解析以及相关知识点。图谱知识点学习界面支持错题集功能，可将学生学习过程中产生的错题归类到知识点下的错题集中。</w:t>
            </w:r>
          </w:p>
          <w:p w14:paraId="4CDAD0A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）支持学生查看课程知识图谱，并查看每个知识点的学习进度情况。</w:t>
            </w:r>
          </w:p>
          <w:p w14:paraId="7B606F6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）支持学生按知识点进行课程任务学习，观看课程视频，阅读课程资料等。</w:t>
            </w:r>
          </w:p>
          <w:p w14:paraId="5B8FC25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）支持学生按知识点从题库或错题本抽题，逐题自测。支持学生自测时可以设置抽题范围，仅抽当前知识点以及前置知识点的题，避免抽到未开始学习的知识点试题。</w:t>
            </w:r>
          </w:p>
          <w:p w14:paraId="2EA7103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12</w:t>
            </w:r>
            <w:r>
              <w:rPr>
                <w:rFonts w:hint="eastAsia" w:ascii="宋体" w:hAnsi="宋体" w:cs="宋体"/>
                <w:b/>
                <w:bCs/>
                <w:snapToGrid w:val="0"/>
                <w:color w:val="000000" w:themeColor="text1"/>
                <w:szCs w:val="21"/>
                <w:highlight w:val="none"/>
                <w:lang w:val="zh-CN"/>
                <w14:textFill>
                  <w14:solidFill>
                    <w14:schemeClr w14:val="tx1"/>
                  </w14:solidFill>
                </w14:textFill>
              </w:rPr>
              <w:t>）学生端可以查看推荐资源，进行拓展学习。推荐资源应基于知识点智能推荐课程、资源、课程思政资源、题目、论文、期刊、图书、互联网资源等。</w:t>
            </w:r>
          </w:p>
          <w:p w14:paraId="734AA95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）支持精准教学设计功能，可以自定义建设事件，可设置知识点的掌握率及完成率的设置，支持自定义学习路径或者微课资料，支持设置对应的动作；</w:t>
            </w:r>
          </w:p>
          <w:p w14:paraId="2B03201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）支持视频的虚拟剪辑，只需要拖动视频播放的起始点、终止点，就可以将视频文件按照课程的要求剪辑成适当长度，教师还可手动输入时间点，进行视频在线虚拟剪辑。</w:t>
            </w:r>
          </w:p>
          <w:p w14:paraId="4E1B6C2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5CA3A4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）支持视频替换功能，替换学习视频后，不影响学生已产生的学习记录和成绩。</w:t>
            </w:r>
          </w:p>
          <w:p w14:paraId="380757D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17</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p>
          <w:p w14:paraId="640F08C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）对课程视频进行智能切片，按切片时间点点击可跳转学习对应片段视频；</w:t>
            </w:r>
          </w:p>
          <w:p w14:paraId="32AF65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）支持学生对不懂的视频或PDF文档点击“不懂”，触发AI助教及时答疑，页面自动截屏供AI助教分析。</w:t>
            </w:r>
          </w:p>
          <w:p w14:paraId="43107151">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288BF4C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8.基于知识图谱的数智驱动数据分析与统计</w:t>
            </w:r>
          </w:p>
          <w:p w14:paraId="305A06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）支持教师查看知识图谱的知识点建设情况，包括知识点建设率、图谱知识点总数、图谱关联资源知识点数、已设置标签的知识点数、图谱未关联资源知识点数等；</w:t>
            </w:r>
          </w:p>
          <w:p w14:paraId="2AA6D57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）支持查看不同知识点属性概况数据；支持查看图谱资源总数，关联视频、音频、文档、题目及其他类型资源数等；支持查看知识点关联资源数量排行榜。</w:t>
            </w:r>
          </w:p>
          <w:p w14:paraId="6B12A38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）支持教师查看不同班级的学情数据，包括每个知识点的完成率与掌握率、知识点热度、完成率与掌握率的学情分段人数、学生完成率与掌握率排行情况等数据。</w:t>
            </w:r>
          </w:p>
          <w:p w14:paraId="424A478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）支持教师选择多个不同班级进行学情数据对比，对比内容包括班级掌握率、班级完成率、完成率区间对比与掌握率区间对比等数据。通过班级对比分析，便于教师更好地了解不同班级间的学习差异。</w:t>
            </w:r>
          </w:p>
          <w:p w14:paraId="02D849E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9.移动端知识图谱应用</w:t>
            </w:r>
          </w:p>
          <w:p w14:paraId="197E77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）支持用户通过移动端设备访问知识图谱，实现随时随地的个性化学习。移动端提供图谱模式、大纲模式和学习地图模式，以适应不同用户的学习偏好和场景需求。</w:t>
            </w:r>
          </w:p>
          <w:p w14:paraId="62D00C9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）移动端图谱模式下，用户可以选择导航模式或全局模式，分别深入探索或宏观把握知识结构。移动端图谱模式下左侧导航区域以列表形式展示分类和知识点，支持快速定位和子级展开。</w:t>
            </w:r>
          </w:p>
          <w:p w14:paraId="0ADDB43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）支持基于关键字的搜索和模糊匹配，帮助用户迅速找到目标知识点及相关全面信息。</w:t>
            </w:r>
          </w:p>
          <w:p w14:paraId="48BBCC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）移动端导航模式下，图谱以一种集中的形态展示最高层级的分类或知识点，允许用户通过交互进一步探索其子级和它们之间的联系。</w:t>
            </w:r>
          </w:p>
          <w:p w14:paraId="7C0BBF8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）移动端直观展示知识点掌握率和完成率，反映用户个人学习情况。</w:t>
            </w:r>
          </w:p>
          <w:p w14:paraId="2512DC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）支持从宏观和微观视角展示用户的知识点掌握情况，并允许与班级整体表现进行比较。</w:t>
            </w:r>
          </w:p>
          <w:p w14:paraId="11CF54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）支持查看和该知识点相关的错题集，帮助用户更有针对性地进行复习。</w:t>
            </w:r>
          </w:p>
          <w:p w14:paraId="5652C1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）支持点击知识点跳转至微课进行深入学习。移动端微课提供分析、学习内容、自测、资料、错题集、讨论等多功能模块。</w:t>
            </w:r>
          </w:p>
          <w:p w14:paraId="59FE34B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）用户可以根据个人需求在移动端微课选择自测模式，包括时间限制和题目选择，以创建专属的自测体验。自测功能支持仅从未尝试过的题目中抽取，确保每次自测的新鲜感和有效性。</w:t>
            </w:r>
          </w:p>
          <w:p w14:paraId="467C32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）支持对课程所有资源进行智能安全检测。可通过后台配置关键词、忽略词，便于系统审核时，对关键词和忽略词进行屏蔽与忽略，降低人工审核的错误率。</w:t>
            </w:r>
          </w:p>
          <w:p w14:paraId="2FBA17F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10.智慧课程群建设</w:t>
            </w:r>
          </w:p>
          <w:p w14:paraId="12256E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）以核心课程为基点，支持构建相互关联、层层递进的智慧课程群，打破课程边界，形成学科专业的完整知识链条，呈现横向融通、纵向贯通专业课程体系，帮助学生形成系统化的知识网络。</w:t>
            </w:r>
          </w:p>
          <w:p w14:paraId="798442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）支持用户根据需求灵活选择不同的图谱模式，将自定义内容与课程群内的课程——知识点进行可视化关联，从而构建个性化的知识网络，深化理解与应用</w:t>
            </w:r>
          </w:p>
          <w:p w14:paraId="1C361F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）支持创立智慧课程群展示门户，可自定义课程群门户信息包括课程群名称、课程群类型、课程群介绍、教师团队等信息。</w:t>
            </w:r>
          </w:p>
          <w:p w14:paraId="62196D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）支持数据统计功能，可查看课程群门户中的课程数、课程图谱数、知识点总数、教学资源数。</w:t>
            </w:r>
          </w:p>
          <w:p w14:paraId="4622C1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）具备资源分布统计功能，可以展示课程群所包含的每门课程的资源总数，包括视频、音频、文档、题目、其他等。</w:t>
            </w:r>
          </w:p>
          <w:p w14:paraId="6D6377C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）具备资源分类展示功能，以饼状图及柱状图展示课程群下每门课程资源的分布情况。</w:t>
            </w:r>
          </w:p>
          <w:p w14:paraId="341FBA4A">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25" w:name="_Toc7921"/>
            <w:r>
              <w:rPr>
                <w:rFonts w:hint="eastAsia" w:ascii="宋体" w:hAnsi="宋体" w:cs="宋体"/>
                <w:b/>
                <w:bCs/>
                <w:snapToGrid w:val="0"/>
                <w:color w:val="000000" w:themeColor="text1"/>
                <w:szCs w:val="21"/>
                <w:highlight w:val="none"/>
                <w14:textFill>
                  <w14:solidFill>
                    <w14:schemeClr w14:val="tx1"/>
                  </w14:solidFill>
                </w14:textFill>
              </w:rPr>
              <w:t>四、</w:t>
            </w:r>
            <w:r>
              <w:rPr>
                <w:rFonts w:hint="eastAsia" w:ascii="宋体" w:hAnsi="宋体" w:cs="宋体"/>
                <w:b/>
                <w:bCs/>
                <w:snapToGrid w:val="0"/>
                <w:color w:val="000000" w:themeColor="text1"/>
                <w:szCs w:val="21"/>
                <w:highlight w:val="none"/>
                <w:lang w:val="zh-CN"/>
                <w14:textFill>
                  <w14:solidFill>
                    <w14:schemeClr w14:val="tx1"/>
                  </w14:solidFill>
                </w14:textFill>
              </w:rPr>
              <w:t>AI工作台智慧教学应用</w:t>
            </w:r>
            <w:bookmarkEnd w:id="25"/>
          </w:p>
          <w:p w14:paraId="37DF67E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指导老师应用AI工具，在备课、教学、学习、教研、科研、评价等全流程深度融合，实现数字素养提升，并实现AI赋能的“师/生/机”深度交互教学模式改革。具有AI教案、AI生成PPT、AI智能写作与校正、章节视频与文档AI解析、AI智能出题、公式识别、作业智能查重、AIGC检测、文献阅读、视频理解、智能翻译、资料查询助手等AI工具应用于教学。</w:t>
            </w:r>
          </w:p>
          <w:p w14:paraId="346EB55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1.AI教案</w:t>
            </w:r>
          </w:p>
          <w:p w14:paraId="2585C2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）教师输入教学材料或关键词，AI自动生成教案，并支持教师借助写作助手进行再次编辑。</w:t>
            </w:r>
          </w:p>
          <w:p w14:paraId="5C0F373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）支持教师补充所教层次、适合的教学风格，形成更加具有个性化的教案。</w:t>
            </w:r>
          </w:p>
          <w:p w14:paraId="207A60C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）支持一键导出教案，并且支持按学校教案模板导出。</w:t>
            </w:r>
          </w:p>
          <w:p w14:paraId="70B6AF9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2.AI课件</w:t>
            </w:r>
          </w:p>
          <w:p w14:paraId="794193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）通过输入PPT内容要求，AI智能生成PPT大纲</w:t>
            </w:r>
          </w:p>
          <w:p w14:paraId="1C345C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）支持教师在线直接编辑生成的大纲内容</w:t>
            </w:r>
          </w:p>
          <w:p w14:paraId="595BFB5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）支持AI自动根据大纲生成PPT，教师可以进行在线编辑或下载</w:t>
            </w:r>
          </w:p>
          <w:p w14:paraId="5CD6AD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）支持选择PPT模板场景、设计风格、主题颜色，生成个性化PPT</w:t>
            </w:r>
          </w:p>
          <w:p w14:paraId="16E2092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3.AI写作</w:t>
            </w:r>
          </w:p>
          <w:p w14:paraId="48CF8C1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）老师可以向AI写作助手提出需求，点击“生成”，写作助手会根据要求智能生成相应的内容，老师点击保存可以将内容输出到章节编辑页面上</w:t>
            </w:r>
          </w:p>
          <w:p w14:paraId="0091F5E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）老师可进行文本修改、删减或排版</w:t>
            </w:r>
          </w:p>
          <w:p w14:paraId="305787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）在章节编辑页面，选中内容可进行AI改写、扩写、续写、简写、翻译等操作</w:t>
            </w:r>
          </w:p>
          <w:p w14:paraId="2F1A8AB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4.AI出题</w:t>
            </w:r>
          </w:p>
          <w:p w14:paraId="21F2CF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）支持教师通过知识点、输入文本、上传附件文档和视频、选定章节等多种方式，搭配补充出题要求说明，由AI自动生成相应试题。AI系统可以自动生成对应的题目并且不限制教师使用次数。</w:t>
            </w:r>
          </w:p>
          <w:p w14:paraId="2EA886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）支持多种题型，题型包括选择题、填空题、简答题等，以便满足不同类型考题的需求</w:t>
            </w:r>
          </w:p>
          <w:p w14:paraId="295806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）教师可以根据课程内容和学生水平，将生成的题目添加到题库。并随时使用这些题目进行测验、考试或者课堂练习。</w:t>
            </w:r>
          </w:p>
          <w:p w14:paraId="1CD250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）支持设置出题要求，比如：适用年级、难易度、题目偏向等。</w:t>
            </w:r>
          </w:p>
          <w:p w14:paraId="78B2A52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）支持教师在线编辑调整AI生成的试题，也可以一键加入题库，组成作业考试发布给学生，并且支持跨课程使用生成的题目。</w:t>
            </w:r>
          </w:p>
          <w:p w14:paraId="414F88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）支持根据出题结果生成配套图片，结合题目信息选择图片类型，生成图片后可直接插入题干，至少支持2种图片类型选择。</w:t>
            </w:r>
          </w:p>
          <w:p w14:paraId="4F2E260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5.AI批阅</w:t>
            </w:r>
          </w:p>
          <w:p w14:paraId="6A223C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）使用先进的AI技术，能够批阅学生的主观题、论述题、小论文等。</w:t>
            </w:r>
          </w:p>
          <w:p w14:paraId="49A2EF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）对参考答案和学生答案进行分词处理和语法分析，以便计算词语和语句的相似度，从而量化学生答案与标准答案的匹配程度。</w:t>
            </w:r>
          </w:p>
          <w:p w14:paraId="44DDBF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）支持利用语义相似度计算结果给出学生相应的得分，通过深度学习等技术来模拟人类对语义相似度的判断，从而更准确地评估学生的答案质量。</w:t>
            </w:r>
          </w:p>
          <w:p w14:paraId="1CB45A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）系统可以根据教师设置的得分点来匹配得分，确保评分符合标准化要求，同时满足教学目标和评价体系。</w:t>
            </w:r>
          </w:p>
          <w:p w14:paraId="3ACDF5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）支持智能批阅程序题。</w:t>
            </w:r>
          </w:p>
          <w:p w14:paraId="7264CE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）支持从结构、内容、语言等6个大维度，12～16个细分维度进行打分，并给出推荐总分。</w:t>
            </w:r>
          </w:p>
          <w:p w14:paraId="63E32D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）AI批阅系统不仅提供整体评价，还支持对精彩句子进行点评，并给出提升建议。</w:t>
            </w:r>
          </w:p>
          <w:p w14:paraId="54802F3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6.AI学情分析</w:t>
            </w:r>
          </w:p>
          <w:p w14:paraId="3FC544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）支持智能呈现班级整体知识点分析数据，提供个性化学习路径。</w:t>
            </w:r>
          </w:p>
          <w:p w14:paraId="53A38B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）可查看知识点平均完成率、平均掌握率、完成率分布和掌握率分布等。支持按知识点查看每个知识点的关联学习资源数、平均完成率、平均掌握率、课程资料数、课程资料人均阅读情况等。</w:t>
            </w:r>
          </w:p>
          <w:p w14:paraId="3044C2F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）基于AI学情分析，可由AI生成学情分析画像，减轻教师学情分析压力，提升效率。</w:t>
            </w:r>
          </w:p>
          <w:p w14:paraId="195E43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110A0F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）支持根据平台学生整体学习数据及专项数据，或者上传excel文档，教师可自定义分析维度，AI自动进行学生学情分析并提供建议提醒。</w:t>
            </w:r>
          </w:p>
          <w:p w14:paraId="00F55C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）支持多班对比分析：对多个班级的数据进行深度分析，洞察每个班级的独特学情，为教育决策提供科学依据。</w:t>
            </w:r>
          </w:p>
          <w:p w14:paraId="013523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）支持内置常见问题：智能解答，即刻响应。精准识别并预测用户常见问题，提供即时、精准的智能回复。</w:t>
            </w:r>
          </w:p>
          <w:p w14:paraId="248D51B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）支持图表产出：引入多种统计图表，包括饼图、散点图、面积图、箱线图等，提供丰富的数据可视化选项，帮助教师把握数据背后的趋势与洞见。</w:t>
            </w:r>
          </w:p>
          <w:p w14:paraId="51E3D80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7.个性化学习路径推荐</w:t>
            </w:r>
          </w:p>
          <w:p w14:paraId="152C2D2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）为学生智能化推荐个性化学习路径，呈现路径中各知识点掌握率</w:t>
            </w:r>
          </w:p>
          <w:p w14:paraId="745A37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）基于知识点的学习，智能化分析学生学习进度与掌握情况，掌握率高于90%的知识点在学习路径上不再显示</w:t>
            </w:r>
          </w:p>
          <w:p w14:paraId="1691AA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）基于错题智能推荐薄弱知识点</w:t>
            </w:r>
          </w:p>
          <w:p w14:paraId="15ABD14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8.智能推荐资源</w:t>
            </w:r>
          </w:p>
          <w:p w14:paraId="791107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根据需求，可通过问答方式由AI助教提供智能化资源推荐，通过关键词识别，智能化挖掘呈现相关联学术资源，包含期刊、图书等内容，助力学生复习相关知识、扩展学习的深度与广度。</w:t>
            </w:r>
          </w:p>
          <w:p w14:paraId="5916B33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9.文献阅读</w:t>
            </w:r>
          </w:p>
          <w:p w14:paraId="636306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）根据原文内容支持随机生成并显示默认问题，可通过点击默认问题或自定义输入问题查看回复，平台通过匹配向量之间的相似性，支持文字、表格等多种输出格式；</w:t>
            </w:r>
          </w:p>
          <w:p w14:paraId="30FF169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）支持点击词云查看人物、机构、地名在原文出现次数、页码以及原文信息，快速了解原文的重点和主题；</w:t>
            </w:r>
          </w:p>
          <w:p w14:paraId="19E4F54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）通过对原文的分析，支持按照章节提取关键信息，生成摘要列表；</w:t>
            </w:r>
          </w:p>
          <w:p w14:paraId="50F837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）通过对原文的分析将复杂的概念和关系可视化，支持按照脑图或markdown格式切换查看，帮助知识整理和信息归纳；</w:t>
            </w:r>
          </w:p>
          <w:p w14:paraId="57E735E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）通过对原文的分析，支持按照章节查看系统生成的相关试题，试题可以章节为维度进行筛选，生成的试题均为本章节相关内容试题；</w:t>
            </w:r>
          </w:p>
          <w:p w14:paraId="0E1A58A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）支持原文在线预览，支持目录检索、全文检索。</w:t>
            </w:r>
          </w:p>
          <w:p w14:paraId="157E153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10.视频理解</w:t>
            </w:r>
          </w:p>
          <w:p w14:paraId="47703D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）支持自定义上传视频，AI智能分析生成“智能速览”，总结视频摘要、片段摘要。</w:t>
            </w:r>
          </w:p>
          <w:p w14:paraId="1755CCF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）智能分析视频中的发言人，按发言人统计发言百分比、发言段落，以时间轴形式展示。</w:t>
            </w:r>
          </w:p>
          <w:p w14:paraId="5E5C791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）根据视频随机生成问题，可通过点击默认问题或自定义输入问题开展机器问答，平台通过匹配向量之间的相似性；</w:t>
            </w:r>
          </w:p>
          <w:p w14:paraId="3560546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）支持点击词云查看实体出现次数、时间段以及视频文本信息，快速了解视频的重点和主题；</w:t>
            </w:r>
          </w:p>
          <w:p w14:paraId="4C8DB4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）通过对视频的片段分析将复杂的概念和关系可视化，支持按照脑图或markdown格式切换查看，帮助知识整理和信息归纳；</w:t>
            </w:r>
          </w:p>
          <w:p w14:paraId="5B51BD4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11.章节内容智能审查与文本纠错</w:t>
            </w:r>
          </w:p>
          <w:p w14:paraId="2A2D752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支持实现文字自动校对，包括错字、漏字、缺字、多字、语法、错误、语义错误等都可以实现自动校对标注。</w:t>
            </w:r>
          </w:p>
          <w:p w14:paraId="1242D7F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12.作业智能查重</w:t>
            </w:r>
          </w:p>
          <w:p w14:paraId="41ABF2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）比对基础库中的数据包含图书、报纸、期刊、网络文档等多种文献类型；支持选择不同的比对库，包含全部全文比对库、图书全文比对库、非图书全文比对库、法律法规比对库、自建库选择进行检测。</w:t>
            </w:r>
          </w:p>
          <w:p w14:paraId="77D16CC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）每万字的检测需在数秒内完成，并在10分钟内提供检测报告；</w:t>
            </w:r>
          </w:p>
          <w:p w14:paraId="0DD0FA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）支持30M以上的TXT、DOC、PDF、DOCX、ZIP、RAR多种格式以及非加密文档的上传检测；支持ZIP、RAR压缩包形式上传（大小需在50M以内）；</w:t>
            </w:r>
          </w:p>
          <w:p w14:paraId="6861DC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）支持点击选择文件上传文档或者将50字以上、1万字以下的文本直接粘贴到文本框中进行检测；</w:t>
            </w:r>
          </w:p>
          <w:p w14:paraId="0CFBEB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）支持根据上传的检测文献生成检测报告，支持查看在线报告，也支持批量下载全部检测报告、批量下载PDF报告；</w:t>
            </w:r>
          </w:p>
          <w:p w14:paraId="0763048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）用户可下载PDF报告（简洁报告、全文检测报告）和HTML报告（综合评估、相似片段、全文对比）进行查看和打印，（PDF报告和HTML报告均提供相似度检测专用印章）；</w:t>
            </w:r>
          </w:p>
          <w:p w14:paraId="2E6650C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）支持查看最密集相似段、密集相似段、非密集相似段；</w:t>
            </w:r>
          </w:p>
          <w:p w14:paraId="0D406F2C">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）支持按文献类型查看典型相似图书列表、典型相似报纸列表、典型相似期刊列表、典型相似网络文档列表，支持在检测结果中，单独查看两两文献的比对结果。</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6BFC648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13.视频智能分析</w:t>
            </w:r>
          </w:p>
          <w:p w14:paraId="3CCE6F4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w:t>
            </w:r>
          </w:p>
          <w:p w14:paraId="4C1A0C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）基于人工智能技术生成知识点词云分析并展示</w:t>
            </w:r>
          </w:p>
          <w:p w14:paraId="176D9C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）支持视频播放时学生可以定位到时间点观看对应知识点的视频讲解。</w:t>
            </w:r>
          </w:p>
          <w:p w14:paraId="10D0412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14.智能翻译</w:t>
            </w:r>
          </w:p>
          <w:p w14:paraId="6A09E78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）支持用户自行上传文件进行双语翻译（文件至少为10MB内无加密PDF文件）。</w:t>
            </w:r>
          </w:p>
          <w:p w14:paraId="5860719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）支持单语切换：一键切换阅读模式。在开启“同步滑动”的情况下，实现页面同步跳转，方便阅读；</w:t>
            </w:r>
          </w:p>
          <w:p w14:paraId="4CFE8C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）支持查词定位：原文、译文阅读界面均支持文章内容的精准查找定位，支持高亮显示和大小写区分，方便用户通过关键词快速检索文章内容；</w:t>
            </w:r>
          </w:p>
          <w:p w14:paraId="407C560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）支持页码定位：支持用户通过上下滑动进行定位，同时支持输入页码调试定位；</w:t>
            </w:r>
          </w:p>
          <w:p w14:paraId="1FFEFD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）支持调整阅读比例：支持自动缩放、实际大小、适合页宽以及100%、125%、150%的页面调整；</w:t>
            </w:r>
          </w:p>
          <w:p w14:paraId="2FEACF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）支持开启划词翻译功能，选中原文、译文文本并翻译；</w:t>
            </w:r>
          </w:p>
          <w:p w14:paraId="13B9FDF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15.公式识别</w:t>
            </w:r>
          </w:p>
          <w:p w14:paraId="558E5E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教师录入公式后，系统自动将图片公式分析出来并可转换为latex公式。</w:t>
            </w:r>
          </w:p>
          <w:p w14:paraId="322DE16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16.课程内容不懂智能驱动</w:t>
            </w:r>
          </w:p>
          <w:p w14:paraId="580EDE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学生观看视频或课件时，点击屏幕右侧“不懂”按钮，智能触发AI助教，并将不懂的页面自动截屏，由AI答疑解惑。</w:t>
            </w:r>
          </w:p>
          <w:p w14:paraId="2CD7133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17.智能推送薄弱点及资源</w:t>
            </w:r>
          </w:p>
          <w:p w14:paraId="06E01EB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）根据每个学生的错题和知识点掌握率，自动为学生进行薄弱知识点的辅导，可以根据学生错题和知识点掌握率优先推送薄弱知识点相关的题目。</w:t>
            </w:r>
          </w:p>
          <w:p w14:paraId="7D75F4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）支持生成相似题、变式题的个性化练习，帮助学生加强知识点理解。</w:t>
            </w:r>
          </w:p>
          <w:p w14:paraId="0BBCEDE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18.智能化分层</w:t>
            </w:r>
          </w:p>
          <w:p w14:paraId="41797A6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65FA06B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19.AI试卷质量分析</w:t>
            </w:r>
          </w:p>
          <w:p w14:paraId="4541C4B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）支持从题型题量、难易度、知识点覆盖以及题目质量等多个关键维度，对试卷质量进行深入、细致地评估，提供相应建议。</w:t>
            </w:r>
          </w:p>
          <w:p w14:paraId="3F4943E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）支持根据AI推荐知识点，给题目一键关联知识点，健全知识图谱建设；老师可以进行AI【一键换题】操作，快速获取更优质、更合适的题目，提高试卷编撰效率和质量。</w:t>
            </w:r>
          </w:p>
          <w:p w14:paraId="6F7818C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20.AI实践</w:t>
            </w:r>
          </w:p>
          <w:p w14:paraId="390DA59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科教学体系中，实践教学是培养应用型人才的核心模块，尤其在医学、心理学等强实操性领域具有不可替代性。AI实践是一种融合智能技术与教学场景的任务型学习方式，支持教师根据教学目标配置不同类型的实践任务。</w:t>
            </w:r>
          </w:p>
          <w:p w14:paraId="124E10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）支持预设任务内容、评分标准与评估视角等多项任务信息</w:t>
            </w:r>
          </w:p>
          <w:p w14:paraId="7F6D17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）支持学生在系统引导下完成练习、提交作品或多轮互动</w:t>
            </w:r>
          </w:p>
          <w:p w14:paraId="6D75A0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）系统可记录学生过程、提供智能评分反馈，帮助教师高效开展教学管理</w:t>
            </w:r>
          </w:p>
          <w:p w14:paraId="458C7A7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）支持情景对话型任务</w:t>
            </w:r>
          </w:p>
          <w:p w14:paraId="324F27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以“情景驱动”为核心的AI互动练习形式，支持教师设置具体情境、任务要求与交互目标，引导学生在设定情境中与AI展开多轮对话，逐步推进任务完成。</w:t>
            </w:r>
          </w:p>
          <w:p w14:paraId="2B0FD8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）支持上传作品型任务</w:t>
            </w:r>
          </w:p>
          <w:p w14:paraId="36231E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上传作品任务适用于学生提交作品型成果，如实验图片、图文混排文档等。支持教师在任务中明确作品要求，设置评估角色与评分标准，结合实际教学目标和评分标准，对学生提交内容进行评阅与打分反馈</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7FF4E16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）支持学习阶梯型任务</w:t>
            </w:r>
          </w:p>
          <w:p w14:paraId="44A6396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习阶梯是一种层层递进的任务设计方式，围绕一个核心问题，支持教师预设多个认知维度。学生需逐步作答、逐层推进，答对当前层级的问题后，才能解锁下一层，实现“按维推进、层层深入”的学习过程，帮助学生在实践中锻炼逻辑、分析与综合能力。</w:t>
            </w:r>
          </w:p>
          <w:p w14:paraId="434F1D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）支持知识设置一个简明、明确的标题，便于学生理解任务内容</w:t>
            </w:r>
          </w:p>
          <w:p w14:paraId="6A2A65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）支持选择“阶梯闯关”和“主干生长”任务类型</w:t>
            </w:r>
          </w:p>
          <w:p w14:paraId="6B1A1FB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阶梯闯关（客观题主导）实践，适用场景：聚焦知识点分层拆解、基础概念逐个突破的考核场景。以单选题/多选题/填空题拆分维度知识点，要求学生逐维攻克，确保基础概念掌握扎实，适配阶段基础检测、知识点梯度巩固。</w:t>
            </w:r>
          </w:p>
          <w:p w14:paraId="5662247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设置主干生长（主观题主导）实践，适用场景：面向多维度知识整合、复杂问题综合解决的考核场景。学生以主观推导作答后，系统检测等维度覆盖度，对缺失维度知识点生成定向追问，推动知识补漏，适配综合应用题训练、思维漏洞精准修复。</w:t>
            </w:r>
          </w:p>
          <w:p w14:paraId="3B8D68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）支持设置一个任务中最核心的探究疑问，明确学生需聚焦解决的本质问题，指引思考与探究的关键方向</w:t>
            </w:r>
          </w:p>
          <w:p w14:paraId="19316D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）支持围绕核心问题，拆解出的具体考核角度（如知识认知、原理推导、操作实践等层面），明确从哪些维度评估学生对核心问题的掌握深度与广度（一个任务至少设置一个考核维度；至多设置五个考核维度）</w:t>
            </w:r>
          </w:p>
          <w:p w14:paraId="76F453F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）支持在每个考核维度下，需添加具体知识点，支持从课程知识点中勾选，或按需自定义填写添加，精准定位该考核维度涉及的知识范畴（一个维度至少添加一个知识点；至多添加五个知识点）。</w:t>
            </w:r>
          </w:p>
          <w:p w14:paraId="090F10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互动故事</w:t>
            </w:r>
          </w:p>
          <w:p w14:paraId="573BD9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将学科知识点转化为可互动的教学剧情，学生通过与故事中的不同AI角色对话还原各类真实专业场景，在沉浸式体验中深化知识理解与应用。</w:t>
            </w:r>
          </w:p>
          <w:p w14:paraId="5E3175B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21.AI科研助手</w:t>
            </w:r>
          </w:p>
          <w:p w14:paraId="74310D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21.1AI科研智能问答</w:t>
            </w:r>
          </w:p>
          <w:p w14:paraId="7A771EE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）支持自定义切换多个学科智能体，每个智能体可绑定多个AI知识库与大模型；支持自定义智能体名称、图标、角色定位与使用场景描述。</w:t>
            </w:r>
          </w:p>
          <w:p w14:paraId="015697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）智能体回答内容支持溯源引用来源，确保回答可信；支持灵活选择多种大模型；支持设置提示词，定义智能体角色行为和问答风格。</w:t>
            </w:r>
          </w:p>
          <w:p w14:paraId="396C5C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）支持问答式检索，直接以问题形式获取文献推荐或答案摘要；支持检索结果加入阅读清单与AI解读功能。</w:t>
            </w:r>
          </w:p>
          <w:p w14:paraId="69E436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21.2AI学术追踪</w:t>
            </w:r>
          </w:p>
          <w:p w14:paraId="517929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支持用户自定义研究兴趣、学术期刊、学者、学术顶会等信息进行AI追踪，系统自动筛选并推送相关的最新优质文献。支持用户通过自然语言输入具体兴趣追踪最新学术文献。支持对推荐文献快捷引用，支持APA、MLA、GB/T7714等引用格式；支持勾选多篇推荐文献进行多文献对话，支持对多篇文献提供观点对比、研究方法对比、结论对比、摘要总结。</w:t>
            </w:r>
          </w:p>
          <w:p w14:paraId="2F4F38D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）系统自动构建用户画像，基于用户兴趣偏好与历史行为进行内容推荐；推荐内容支持加入阅读清单、课题知识库。</w:t>
            </w:r>
          </w:p>
          <w:p w14:paraId="1BF7CD0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）支持冷启动机制，帮助新用户快速匹配感兴趣内容。</w:t>
            </w:r>
          </w:p>
          <w:p w14:paraId="354BAD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21.3AI学术对话</w:t>
            </w:r>
          </w:p>
          <w:p w14:paraId="5D2B086C">
            <w:pPr>
              <w:widowControl/>
              <w:numPr>
                <w:ilvl w:val="0"/>
                <w:numId w:val="4"/>
              </w:numPr>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学术追踪的内容进行AI总结；支持AI快速解读关注领域的最新科研动态，便于用户快速及时了解最新文献、大批量文献；AI速读支持提取文章结构（研究方法、结论、贡献等）并生成摘要，支持一键生成关键要点，支持生成脑图。</w:t>
            </w:r>
          </w:p>
          <w:p w14:paraId="6FF10E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（2）支持对单个AI知识库进行AI对话；支持对期刊、学者进行AI对话，以交互方式使用户快捷了解期刊或学者某方面研究内容。</w:t>
            </w:r>
          </w:p>
          <w:p w14:paraId="36F9E6C3">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26" w:name="_Toc8610"/>
            <w:r>
              <w:rPr>
                <w:rFonts w:hint="eastAsia" w:ascii="宋体" w:hAnsi="宋体" w:cs="宋体"/>
                <w:b/>
                <w:bCs/>
                <w:snapToGrid w:val="0"/>
                <w:color w:val="000000" w:themeColor="text1"/>
                <w:szCs w:val="21"/>
                <w:highlight w:val="none"/>
                <w14:textFill>
                  <w14:solidFill>
                    <w14:schemeClr w14:val="tx1"/>
                  </w14:solidFill>
                </w14:textFill>
              </w:rPr>
              <w:t>五、智慧</w:t>
            </w:r>
            <w:r>
              <w:rPr>
                <w:rFonts w:hint="eastAsia" w:ascii="宋体" w:hAnsi="宋体" w:cs="宋体"/>
                <w:b/>
                <w:bCs/>
                <w:snapToGrid w:val="0"/>
                <w:color w:val="000000" w:themeColor="text1"/>
                <w:szCs w:val="21"/>
                <w:highlight w:val="none"/>
                <w:lang w:val="zh-CN"/>
                <w14:textFill>
                  <w14:solidFill>
                    <w14:schemeClr w14:val="tx1"/>
                  </w14:solidFill>
                </w14:textFill>
              </w:rPr>
              <w:t>课程门户建设</w:t>
            </w:r>
            <w:bookmarkEnd w:id="26"/>
          </w:p>
          <w:p w14:paraId="5BBAA15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1.智慧课程门户搭建</w:t>
            </w:r>
          </w:p>
          <w:p w14:paraId="69DC61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建设专有课程域名，进行课程门户搭建。PC门户配置功能支持用户自定义模块布局，支持拖拽式调整同一模块内不同栏目的位置，支持用户自定义对页面背景、音乐、主题色及简体或繁体字的转换设置。每一个模块内的数据来源均支持人工配置；可以是外部数据接入，也可以直接从数据中心抽调。</w:t>
            </w:r>
          </w:p>
          <w:p w14:paraId="781B154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2.智慧课程门户展示</w:t>
            </w:r>
          </w:p>
          <w:p w14:paraId="5C29766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）课程门户展示课程整体建设内容，教师团队、教学设计、课程章节、知识图谱、问题图谱、证书图谱、能力图谱、教学运行、AI知识库、AI应用。</w:t>
            </w:r>
          </w:p>
          <w:p w14:paraId="0821D2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）支持对课程门户进行二次编辑，课程基本信息，包含课程名称、封面、宣传片、主讲教师、教师团队、学时学分、课程说明等。</w:t>
            </w:r>
          </w:p>
          <w:p w14:paraId="6F692C5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）支持编辑课程简介，展示课程所属院校、专业、教师团队详情等信息。</w:t>
            </w:r>
          </w:p>
          <w:p w14:paraId="35FC5A0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3.知识图谱展示与应用</w:t>
            </w:r>
          </w:p>
          <w:p w14:paraId="6D2603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支持展示课程知识图谱，查看多种图谱模式，包含但不限于关系图谱、思维导图模式、学习路径、问题图谱等，展示课程目标图谱、问题图谱。</w:t>
            </w:r>
          </w:p>
          <w:p w14:paraId="7F06578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4.AI知识库展示</w:t>
            </w:r>
          </w:p>
          <w:p w14:paraId="40F4F16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支持展示知识库总数、资源总数、知识切片总数、问答对总数，动态展示、拓展资料、趣味测试，动态播放知识库资源。</w:t>
            </w:r>
          </w:p>
          <w:p w14:paraId="4CBE6ED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.教学设计展示</w:t>
            </w:r>
          </w:p>
          <w:p w14:paraId="7A76EB0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）支持对课程章节、小结进行数据统计，按章节展示知识图谱任务点资源及课程资料。</w:t>
            </w:r>
          </w:p>
          <w:p w14:paraId="4399418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）支持用课程－课程目标－课程知识点3层架构，展示智慧课程知识体系。支持2D\3D模式切换、全屏播放及页面缩放。</w:t>
            </w:r>
          </w:p>
          <w:p w14:paraId="23ED2C7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.课程运行数据统计分析展示</w:t>
            </w:r>
          </w:p>
          <w:p w14:paraId="5CE36BE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）支持对课程建设、运行数据进行详情分析，包含教师团队、学生人数、知识点资源数、知识点属性、知识点学情统计等。</w:t>
            </w:r>
          </w:p>
          <w:p w14:paraId="63D2946D">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27" w:name="_Toc5712"/>
            <w:r>
              <w:rPr>
                <w:rFonts w:hint="eastAsia" w:ascii="宋体" w:hAnsi="宋体" w:cs="宋体"/>
                <w:b/>
                <w:bCs/>
                <w:snapToGrid w:val="0"/>
                <w:color w:val="000000" w:themeColor="text1"/>
                <w:szCs w:val="21"/>
                <w:highlight w:val="none"/>
                <w14:textFill>
                  <w14:solidFill>
                    <w14:schemeClr w14:val="tx1"/>
                  </w14:solidFill>
                </w14:textFill>
              </w:rPr>
              <w:t>六、智慧</w:t>
            </w:r>
            <w:r>
              <w:rPr>
                <w:rFonts w:hint="eastAsia" w:ascii="宋体" w:hAnsi="宋体" w:cs="宋体"/>
                <w:b/>
                <w:bCs/>
                <w:snapToGrid w:val="0"/>
                <w:color w:val="000000" w:themeColor="text1"/>
                <w:szCs w:val="21"/>
                <w:highlight w:val="none"/>
                <w:lang w:val="zh-CN"/>
                <w14:textFill>
                  <w14:solidFill>
                    <w14:schemeClr w14:val="tx1"/>
                  </w14:solidFill>
                </w14:textFill>
              </w:rPr>
              <w:t>课程数据分析</w:t>
            </w:r>
            <w:bookmarkEnd w:id="27"/>
          </w:p>
          <w:p w14:paraId="10B7089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1.学情统计&amp;图谱统计</w:t>
            </w:r>
          </w:p>
          <w:p w14:paraId="49EB761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）支持用户能深入分析学习情况和图谱数据，以优化教学和学习策略</w:t>
            </w:r>
          </w:p>
          <w:p w14:paraId="11A15F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）支持探索每个知识点在班级中的平均表现，并在不同班级间轻松切换，以获得全面的视角</w:t>
            </w:r>
          </w:p>
          <w:p w14:paraId="1CC41C4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）支持将学情统计的快照保存为图像，便于回顾和分享</w:t>
            </w:r>
          </w:p>
          <w:p w14:paraId="7114BA3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）支持在学情统计中检索节点，帮助用户快速定位特定节点的完成率/掌握率</w:t>
            </w:r>
          </w:p>
          <w:p w14:paraId="4D1FD28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）课程总览支持创意的词云形式，展示学习中的热门知识点，直观地反映学习的重点和热点</w:t>
            </w:r>
          </w:p>
          <w:p w14:paraId="2CB0EE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）知识点学习情况分析通过图形化的方式，提供班级学习的整体视图，包括完成率和掌握率</w:t>
            </w:r>
          </w:p>
          <w:p w14:paraId="43531B0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）支持对知识点掌握情况深入分析，同时展示学生知识点掌握率和知识点完成率的前五名，以此凸显学习成效的佼佼者</w:t>
            </w:r>
          </w:p>
          <w:p w14:paraId="1F6C124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）支持全面审视所有学生的数据，提供两种不同的视角来观察这些数据：从知识点出发或从学生个体出发</w:t>
            </w:r>
          </w:p>
          <w:p w14:paraId="0AD602D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2.知识点统计</w:t>
            </w:r>
          </w:p>
          <w:p w14:paraId="29CF0A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）分类卡片综合展示关键信息，如标题、描述、知识点及其资源和标签概览，提供非任务点与任务点的数量统计</w:t>
            </w:r>
          </w:p>
          <w:p w14:paraId="4FADD04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）用户可通过点击卡片进入详情页面，页面细分为六个核心部分，全面覆盖分类的各个方面</w:t>
            </w:r>
          </w:p>
          <w:p w14:paraId="5443F9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）知识点与资源关联展示知识点数量及其关联的资源总数，揭示知识点的内容丰富度</w:t>
            </w:r>
          </w:p>
          <w:p w14:paraId="2E0DC6E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）知识点微课入口支持以列表形式展示知识点标签，并允许一键跳转至相关微课，增强学习的直接性和便捷性</w:t>
            </w:r>
          </w:p>
          <w:p w14:paraId="091F714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）知识点标签支持展示分类下所有知识点的标签数量，包括考点、重点和难点，以助于用户识别关键学习领域</w:t>
            </w:r>
          </w:p>
          <w:p w14:paraId="0293FFA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）知识点建设情况支持以柱状图形式展示每个知识点的关联资源数量，提供资源分配的视觉比较</w:t>
            </w:r>
          </w:p>
          <w:p w14:paraId="446047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）支持以班级为单位，展示不同班级之间的知识点平均掌握率和知识点平均完成率，反映学习成效和掌握程度</w:t>
            </w:r>
          </w:p>
          <w:p w14:paraId="2906C71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3.课程数据总览</w:t>
            </w:r>
          </w:p>
          <w:p w14:paraId="3DD7E6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提供课程数据总览，能多维度查看课程数据分析，基础数据、课堂报告、学情统计、学生成绩、学习监控。</w:t>
            </w:r>
          </w:p>
          <w:p w14:paraId="790D9FD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）基础数据包含学生人数、学习任务、班级、作业、考试、课堂活动、讨论区话题数；</w:t>
            </w:r>
          </w:p>
          <w:p w14:paraId="5162F59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）教学建设情况统计分析，含课程章节、课程资料、知识库、题库建设数据分析；</w:t>
            </w:r>
          </w:p>
          <w:p w14:paraId="3EE4191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）AI使用情况统计分析，含AI应用和AI指令建设数量，调用情况，AI分析题目数、AI生产资源数、AI智能体会话数等；</w:t>
            </w:r>
          </w:p>
          <w:p w14:paraId="2B7673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）学习监控包括学生成绩、学生学习进度、教学预警、知识点、资源、任务点、资料和评估活动的统计分析及导出；</w:t>
            </w:r>
          </w:p>
          <w:p w14:paraId="0EA791CB">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28" w:name="_Toc3568"/>
            <w:r>
              <w:rPr>
                <w:rFonts w:hint="eastAsia" w:ascii="宋体" w:hAnsi="宋体" w:cs="宋体"/>
                <w:b/>
                <w:bCs/>
                <w:snapToGrid w:val="0"/>
                <w:color w:val="000000" w:themeColor="text1"/>
                <w:szCs w:val="21"/>
                <w:highlight w:val="none"/>
                <w14:textFill>
                  <w14:solidFill>
                    <w14:schemeClr w14:val="tx1"/>
                  </w14:solidFill>
                </w14:textFill>
              </w:rPr>
              <w:t>七、任务引擎建设</w:t>
            </w:r>
            <w:bookmarkEnd w:id="28"/>
          </w:p>
          <w:p w14:paraId="390C96F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1.以能力培养为导向的任务设计，适配多种教学模式</w:t>
            </w:r>
          </w:p>
          <w:p w14:paraId="599E29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5F318B6E">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2.任务功能模块配置</w:t>
            </w:r>
          </w:p>
          <w:p w14:paraId="6C353C7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）支持新建、编辑、发布、管理和删除任务，并针对任务数据进行自定义排序、指定、创建文件夹进行归纳；</w:t>
            </w:r>
          </w:p>
          <w:p w14:paraId="742715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）支持AI生成任务，提高老师任务创建效率。</w:t>
            </w:r>
          </w:p>
          <w:p w14:paraId="04E48FF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）支持按照章节，教案，文本三种方式AI生成任务基本信息和任务点内容，简化老师任务设计工作，提高任务的建设质量。</w:t>
            </w:r>
          </w:p>
          <w:p w14:paraId="3BA125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）支持点击新建任务，跳转至任务编辑页面，进行基本信息编辑和任务设计工作；</w:t>
            </w:r>
          </w:p>
          <w:p w14:paraId="3992A58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）支持编辑任务基本信息，包括任务名称、任务封面、任务介绍和选择任务标签，任务标签支持对接数据源，按照单位设置展示标签内容；</w:t>
            </w:r>
          </w:p>
          <w:p w14:paraId="5B6E8CF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）支持切换标签页跳转任务设计页面，添加分组，添加任务点和设置闯关达标条件；</w:t>
            </w:r>
          </w:p>
          <w:p w14:paraId="6F6C4F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053BB5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）支持直接添加当前课下资源和当前登录用户的其他课程资源到任务下，同时支持点击添加跳转到指定页面进行资源添加；</w:t>
            </w:r>
          </w:p>
          <w:p w14:paraId="2E76060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）支持在任务点上设置闯关条件，学生需要达到任务点设置的完成条件才能够学习下一个任务点，不同类型任务点闯关条件不同；</w:t>
            </w:r>
          </w:p>
          <w:p w14:paraId="15B07B2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）支持在任务分组上设置组间闯关条件，学生需要达到组间闯关设置的完成条件后才能够学习下个分组，不同类型任务点闯关条件不同；</w:t>
            </w:r>
          </w:p>
          <w:p w14:paraId="3906819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）支持在任务设计上设置达标标准，学生完成达标标准后，整个任务学习完成，学生可以领取相应的任务达标证书；</w:t>
            </w:r>
          </w:p>
          <w:p w14:paraId="78DC21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）针对视频、文档、线上课堂、线下课堂、主题讨论、问卷、审批、自定义类型任务点，增加“成绩”按钮，方便教师录入线下教学成绩；</w:t>
            </w:r>
          </w:p>
          <w:p w14:paraId="7A26B2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）针对自定义类型任务点，增加“签到”按钮，方便老师发放签到给学生；</w:t>
            </w:r>
          </w:p>
          <w:p w14:paraId="4F14AEC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）任务中可插入PBL教学：支持开展分组教学活动，支持多种分组方式，包含固定分组、自选分组、组长建组、随机分组、面对面建组、不分组等分组方式；</w:t>
            </w:r>
          </w:p>
          <w:p w14:paraId="675A20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）活动支持教师评价、组内评价、组间评价、自评等多种评价相结合，支持分项评分指标设置；</w:t>
            </w:r>
          </w:p>
          <w:p w14:paraId="5FC8F9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）课程成绩权重支持分组任务明细分配，不同活动可设置不同考核权重。</w:t>
            </w:r>
          </w:p>
          <w:p w14:paraId="122E629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09D533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）支持针对任务点开启高阶闯关模式，使不同成绩学生后续学习的内容不一样，满足教师个性化教学的场景；</w:t>
            </w:r>
          </w:p>
          <w:p w14:paraId="76F448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）任务引擎支持选课功能，支持教师选择部分资源作为任务包，学生选择部分任务点进行选择性学习；</w:t>
            </w:r>
          </w:p>
          <w:p w14:paraId="2AA3AA2A">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）支持任务克隆功能，支持克隆给自己和克隆给他人两种方式，提高任务的复用性；</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5836E21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21</w:t>
            </w:r>
            <w:r>
              <w:rPr>
                <w:rFonts w:hint="eastAsia" w:ascii="宋体" w:hAnsi="宋体" w:cs="宋体"/>
                <w:snapToGrid w:val="0"/>
                <w:color w:val="000000" w:themeColor="text1"/>
                <w:szCs w:val="21"/>
                <w:highlight w:val="none"/>
                <w:lang w:val="zh-CN"/>
                <w14:textFill>
                  <w14:solidFill>
                    <w14:schemeClr w14:val="tx1"/>
                  </w14:solidFill>
                </w14:textFill>
              </w:rPr>
              <w:t>）支持针对任务进行报名设置工作，教师可以选择开启报名，报名需要填写信息，报名需要审批三种方式，邀请学生报名任务，同时支持查看报名信息。</w:t>
            </w:r>
          </w:p>
          <w:p w14:paraId="652313EC">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3.学生任务学习</w:t>
            </w:r>
            <w:r>
              <w:rPr>
                <w:rFonts w:hint="eastAsia" w:ascii="宋体" w:hAnsi="宋体" w:cs="宋体"/>
                <w:b/>
                <w:bCs/>
                <w:snapToGrid w:val="0"/>
                <w:color w:val="000000" w:themeColor="text1"/>
                <w:szCs w:val="21"/>
                <w:highlight w:val="none"/>
                <w:lang w:val="zh-CN"/>
                <w14:textFill>
                  <w14:solidFill>
                    <w14:schemeClr w14:val="tx1"/>
                  </w14:solidFill>
                </w14:textFill>
              </w:rPr>
              <w:tab/>
            </w:r>
          </w:p>
          <w:p w14:paraId="2F7FF5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）支持学生点击个人空间－我的任务查看我的任务列表，支持学生点击课程－任务查看我的任务</w:t>
            </w:r>
          </w:p>
          <w:p w14:paraId="02DE63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）点击进入学习，支持学生查看任务的基本信息，达标情况和解锁情况</w:t>
            </w:r>
          </w:p>
          <w:p w14:paraId="76B7EAF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）支持点击达标按钮，查看学生当前的达标情况</w:t>
            </w:r>
          </w:p>
          <w:p w14:paraId="779FDC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）任务设置发放证书后，任务达标后支持点击证书按钮，进行证书查看、下载操作</w:t>
            </w:r>
          </w:p>
          <w:p w14:paraId="6EC7BFC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）支持切换不同类型的学习路径（列表模式、框架模式、图谱模式），方便学生个性化学习</w:t>
            </w:r>
          </w:p>
          <w:p w14:paraId="40EB60C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）支持学生点击任务点进行学习，学习后返回任务详情，支持学生查看自己任务点的最新完成情况和待完成分组、任务点的解锁情况</w:t>
            </w:r>
          </w:p>
          <w:p w14:paraId="0A3EB16E">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4.任务运行达成数据统计</w:t>
            </w:r>
          </w:p>
          <w:p w14:paraId="71A992D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）学情分析页面展示学生、任务点数据和概览统计情况，方便教师一键明确学生和任务点的完成情况；</w:t>
            </w:r>
          </w:p>
          <w:p w14:paraId="4BC8B8A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）支持督学，有督学和批量督学按钮，支持针对不满足学习进度的学生、单个学生、多个学生进行发放督学通知，督促学生学习。</w:t>
            </w:r>
          </w:p>
          <w:p w14:paraId="3F12BE7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）提供移动端应用功能，教师可以通过移动端进行简单的任务管理工作；</w:t>
            </w:r>
          </w:p>
          <w:p w14:paraId="0F1246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学生可以通过移动端进行任务学习、查看达标状态、查看证书的工作。</w:t>
            </w:r>
          </w:p>
          <w:p w14:paraId="74F03B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5.《内科学》《外科学》能力导向的任务设计</w:t>
            </w:r>
          </w:p>
          <w:p w14:paraId="2F049B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供应商针对内科学、外科学课程，按</w:t>
            </w:r>
            <w:r>
              <w:rPr>
                <w:rFonts w:hint="eastAsia" w:ascii="宋体" w:hAnsi="宋体" w:cs="宋体"/>
                <w:snapToGrid w:val="0"/>
                <w:color w:val="000000" w:themeColor="text1"/>
                <w:szCs w:val="21"/>
                <w:highlight w:val="none"/>
                <w:lang w:val="en-US" w:eastAsia="zh-CN"/>
                <w14:textFill>
                  <w14:solidFill>
                    <w14:schemeClr w14:val="tx1"/>
                  </w14:solidFill>
                </w14:textFill>
              </w:rPr>
              <w:t>采购人</w:t>
            </w:r>
            <w:r>
              <w:rPr>
                <w:rFonts w:hint="eastAsia" w:ascii="宋体" w:hAnsi="宋体" w:cs="宋体"/>
                <w:snapToGrid w:val="0"/>
                <w:color w:val="000000" w:themeColor="text1"/>
                <w:szCs w:val="21"/>
                <w:highlight w:val="none"/>
                <w14:textFill>
                  <w14:solidFill>
                    <w14:schemeClr w14:val="tx1"/>
                  </w14:solidFill>
                </w14:textFill>
              </w:rPr>
              <w:t>系统整合课程横向设计，按两门课程交叉维度设计跨科综合诊疗任务，每个系统设计1个专项任务，共10项任务，任务类型可包含项目任务、问题驱动任务、临床实践任务、病例研讨任务、手术实操任务、康复诊疗综合任务等。</w:t>
            </w:r>
          </w:p>
          <w:p w14:paraId="147E3649">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29" w:name="_Toc581"/>
            <w:r>
              <w:rPr>
                <w:rFonts w:hint="eastAsia" w:ascii="宋体" w:hAnsi="宋体" w:cs="宋体"/>
                <w:b/>
                <w:bCs/>
                <w:snapToGrid w:val="0"/>
                <w:color w:val="000000" w:themeColor="text1"/>
                <w:szCs w:val="21"/>
                <w:highlight w:val="none"/>
                <w14:textFill>
                  <w14:solidFill>
                    <w14:schemeClr w14:val="tx1"/>
                  </w14:solidFill>
                </w14:textFill>
              </w:rPr>
              <w:t>八、系统对接服务</w:t>
            </w:r>
            <w:bookmarkEnd w:id="29"/>
          </w:p>
          <w:p w14:paraId="56AFE94D">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1.运维性能要求</w:t>
            </w:r>
          </w:p>
          <w:p w14:paraId="5150E4F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（1）持续更新平台模板、模块样式与应用功能，适配医学教学场景需求。</w:t>
            </w:r>
          </w:p>
          <w:p w14:paraId="49EC3AF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（2）采用响应式设计，支持PC端、移动端自适应访问，保障多终端使用体验。</w:t>
            </w:r>
          </w:p>
          <w:p w14:paraId="454066A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（3）提供数据备份与恢复服务，全方位保障平台数据安全。</w:t>
            </w:r>
          </w:p>
          <w:p w14:paraId="7E20C2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（4）提供完善的系统运维、技术支持与操作培训服务，保障平台稳定运行。</w:t>
            </w:r>
          </w:p>
          <w:p w14:paraId="52D8B0D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（5）支持对外提供平台统计数据，满足院校数据统计与管理需求。</w:t>
            </w:r>
          </w:p>
          <w:p w14:paraId="6C91C38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2.系统对接要求</w:t>
            </w:r>
          </w:p>
          <w:p w14:paraId="0A32E1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（1）提供与学校指定现有系统（如教务系统、统一认证系统、图书馆系统等）深度对接的全程服务，涵盖方案设计、接口开发、联调测试及数据迁移验证全流程。</w:t>
            </w:r>
          </w:p>
          <w:p w14:paraId="4542A56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（2）支持对接学校统一身份认证系统，实现单点登录功能，便捷进入平台。</w:t>
            </w:r>
          </w:p>
          <w:p w14:paraId="678FFD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（3）支持通过数据视图、接口等方式对接学校教务管理数据（含学生、教师、课程、选课等相关数据），并进行定期维护与更新，实现教务数据同步。</w:t>
            </w:r>
          </w:p>
          <w:p w14:paraId="5EC92FE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（4）支持对接学校现有课程教学平台的课程资源数据和运行数据，保障信息化教学的延续性与完整性。</w:t>
            </w:r>
          </w:p>
        </w:tc>
        <w:tc>
          <w:tcPr>
            <w:tcW w:w="364" w:type="pct"/>
            <w:vAlign w:val="center"/>
          </w:tcPr>
          <w:p w14:paraId="47ED4573">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门</w:t>
            </w:r>
          </w:p>
        </w:tc>
        <w:tc>
          <w:tcPr>
            <w:tcW w:w="381" w:type="pct"/>
            <w:vAlign w:val="center"/>
          </w:tcPr>
          <w:p w14:paraId="43322052">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9</w:t>
            </w:r>
          </w:p>
          <w:p w14:paraId="72BEF721">
            <w:pPr>
              <w:widowControl/>
              <w:kinsoku w:val="0"/>
              <w:wordWrap w:val="0"/>
              <w:autoSpaceDE w:val="0"/>
              <w:autoSpaceDN w:val="0"/>
              <w:adjustRightInd w:val="0"/>
              <w:snapToGrid w:val="0"/>
              <w:textAlignment w:val="center"/>
              <w:rPr>
                <w:rFonts w:hint="eastAsia" w:ascii="宋体" w:hAnsi="宋体" w:cs="宋体"/>
                <w:snapToGrid w:val="0"/>
                <w:color w:val="000000" w:themeColor="text1"/>
                <w:szCs w:val="21"/>
                <w:highlight w:val="none"/>
                <w14:textFill>
                  <w14:solidFill>
                    <w14:schemeClr w14:val="tx1"/>
                  </w14:solidFill>
                </w14:textFill>
              </w:rPr>
            </w:pPr>
          </w:p>
        </w:tc>
      </w:tr>
      <w:tr w14:paraId="41CD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7353235C">
            <w:pPr>
              <w:widowControl/>
              <w:kinsoku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2</w:t>
            </w:r>
          </w:p>
        </w:tc>
        <w:tc>
          <w:tcPr>
            <w:tcW w:w="683" w:type="pct"/>
            <w:gridSpan w:val="2"/>
            <w:tcMar>
              <w:top w:w="13" w:type="dxa"/>
              <w:left w:w="57" w:type="dxa"/>
              <w:bottom w:w="0" w:type="dxa"/>
              <w:right w:w="57" w:type="dxa"/>
            </w:tcMar>
            <w:vAlign w:val="center"/>
          </w:tcPr>
          <w:p w14:paraId="2B9AA471">
            <w:pPr>
              <w:widowControl/>
              <w:kinsoku w:val="0"/>
              <w:wordWrap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公共卫生学院2026年</w:t>
            </w:r>
            <w:r>
              <w:rPr>
                <w:rFonts w:hint="eastAsia" w:ascii="宋体" w:hAnsi="宋体" w:cs="宋体"/>
                <w:b/>
                <w:bCs/>
                <w:snapToGrid w:val="0"/>
                <w:color w:val="000000" w:themeColor="text1"/>
                <w:szCs w:val="21"/>
                <w:highlight w:val="none"/>
                <w:lang w:val="zh-CN"/>
                <w14:textFill>
                  <w14:solidFill>
                    <w14:schemeClr w14:val="tx1"/>
                  </w14:solidFill>
                </w14:textFill>
              </w:rPr>
              <w:t>智慧课程建设</w:t>
            </w:r>
            <w:r>
              <w:rPr>
                <w:rFonts w:hint="eastAsia" w:ascii="宋体" w:hAnsi="宋体" w:cs="宋体"/>
                <w:b/>
                <w:bCs/>
                <w:snapToGrid w:val="0"/>
                <w:color w:val="000000" w:themeColor="text1"/>
                <w:szCs w:val="21"/>
                <w:highlight w:val="none"/>
                <w14:textFill>
                  <w14:solidFill>
                    <w14:schemeClr w14:val="tx1"/>
                  </w14:solidFill>
                </w14:textFill>
              </w:rPr>
              <w:t>服务项目</w:t>
            </w:r>
          </w:p>
        </w:tc>
        <w:tc>
          <w:tcPr>
            <w:tcW w:w="3298" w:type="pct"/>
            <w:tcMar>
              <w:top w:w="13" w:type="dxa"/>
              <w:left w:w="57" w:type="dxa"/>
              <w:bottom w:w="0" w:type="dxa"/>
              <w:right w:w="57" w:type="dxa"/>
            </w:tcMar>
            <w:vAlign w:val="center"/>
          </w:tcPr>
          <w:p w14:paraId="3A0A8DA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一、建设总体要求</w:t>
            </w:r>
            <w:r>
              <w:rPr>
                <w:rFonts w:hint="eastAsia" w:ascii="仿宋" w:hAnsi="仿宋" w:eastAsia="仿宋" w:cs="仿宋"/>
                <w:snapToGrid w:val="0"/>
                <w:color w:val="000000" w:themeColor="text1"/>
                <w:szCs w:val="21"/>
                <w:highlight w:val="none"/>
                <w:lang w:val="zh-CN"/>
                <w14:textFill>
                  <w14:solidFill>
                    <w14:schemeClr w14:val="tx1"/>
                  </w14:solidFill>
                </w14:textFill>
              </w:rPr>
              <w:br w:type="textWrapping"/>
            </w:r>
            <w:r>
              <w:rPr>
                <w:rFonts w:hint="eastAsia" w:ascii="宋体" w:hAnsi="宋体" w:cs="宋体"/>
                <w:snapToGrid w:val="0"/>
                <w:color w:val="000000" w:themeColor="text1"/>
                <w:szCs w:val="21"/>
                <w:highlight w:val="none"/>
                <w14:textFill>
                  <w14:solidFill>
                    <w14:schemeClr w14:val="tx1"/>
                  </w14:solidFill>
                </w14:textFill>
              </w:rPr>
              <w:t>1. 完成《毒理学基础》《水质理化检验》等10门公共卫生核心课程智慧化建设。对标专业人才培养方案与课程大纲，系统梳理各课程卫生监测、毒理评价、健康干预、公共卫生防控等核心知识点，搭建系统化课程知识体系。结合公卫课程跨学科融合、理论结合实践的教学特点，理清知识点内在逻辑，规范知识点层级，精准匹配教学视频、实验规范、行业标准、题库等教学资源，全面完成10门课程知识、问题、能力（目标）及课程思政四大图谱的搭建、优化与上线运行。制作团队联合课程负责人结合教学大纲与混合式教学要求，完成课程整体教学设计。紧扣公卫理论、实验、现场一体化教学需求，遵循优质开放、科教融合、产教协同原则，提升课程资源专业性与适配性。依托各课程学科特色，凝练教学亮点、凸显育人内涵，打造适配公卫人才培养的智慧化课程。</w:t>
            </w:r>
          </w:p>
          <w:p w14:paraId="0196F3C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 配套完成10门核心课程智慧教学任务工具建设，依托智能教学平台搭建标准化课程任务体系，支撑PBL、项目式、任务驱动、案例式、CDIO等多元行动导向教学模式落地，适配公卫实验分析、现场调研、卫生评价、风险防控等实践教学场景。围绕课程教学重难点与岗位实际应用场景，为每门课程打造3个标准化、可复用的教学任务示范案例，覆盖卫生检测、风险评估、健康宣教、数据统计分析等典型场景，满足常态化教学复用需求。</w:t>
            </w:r>
          </w:p>
          <w:p w14:paraId="40867F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对接通用大模型与医学教育垂直大模型，开展专业定制化知识库训练，搭建学院专属智慧教学环境。聚焦预防医学人才培养需求，打造适配公卫教学场景的专属AI助教。搭建高精度公卫专业知识库与问答库，完成场景化私有模型增强训练，配置多功能AI助教与AI工作台，独立开发3个适配公卫检验、健康管理的个性化AI实践智能体。落地AI智能答疑、案例剖析、学情诊断等智慧教学服务，全方位赋能师生智慧化教学。</w:t>
            </w:r>
          </w:p>
          <w:p w14:paraId="27A0EC7E">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30" w:name="_Toc16153"/>
            <w:r>
              <w:rPr>
                <w:rFonts w:hint="eastAsia" w:ascii="宋体" w:hAnsi="宋体" w:cs="宋体"/>
                <w:b/>
                <w:bCs/>
                <w:snapToGrid w:val="0"/>
                <w:color w:val="000000" w:themeColor="text1"/>
                <w:szCs w:val="21"/>
                <w:highlight w:val="none"/>
                <w14:textFill>
                  <w14:solidFill>
                    <w14:schemeClr w14:val="tx1"/>
                  </w14:solidFill>
                </w14:textFill>
              </w:rPr>
              <w:t>二、智慧</w:t>
            </w:r>
            <w:r>
              <w:rPr>
                <w:rFonts w:hint="eastAsia" w:ascii="宋体" w:hAnsi="宋体" w:cs="宋体"/>
                <w:b/>
                <w:bCs/>
                <w:snapToGrid w:val="0"/>
                <w:color w:val="000000" w:themeColor="text1"/>
                <w:szCs w:val="21"/>
                <w:highlight w:val="none"/>
                <w:lang w:val="zh-CN"/>
                <w14:textFill>
                  <w14:solidFill>
                    <w14:schemeClr w14:val="tx1"/>
                  </w14:solidFill>
                </w14:textFill>
              </w:rPr>
              <w:t>课程</w:t>
            </w:r>
            <w:r>
              <w:rPr>
                <w:rFonts w:hint="eastAsia" w:ascii="宋体" w:hAnsi="宋体" w:cs="宋体"/>
                <w:b/>
                <w:bCs/>
                <w:snapToGrid w:val="0"/>
                <w:color w:val="000000" w:themeColor="text1"/>
                <w:szCs w:val="21"/>
                <w:highlight w:val="none"/>
                <w14:textFill>
                  <w14:solidFill>
                    <w14:schemeClr w14:val="tx1"/>
                  </w14:solidFill>
                </w14:textFill>
              </w:rPr>
              <w:t>专属</w:t>
            </w:r>
            <w:r>
              <w:rPr>
                <w:rFonts w:hint="eastAsia" w:ascii="宋体" w:hAnsi="宋体" w:cs="宋体"/>
                <w:b/>
                <w:bCs/>
                <w:snapToGrid w:val="0"/>
                <w:color w:val="000000" w:themeColor="text1"/>
                <w:szCs w:val="21"/>
                <w:highlight w:val="none"/>
                <w:lang w:val="zh-CN"/>
                <w14:textFill>
                  <w14:solidFill>
                    <w14:schemeClr w14:val="tx1"/>
                  </w14:solidFill>
                </w14:textFill>
              </w:rPr>
              <w:t>AI环境搭建</w:t>
            </w:r>
            <w:bookmarkEnd w:id="30"/>
          </w:p>
          <w:p w14:paraId="065E94F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1.通用大语言模型对接</w:t>
            </w:r>
          </w:p>
          <w:p w14:paraId="6D8C1D1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根据学校配置，完成指定通用大语言模型或多个通用大模型对接。</w:t>
            </w:r>
          </w:p>
          <w:p w14:paraId="2B2B4A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（1）需支持针对</w:t>
            </w:r>
            <w:r>
              <w:rPr>
                <w:rFonts w:hint="eastAsia" w:ascii="宋体" w:hAnsi="宋体" w:cs="宋体"/>
                <w:snapToGrid w:val="0"/>
                <w:color w:val="000000" w:themeColor="text1"/>
                <w:szCs w:val="21"/>
                <w:highlight w:val="none"/>
                <w:lang w:val="zh-CN"/>
                <w14:textFill>
                  <w14:solidFill>
                    <w14:schemeClr w14:val="tx1"/>
                  </w14:solidFill>
                </w14:textFill>
              </w:rPr>
              <w:t>医学教育垂直专属大模型，依托权威医学数智教育实验室技术架构，深度融合医学教学、临床案例与专业知识体系。要求具备高精度医学语义理解、专业知识推理与多场景教学适配能力，可支撑智能备课教案生成、临床案例解析、师生智能问答及个性化分层导学，全面满足院校医学教育数字化、AI赋能教学应用需求。</w:t>
            </w:r>
          </w:p>
          <w:p w14:paraId="416220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拥有医学垂直领域专属大模型，已完成与教学平台、课程AI智能体的深度适配整合，可呈现医学垂类大模型与教学平台、课程AI智能体的联动交互过程，直观展示医学专业领域知识传递、智能问答等实操功能，支持验证各项功能落地效果。</w:t>
            </w:r>
          </w:p>
          <w:p w14:paraId="5C396C4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2.课程专属AI知识库训练</w:t>
            </w:r>
          </w:p>
          <w:p w14:paraId="1695F99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2.1在线课程自我训练</w:t>
            </w:r>
          </w:p>
          <w:p w14:paraId="5543AA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）支持一键同步在线课程，对已有资源进行智能化训练。</w:t>
            </w:r>
          </w:p>
          <w:p w14:paraId="2D78F5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）支持增量同步在线课程，保持与课程内容的一致。</w:t>
            </w:r>
          </w:p>
          <w:p w14:paraId="4365E29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2.2资源上传与训练</w:t>
            </w:r>
          </w:p>
          <w:p w14:paraId="0985DC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）课程单元内容建设，可编辑视频、文档、图片、音频、图书、公式、符号、附件、网页、动画等。</w:t>
            </w:r>
          </w:p>
          <w:p w14:paraId="48667D7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）支持导入并编辑内容。</w:t>
            </w:r>
          </w:p>
          <w:p w14:paraId="7E8150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）视频上传与播放支持rmvb、3gp、mpg、mpeg、mov、wmv、avi、mkv、mp4、flv、vob、f4v等高清和网络格式。</w:t>
            </w:r>
          </w:p>
          <w:p w14:paraId="61C8DA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）支持2G以上文件上传。支持查看资源上传与训练状态，支持查看训练资源来源。支持按时间范围查看资源上传情况。</w:t>
            </w:r>
          </w:p>
          <w:p w14:paraId="0447730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2.3学术文献一键对接训练</w:t>
            </w:r>
          </w:p>
          <w:p w14:paraId="5F496EF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）支持对接文献库，一次性导入不超过30本课程相关书籍，进行训练。</w:t>
            </w:r>
          </w:p>
          <w:p w14:paraId="243888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）支持反复导入。</w:t>
            </w:r>
          </w:p>
          <w:p w14:paraId="1D8F57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2.4AI知识库管理功能</w:t>
            </w:r>
          </w:p>
          <w:p w14:paraId="50F6AA5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）支持“单位AI知识库”与“公共AI知识库”双维度管理，可按创建人、创建时间、知识库名称等条件进行精准检索与筛选。</w:t>
            </w:r>
          </w:p>
          <w:p w14:paraId="6A7925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支持新增知识库、知识库管理及召回参数设置等核心操作，可实时统计并展示总文件数、总字符数等关键数据，支持列表与卡片两种视图切换，同时具备分页查询功能，实现对知识库资源的全生命周期管理与高效调用。</w:t>
            </w:r>
          </w:p>
          <w:p w14:paraId="0359B5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）支持在公共AI知识库订阅相关学科、专业、领域的知识库，为保证资源适配，公共知识库建设数量不低于1900个。</w:t>
            </w:r>
          </w:p>
          <w:p w14:paraId="0AF5AAC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3.AI问答库建设</w:t>
            </w:r>
          </w:p>
          <w:p w14:paraId="0C0C12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建设课程问答库，涵盖常见问题、重点难点问题与拓展性问题，为教师与学生提供即时问题解决支持。同时，问答库应支持智能检索与语义理解，提升答疑效率与精准度。</w:t>
            </w:r>
          </w:p>
          <w:p w14:paraId="65E1D6E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3.1需求调研与主题确定</w:t>
            </w:r>
          </w:p>
          <w:p w14:paraId="42FC60B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）合作沟通：供应商与课程教学团队进行深入沟通，了解各学科的教学需求、痛点及期望。</w:t>
            </w:r>
          </w:p>
          <w:p w14:paraId="62D25A8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）主题界定：根据课程设计和师生需求，明确问答库的主题范围。</w:t>
            </w:r>
          </w:p>
          <w:p w14:paraId="4F44C1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）目标设定：确立问答库的使用目标，如辅助教学、自学辅导、考试复习等。</w:t>
            </w:r>
          </w:p>
          <w:p w14:paraId="753595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3.2问答库数据结构设计</w:t>
            </w:r>
          </w:p>
          <w:p w14:paraId="105ACB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）数据结构规划：设计高效的数据存储与检索结构，确保问答对的快速响应与准确匹配。</w:t>
            </w:r>
          </w:p>
          <w:p w14:paraId="374FE4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）技术选型：选择适合的人工智能技术框架，如自然语言处理（NLP）引擎，以支持问答对的智能匹配与语义理解。</w:t>
            </w:r>
          </w:p>
          <w:p w14:paraId="3253368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3.3问答对收集与验证</w:t>
            </w:r>
          </w:p>
          <w:p w14:paraId="4AED0F3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）内容收集：通过多渠道收集问答素材，包括课程现有资源、电子书、论文、网络资源等。</w:t>
            </w:r>
          </w:p>
          <w:p w14:paraId="529BE4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）质量审核：由课程负责人对问答对进行逐条审核，确保内容的准确性、适用性和教育性。</w:t>
            </w:r>
          </w:p>
          <w:p w14:paraId="2C3800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）标准化处理：对问答对进行标准化处理，统一格式与表述风格，提高问答库的整体质量。</w:t>
            </w:r>
          </w:p>
          <w:p w14:paraId="3C30E9D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3.4实施与测试优化</w:t>
            </w:r>
          </w:p>
          <w:p w14:paraId="682954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）功能测试：进行全面的功能测试，包括问答匹配准确性、响应速度、用户界面友好性等。</w:t>
            </w:r>
          </w:p>
          <w:p w14:paraId="4ABB9A5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）优化调整：根据测试结果及用户反馈，对系统进行必要的优化调整，提升系统性能与用户体验。</w:t>
            </w:r>
          </w:p>
          <w:p w14:paraId="5D8A965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3.5技术支持与更新维护</w:t>
            </w:r>
          </w:p>
          <w:p w14:paraId="62EFCF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（1）问答时支持智能推荐问题关联的相关微应用，点击应用可直接跳转到应用界面，实现应用跳转和业务处理；</w:t>
            </w:r>
          </w:p>
          <w:p w14:paraId="7BD1EA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）支持用户手动上传文档至问答库，上传后系统可对上传的文档进行解析，解析后可智能回答文档相关问题；</w:t>
            </w:r>
          </w:p>
          <w:p w14:paraId="660C697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同步校本网络教学平台已建设的网络课程资料进行智能解析，解析后可围绕课程内容进行人机问答；支持根据用户输入问题进行匹配提示；支持问答无匹配时，提供语义相似度最高的热门问题；支持未知问题回复语自定义设置。</w:t>
            </w:r>
          </w:p>
          <w:p w14:paraId="2441A1A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）支持根据学科发展及用户需求，定期更新问答库内容，保持问答库的时效性与准确性，跟踪周期至少一学期。支持对系统进行定期维护与升级，修复潜在漏洞，提升系统安全性与稳定性。</w:t>
            </w:r>
          </w:p>
          <w:p w14:paraId="165AF2A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4.AI助教问答与资源推荐</w:t>
            </w:r>
          </w:p>
          <w:p w14:paraId="0661E3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提供训练后的</w:t>
            </w:r>
            <w:r>
              <w:rPr>
                <w:rFonts w:hint="eastAsia" w:ascii="宋体" w:hAnsi="宋体" w:cs="宋体"/>
                <w:snapToGrid w:val="0"/>
                <w:color w:val="000000" w:themeColor="text1"/>
                <w:szCs w:val="21"/>
                <w:highlight w:val="none"/>
                <w14:textFill>
                  <w14:solidFill>
                    <w14:schemeClr w14:val="tx1"/>
                  </w14:solidFill>
                </w14:textFill>
              </w:rPr>
              <w:t>课程</w:t>
            </w:r>
            <w:r>
              <w:rPr>
                <w:rFonts w:hint="eastAsia" w:ascii="宋体" w:hAnsi="宋体" w:cs="宋体"/>
                <w:snapToGrid w:val="0"/>
                <w:color w:val="000000" w:themeColor="text1"/>
                <w:szCs w:val="21"/>
                <w:highlight w:val="none"/>
                <w:lang w:val="zh-CN"/>
                <w14:textFill>
                  <w14:solidFill>
                    <w14:schemeClr w14:val="tx1"/>
                  </w14:solidFill>
                </w14:textFill>
              </w:rPr>
              <w:t>AI助教，可提供问答与资源推荐。</w:t>
            </w:r>
          </w:p>
          <w:p w14:paraId="25EBF7D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）支持多轮对话，可基于上一个问题的回答继续进行后续问答；提问时支持通过语音输入问题；</w:t>
            </w:r>
          </w:p>
          <w:p w14:paraId="5B48A1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）提问时支持上传图片通过读取图片内的问题进行提问；</w:t>
            </w:r>
          </w:p>
          <w:p w14:paraId="105523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）提问时支持用户上传文档，让大模型围绕此份文档智能回答相关问题；</w:t>
            </w:r>
          </w:p>
          <w:p w14:paraId="727F0A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）支持用户自主选择是否需要大模型回复；</w:t>
            </w:r>
          </w:p>
          <w:p w14:paraId="7A4CEFF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）助教输出的答案支持显示来源，可截取显示与答案有关的原文内容，也可通过来源跳转回原文全文展开学习。</w:t>
            </w:r>
          </w:p>
          <w:p w14:paraId="1007D9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）支持查询图书、期刊等文献，根据用户输入问题推荐相关文献，图书、期刊等推荐文献支持通过在线查看原文、文献传递等途径获取；</w:t>
            </w:r>
          </w:p>
          <w:p w14:paraId="0A887C7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）支持针对用户网络课程学习进度和掌握情况，个性化推荐学习资源；</w:t>
            </w:r>
          </w:p>
          <w:p w14:paraId="53FF56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）支持移动端、PC端多种使用渠道。</w:t>
            </w:r>
          </w:p>
          <w:p w14:paraId="2D412C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AI助教可自动对没有答案的问题描述进行关键词识别并统计聚类，按照关键词问答频率由高到低排序，同时可以批量导出未知问题；支持统计历史会话，可按照时间范围、使用渠道等维度进行筛选，并可查看、导出会话具体内容。</w:t>
            </w:r>
          </w:p>
          <w:p w14:paraId="7524AFF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5.课程学习助手开通</w:t>
            </w:r>
          </w:p>
          <w:p w14:paraId="0DE468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主动为学生推荐待办任务，帮助学生分析薄弱知识点针对学生提出的概念性问题，运用苏格拉底对话，为学生进行启发式讲解针对学生上传的复杂题目、电路图、实验数据图进行讲解、解读针对学生上传的文档进行文档理解、总结归纳，生成思维导图。</w:t>
            </w:r>
          </w:p>
          <w:p w14:paraId="35A51C2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6.课程内容安全检测</w:t>
            </w:r>
          </w:p>
          <w:p w14:paraId="4E8C3F0A">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支持对平台用户发布</w:t>
            </w:r>
            <w:r>
              <w:rPr>
                <w:rFonts w:hint="eastAsia" w:ascii="宋体" w:hAnsi="宋体" w:cs="宋体"/>
                <w:snapToGrid w:val="0"/>
                <w:color w:val="000000" w:themeColor="text1"/>
                <w:szCs w:val="21"/>
                <w:highlight w:val="none"/>
                <w14:textFill>
                  <w14:solidFill>
                    <w14:schemeClr w14:val="tx1"/>
                  </w14:solidFill>
                </w14:textFill>
              </w:rPr>
              <w:t>的敏感</w:t>
            </w:r>
            <w:r>
              <w:rPr>
                <w:rFonts w:hint="eastAsia" w:ascii="宋体" w:hAnsi="宋体" w:cs="宋体"/>
                <w:snapToGrid w:val="0"/>
                <w:color w:val="000000" w:themeColor="text1"/>
                <w:szCs w:val="21"/>
                <w:highlight w:val="none"/>
                <w:lang w:val="zh-CN"/>
                <w14:textFill>
                  <w14:solidFill>
                    <w14:schemeClr w14:val="tx1"/>
                  </w14:solidFill>
                </w14:textFill>
              </w:rPr>
              <w:t>文本、图片、文档、视频等内容的分析和监控</w:t>
            </w:r>
            <w:r>
              <w:rPr>
                <w:rFonts w:hint="eastAsia" w:ascii="宋体" w:hAnsi="宋体" w:cs="宋体"/>
                <w:snapToGrid w:val="0"/>
                <w:color w:val="000000" w:themeColor="text1"/>
                <w:szCs w:val="21"/>
                <w:highlight w:val="none"/>
                <w14:textFill>
                  <w14:solidFill>
                    <w14:schemeClr w14:val="tx1"/>
                  </w14:solidFill>
                </w14:textFill>
              </w:rPr>
              <w:t>功能</w:t>
            </w:r>
            <w:r>
              <w:rPr>
                <w:rFonts w:hint="eastAsia" w:ascii="宋体" w:hAnsi="宋体" w:cs="宋体"/>
                <w:snapToGrid w:val="0"/>
                <w:color w:val="000000" w:themeColor="text1"/>
                <w:szCs w:val="21"/>
                <w:highlight w:val="none"/>
                <w:lang w:val="zh-CN"/>
                <w14:textFill>
                  <w14:solidFill>
                    <w14:schemeClr w14:val="tx1"/>
                  </w14:solidFill>
                </w14:textFill>
              </w:rPr>
              <w:t>，可按时间筛选查看、编辑、删除内容以及自定义修改监控内容；</w:t>
            </w:r>
            <w:r>
              <w:rPr>
                <w:rFonts w:hint="eastAsia" w:ascii="宋体" w:hAnsi="宋体" w:cs="宋体"/>
                <w:snapToGrid w:val="0"/>
                <w:color w:val="000000" w:themeColor="text1"/>
                <w:szCs w:val="21"/>
                <w:highlight w:val="none"/>
                <w14:textFill>
                  <w14:solidFill>
                    <w14:schemeClr w14:val="tx1"/>
                  </w14:solidFill>
                </w14:textFill>
              </w:rPr>
              <w:t>支持自定义敏感关键词、敏感忽略词、用户黑白名单、图片名单。支持通过用户风险统计、垃圾发布量、垃圾发布率的维度统计用户风险。</w:t>
            </w:r>
            <w:r>
              <w:rPr>
                <w:rFonts w:hint="eastAsia" w:ascii="宋体" w:hAnsi="宋体" w:cs="宋体"/>
                <w:b/>
                <w:bCs/>
                <w:snapToGrid w:val="0"/>
                <w:color w:val="000000" w:themeColor="text1"/>
                <w:szCs w:val="21"/>
                <w:highlight w:val="none"/>
                <w14:textFill>
                  <w14:solidFill>
                    <w14:schemeClr w14:val="tx1"/>
                  </w14:solidFill>
                </w14:textFill>
              </w:rPr>
              <w:t>（需提供</w:t>
            </w:r>
            <w:r>
              <w:rPr>
                <w:rStyle w:val="58"/>
                <w:rFonts w:hint="eastAsia" w:ascii="宋体" w:hAnsi="宋体" w:cs="宋体"/>
                <w:b/>
                <w:bCs/>
                <w:snapToGrid w:val="0"/>
                <w:color w:val="000000" w:themeColor="text1"/>
                <w:highlight w:val="none"/>
                <w14:textFill>
                  <w14:solidFill>
                    <w14:schemeClr w14:val="tx1"/>
                  </w14:solidFill>
                </w14:textFill>
              </w:rPr>
              <w:t>相关</w:t>
            </w:r>
            <w:r>
              <w:rPr>
                <w:rFonts w:hint="eastAsia" w:ascii="宋体" w:hAnsi="宋体" w:cs="宋体"/>
                <w:b/>
                <w:bCs/>
                <w:snapToGrid w:val="0"/>
                <w:color w:val="000000" w:themeColor="text1"/>
                <w:szCs w:val="21"/>
                <w:highlight w:val="none"/>
                <w14:textFill>
                  <w14:solidFill>
                    <w14:schemeClr w14:val="tx1"/>
                  </w14:solidFill>
                </w14:textFill>
              </w:rPr>
              <w:t>功能截图并加盖供应商公章）</w:t>
            </w:r>
          </w:p>
          <w:p w14:paraId="70CF1BBD">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31" w:name="_Toc30930"/>
            <w:r>
              <w:rPr>
                <w:rFonts w:hint="eastAsia" w:ascii="宋体" w:hAnsi="宋体" w:cs="宋体"/>
                <w:b/>
                <w:bCs/>
                <w:snapToGrid w:val="0"/>
                <w:color w:val="000000" w:themeColor="text1"/>
                <w:szCs w:val="21"/>
                <w:highlight w:val="none"/>
                <w14:textFill>
                  <w14:solidFill>
                    <w14:schemeClr w14:val="tx1"/>
                  </w14:solidFill>
                </w14:textFill>
              </w:rPr>
              <w:t>三、智慧</w:t>
            </w:r>
            <w:r>
              <w:rPr>
                <w:rFonts w:hint="eastAsia" w:ascii="宋体" w:hAnsi="宋体" w:cs="宋体"/>
                <w:b/>
                <w:bCs/>
                <w:snapToGrid w:val="0"/>
                <w:color w:val="000000" w:themeColor="text1"/>
                <w:szCs w:val="21"/>
                <w:highlight w:val="none"/>
                <w:lang w:val="zh-CN"/>
                <w14:textFill>
                  <w14:solidFill>
                    <w14:schemeClr w14:val="tx1"/>
                  </w14:solidFill>
                </w14:textFill>
              </w:rPr>
              <w:t>课程图谱建设服务</w:t>
            </w:r>
            <w:bookmarkEnd w:id="31"/>
          </w:p>
          <w:p w14:paraId="0433D7F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1.课程图谱设计</w:t>
            </w:r>
          </w:p>
          <w:p w14:paraId="6040D3B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知识图谱设计。通过图谱可视化工具展示课程内容的逻辑结构和知识点之间的关联，帮助学生更直观地理解课程体系，为学生构建更完整的知识网络，培养学生的系统思维能力。</w:t>
            </w:r>
          </w:p>
          <w:p w14:paraId="6E59255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）供应商根据课程教学团队需求，完成目标图谱设计。通过分解课程目标、关联知识点、提供融入教学活动与评估建议，实现课程设计、教学实施与学习评价的一致性，保障教学成效，助力课程目标有效达成。</w:t>
            </w:r>
          </w:p>
          <w:p w14:paraId="3FBA49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）供应商根据课程教学团队需求，完成问题图谱设计，帮助学生梳理问题逻辑，逐步引导学生解决复杂问题。</w:t>
            </w:r>
          </w:p>
          <w:p w14:paraId="37C7B96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）供应商根据课程教学团队需求，完成课程思政图谱设计。通过标记思政标签，融入课程思政元素，构建课程思政图谱，明确课程中思想政治教育的切入点与实施路径，实现价值引领与知识传授的有机结合。</w:t>
            </w:r>
          </w:p>
          <w:p w14:paraId="56A2FD8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2.知识图谱建设与应用</w:t>
            </w:r>
          </w:p>
          <w:p w14:paraId="5E29AC1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）支持知识点多层级架构建立，生成分类－知识点关系。</w:t>
            </w:r>
          </w:p>
          <w:p w14:paraId="32507F5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手动添加、批量导入等方式构建知识图谱。批量导入需支持填写知识点名称、标签信息、认知维度、分类属性、教学目标、知识点说明等信息数据。手动编辑需支持单个修改知识点属性编辑，可批量或单独对当前知识点进行移动。</w:t>
            </w:r>
          </w:p>
          <w:p w14:paraId="670EBE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）支持智能导入，用户上传课程大纲、教材或PPT文件等，系统智能识别构建生成知识图谱。</w:t>
            </w:r>
          </w:p>
          <w:p w14:paraId="1E9FE2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）支持本地导入</w:t>
            </w:r>
            <w:r>
              <w:rPr>
                <w:rFonts w:hint="eastAsia" w:ascii="宋体" w:hAnsi="宋体" w:cs="宋体"/>
                <w:snapToGrid w:val="0"/>
                <w:color w:val="000000" w:themeColor="text1"/>
                <w:szCs w:val="21"/>
                <w:highlight w:val="none"/>
                <w14:textFill>
                  <w14:solidFill>
                    <w14:schemeClr w14:val="tx1"/>
                  </w14:solidFill>
                </w14:textFill>
              </w:rPr>
              <w:t>X</w:t>
            </w:r>
            <w:r>
              <w:rPr>
                <w:rFonts w:hint="eastAsia" w:ascii="宋体" w:hAnsi="宋体" w:cs="宋体"/>
                <w:snapToGrid w:val="0"/>
                <w:color w:val="000000" w:themeColor="text1"/>
                <w:szCs w:val="21"/>
                <w:highlight w:val="none"/>
                <w:lang w:val="zh-CN"/>
                <w14:textFill>
                  <w14:solidFill>
                    <w14:schemeClr w14:val="tx1"/>
                  </w14:solidFill>
                </w14:textFill>
              </w:rPr>
              <w:t>mind格式的思维导图文件，自动读取文件数据，生成课程知识图谱，并能够导出excel格式文件。</w:t>
            </w:r>
          </w:p>
          <w:p w14:paraId="6DE902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）支持与教学平台打通，可通过教学平台现有课程章节选择生成章节图谱。</w:t>
            </w:r>
          </w:p>
          <w:p w14:paraId="5D0C196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）创建图谱支持同步其他课程图谱，支持全量同步或者部分选择同步。支持教学平台所教的课程导入及从教务课程导入功能支持导入知识点之间的关系。</w:t>
            </w:r>
          </w:p>
          <w:p w14:paraId="6F2477D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）支持AI生成图谱功能，系统可以基于教师已经建设好的网络课程结合AI应用自动生成知识图谱，并支持直接使用生成的图谱，同时支持在生成的图谱上进行自定义化修改。</w:t>
            </w:r>
          </w:p>
          <w:p w14:paraId="0FD7E9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）知识图谱知识点支持说明添加，可添加富文本编辑框、公式编辑等富媒体文本。支持AI生成知识点说明。</w:t>
            </w:r>
          </w:p>
          <w:p w14:paraId="6E7D42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 xml:space="preserve"> （9）支持知识图谱自定义编辑功能，系统提供至少8种图谱形态，用户可根据课程性质选择合适的图谱形态进行编辑。</w:t>
            </w:r>
          </w:p>
          <w:p w14:paraId="5BC52B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）支持进行跨课知识点关联，实现不同课程之间知识的聚合联动，关联后可以实现跨课学习并进行专业下多门课程的知识点关联展示应用。</w:t>
            </w:r>
          </w:p>
          <w:p w14:paraId="035DE8B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）知识图谱显示支持2D和3D展示效果，用户可自主地进行模式切换。</w:t>
            </w:r>
          </w:p>
          <w:p w14:paraId="075BCDA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3.问题图谱建设与应用</w:t>
            </w:r>
          </w:p>
          <w:p w14:paraId="2AFCCA7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）基于课程知识图谱，建设不少于三层的问题体系，系统提供对每层级问题的定义能力，允许用户添加问题详情及其与知识点的关联。</w:t>
            </w:r>
          </w:p>
          <w:p w14:paraId="3276D7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）支持用户可根据教学需求，自定义栏目标题和描述，以适应多样化的教学情境。支持用户对栏目中节点的名称、描述、标签和知识点进行修改，保持内容的时效性和准确性。</w:t>
            </w:r>
          </w:p>
          <w:p w14:paraId="5F1593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）支持通过图谱形式展现问题与知识点的关联，使用户能够直观理解知识间的联系。</w:t>
            </w:r>
          </w:p>
          <w:p w14:paraId="6E0AE1E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）提供两种子级问题关联方式，包括层级连线和板块关联功能，以展示问题间的层级结构。</w:t>
            </w:r>
          </w:p>
          <w:p w14:paraId="0EC1A0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）支持批量导入问题数据和一键导出问题图谱数据，简化教学资源的准备工作。</w:t>
            </w:r>
          </w:p>
          <w:p w14:paraId="17B199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）支持开启探索模式，模拟学生学习路径，通过问题选择和知识点关联，促进学生的深入思考。在探索模式中，用户被引导将核心问题与子问题连接，形成知识网络，并通过提交与标准答案对比，实现自我评估。</w:t>
            </w:r>
          </w:p>
          <w:p w14:paraId="6CD01B0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4.课程思政图谱建设与应用</w:t>
            </w:r>
          </w:p>
          <w:p w14:paraId="5857E1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）支持自动根据现有的图谱信息生成课程思政图谱的功能。支持将标签为“课程思政”的知识点以花朵的形式呈现，以视觉突出其在课程中的核心地位，同时以花苞的形式展示其他的知识点。</w:t>
            </w:r>
          </w:p>
          <w:p w14:paraId="733A6F6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）支持搜索功能覆盖知识点、分类和标签，实现全面性，满足用户不同维度的搜索需求。</w:t>
            </w:r>
          </w:p>
          <w:p w14:paraId="5F59C4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）支持通过点击操作，可深入分类卡片获取详细信息，知识点用户也可以选择开启卡片，直接跳转至微课进行学习，实现知识获取的快速通道。</w:t>
            </w:r>
          </w:p>
          <w:p w14:paraId="030D08E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5.目标图谱建设</w:t>
            </w:r>
          </w:p>
          <w:p w14:paraId="268B1C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）系统允许根据不同班级特点定制课程目标，以满足特定教学需求。支持课程目标模板导入/一键导出功能，便于教师对于课程目标可以直观浏览和整理，同时也能有效地和其他工具同时使用。</w:t>
            </w:r>
          </w:p>
          <w:p w14:paraId="2D8C78D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）支持课程目标与知识点进行关联，以展示目标与教学内容的直接联系。</w:t>
            </w:r>
          </w:p>
          <w:p w14:paraId="756BDA0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）支持以柱状图展示课程目标关联知识点的个数，提供直观的统计信息；</w:t>
            </w:r>
          </w:p>
          <w:p w14:paraId="500884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）支持以列表形式展示课程目标总数、课程目标名称、课程目标说明、课程目标标签以及所关联的知识点个数，方便用户快速浏览和了解。</w:t>
            </w:r>
          </w:p>
          <w:p w14:paraId="31B875B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）支持以图谱形式展示每个课程目标所关联的知识点情况，增强信息的可视化效果。</w:t>
            </w:r>
          </w:p>
          <w:p w14:paraId="66DC05B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6.自定义图谱建设</w:t>
            </w:r>
          </w:p>
          <w:p w14:paraId="6989E2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）具备自定义图谱功能，可根据个性化的图谱展示进行自定义图谱建设。</w:t>
            </w:r>
          </w:p>
          <w:p w14:paraId="657AE08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）提供多种图谱样式，满足教师不同教学场景，供自由选择。</w:t>
            </w:r>
          </w:p>
          <w:p w14:paraId="746E9FB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7.知识点微课建设与应用</w:t>
            </w:r>
          </w:p>
          <w:p w14:paraId="6D2A1AB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）支持教师对课程章节内容，包括——视频、音频、文档、图书、章节测验等进行知识点标记，作为知识点教学任务进行设置，方便学生按知识点进行任务学习。</w:t>
            </w:r>
          </w:p>
          <w:p w14:paraId="55836F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）支持按知识点上传资源，并查看知识点关联资源数量，方便教师按知识点管理资源。</w:t>
            </w:r>
          </w:p>
          <w:p w14:paraId="7D7E87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）知识点卡片须具备资料添加功能，可通过添加资料关联建设知识点下相关课程资料及其他相关资源。</w:t>
            </w:r>
          </w:p>
          <w:p w14:paraId="1F4AE3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）支持多种题型的创建管理，包括单选、多选、填空、判断、简答、名词解析、论述、计算、分录、连线、排序、完形填空、阅读理解、口语、听力等常见题型。</w:t>
            </w:r>
          </w:p>
          <w:p w14:paraId="6ED4EF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）支持在创建或编辑题目时标记每道题对应的知识点标签，并支持按知识点筛选管理题目。支持按模板批量导入题目时导入题目知识点，支持批量编辑题目关联知识点。</w:t>
            </w:r>
          </w:p>
          <w:p w14:paraId="4A051E0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）题目关联知识点操作时系统支持智能推荐知识点，便于教师快速进行关联操作。</w:t>
            </w:r>
          </w:p>
          <w:p w14:paraId="09E45E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）支持AI生成学习内容，系统结合AI可根据教师网络课程内容自动生成知识点学习内容，生成的内容可一键加入微课中。</w:t>
            </w:r>
          </w:p>
          <w:p w14:paraId="0A7F794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）支持错题显示解析以及相关知识点。图谱知识点学习界面支持错题集功能，可将学生学习过程中产生的错题归类到知识点下的错题集中。</w:t>
            </w:r>
          </w:p>
          <w:p w14:paraId="5BC6793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）支持学生查看课程知识图谱，并查看每个知识点的学习进度情况。</w:t>
            </w:r>
          </w:p>
          <w:p w14:paraId="47E9388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）支持学生按知识点进行课程任务学习，观看课程视频，阅读课程资料等。</w:t>
            </w:r>
          </w:p>
          <w:p w14:paraId="6F3106B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）支持学生按知识点从题库或错题本抽题，逐题自测。支持学生自测时可以设置抽题范围，仅抽当前知识点以及前置知识点的题，避免抽到未开始学习的知识点试题。</w:t>
            </w:r>
          </w:p>
          <w:p w14:paraId="72DE431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）学生端可以查看推荐资源，进行拓展学习。推荐资源应基于知识点智能推荐课程、资源、课程思政资源、题目、论文、期刊、图书、互联网资源等。</w:t>
            </w:r>
          </w:p>
          <w:p w14:paraId="05DB8371">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13</w:t>
            </w:r>
            <w:r>
              <w:rPr>
                <w:rFonts w:hint="eastAsia" w:ascii="宋体" w:hAnsi="宋体" w:cs="宋体"/>
                <w:b/>
                <w:bCs/>
                <w:snapToGrid w:val="0"/>
                <w:color w:val="000000" w:themeColor="text1"/>
                <w:szCs w:val="21"/>
                <w:highlight w:val="none"/>
                <w:lang w:val="zh-CN"/>
                <w14:textFill>
                  <w14:solidFill>
                    <w14:schemeClr w14:val="tx1"/>
                  </w14:solidFill>
                </w14:textFill>
              </w:rPr>
              <w:t>）支持精准教学设计功能，可以自定义建设事件，可设置知识点的掌握率及完成率的设置，支持自定义学习路径或者微课资料，支持设置对应的动作；</w:t>
            </w:r>
          </w:p>
          <w:p w14:paraId="0FBCABCD">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）支持视频的虚拟剪辑，只需要拖动视频播放的起始点、终止点，就可以将视频文件按照课程的要求剪辑成适当长度，教师还可手动输入时间点，进行视频在线虚拟剪辑。</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Style w:val="58"/>
                <w:rFonts w:hint="eastAsia" w:ascii="宋体" w:hAnsi="宋体" w:cs="宋体"/>
                <w:b/>
                <w:bCs/>
                <w:snapToGrid w:val="0"/>
                <w:color w:val="000000" w:themeColor="text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2E01F8E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4910B1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）支持视频替换功能，替换学习视频后，不影响学生已产生的学习记录和成绩。</w:t>
            </w:r>
          </w:p>
          <w:p w14:paraId="21D3CA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17</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p>
          <w:p w14:paraId="7A05F7E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）对课程视频进行智能切片，按切片时间点点击可跳转学习对应片段视频；</w:t>
            </w:r>
          </w:p>
          <w:p w14:paraId="780CC87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）支持学生对不懂的视频或PDF文档点击“不懂”，触发AI助教及时答疑，页面自动截屏供AI助教分析。</w:t>
            </w:r>
          </w:p>
          <w:p w14:paraId="49A2D81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0DCBA26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8.基于知识图谱的数智驱动数据分析与统计</w:t>
            </w:r>
          </w:p>
          <w:p w14:paraId="52FE720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）支持教师查看知识图谱的知识点建设情况，包括知识点建设率、图谱知识点总数、图谱关联资源知识点数、已设置标签的知识点数、图谱未关联资源知识点数等；</w:t>
            </w:r>
          </w:p>
          <w:p w14:paraId="46BAD6F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）支持查看不同知识点属性概况数据；支持查看图谱资源总数，关联视频、音频、文档、题目及其他类型资源数等；支持查看知识点关联资源数量排行榜。</w:t>
            </w:r>
          </w:p>
          <w:p w14:paraId="3010881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）支持教师查看不同班级的学情数据，包括每个知识点的完成率与掌握率、知识点热度、完成率与掌握率的学情分段人数、学生完成率与掌握率排行情况等数据。</w:t>
            </w:r>
          </w:p>
          <w:p w14:paraId="4068DF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）支持教师选择多个不同班级进行学情数据对比，对比内容包括班级掌握率、班级完成率、完成率区间对比与掌握率区间对比等数据。通过班级对比分析，便于教师更好地了解不同班级间的学习差异。</w:t>
            </w:r>
          </w:p>
          <w:p w14:paraId="5B69D5A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9.移动端知识图谱应用</w:t>
            </w:r>
          </w:p>
          <w:p w14:paraId="4C7E4D8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）支持用户通过移动端设备访问知识图谱，实现随时随地的个性化学习。移动端提供图谱模式、大纲模式和学习地图模式，以适应不同用户的学习偏好和场景需求。</w:t>
            </w:r>
          </w:p>
          <w:p w14:paraId="61B5F08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）移动端图谱模式下，用户可以选择导航模式或全局模式，分别深入探索或宏观把握知识结构。移动端图谱模式下左侧导航区域以列表形式展示分类和知识点，支持快速定位和子级展开。</w:t>
            </w:r>
          </w:p>
          <w:p w14:paraId="0F15668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）支持基于关键字的搜索和模糊匹配，帮助用户迅速找到目标知识点及相关全面信息。</w:t>
            </w:r>
          </w:p>
          <w:p w14:paraId="08A0E9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）移动端导航模式下，图谱以一种集中的形态展示最高层级的分类或知识点，允许用户通过交互进一步探索其子级和它们之间的联系。</w:t>
            </w:r>
          </w:p>
          <w:p w14:paraId="550E36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）移动端直观展示知识点掌握率和完成率，反映用户个人学习情况。</w:t>
            </w:r>
          </w:p>
          <w:p w14:paraId="372781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）支持从宏观和微观视角展示用户的知识点掌握情况，并允许与班级整体表现进行比较。</w:t>
            </w:r>
          </w:p>
          <w:p w14:paraId="1D17BD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）支持查看和该知识点相关的错题集，帮助用户更有针对性地进行复习。</w:t>
            </w:r>
          </w:p>
          <w:p w14:paraId="2780BA2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）支持点击知识点跳转至微课进行深入学习。移动端微课提供分析、学习内容、自测、资料、错题集、讨论等多功能模块。</w:t>
            </w:r>
          </w:p>
          <w:p w14:paraId="662397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）用户可以根据个人需求在移动端微课选择自测模式，包括时间限制和题目选择，以创建专属的自测体验。自测功能支持仅从未尝试过的题目中抽取，确保每次自测的新鲜感和有效性。</w:t>
            </w:r>
          </w:p>
          <w:p w14:paraId="453C82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）支持对课程所有资源进行智能安全检测。可通过后台配置关键词、忽略词，便于系统审核时，对关键词和忽略词进行屏蔽与忽略，降低人工审核的错误率。</w:t>
            </w:r>
          </w:p>
          <w:p w14:paraId="72E0E9A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10.智慧课程群建设</w:t>
            </w:r>
          </w:p>
          <w:p w14:paraId="12F1531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）以核心课程为基点，支持构建相互关联、层层递进的智慧课程群，打破课程边界，形成学科专业的完整知识链条，呈现横向融通、纵向贯通专业课程体系，帮助学生形成系统化的知识网络。</w:t>
            </w:r>
          </w:p>
          <w:p w14:paraId="6C18A4B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）支持用户根据需求灵活选择不同的图谱模式，将自定义内容与课程群内的课程——知识点进行可视化关联，从而构建个性化的知识网络，深化理解与应用</w:t>
            </w:r>
          </w:p>
          <w:p w14:paraId="1363B56E">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）支持创立智慧课程群展示门户，可自定义课程群门户信息包括课程群名称、课程群类型、课程群介绍、教师团队等信息。</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10CB02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）支持数据统计功能，可查看课程群门户中的课程数、课程图谱数、知识点总数、教学资源数。</w:t>
            </w:r>
          </w:p>
          <w:p w14:paraId="5D2F353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）具备资源分布统计功能，可以展示课程群所包含的每门课程的资源总数，包括视频、音频、文档、题目、其他等。</w:t>
            </w:r>
          </w:p>
          <w:p w14:paraId="3FD502C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）具备资源分类展示功能，以饼状图及柱状图展示课程群下每门课程资源的分布情况。</w:t>
            </w:r>
          </w:p>
          <w:p w14:paraId="73B00E9C">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32" w:name="_Toc506"/>
            <w:r>
              <w:rPr>
                <w:rFonts w:hint="eastAsia" w:ascii="宋体" w:hAnsi="宋体" w:cs="宋体"/>
                <w:b/>
                <w:bCs/>
                <w:snapToGrid w:val="0"/>
                <w:color w:val="000000" w:themeColor="text1"/>
                <w:szCs w:val="21"/>
                <w:highlight w:val="none"/>
                <w14:textFill>
                  <w14:solidFill>
                    <w14:schemeClr w14:val="tx1"/>
                  </w14:solidFill>
                </w14:textFill>
              </w:rPr>
              <w:t>四、</w:t>
            </w:r>
            <w:r>
              <w:rPr>
                <w:rFonts w:hint="eastAsia" w:ascii="宋体" w:hAnsi="宋体" w:cs="宋体"/>
                <w:b/>
                <w:bCs/>
                <w:snapToGrid w:val="0"/>
                <w:color w:val="000000" w:themeColor="text1"/>
                <w:szCs w:val="21"/>
                <w:highlight w:val="none"/>
                <w:lang w:val="zh-CN"/>
                <w14:textFill>
                  <w14:solidFill>
                    <w14:schemeClr w14:val="tx1"/>
                  </w14:solidFill>
                </w14:textFill>
              </w:rPr>
              <w:t>AI工作台智慧教学应用</w:t>
            </w:r>
            <w:bookmarkEnd w:id="32"/>
          </w:p>
          <w:p w14:paraId="0F174A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指导老师应用AI工具，在备课、教学、学习、教研、科研、评价等全流程深度融合，实现数字素养提升，并实现AI赋能的“师/生/机”深度交互教学模式改革。具有AI教案、AI生成PPT、AI智能写作与校正、章节视频与文档AI解析、AI智能出题、公式识别、作业智能查重、AIGC检测、文献阅读、视频理解、智能翻译、资料查询助手等AI工具应用于教学。</w:t>
            </w:r>
          </w:p>
          <w:p w14:paraId="3AAEE67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1.AI教案</w:t>
            </w:r>
          </w:p>
          <w:p w14:paraId="574771F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）教师输入教学材料或关键词，AI自动生成教案，并支持教师借助写作助手进行再次编辑。</w:t>
            </w:r>
          </w:p>
          <w:p w14:paraId="0BE994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）支持教师补充所教层次、适合的教学风格，形成更加具有个性化的教案。</w:t>
            </w:r>
          </w:p>
          <w:p w14:paraId="1D09DAB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）支持一键导出教案，并且支持按学校教案模板导出。</w:t>
            </w:r>
          </w:p>
          <w:p w14:paraId="7EC10D5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2.AI课件</w:t>
            </w:r>
          </w:p>
          <w:p w14:paraId="079D8B9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）通过输入PPT内容要求，AI智能生成PPT大纲</w:t>
            </w:r>
          </w:p>
          <w:p w14:paraId="49A135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）支持教师在线直接编辑生成的大纲内容</w:t>
            </w:r>
          </w:p>
          <w:p w14:paraId="75E696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）支持AI自动根据大纲生成PPT，教师可以进行在线编辑或下载</w:t>
            </w:r>
          </w:p>
          <w:p w14:paraId="3649EB8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）支持选择PPT模板场景、设计风格、主题颜色，生成个性化PPT</w:t>
            </w:r>
          </w:p>
          <w:p w14:paraId="26BFDAB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3.AI写作</w:t>
            </w:r>
          </w:p>
          <w:p w14:paraId="7C7CBD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）老师可以向AI写作助手提出需求，点击“生成”，写作助手会根据要求智能生成相应的内容，老师点击保存可以将内容输出到章节编辑页面上</w:t>
            </w:r>
          </w:p>
          <w:p w14:paraId="3C12A9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）老师可进行文本修改、删减或排版</w:t>
            </w:r>
          </w:p>
          <w:p w14:paraId="6B84C06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）在章节编辑页面，选中内容可进行AI改写、扩写、续写、简写、翻译等操作</w:t>
            </w:r>
          </w:p>
          <w:p w14:paraId="6589D86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4.AI出题</w:t>
            </w:r>
          </w:p>
          <w:p w14:paraId="1FDDE3B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）支持教师通过知识点、输入文本、上传附件文档和视频、选定章节等多种方式，搭配补充出题要求说明，由AI自动生成相应试题。AI系统可以自动生成对应的题目并且不限制教师使用次数。</w:t>
            </w:r>
          </w:p>
          <w:p w14:paraId="776C663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）支持多种题型，题型包括选择题、填空题、简答题等，以便满足不同类型考题的需求</w:t>
            </w:r>
          </w:p>
          <w:p w14:paraId="211A07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）教师可以根据课程内容和学生水平，将生成的题目添加到题库。并随时使用这些题目进行测验、考试或者课堂练习。</w:t>
            </w:r>
          </w:p>
          <w:p w14:paraId="099377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）支持设置出题要求，比如：适用年级、难易度、题目偏向等。</w:t>
            </w:r>
          </w:p>
          <w:p w14:paraId="7B1B5E4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）支持教师在线编辑调整AI生成的试题，也可以一键加入题库，组成作业考试发布给学生，并且支持跨课程使用生成的题目。</w:t>
            </w:r>
          </w:p>
          <w:p w14:paraId="1F7BFEA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）支持根据出题结果生成配套图片，结合题目信息选择图片类型，生成图片后可直接插入题干，至少支持2种图片类型选择。</w:t>
            </w:r>
          </w:p>
          <w:p w14:paraId="7D4EA77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5.AI批阅</w:t>
            </w:r>
          </w:p>
          <w:p w14:paraId="7FE1E25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）使用先进的AI技术，能够批阅学生的主观题、论述题、小论文等。</w:t>
            </w:r>
          </w:p>
          <w:p w14:paraId="35E3A0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）对参考答案和学生答案进行分词处理和语法分析，以便计算词语和语句的相似度，从而量化学生答案与标准答案的匹配程度</w:t>
            </w:r>
          </w:p>
          <w:p w14:paraId="2F8BA78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）支持利用语义相似度计算结果给出学生相应的得分，通过深度学习等技术来模拟人类对语义相似度的判断，从而更准确地评估学生的答案质量。</w:t>
            </w:r>
          </w:p>
          <w:p w14:paraId="492246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）系统可以根据教师设置的得分点来匹配得分，确保评分符合标准化要求，同时满足教学目标和评价体系。</w:t>
            </w:r>
          </w:p>
          <w:p w14:paraId="32EB9AB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）支持智能批阅程序题。</w:t>
            </w:r>
          </w:p>
          <w:p w14:paraId="5E954FB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）支持从结构、内容、语言等6个大维度，12～16个细分维度进行打分，并给出推荐总分。</w:t>
            </w:r>
          </w:p>
          <w:p w14:paraId="11048B7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）AI批阅系统不仅提供整体评价，还支持对精彩句子进行点评，并给出提升建议。</w:t>
            </w:r>
          </w:p>
          <w:p w14:paraId="2D22E5A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）支持揪出学生作文中的错别字，提供修改建议，帮助学生提高写作水平。</w:t>
            </w:r>
          </w:p>
          <w:p w14:paraId="6B670AC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6.AI学情分析</w:t>
            </w:r>
          </w:p>
          <w:p w14:paraId="764B70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）支持智能呈现班级整体知识点分析数据，提供个性化学习路径。</w:t>
            </w:r>
          </w:p>
          <w:p w14:paraId="11D08DC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）可查看知识点平均完成率、平均掌握率、完成率分布和掌握率分布等。支持按知识点查看每个知识点的关联学习资源数、平均完成率、平均掌握率、课程资料数、课程资料人均阅读情况等。</w:t>
            </w:r>
          </w:p>
          <w:p w14:paraId="215F46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）基于AI学情分析，可由AI生成学情分析画像，减轻教师学情分析压力，提升效率。</w:t>
            </w:r>
          </w:p>
          <w:p w14:paraId="13C1EAB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3156EE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）支持根据平台学生整体学习数据及专项数据，或者上传excel文档，教师可自定义分析维度，AI自动进行学生学情分析并提供建议提醒。</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6FF107C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）支持多班对比分析：对多个班级的数据进行深度分析，洞察每个班级的独特学情，为教育决策提供科学依据。</w:t>
            </w:r>
          </w:p>
          <w:p w14:paraId="1780EE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）支持内置常见问题：智能解答，即刻响应。精准识别并预测用户常见问题，提供即时、精准的智能回复。</w:t>
            </w:r>
          </w:p>
          <w:p w14:paraId="23112C0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）支持图表产出：引入多种统计图表，包括饼图、散点图、面积图、箱线图等，提供丰富的数据可视化选项，帮助教师把握数据背后的趋势与洞见。</w:t>
            </w:r>
          </w:p>
          <w:p w14:paraId="0341313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7.个性化学习路径推荐</w:t>
            </w:r>
          </w:p>
          <w:p w14:paraId="45C439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）为学生智能化推荐个性化学习路径，呈现路径中各知识点掌握率</w:t>
            </w:r>
          </w:p>
          <w:p w14:paraId="2C5FC6B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）基于知识点的学习，智能化分析学生学习进度与掌握情况，掌握率高于90%的知识点在学习路径上不再显示</w:t>
            </w:r>
          </w:p>
          <w:p w14:paraId="064ADDA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）基于错题智能推荐薄弱知识点</w:t>
            </w:r>
          </w:p>
          <w:p w14:paraId="6BD210A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8.智能推荐资源</w:t>
            </w:r>
          </w:p>
          <w:p w14:paraId="0C0626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根据需求，可通过问答方式由AI助教提供智能化资源推荐，通过关键词识别，智能化挖掘呈现相关联学术资源，包含期刊、图书等内容，助力学生复习相关知识、扩展学习的深度与广度。</w:t>
            </w:r>
          </w:p>
          <w:p w14:paraId="387A43E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9.文献阅读</w:t>
            </w:r>
          </w:p>
          <w:p w14:paraId="2EFFE2B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）根据原文内容支持随机生成并显示默认问题，可通过点击默认问题或自定义输入问题查看回复，平台通过匹配向量之间的相似性，支持文字、表格等多种输出格式；</w:t>
            </w:r>
          </w:p>
          <w:p w14:paraId="660F0B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）支持点击词云查看人物、机构、地名在原文出现次数、页码以及原文信息，快速了解原文的重点和主题；</w:t>
            </w:r>
          </w:p>
          <w:p w14:paraId="56CC8237">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3</w:t>
            </w:r>
            <w:r>
              <w:rPr>
                <w:rFonts w:hint="eastAsia" w:ascii="宋体" w:hAnsi="宋体" w:cs="宋体"/>
                <w:b/>
                <w:bCs/>
                <w:snapToGrid w:val="0"/>
                <w:color w:val="000000" w:themeColor="text1"/>
                <w:szCs w:val="21"/>
                <w:highlight w:val="none"/>
                <w:lang w:val="zh-CN"/>
                <w14:textFill>
                  <w14:solidFill>
                    <w14:schemeClr w14:val="tx1"/>
                  </w14:solidFill>
                </w14:textFill>
              </w:rPr>
              <w:t>）通过对原文的分析，支持按照章节提取关键信息，生成摘要列表；</w:t>
            </w:r>
          </w:p>
          <w:p w14:paraId="52F059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）通过对原文的分析将复杂的概念和关系可视化，支持按照脑图或markdown格式切换查看，帮助知识整理和信息归纳；</w:t>
            </w:r>
          </w:p>
          <w:p w14:paraId="3FCE3B5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）通过对原文的分析，支持按照章节查看系统生成的相关试题，试题可以章节为维度进行筛选，生成的试题均为本章节相关内容试题；</w:t>
            </w:r>
          </w:p>
          <w:p w14:paraId="6067814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）支持原文在线预览，支持目录检索、全文检索。</w:t>
            </w:r>
          </w:p>
          <w:p w14:paraId="44C100F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10.视频理解</w:t>
            </w:r>
          </w:p>
          <w:p w14:paraId="3CFFB7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）支持自定义上传视频，AI智能分析生成“智能速览”，总结视频摘要、片段摘要。</w:t>
            </w:r>
          </w:p>
          <w:p w14:paraId="26CC15C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）智能分析视频中的发言人，按发言人统计发言百分比、发言段落，以时间轴形式展示。</w:t>
            </w:r>
          </w:p>
          <w:p w14:paraId="151BB73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）根据视频随机生成问题，可通过点击默认问题或自定义输入问题开展机器问答，平台通过匹配向量之间的相似性；</w:t>
            </w:r>
          </w:p>
          <w:p w14:paraId="11E83C4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）支持点击词云查看实体出现次数、时间段以及视频文本信息，快速了解视频的重点和主题；</w:t>
            </w:r>
          </w:p>
          <w:p w14:paraId="4151CC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）通过对视频的片段分析将复杂的概念和关系可视化，支持按照脑图或markdown格式切换查看，帮助知识整理和信息归纳；</w:t>
            </w:r>
          </w:p>
          <w:p w14:paraId="0AC410D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11.章节内容智能审查与文本纠错</w:t>
            </w:r>
          </w:p>
          <w:p w14:paraId="3EC5B2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支持实现文字自动校对，包括错字、漏字、缺字、多字、语法、错误、语义错误等都可以实现自动校对标注。</w:t>
            </w:r>
          </w:p>
          <w:p w14:paraId="51E46F1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12.作业智能查重</w:t>
            </w:r>
          </w:p>
          <w:p w14:paraId="55DC0D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）比对基础库中的数据包含图书、报纸、期刊、网络文档等多种文献类型；支持选择不同的比对库，包含全部全文比对库、图书全文比对库、非图书全文比对库、法律法规比对库、自建库选择进行检测。</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726154E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）每万字的检测需在数秒内完成，并在10分钟内提供检测报告；</w:t>
            </w:r>
          </w:p>
          <w:p w14:paraId="6BE6887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）支持30M以上的TXT、DOC、PDF、DOCX、ZIP、RAR多种格式以及非加密文档的上传检测；支持ZIP、RAR压缩包形式上传（大小需在50M以内）；</w:t>
            </w:r>
          </w:p>
          <w:p w14:paraId="005ADB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）支持点击选择文件上传文档或者将50字以上、1万字以下的文本直接粘贴到文本框中进行检测；</w:t>
            </w:r>
          </w:p>
          <w:p w14:paraId="4FD5CC3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）支持根据上传的检测文献生成检测报告，支持查看在线报告，也支持批量下载全部检测报告、批量下载PDF报告；</w:t>
            </w:r>
          </w:p>
          <w:p w14:paraId="3920E01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）用户可下载PDF报告（简洁报告、全文检测报告）和HTML报告（综合评估、相似片段、全文对比）进行查看和打印，（PDF报告和HTML报告均提供相似度检测专用印章）；</w:t>
            </w:r>
          </w:p>
          <w:p w14:paraId="3D32478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）支持查看最密集相似段、密集相似段、非密集相似段；</w:t>
            </w:r>
          </w:p>
          <w:p w14:paraId="0F9EDF2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（8）支持按文献类型查看典型相似图书列表、典型相似报纸列表、典型相似期刊列表、典型相似网络文档列表，支持在检测结果中，单独查看两两文献的比对结果。</w:t>
            </w:r>
          </w:p>
          <w:p w14:paraId="175EBA3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13.视频智能分析</w:t>
            </w:r>
          </w:p>
          <w:p w14:paraId="6BC8C0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w:t>
            </w:r>
          </w:p>
          <w:p w14:paraId="51932FB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）基于人工智能技术生成知识点词云分析并展示</w:t>
            </w:r>
          </w:p>
          <w:p w14:paraId="120FA9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）支持视频播放时学生可以定位到时间点观看对应知识点的视频讲解。</w:t>
            </w:r>
          </w:p>
          <w:p w14:paraId="4A594D6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14.智能翻译</w:t>
            </w:r>
          </w:p>
          <w:p w14:paraId="19B7318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）支持用户自行上传文件进行双语翻译（文件至少为10MB内无加密PDF文件）。</w:t>
            </w:r>
          </w:p>
          <w:p w14:paraId="601E31E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）支持单语切换：一键切换阅读模式。在开启“同步滑动”的情况下，实现页面同步跳转，方便阅读；</w:t>
            </w:r>
          </w:p>
          <w:p w14:paraId="1DAA80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）支持查词定位：原文、译文阅读界面均支持文章内容的精准查找定位，支持高亮显示和大小写区分，方便用户通过关键词快速检索文章内容；</w:t>
            </w:r>
          </w:p>
          <w:p w14:paraId="04D076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）支持页码定位：支持用户通过上下滑动进行定位，同时支持输入页码调试定位；</w:t>
            </w:r>
          </w:p>
          <w:p w14:paraId="64A7AC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）支持调整阅读比例：支持自动缩放、实际大小、适合页宽以及100%、125%、150%的页面调整；</w:t>
            </w:r>
          </w:p>
          <w:p w14:paraId="734F68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）支持开启划词翻译功能，选中原文、译文文本并翻译；</w:t>
            </w:r>
          </w:p>
          <w:p w14:paraId="4742A55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15.公式识别</w:t>
            </w:r>
          </w:p>
          <w:p w14:paraId="4827DA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教师录入公式后，系统自动将图片公式分析出来并可转换为latex公式。</w:t>
            </w:r>
          </w:p>
          <w:p w14:paraId="211B1DC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16.课程内容不懂智能驱动</w:t>
            </w:r>
          </w:p>
          <w:p w14:paraId="6E56E9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学生观看视频或课件时，点击屏幕右侧“不懂”按钮，智能触发AI助教，并将不懂的页面自动截屏，由AI答疑解惑。</w:t>
            </w:r>
          </w:p>
          <w:p w14:paraId="2B99ABA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17.智能推送薄弱点及资源</w:t>
            </w:r>
          </w:p>
          <w:p w14:paraId="3CBB28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）根据每个学生的错题和知识点掌握率，自动为学生进行薄弱知识点的辅导，可以根据学生错题和知识点掌握率优先推送薄弱知识点相关的题目。</w:t>
            </w:r>
          </w:p>
          <w:p w14:paraId="4279D5D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）支持生成相似题、变式题的个性化练习，帮助学生加强知识点理解。</w:t>
            </w:r>
          </w:p>
          <w:p w14:paraId="529E18B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18.智能化分层</w:t>
            </w:r>
          </w:p>
          <w:p w14:paraId="104190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10E2589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19.AI试卷质量分析</w:t>
            </w:r>
          </w:p>
          <w:p w14:paraId="5FEEAF6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）支持从题型题量、难易度、知识点覆盖以及题目质量等多个关键维度，对试卷质量进行深入、细致地评估，提供相应建议。</w:t>
            </w:r>
          </w:p>
          <w:p w14:paraId="0DB8A4DB">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2</w:t>
            </w:r>
            <w:r>
              <w:rPr>
                <w:rFonts w:hint="eastAsia" w:ascii="宋体" w:hAnsi="宋体" w:cs="宋体"/>
                <w:b/>
                <w:bCs/>
                <w:snapToGrid w:val="0"/>
                <w:color w:val="000000" w:themeColor="text1"/>
                <w:szCs w:val="21"/>
                <w:highlight w:val="none"/>
                <w:lang w:val="zh-CN"/>
                <w14:textFill>
                  <w14:solidFill>
                    <w14:schemeClr w14:val="tx1"/>
                  </w14:solidFill>
                </w14:textFill>
              </w:rPr>
              <w:t>）支持根据AI推荐知识点，给题目一键关联知识点，健全知识图谱建设；老师可以进行AI【一键换题】操作，快速获取更优质、更合适的题目，提高试卷编撰效率和质量。</w:t>
            </w:r>
          </w:p>
          <w:p w14:paraId="4F877A3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20.AI实践</w:t>
            </w:r>
          </w:p>
          <w:p w14:paraId="3AA2531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科教学体系中，实践教学是培养应用型人才的核心模块，尤其在医学、心理学等强实操性领域具有不可替代性。AI实践是一种融合智能技术与教学场景的任务型学习方式，支持教师根据教学目标配置不同类型的实践任务。</w:t>
            </w:r>
          </w:p>
          <w:p w14:paraId="34BAF06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）支持预设任务内容、评分标准与评估视角等多项任务信息</w:t>
            </w:r>
          </w:p>
          <w:p w14:paraId="28DAD33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）支持学生在系统引导下完成练习、提交作品或多轮互动</w:t>
            </w:r>
          </w:p>
          <w:p w14:paraId="017C03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）系统可记录学生过程、提供智能评分反馈，帮助教师高效开展教学管理</w:t>
            </w:r>
          </w:p>
          <w:p w14:paraId="2D30817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）支持情景对话型任务</w:t>
            </w:r>
          </w:p>
          <w:p w14:paraId="4EF894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以“情景驱动”为核心的AI互动练习形式，支持教师设置具体情境、任务要求与交互目标，引导学生在设定情境中与AI展开多轮对话，逐步推进任务完成。</w:t>
            </w:r>
          </w:p>
          <w:p w14:paraId="4590688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）支持上传作品型任务</w:t>
            </w:r>
          </w:p>
          <w:p w14:paraId="15A3E7C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上传作品任务适用于学生提交作品型成果，如实验图片、图文混排文档等。支持教师在任务中明确作品要求，设置评估角色与评分标准，结合实际教学目标和评分标准，对学生提交内容进行评阅与打分反馈。</w:t>
            </w:r>
          </w:p>
          <w:p w14:paraId="36C7DF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）支持学习阶梯型任务</w:t>
            </w:r>
          </w:p>
          <w:p w14:paraId="08F7A8F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习阶梯是一种层层递进的任务设计方式，围绕一个核心问题，支持教师预设多个认知维度。学生需逐步作答、逐层推进，答对当前层级的问题后，才能解锁下一层，实现“按维推进、层层深入”的学习过程，帮助学生在实践中锻炼逻辑、分析与综合能力。</w:t>
            </w:r>
          </w:p>
          <w:p w14:paraId="20695C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）支持知识设置一个简明、明确的标题，便于学生理解任务内容</w:t>
            </w:r>
          </w:p>
          <w:p w14:paraId="6353954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）支持选择“阶梯闯关”和“主干生长”任务类型</w:t>
            </w:r>
          </w:p>
          <w:p w14:paraId="5DE006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阶梯闯关（客观题主导）实践，适用场景：聚焦知识点分层拆解、基础概念逐个突破的考核场景。以单选题/多选题/填空题拆分维度知识点，要求学生逐维攻克，确保基础概念掌握扎实，适配阶段基础检测、知识点梯度巩固。</w:t>
            </w:r>
          </w:p>
          <w:p w14:paraId="673263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设置主干生长（主观题主导）实践，适用场景：面向多维度知识整合、复杂问题综合解决的考核场景。学生以主观推导作答后，系统检测等维度覆盖度，对缺失维度知识点生成定向追问，推动知识补漏，适配综合应用题训练、思维漏洞精准修复。</w:t>
            </w:r>
          </w:p>
          <w:p w14:paraId="7613ED3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）支持设置一个任务中最核心的探究疑问，明确学生需聚焦解决的本质问题，指引思考与探究的关键方向</w:t>
            </w:r>
          </w:p>
          <w:p w14:paraId="3B00756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）支持围绕核心问题，拆解出的具体考核角度（如知识认知、原理推导、操作实践等层面），明确从哪些维度评估学生对核心问题的掌握深度与广度（一个任务至少设置一个考核维度；至多设置五个考核维度）</w:t>
            </w:r>
          </w:p>
          <w:p w14:paraId="33D6D3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）支持在每个考核维度下，需添加具体知识点，支持从课程知识点中勾选，或按需自定义填写添加，精准定位该考核维度涉及的知识范畴（一个维度至少添加一个知识点；至多添加五个知识点）。</w:t>
            </w:r>
          </w:p>
          <w:p w14:paraId="32E1B3A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互动故事</w:t>
            </w:r>
          </w:p>
          <w:p w14:paraId="49FC8D5A">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将学科知识点转化为可互动的教学剧情，学生通过与故事中的不同AI角色对话还原各类真实专业场景，在沉浸式体验中深化知识理解与应用。</w:t>
            </w:r>
            <w:r>
              <w:rPr>
                <w:rFonts w:hint="eastAsia" w:ascii="宋体" w:hAnsi="宋体" w:cs="宋体"/>
                <w:b/>
                <w:bCs/>
                <w:snapToGrid w:val="0"/>
                <w:color w:val="000000" w:themeColor="text1"/>
                <w:szCs w:val="21"/>
                <w:highlight w:val="none"/>
                <w14:textFill>
                  <w14:solidFill>
                    <w14:schemeClr w14:val="tx1"/>
                  </w14:solidFill>
                </w14:textFill>
              </w:rPr>
              <w:t>（需提供相关的功能截图并加盖供应商公章）</w:t>
            </w:r>
          </w:p>
          <w:p w14:paraId="5BDBCC51">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val="zh-CN" w:bidi="ar"/>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（8）AI思辩擂台：</w:t>
            </w:r>
            <w:r>
              <w:rPr>
                <w:rFonts w:hint="eastAsia" w:ascii="宋体" w:hAnsi="宋体" w:cs="宋体"/>
                <w:snapToGrid w:val="0"/>
                <w:color w:val="000000" w:themeColor="text1"/>
                <w:szCs w:val="21"/>
                <w:highlight w:val="none"/>
                <w14:textFill>
                  <w14:solidFill>
                    <w14:schemeClr w14:val="tx1"/>
                  </w14:solidFill>
                </w14:textFill>
              </w:rPr>
              <w:t>支持设定某一主题的辩论任务，自定义话题、观点、评分标准与对话轮次，学生既可自主选择立场，也可由教师指定。任务开始后，学生将与AI智能体展开实时辩论，各自围绕所选观点进行论证、举证与反驳，以此锻炼学生的逻辑组织、证据运用与多角度分析的能力。辩论结束后，系统将依据教师预先设定的评分标准，由 AI 对学生的整体表现进行评估并给出结果，帮助学生在实践中提升逻辑思维能力、证据意识和多角度分析问题的能力。</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238C4FD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21.AI科研助手</w:t>
            </w:r>
          </w:p>
          <w:p w14:paraId="0835D3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21.1AI科研智能问答</w:t>
            </w:r>
          </w:p>
          <w:p w14:paraId="11A7AC3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）支持自定义切换多个学科智能体，每个智能体可绑定多个AI知识库与大模型；支持自定义智能体名称、图标、角色定位与使用场景描述。</w:t>
            </w:r>
          </w:p>
          <w:p w14:paraId="2D7A62D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）智能体回答内容支持溯源引用来源，确保回答可信；支持灵活选择多种大模型；支持设置提示词，定义智能体角色行为和问答风格。</w:t>
            </w:r>
          </w:p>
          <w:p w14:paraId="37018F9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）支持问答式检索，直接以问题形式获取文献推荐或答案摘要；支持检索结果加入阅读清单与AI解读功能。</w:t>
            </w:r>
          </w:p>
          <w:p w14:paraId="1E7E19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21.2AI学术追踪</w:t>
            </w:r>
          </w:p>
          <w:p w14:paraId="51FE2C3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支持用户自定义研究兴趣、学术期刊、学者、学术顶会等信息进行AI追踪，系统自动筛选并推送相关的最新优质文献。支持用户通过自然语言输入具体兴趣追踪最新学术文献。支持对推荐文献快捷引用，支持APA、MLA、GB/T7714等引用格式；支持勾选多篇推荐文献进行多文献对话，支持对多篇文献提供观点对比、研究方法对比、结论对比、摘要总结。</w:t>
            </w:r>
          </w:p>
          <w:p w14:paraId="7C95A6C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）系统自动构建用户画像，基于用户兴趣偏好与历史行为进行内容推荐；推荐内容支持加入阅读清单、课题知识库。</w:t>
            </w:r>
          </w:p>
          <w:p w14:paraId="1F9D45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）支持冷启动机制，帮助新用户快速匹配感兴趣内容。</w:t>
            </w:r>
          </w:p>
          <w:p w14:paraId="23C5FA4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21.3AI学术对话</w:t>
            </w:r>
          </w:p>
          <w:p w14:paraId="1E74095C">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学术追踪的内容进行AI总结；支持AI快速解读关注领域的最新科研动态，便于用户快速及时了解最新文献、大批量文献；AI速读支持提取文章结构（研究方法、结论、贡献等）并生成摘要，支持一键生成关键要点，支持生成脑图。</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51EC15F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）支持对单个AI知识库进行AI对话；支持对期刊、学者进行AI对话，以交互方式使用户快捷了解期刊或学者某方面研究内容。</w:t>
            </w:r>
          </w:p>
          <w:p w14:paraId="3956C233">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33" w:name="_Toc28351"/>
            <w:r>
              <w:rPr>
                <w:rFonts w:hint="eastAsia" w:ascii="宋体" w:hAnsi="宋体" w:cs="宋体"/>
                <w:b/>
                <w:bCs/>
                <w:snapToGrid w:val="0"/>
                <w:color w:val="000000" w:themeColor="text1"/>
                <w:szCs w:val="21"/>
                <w:highlight w:val="none"/>
                <w14:textFill>
                  <w14:solidFill>
                    <w14:schemeClr w14:val="tx1"/>
                  </w14:solidFill>
                </w14:textFill>
              </w:rPr>
              <w:t>五、智慧</w:t>
            </w:r>
            <w:r>
              <w:rPr>
                <w:rFonts w:hint="eastAsia" w:ascii="宋体" w:hAnsi="宋体" w:cs="宋体"/>
                <w:b/>
                <w:bCs/>
                <w:snapToGrid w:val="0"/>
                <w:color w:val="000000" w:themeColor="text1"/>
                <w:szCs w:val="21"/>
                <w:highlight w:val="none"/>
                <w:lang w:val="zh-CN"/>
                <w14:textFill>
                  <w14:solidFill>
                    <w14:schemeClr w14:val="tx1"/>
                  </w14:solidFill>
                </w14:textFill>
              </w:rPr>
              <w:t>课程门户建设</w:t>
            </w:r>
            <w:bookmarkEnd w:id="33"/>
          </w:p>
          <w:p w14:paraId="702E639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1.智慧课程门户搭建</w:t>
            </w:r>
          </w:p>
          <w:p w14:paraId="2B34CD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建设专有课程域名，进行课程门户搭建。PC门户配置功能支持用户自定义模块布局，支持拖拽式调整同一模块内不同栏目的位置，支持用户自定义对页面背景、音乐、主题色及简体或繁体字的转换设置。每一个模块内的数据来源均支持人工配置；可以是外部数据接入，也可以直接从数据中心抽调。</w:t>
            </w:r>
          </w:p>
          <w:p w14:paraId="54F9941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2.智慧课程门户展示</w:t>
            </w:r>
          </w:p>
          <w:p w14:paraId="78E75F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）课程门户展示课程整体建设内容，教师团队、教学设计、课程章节、知识图谱、问题图谱、证书图谱、能力图谱、教学运行、AI知识库、AI应用。</w:t>
            </w:r>
          </w:p>
          <w:p w14:paraId="08BE823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）支持对课程门户进行二次编辑，课程基本信息，包含课程名称、封面、宣传片、主讲教师、教师团队、学时学分、课程说明等。</w:t>
            </w:r>
          </w:p>
          <w:p w14:paraId="39BC90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）支持编辑课程简介，展示课程所属院校、专业、教师团队详情等信息。</w:t>
            </w:r>
          </w:p>
          <w:p w14:paraId="5F9CC33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3.知识图谱展示与应用</w:t>
            </w:r>
          </w:p>
          <w:p w14:paraId="467E9BA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支持展示课程知识图谱，查看多种图谱模式，包含但不限于关系图谱、思维导图模式、学习路径、问题图谱等，展示课程目标图谱、问题图谱。</w:t>
            </w:r>
          </w:p>
          <w:p w14:paraId="7D5B497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4.AI知识库展示</w:t>
            </w:r>
          </w:p>
          <w:p w14:paraId="0803FB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支持展示知识库总数、资源总数、知识切片总数、问答对总数，动态展示、拓展资料、趣味测试，动态播放知识库资源。</w:t>
            </w:r>
          </w:p>
          <w:p w14:paraId="175CC82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.教学设计展示</w:t>
            </w:r>
          </w:p>
          <w:p w14:paraId="55D747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）支持对课程章节、小结进行数据统计，按章节展示知识图谱任务点资源及课程资料。</w:t>
            </w:r>
          </w:p>
          <w:p w14:paraId="726311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）支持用课程－课程目标－课程知识点3层架构，展示智慧课程知识体系。支持2D\3D模式切换、全屏播放及页面缩放。</w:t>
            </w:r>
          </w:p>
          <w:p w14:paraId="2672D38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.课程运行数据统计分析展示</w:t>
            </w:r>
          </w:p>
          <w:p w14:paraId="64E44E8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）支持对课程建设、运行数据进行详情分析，包含教师团队、学生人数、知识点资源数、知识点属性、知识点学情统计等。</w:t>
            </w:r>
          </w:p>
          <w:p w14:paraId="27743ACD">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34" w:name="_Toc20008"/>
            <w:r>
              <w:rPr>
                <w:rFonts w:hint="eastAsia" w:ascii="宋体" w:hAnsi="宋体" w:cs="宋体"/>
                <w:b/>
                <w:bCs/>
                <w:snapToGrid w:val="0"/>
                <w:color w:val="000000" w:themeColor="text1"/>
                <w:szCs w:val="21"/>
                <w:highlight w:val="none"/>
                <w14:textFill>
                  <w14:solidFill>
                    <w14:schemeClr w14:val="tx1"/>
                  </w14:solidFill>
                </w14:textFill>
              </w:rPr>
              <w:t>六、智慧</w:t>
            </w:r>
            <w:r>
              <w:rPr>
                <w:rFonts w:hint="eastAsia" w:ascii="宋体" w:hAnsi="宋体" w:cs="宋体"/>
                <w:b/>
                <w:bCs/>
                <w:snapToGrid w:val="0"/>
                <w:color w:val="000000" w:themeColor="text1"/>
                <w:szCs w:val="21"/>
                <w:highlight w:val="none"/>
                <w:lang w:val="zh-CN"/>
                <w14:textFill>
                  <w14:solidFill>
                    <w14:schemeClr w14:val="tx1"/>
                  </w14:solidFill>
                </w14:textFill>
              </w:rPr>
              <w:t>课程数据分析</w:t>
            </w:r>
            <w:bookmarkEnd w:id="34"/>
          </w:p>
          <w:p w14:paraId="0D48325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1.学情统计&amp;图谱统计</w:t>
            </w:r>
          </w:p>
          <w:p w14:paraId="609BAA7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）支持用户能深入分析学习情况和图谱数据，以优化教学和学习策略</w:t>
            </w:r>
          </w:p>
          <w:p w14:paraId="7DEC0F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）支持探索每个知识点在班级中的平均表现，并在不同班级间轻松切换，以获得全面的视角</w:t>
            </w:r>
          </w:p>
          <w:p w14:paraId="1D38B6C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）支持将学情统计的快照保存为图像，便于回顾和分享</w:t>
            </w:r>
          </w:p>
          <w:p w14:paraId="6B06A08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）支持在学情统计中检索节点，帮助用户快速定位特定节点的完成率/掌握率</w:t>
            </w:r>
          </w:p>
          <w:p w14:paraId="45CB0A4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）课程总览支持创意的词云形式，展示学习中的热门知识点，直观地反映学习的重点和热点</w:t>
            </w:r>
          </w:p>
          <w:p w14:paraId="29196F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）知识点学习情况分析通过图形化的方式，提供班级学习的整体视图，包括完成率和掌握率</w:t>
            </w:r>
          </w:p>
          <w:p w14:paraId="5169A7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）支持对知识点掌握情况深入分析，同时展示学生知识点掌握率和知识点完成率的前五名，以此凸显学习成效的佼佼者</w:t>
            </w:r>
          </w:p>
          <w:p w14:paraId="4BA56F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）支持全面审视所有学生的数据，提供两种不同的视角来观察这些数据：从知识点出发或从学生个体出发</w:t>
            </w:r>
          </w:p>
          <w:p w14:paraId="544E045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2.知识点统计</w:t>
            </w:r>
          </w:p>
          <w:p w14:paraId="0574CD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）分类卡片综合展示关键信息，如标题、描述、知识点及其资源和标签概览，提供非任务点与任务点的数量统计</w:t>
            </w:r>
          </w:p>
          <w:p w14:paraId="4538F28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）用户可通过点击卡片进入详情页面，页面细分为六个核心部分，全面覆盖分类的各个方面</w:t>
            </w:r>
          </w:p>
          <w:p w14:paraId="405151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）知识点与资源关联展示知识点数量及其关联的资源总数，揭示知识点的内容丰富度</w:t>
            </w:r>
          </w:p>
          <w:p w14:paraId="4B938D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）知识点微课入口支持以列表形式展示知识点标签，并允许一键跳转至相关微课，增强学习的直接性和便捷性</w:t>
            </w:r>
          </w:p>
          <w:p w14:paraId="304FD3A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）知识点标签支持展示分类下所有知识点的标签数量，包括考点、重点和难点，以助于用户识别关键学习领域</w:t>
            </w:r>
          </w:p>
          <w:p w14:paraId="6E1CC9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）知识点建设情况支持以柱状图形式展示每个知识点的关联资源数量，提供资源分配的视觉比较</w:t>
            </w:r>
          </w:p>
          <w:p w14:paraId="41B540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）支持以班级为单位，展示不同班级之间的知识点平均掌握率和知识点平均完成率，反映学习成效和掌握程度</w:t>
            </w:r>
          </w:p>
          <w:p w14:paraId="4F5476D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3.课程数据总览</w:t>
            </w:r>
          </w:p>
          <w:p w14:paraId="6F85081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提供课程数据总览，能多维度查看课程数据分析，基础数据、课堂报告、学情统计、学生成绩、学习监控。</w:t>
            </w:r>
          </w:p>
          <w:p w14:paraId="3BE1542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）基础数据包含学生人数、学习任务、班级、作业、考试、课堂活动、讨论区话题数；</w:t>
            </w:r>
          </w:p>
          <w:p w14:paraId="480A46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）教学建设情况统计分析，含课程章节、课程资料、知识库、题库建设数据分析；</w:t>
            </w:r>
          </w:p>
          <w:p w14:paraId="0AAFDE3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）AI使用情况统计分析，含AI应用和AI指令建设数量，调用情况，AI分析题目数、AI生产资源数、AI智能体会话数等；</w:t>
            </w:r>
          </w:p>
          <w:p w14:paraId="01F731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）学习监控包括学生成绩、学生学习进度、教学预警、知识点、资源、任务点、资料和评估活动的统计分析及导出；</w:t>
            </w:r>
          </w:p>
          <w:p w14:paraId="6455882B">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35" w:name="_Toc17264"/>
            <w:r>
              <w:rPr>
                <w:rFonts w:hint="eastAsia" w:ascii="宋体" w:hAnsi="宋体" w:cs="宋体"/>
                <w:b/>
                <w:bCs/>
                <w:snapToGrid w:val="0"/>
                <w:color w:val="000000" w:themeColor="text1"/>
                <w:szCs w:val="21"/>
                <w:highlight w:val="none"/>
                <w14:textFill>
                  <w14:solidFill>
                    <w14:schemeClr w14:val="tx1"/>
                  </w14:solidFill>
                </w14:textFill>
              </w:rPr>
              <w:t>七、任务引擎建设</w:t>
            </w:r>
            <w:bookmarkEnd w:id="35"/>
          </w:p>
          <w:p w14:paraId="2F2B5813">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1.以能力培养为导向的任务设计，适配多种教学模式</w:t>
            </w:r>
          </w:p>
          <w:p w14:paraId="085A94D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1CA09F5E">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2.任务功能模块配置</w:t>
            </w:r>
          </w:p>
          <w:p w14:paraId="399A69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）支持新建、编辑、发布、管理和删除任务，并针对任务数据进行自定义排序、指定、创建文件夹进行归纳；</w:t>
            </w:r>
          </w:p>
          <w:p w14:paraId="2F2A2F8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）支持AI生成任务，提高老师任务创建效率。</w:t>
            </w:r>
          </w:p>
          <w:p w14:paraId="58AC1EAA">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）支持按照章节，教案，文本三种方式AI生成任务基本信息和任务点内容，简化老师任务设计工作，提高任务的建设质量。</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587A75B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）支持点击新建任务，跳转至任务编辑页面，进行基本信息编辑和任务设计工作；</w:t>
            </w:r>
          </w:p>
          <w:p w14:paraId="1752EB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）支持编辑任务基本信息，包括任务名称、任务封面、任务介绍和选择任务标签，任务标签支持对接数据源，按照单位设置展示标签内容；</w:t>
            </w:r>
          </w:p>
          <w:p w14:paraId="38ED8C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）支持切换标签页跳转任务设计页面，添加分组，添加任务点和设置闯关达标条件；</w:t>
            </w:r>
          </w:p>
          <w:p w14:paraId="10C8B1A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411324D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）支持直接添加当前课下资源和当前登录用户的其他课程资源到任务下，同时支持点击添加跳转到指定页面进行资源添加；</w:t>
            </w:r>
          </w:p>
          <w:p w14:paraId="71F7D1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）支持在任务点上设置闯关条件，学生需要达到任务点设置的完成条件才能够学习下一个任务点，不同类型任务点闯关条件不同；</w:t>
            </w:r>
          </w:p>
          <w:p w14:paraId="4D5C7F7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）支持在任务分组上设置组间闯关条件，学生需要达到组间闯关设置的完成条件后才能够学习下个分组，不同类型任务点闯关条件不同；</w:t>
            </w:r>
          </w:p>
          <w:p w14:paraId="1DB9F5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）支持在任务设计上设置达标标准，学生完成达标标准后，整个任务学习完成，学生可以领取相应的任务达标证书；</w:t>
            </w:r>
          </w:p>
          <w:p w14:paraId="5F069E4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（12）针对视频、文档、线上课堂、线下课堂、主题讨论、问卷、审批、自定义类型任务点，增加“成绩”按钮，方便教师录入线下教学成绩；</w:t>
            </w:r>
          </w:p>
          <w:p w14:paraId="2B22B0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）针对自定义类型任务点，增加“签到”按钮，方便老师发放签到给学生；</w:t>
            </w:r>
          </w:p>
          <w:p w14:paraId="6EE6C6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）任务中可插入PBL教学：支持开展分组教学活动，支持多种分组方式，包含固定分组、自选分组、组长建组、随机分组、面对面建组、不分组等分组方式；</w:t>
            </w:r>
          </w:p>
          <w:p w14:paraId="42742F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）活动支持教师评价、组内评价、组间评价、自评等多种评价相结合，支持分项评分指标设置；</w:t>
            </w:r>
          </w:p>
          <w:p w14:paraId="0109B5D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）课程成绩权重支持分组任务明细分配，不同活动可设置不同考核权重。</w:t>
            </w:r>
          </w:p>
          <w:p w14:paraId="25F0D74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6D13267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）支持针对任务点开启高阶闯关模式，使不同成绩学生后续学习的内容不一样，满足教师个性化教学的场景；</w:t>
            </w:r>
          </w:p>
          <w:p w14:paraId="7E03188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）任务引擎支持选课功能，支持教师选择部分资源作为任务包，学生选择部分任务点进行选择性学习；</w:t>
            </w:r>
          </w:p>
          <w:p w14:paraId="43D782C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）支持任务克隆功能，支持克隆给自己和克隆给他人两种方式，提高任务的复用性；</w:t>
            </w:r>
          </w:p>
          <w:p w14:paraId="6EB8372B">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21</w:t>
            </w:r>
            <w:r>
              <w:rPr>
                <w:rFonts w:hint="eastAsia" w:ascii="宋体" w:hAnsi="宋体" w:cs="宋体"/>
                <w:snapToGrid w:val="0"/>
                <w:color w:val="000000" w:themeColor="text1"/>
                <w:szCs w:val="21"/>
                <w:highlight w:val="none"/>
                <w:lang w:val="zh-CN"/>
                <w14:textFill>
                  <w14:solidFill>
                    <w14:schemeClr w14:val="tx1"/>
                  </w14:solidFill>
                </w14:textFill>
              </w:rPr>
              <w:t>）支持针对任务进行报名设置工作，教师可以选择开启报名，报名需要填写信息，报名需要审批三种方式，邀请学生报名任务，同时支持查看报名信息。</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26E4D1B9">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3.学生任务学习</w:t>
            </w:r>
            <w:r>
              <w:rPr>
                <w:rFonts w:hint="eastAsia" w:ascii="宋体" w:hAnsi="宋体" w:cs="宋体"/>
                <w:b/>
                <w:bCs/>
                <w:snapToGrid w:val="0"/>
                <w:color w:val="000000" w:themeColor="text1"/>
                <w:szCs w:val="21"/>
                <w:highlight w:val="none"/>
                <w:lang w:val="zh-CN"/>
                <w14:textFill>
                  <w14:solidFill>
                    <w14:schemeClr w14:val="tx1"/>
                  </w14:solidFill>
                </w14:textFill>
              </w:rPr>
              <w:tab/>
            </w:r>
          </w:p>
          <w:p w14:paraId="7DE434B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）支持学生点击个人空间－我的任务查看我的任务列表，支持学生点击课程－任务查看我的任务</w:t>
            </w:r>
          </w:p>
          <w:p w14:paraId="77EA81C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）点击进入学习，支持学生查看任务的基本信息，达标情况和解锁情况</w:t>
            </w:r>
          </w:p>
          <w:p w14:paraId="5B19DBA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）支持点击达标按钮，查看学生当前的达标情况</w:t>
            </w:r>
          </w:p>
          <w:p w14:paraId="23E1080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）任务设置发放证书后，任务达标后支持点击证书按钮，进行证书查看、下载操作</w:t>
            </w:r>
          </w:p>
          <w:p w14:paraId="023DC8A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）支持切换不同类型的学习路径（列表模式、框架模式、图谱模式），方便学生个性化学习</w:t>
            </w:r>
          </w:p>
          <w:p w14:paraId="46070E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）支持学生点击任务点进行学习，学习后返回任务详情，支持学生查看自己任务点的最新完成情况和待完成分组、任务点的解锁情况</w:t>
            </w:r>
          </w:p>
          <w:p w14:paraId="6557EB57">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4.任务运行达成数据统计</w:t>
            </w:r>
          </w:p>
          <w:p w14:paraId="082744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）学情分析页面展示学生、任务点数据和概览统计情况，方便教师一键明确学生和任务点的完成情况；</w:t>
            </w:r>
          </w:p>
          <w:p w14:paraId="2F16F6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）支持督学，有督学和批量督学按钮，支持针对不满足学习进度的学生、单个学生、多个学生进行发放督学通知，督促学生学习。</w:t>
            </w:r>
          </w:p>
          <w:p w14:paraId="1387472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）提供移动端应用功能，教师可以通过移动端进行简单的任务管理工作；</w:t>
            </w:r>
          </w:p>
          <w:p w14:paraId="7F7F5B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学生可以通过移动端进行任务学习、查看达标状态、查看证书的工作。</w:t>
            </w:r>
          </w:p>
          <w:p w14:paraId="00825A42">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36" w:name="_Toc23293"/>
            <w:r>
              <w:rPr>
                <w:rFonts w:hint="eastAsia" w:ascii="宋体" w:hAnsi="宋体" w:cs="宋体"/>
                <w:b/>
                <w:bCs/>
                <w:snapToGrid w:val="0"/>
                <w:color w:val="000000" w:themeColor="text1"/>
                <w:szCs w:val="21"/>
                <w:highlight w:val="none"/>
                <w14:textFill>
                  <w14:solidFill>
                    <w14:schemeClr w14:val="tx1"/>
                  </w14:solidFill>
                </w14:textFill>
              </w:rPr>
              <w:t>八、系统对接服务</w:t>
            </w:r>
            <w:bookmarkEnd w:id="36"/>
          </w:p>
          <w:p w14:paraId="75AF151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1.运维性能要求</w:t>
            </w:r>
          </w:p>
          <w:p w14:paraId="4E04D58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（1）持续更新平台模板、模块样式与应用功能，适配医学教学场景需求。</w:t>
            </w:r>
          </w:p>
          <w:p w14:paraId="779256B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（2）采用响应式设计，支持PC端、移动端自适应访问，保障多终端使用体验。</w:t>
            </w:r>
          </w:p>
          <w:p w14:paraId="70A637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（3）提供数据备份与恢复服务，全方位保障平台数据安全。</w:t>
            </w:r>
          </w:p>
          <w:p w14:paraId="4793BF8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（4）提供完善的系统运维、技术支持与操作培训服务，保障平台稳定运行。</w:t>
            </w:r>
          </w:p>
          <w:p w14:paraId="08F306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（5）支持对外提供平台统计数据，满足院校数据统计与管理需求。</w:t>
            </w:r>
          </w:p>
          <w:p w14:paraId="6534028B">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2.系统对接要求</w:t>
            </w:r>
          </w:p>
          <w:p w14:paraId="582EE4C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（1）提供与学校指定现有系统（如教务系统、统一认证系统、图书馆系统等）深度对接的全程服务，涵盖方案设计、接口开发、联调测试及数据迁移验证全流程。</w:t>
            </w:r>
          </w:p>
          <w:p w14:paraId="5CFE09D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（2）支持对接学校统一身份认证系统，实现单点登录功能，便捷进入平台。</w:t>
            </w:r>
          </w:p>
          <w:p w14:paraId="5B12BF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（3）支持通过数据视图、接口等方式对接学校教务管理数据（含学生、教师、课程、选课等相关数据），并进行定期维护与更新，实现教务数据同步。</w:t>
            </w:r>
          </w:p>
          <w:p w14:paraId="6835FC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（4）支持对接学校现有课程教学平台的课程资源数据和运行数据，保障信息化教学的延续性与完整性。</w:t>
            </w:r>
          </w:p>
        </w:tc>
        <w:tc>
          <w:tcPr>
            <w:tcW w:w="364" w:type="pct"/>
            <w:vAlign w:val="center"/>
          </w:tcPr>
          <w:p w14:paraId="3E269F6F">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门</w:t>
            </w:r>
          </w:p>
        </w:tc>
        <w:tc>
          <w:tcPr>
            <w:tcW w:w="381" w:type="pct"/>
            <w:vAlign w:val="center"/>
          </w:tcPr>
          <w:p w14:paraId="593909C3">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10</w:t>
            </w:r>
          </w:p>
        </w:tc>
      </w:tr>
      <w:tr w14:paraId="00BF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4E98295C">
            <w:pPr>
              <w:widowControl/>
              <w:kinsoku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3</w:t>
            </w:r>
          </w:p>
        </w:tc>
        <w:tc>
          <w:tcPr>
            <w:tcW w:w="683" w:type="pct"/>
            <w:gridSpan w:val="2"/>
            <w:tcMar>
              <w:top w:w="13" w:type="dxa"/>
              <w:left w:w="57" w:type="dxa"/>
              <w:bottom w:w="0" w:type="dxa"/>
              <w:right w:w="57" w:type="dxa"/>
            </w:tcMar>
            <w:vAlign w:val="center"/>
          </w:tcPr>
          <w:p w14:paraId="186157F6">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基础医学院2026年</w:t>
            </w:r>
            <w:r>
              <w:rPr>
                <w:rFonts w:hint="eastAsia" w:ascii="宋体" w:hAnsi="宋体" w:cs="宋体"/>
                <w:b/>
                <w:bCs/>
                <w:snapToGrid w:val="0"/>
                <w:color w:val="000000" w:themeColor="text1"/>
                <w:szCs w:val="21"/>
                <w:highlight w:val="none"/>
                <w:lang w:val="zh-CN"/>
                <w14:textFill>
                  <w14:solidFill>
                    <w14:schemeClr w14:val="tx1"/>
                  </w14:solidFill>
                </w14:textFill>
              </w:rPr>
              <w:t>智慧课程建设</w:t>
            </w:r>
            <w:r>
              <w:rPr>
                <w:rFonts w:hint="eastAsia" w:ascii="宋体" w:hAnsi="宋体" w:cs="宋体"/>
                <w:b/>
                <w:bCs/>
                <w:snapToGrid w:val="0"/>
                <w:color w:val="000000" w:themeColor="text1"/>
                <w:szCs w:val="21"/>
                <w:highlight w:val="none"/>
                <w14:textFill>
                  <w14:solidFill>
                    <w14:schemeClr w14:val="tx1"/>
                  </w14:solidFill>
                </w14:textFill>
              </w:rPr>
              <w:t>服务项目</w:t>
            </w:r>
          </w:p>
        </w:tc>
        <w:tc>
          <w:tcPr>
            <w:tcW w:w="3298" w:type="pct"/>
            <w:tcMar>
              <w:top w:w="13" w:type="dxa"/>
              <w:left w:w="57" w:type="dxa"/>
              <w:bottom w:w="0" w:type="dxa"/>
              <w:right w:w="57" w:type="dxa"/>
            </w:tcMar>
            <w:vAlign w:val="center"/>
          </w:tcPr>
          <w:p w14:paraId="5D2EFBD6">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一、建设总体要求</w:t>
            </w:r>
            <w:r>
              <w:rPr>
                <w:rFonts w:hint="eastAsia" w:ascii="仿宋" w:hAnsi="仿宋" w:eastAsia="仿宋" w:cs="仿宋"/>
                <w:snapToGrid w:val="0"/>
                <w:color w:val="000000" w:themeColor="text1"/>
                <w:szCs w:val="21"/>
                <w:highlight w:val="none"/>
                <w:lang w:val="zh-CN"/>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完成《机能学实验》《生理学》《病理生理学》《医学免疫学》《人体解剖学》《医学遗传学》《临床寄生虫学检验》《组织学与胚胎学》8门基础医学核心课程智慧化建设。严格对标课程教学大纲，系统梳理各课程基础理论、结构机制、实验原理、病理变化等核心知识点，搭建系统化知识体系。科学构建知识点内在关联、课程能力目标与知识点对应关系，关联教学视频、实验指导、课程资料、试题题库等教学资源，完成8门课程知识图谱、问题图谱、能力（目标）图谱、课程思政图谱的构建、优化升级与上线运行工作。课程制作团队联合课程负责人，依据教学大纲与混合式教学要求，统筹开展课程整体教学设计。立足基础医学理论筑基、实验赋能的教学实际，以服务师生高效教与学为核心，坚持资源开放共享、科教融合、产教协同原则，优化课程资源的适用性与易用性，结合各学科基础医学教学特色凝练课程亮点，打造适配基础医学人才培养的智慧化课程。</w:t>
            </w:r>
          </w:p>
          <w:p w14:paraId="7973EEF0">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snapToGrid w:val="0"/>
                <w:color w:val="000000" w:themeColor="text1"/>
                <w:kern w:val="0"/>
                <w:szCs w:val="21"/>
                <w:highlight w:val="none"/>
                <w:lang w:bidi="ar"/>
                <w14:textFill>
                  <w14:solidFill>
                    <w14:schemeClr w14:val="tx1"/>
                  </w14:solidFill>
                </w14:textFill>
              </w:rPr>
            </w:pPr>
            <w:bookmarkStart w:id="37" w:name="_Toc22617"/>
            <w:r>
              <w:rPr>
                <w:rFonts w:hint="eastAsia" w:ascii="宋体" w:hAnsi="宋体" w:cs="宋体"/>
                <w:snapToGrid w:val="0"/>
                <w:color w:val="000000" w:themeColor="text1"/>
                <w:kern w:val="0"/>
                <w:szCs w:val="21"/>
                <w:highlight w:val="none"/>
                <w:lang w:bidi="ar"/>
                <w14:textFill>
                  <w14:solidFill>
                    <w14:schemeClr w14:val="tx1"/>
                  </w14:solidFill>
                </w14:textFill>
              </w:rPr>
              <w:t>2.完成</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机能学实验</w:t>
            </w:r>
            <w:r>
              <w:rPr>
                <w:rFonts w:hint="eastAsia" w:ascii="宋体" w:hAnsi="宋体" w:cs="宋体"/>
                <w:snapToGrid w:val="0"/>
                <w:color w:val="000000" w:themeColor="text1"/>
                <w:szCs w:val="21"/>
                <w:highlight w:val="none"/>
                <w:lang w:val="zh-CN"/>
                <w14:textFill>
                  <w14:solidFill>
                    <w14:schemeClr w14:val="tx1"/>
                  </w14:solidFill>
                </w14:textFill>
              </w:rPr>
              <w:t>》《生理学》《病理生理学》《医学免疫学》《人体解剖学》《医学遗传学》《临床寄生虫学检验》《</w:t>
            </w:r>
            <w:r>
              <w:rPr>
                <w:rFonts w:hint="eastAsia" w:ascii="宋体" w:hAnsi="宋体" w:cs="宋体"/>
                <w:snapToGrid w:val="0"/>
                <w:color w:val="000000" w:themeColor="text1"/>
                <w:szCs w:val="21"/>
                <w:highlight w:val="none"/>
                <w14:textFill>
                  <w14:solidFill>
                    <w14:schemeClr w14:val="tx1"/>
                  </w14:solidFill>
                </w14:textFill>
              </w:rPr>
              <w:t>组织学与胚胎学</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kern w:val="0"/>
                <w:szCs w:val="21"/>
                <w:highlight w:val="none"/>
                <w:lang w:bidi="ar"/>
                <w14:textFill>
                  <w14:solidFill>
                    <w14:schemeClr w14:val="tx1"/>
                  </w14:solidFill>
                </w14:textFill>
              </w:rPr>
              <w:t>总计8门课程的教学任务搭建工具建设，通过教学任务搭建工具创建课程项目或任务，支持老师开展以PBL、项目式教学、任务驱动教学、案例式教学、CDIO等多种行动导向教学模式。为每门课程设计与建设3个教学任务搭建工具的示范案例，以便后续教学复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结合基础医学课程专业性强、跨学科融合度高的特点，对接通用大模型与医学垂直专属大模型，开展基础医学专项知识库精细化训练，搭建学院专属智慧教学环境。搭建精准化专业知识库与问答库，完成私有模型增强训练，配置多功能AI助教与智能工作台，开发3个适配基础医学理论学习、实验实操、机制分析的个性化AI实践智能体，赋能师生智慧化教学。依托AIGC技术，实现基础医学教学方法创新、教学评价优化，落地智能助教、个性化助学、学术思维培育等服务，实现专业与课程建设、教学运行全流程智慧化管理</w:t>
            </w:r>
            <w:bookmarkEnd w:id="37"/>
          </w:p>
          <w:p w14:paraId="0EF02A06">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38" w:name="_Toc21936"/>
            <w:r>
              <w:rPr>
                <w:rFonts w:hint="eastAsia" w:ascii="宋体" w:hAnsi="宋体" w:cs="宋体"/>
                <w:b/>
                <w:bCs/>
                <w:snapToGrid w:val="0"/>
                <w:color w:val="000000" w:themeColor="text1"/>
                <w:szCs w:val="21"/>
                <w:highlight w:val="none"/>
                <w14:textFill>
                  <w14:solidFill>
                    <w14:schemeClr w14:val="tx1"/>
                  </w14:solidFill>
                </w14:textFill>
              </w:rPr>
              <w:t>二、智慧</w:t>
            </w:r>
            <w:r>
              <w:rPr>
                <w:rFonts w:hint="eastAsia" w:ascii="宋体" w:hAnsi="宋体" w:cs="宋体"/>
                <w:b/>
                <w:bCs/>
                <w:snapToGrid w:val="0"/>
                <w:color w:val="000000" w:themeColor="text1"/>
                <w:szCs w:val="21"/>
                <w:highlight w:val="none"/>
                <w:lang w:val="zh-CN"/>
                <w14:textFill>
                  <w14:solidFill>
                    <w14:schemeClr w14:val="tx1"/>
                  </w14:solidFill>
                </w14:textFill>
              </w:rPr>
              <w:t>课程</w:t>
            </w:r>
            <w:r>
              <w:rPr>
                <w:rFonts w:hint="eastAsia" w:ascii="宋体" w:hAnsi="宋体" w:cs="宋体"/>
                <w:b/>
                <w:bCs/>
                <w:snapToGrid w:val="0"/>
                <w:color w:val="000000" w:themeColor="text1"/>
                <w:szCs w:val="21"/>
                <w:highlight w:val="none"/>
                <w14:textFill>
                  <w14:solidFill>
                    <w14:schemeClr w14:val="tx1"/>
                  </w14:solidFill>
                </w14:textFill>
              </w:rPr>
              <w:t>专属</w:t>
            </w:r>
            <w:r>
              <w:rPr>
                <w:rFonts w:hint="eastAsia" w:ascii="宋体" w:hAnsi="宋体" w:cs="宋体"/>
                <w:b/>
                <w:bCs/>
                <w:snapToGrid w:val="0"/>
                <w:color w:val="000000" w:themeColor="text1"/>
                <w:szCs w:val="21"/>
                <w:highlight w:val="none"/>
                <w:lang w:val="zh-CN"/>
                <w14:textFill>
                  <w14:solidFill>
                    <w14:schemeClr w14:val="tx1"/>
                  </w14:solidFill>
                </w14:textFill>
              </w:rPr>
              <w:t>AI环境搭建</w:t>
            </w:r>
            <w:bookmarkEnd w:id="38"/>
          </w:p>
          <w:p w14:paraId="5A7C48B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1.通用大语言模型对接</w:t>
            </w:r>
          </w:p>
          <w:p w14:paraId="62FDD4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根据学校配置，完成指定通用大语言模型或多个通用大模型对接。</w:t>
            </w:r>
          </w:p>
          <w:p w14:paraId="198434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（1）需支持针对</w:t>
            </w:r>
            <w:r>
              <w:rPr>
                <w:rFonts w:hint="eastAsia" w:ascii="宋体" w:hAnsi="宋体" w:cs="宋体"/>
                <w:snapToGrid w:val="0"/>
                <w:color w:val="000000" w:themeColor="text1"/>
                <w:szCs w:val="21"/>
                <w:highlight w:val="none"/>
                <w:lang w:val="zh-CN"/>
                <w14:textFill>
                  <w14:solidFill>
                    <w14:schemeClr w14:val="tx1"/>
                  </w14:solidFill>
                </w14:textFill>
              </w:rPr>
              <w:t>医学教育垂直专属大模型，依托权威医学数智教育实验室技术架构，深度融合医学教学、临床案例与专业知识体系。要求具备高精度医学语义理解、专业知识推理与多场景教学适配能力，可支撑智能备课教案生成、临床案例解析、师生智能问答及个性化分层导学，全面满足院校医学教育数字化、AI赋能教学应用需求。</w:t>
            </w:r>
          </w:p>
          <w:p w14:paraId="247AE43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拥有医学垂直领域专属大模型，已完成与教学平台、课程AI智能体的深度适配整合，可呈现医学垂类大模型与教学平台、课程AI智能体的联动交互过程，直观展示医学专业领域知识传递、智能问答等实操功能，支持验证各项功能落地效果。</w:t>
            </w:r>
          </w:p>
          <w:p w14:paraId="5A48C1E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2.课程专属AI知识库训练</w:t>
            </w:r>
          </w:p>
          <w:p w14:paraId="57EB6C8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2.1在线课程自我训练</w:t>
            </w:r>
          </w:p>
          <w:p w14:paraId="59AAB14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）支持一键同步在线课程，对已有资源进行智能化训练。</w:t>
            </w:r>
          </w:p>
          <w:p w14:paraId="1573107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）支持增量同步在线课程，保持与课程内容的一致。</w:t>
            </w:r>
          </w:p>
          <w:p w14:paraId="59BA78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2.2资源上传与训练</w:t>
            </w:r>
          </w:p>
          <w:p w14:paraId="32CA23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）课程单元内容建设，可编辑视频、文档、图片、音频、图书、公式、符号、附件、网页、动画等。</w:t>
            </w:r>
          </w:p>
          <w:p w14:paraId="6B33E79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）支持导入并编辑内容。</w:t>
            </w:r>
          </w:p>
          <w:p w14:paraId="7F55AC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）视频上传与播放支持rmvb、3gp、mpg、mpeg、mov、wmv、avi、mkv、mp4、flv、vob、f4v等高清和网络格式。</w:t>
            </w:r>
          </w:p>
          <w:p w14:paraId="53A7A2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）支持2G以上文件上传。支持查看资源上传与训练状态，支持查看训练资源来源。支持按时间范围查看资源上传情况。</w:t>
            </w:r>
          </w:p>
          <w:p w14:paraId="41B178C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2.3学术文献一键对接训练</w:t>
            </w:r>
          </w:p>
          <w:p w14:paraId="5EBAF10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）支持对接文献库，一次性导入不超过30本课程相关书籍，进行训练。</w:t>
            </w:r>
          </w:p>
          <w:p w14:paraId="30A3BC8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）支持反复导入。</w:t>
            </w:r>
          </w:p>
          <w:p w14:paraId="52361A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2.4AI知识库管理功能</w:t>
            </w:r>
          </w:p>
          <w:p w14:paraId="1CD9ED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）支持“单位AI知识库”与“公共AI知识库”双维度管理，可按创建人、创建时间、知识库名称等条件进行精准检索与筛选。</w:t>
            </w:r>
          </w:p>
          <w:p w14:paraId="069CE8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支持新增知识库、知识库管理及召回参数设置等核心操作，可实时统计并展示总文件数、总字符数等关键数据，支持列表与卡片两种视图切换，同时具备分页查询功能，实现对知识库资源的全生命周期管理与高效调用。</w:t>
            </w:r>
          </w:p>
          <w:p w14:paraId="10F329C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）支持在公共AI知识库订阅相关学科、专业、领域的知识库，为保证资源适配，公共知识库建设数量不低于1900个。</w:t>
            </w:r>
          </w:p>
          <w:p w14:paraId="78AF92F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3.AI问答库建设</w:t>
            </w:r>
          </w:p>
          <w:p w14:paraId="6E2186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建设课程问答库，涵盖常见问题、重点难点问题与拓展性问题，为教师与学生提供即时问题解决支持。同时，问答库应支持智能检索与语义理解，提升答疑效率与精准度。</w:t>
            </w:r>
          </w:p>
          <w:p w14:paraId="701ABE1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3.1需求调研与主题确定</w:t>
            </w:r>
          </w:p>
          <w:p w14:paraId="519E77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）合作沟通：供应商与课程教学团队进行深入沟通，了解各学科的教学需求、痛点及期望。</w:t>
            </w:r>
          </w:p>
          <w:p w14:paraId="4BF4A7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）主题界定：根据课程设计和师生需求，明确问答库的主题范围。</w:t>
            </w:r>
          </w:p>
          <w:p w14:paraId="0505B6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）目标设定：确立问答库的使用目标，如辅助教学、自学辅导、考试复习等。</w:t>
            </w:r>
          </w:p>
          <w:p w14:paraId="0AF10E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3.2问答库数据结构设计</w:t>
            </w:r>
          </w:p>
          <w:p w14:paraId="750299D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）数据结构规划：设计高效的数据存储与检索结构，确保问答对的快速响应与准确匹配。</w:t>
            </w:r>
          </w:p>
          <w:p w14:paraId="278440D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）技术选型：选择适合的人工智能技术框架，如自然语言处理（NLP）引擎，以支持问答对的智能匹配与语义理解。</w:t>
            </w:r>
          </w:p>
          <w:p w14:paraId="756860B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3.3问答对收集与验证</w:t>
            </w:r>
          </w:p>
          <w:p w14:paraId="403528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）内容收集：通过多渠道收集问答素材，包括课程现有资源、电子书、论文、网络资源等。</w:t>
            </w:r>
          </w:p>
          <w:p w14:paraId="58E87D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）质量审核：由课程负责人对问答对进行逐条审核，确保内容的准确性、适用性和教育性。</w:t>
            </w:r>
          </w:p>
          <w:p w14:paraId="31DACD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）标准化处理：对问答对进行标准化处理，统一格式与表述风格，提高问答库的整体质量。</w:t>
            </w:r>
          </w:p>
          <w:p w14:paraId="3F6A86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3.4实施与测试优化</w:t>
            </w:r>
          </w:p>
          <w:p w14:paraId="3241F4D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）功能测试：进行全面的功能测试，包括问答匹配准确性、响应速度、用户界面友好性等。</w:t>
            </w:r>
          </w:p>
          <w:p w14:paraId="76DD487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）优化调整：根据测试结果及用户反馈，对系统进行必要的优化调整，提升系统性能与用户体验。</w:t>
            </w:r>
          </w:p>
          <w:p w14:paraId="5C5C84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3.5技术支持与更新维护</w:t>
            </w:r>
          </w:p>
          <w:p w14:paraId="4AF1674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（1）问答时支持智能推荐问题关联的相关微应用，点击应用可直接跳转到应用界面，实现应用跳转和业务处理；</w:t>
            </w:r>
          </w:p>
          <w:p w14:paraId="55794EE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）支持用户手动上传文档至问答库，上传后系统可对上传的文档进行解析，解析后可智能回答文档相关问题；</w:t>
            </w:r>
          </w:p>
          <w:p w14:paraId="5FB0CFE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同步校本网络教学平台已建设的网络课程资料进行智能解析，解析后可围绕课程内容进行人机问答；支持根据用户输入问题进行匹配提示；支持问答无匹配时，提供语义相似度最高的热门问题；支持未知问题回复语自定义设置。</w:t>
            </w:r>
          </w:p>
          <w:p w14:paraId="701151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）支持根据学科发展及用户需求，定期更新问答库内容，保持问答库的时效性与准确性，跟踪周期至少一学期。支持对系统进行定期维护与升级，修复潜在漏洞，提升系统安全性与稳定性。</w:t>
            </w:r>
          </w:p>
          <w:p w14:paraId="4A552E2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4.AI助教问答与资源推荐</w:t>
            </w:r>
          </w:p>
          <w:p w14:paraId="608B3A6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提供训练后的</w:t>
            </w:r>
            <w:r>
              <w:rPr>
                <w:rFonts w:hint="eastAsia" w:ascii="宋体" w:hAnsi="宋体" w:cs="宋体"/>
                <w:snapToGrid w:val="0"/>
                <w:color w:val="000000" w:themeColor="text1"/>
                <w:szCs w:val="21"/>
                <w:highlight w:val="none"/>
                <w14:textFill>
                  <w14:solidFill>
                    <w14:schemeClr w14:val="tx1"/>
                  </w14:solidFill>
                </w14:textFill>
              </w:rPr>
              <w:t>课程</w:t>
            </w:r>
            <w:r>
              <w:rPr>
                <w:rFonts w:hint="eastAsia" w:ascii="宋体" w:hAnsi="宋体" w:cs="宋体"/>
                <w:snapToGrid w:val="0"/>
                <w:color w:val="000000" w:themeColor="text1"/>
                <w:szCs w:val="21"/>
                <w:highlight w:val="none"/>
                <w:lang w:val="zh-CN"/>
                <w14:textFill>
                  <w14:solidFill>
                    <w14:schemeClr w14:val="tx1"/>
                  </w14:solidFill>
                </w14:textFill>
              </w:rPr>
              <w:t>AI助教，可提供问答与资源推荐。</w:t>
            </w:r>
          </w:p>
          <w:p w14:paraId="15E894E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）支持多轮对话，可基于上一个问题的回答继续进行后续问答；提问时支持通过语音输入问题；</w:t>
            </w:r>
          </w:p>
          <w:p w14:paraId="64A3B5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）提问时支持上传图片通过读取图片内的问题进行提问；</w:t>
            </w:r>
          </w:p>
          <w:p w14:paraId="5E88DA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）提问时支持用户上传文档，让大模型围绕此份文档智能回答相关问题；</w:t>
            </w:r>
          </w:p>
          <w:p w14:paraId="506499E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）支持用户自主选择是否需要大模型回复；</w:t>
            </w:r>
          </w:p>
          <w:p w14:paraId="289BDF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）助教输出的答案支持显示来源，可截取显示与答案有关的原文内容，也可通过来源跳转回原文全文展开学习。</w:t>
            </w:r>
          </w:p>
          <w:p w14:paraId="37651B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）支持查询图书、期刊等文献，根据用户输入问题推荐相关文献，图书、期刊等推荐文献支持通过在线查看原文、文献传递等途径获取；</w:t>
            </w:r>
          </w:p>
          <w:p w14:paraId="02F579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）支持针对用户网络课程学习进度和掌握情况，个性化推荐学习资源；</w:t>
            </w:r>
          </w:p>
          <w:p w14:paraId="03A5CD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）支持移动端、PC端多种使用渠道。</w:t>
            </w:r>
          </w:p>
          <w:p w14:paraId="0C6CB19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AI助教可自动对没有答案的问题描述进行关键词识别并统计聚类，按照关键词问答频率由高到低排序，同时可以批量导出未知问题；支持统计历史会话，可按照时间范围、使用渠道等维度进行筛选，并可查看、导出会话具体内容。</w:t>
            </w:r>
          </w:p>
          <w:p w14:paraId="2C3E6C1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5.课程学习助手开通</w:t>
            </w:r>
          </w:p>
          <w:p w14:paraId="048D96B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主动为学生推荐待办任务，帮助学生分析薄弱知识点针对学生提出的概念性问题，运用苏格拉底对话，为学生进行启发式讲解针对学生上传的复杂题目、电路图、实验数据图进行讲解、解读针对学生上传的文档进行文档理解、总结归纳，生成思维导图。</w:t>
            </w:r>
          </w:p>
          <w:p w14:paraId="6DBF4CD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6.课程内容安全检测</w:t>
            </w:r>
          </w:p>
          <w:p w14:paraId="40FD56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支持对平台用户发布</w:t>
            </w:r>
            <w:r>
              <w:rPr>
                <w:rFonts w:hint="eastAsia" w:ascii="宋体" w:hAnsi="宋体" w:cs="宋体"/>
                <w:snapToGrid w:val="0"/>
                <w:color w:val="000000" w:themeColor="text1"/>
                <w:szCs w:val="21"/>
                <w:highlight w:val="none"/>
                <w14:textFill>
                  <w14:solidFill>
                    <w14:schemeClr w14:val="tx1"/>
                  </w14:solidFill>
                </w14:textFill>
              </w:rPr>
              <w:t>的敏感</w:t>
            </w:r>
            <w:r>
              <w:rPr>
                <w:rFonts w:hint="eastAsia" w:ascii="宋体" w:hAnsi="宋体" w:cs="宋体"/>
                <w:snapToGrid w:val="0"/>
                <w:color w:val="000000" w:themeColor="text1"/>
                <w:szCs w:val="21"/>
                <w:highlight w:val="none"/>
                <w:lang w:val="zh-CN"/>
                <w14:textFill>
                  <w14:solidFill>
                    <w14:schemeClr w14:val="tx1"/>
                  </w14:solidFill>
                </w14:textFill>
              </w:rPr>
              <w:t>文本、图片、文档、视频等内容的分析和监控</w:t>
            </w:r>
            <w:r>
              <w:rPr>
                <w:rFonts w:hint="eastAsia" w:ascii="宋体" w:hAnsi="宋体" w:cs="宋体"/>
                <w:snapToGrid w:val="0"/>
                <w:color w:val="000000" w:themeColor="text1"/>
                <w:szCs w:val="21"/>
                <w:highlight w:val="none"/>
                <w14:textFill>
                  <w14:solidFill>
                    <w14:schemeClr w14:val="tx1"/>
                  </w14:solidFill>
                </w14:textFill>
              </w:rPr>
              <w:t>功能</w:t>
            </w:r>
            <w:r>
              <w:rPr>
                <w:rFonts w:hint="eastAsia" w:ascii="宋体" w:hAnsi="宋体" w:cs="宋体"/>
                <w:snapToGrid w:val="0"/>
                <w:color w:val="000000" w:themeColor="text1"/>
                <w:szCs w:val="21"/>
                <w:highlight w:val="none"/>
                <w:lang w:val="zh-CN"/>
                <w14:textFill>
                  <w14:solidFill>
                    <w14:schemeClr w14:val="tx1"/>
                  </w14:solidFill>
                </w14:textFill>
              </w:rPr>
              <w:t>，可按时间筛选查看、编辑、删除内容以及自定义修改监控内容；</w:t>
            </w:r>
            <w:r>
              <w:rPr>
                <w:rFonts w:hint="eastAsia" w:ascii="宋体" w:hAnsi="宋体" w:cs="宋体"/>
                <w:snapToGrid w:val="0"/>
                <w:color w:val="000000" w:themeColor="text1"/>
                <w:szCs w:val="21"/>
                <w:highlight w:val="none"/>
                <w14:textFill>
                  <w14:solidFill>
                    <w14:schemeClr w14:val="tx1"/>
                  </w14:solidFill>
                </w14:textFill>
              </w:rPr>
              <w:t>支持自定义敏感关键词、敏感忽略词、用户黑白名单、图片名单。支持通过用户风险统计、垃圾发布量、垃圾发布率的维度统计用户风险。</w:t>
            </w:r>
          </w:p>
          <w:p w14:paraId="7E27633D">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39" w:name="_Toc31002"/>
            <w:r>
              <w:rPr>
                <w:rFonts w:hint="eastAsia" w:ascii="宋体" w:hAnsi="宋体" w:cs="宋体"/>
                <w:b/>
                <w:bCs/>
                <w:snapToGrid w:val="0"/>
                <w:color w:val="000000" w:themeColor="text1"/>
                <w:szCs w:val="21"/>
                <w:highlight w:val="none"/>
                <w14:textFill>
                  <w14:solidFill>
                    <w14:schemeClr w14:val="tx1"/>
                  </w14:solidFill>
                </w14:textFill>
              </w:rPr>
              <w:t>三、智慧</w:t>
            </w:r>
            <w:r>
              <w:rPr>
                <w:rFonts w:hint="eastAsia" w:ascii="宋体" w:hAnsi="宋体" w:cs="宋体"/>
                <w:b/>
                <w:bCs/>
                <w:snapToGrid w:val="0"/>
                <w:color w:val="000000" w:themeColor="text1"/>
                <w:szCs w:val="21"/>
                <w:highlight w:val="none"/>
                <w:lang w:val="zh-CN"/>
                <w14:textFill>
                  <w14:solidFill>
                    <w14:schemeClr w14:val="tx1"/>
                  </w14:solidFill>
                </w14:textFill>
              </w:rPr>
              <w:t>课程图谱建设服务</w:t>
            </w:r>
            <w:bookmarkEnd w:id="39"/>
          </w:p>
          <w:p w14:paraId="668C361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1.课程图谱设计</w:t>
            </w:r>
          </w:p>
          <w:p w14:paraId="0564EFD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知识图谱设计。通过图谱可视化工具展示课程内容的逻辑结构和知识点之间的关联，帮助学生更直观地理解课程体系，为学生构建更完整的知识网络，培养学生的系统思维能力。</w:t>
            </w:r>
          </w:p>
          <w:p w14:paraId="73D456C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）供应商根据课程教学团队需求，完成目标图谱设计。通过分解课程目标、关联知识点、提供融入教学活动与评估建议，实现课程设计、教学实施与学习评价的一致性，保障教学成效，助力课程目标有效达成。</w:t>
            </w:r>
          </w:p>
          <w:p w14:paraId="214ED32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）供应商根据课程教学团队需求，完成问题图谱设计，帮助学生梳理问题逻辑，逐步引导学生解决复杂问题。</w:t>
            </w:r>
          </w:p>
          <w:p w14:paraId="473D86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）供应商根据课程教学团队需求，完成课程思政图谱设计。通过标记思政标签，融入课程思政元素，构建课程思政图谱，明确课程中思想政治教育的切入点与实施路径，实现价值引领与知识传授的有机结合。</w:t>
            </w:r>
          </w:p>
          <w:p w14:paraId="7E829C7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2.知识图谱建设与应用</w:t>
            </w:r>
          </w:p>
          <w:p w14:paraId="5989C98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）支持知识点多层级架构建立，生成分类－知识点关系。</w:t>
            </w:r>
          </w:p>
          <w:p w14:paraId="41BD02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手动添加、批量导入等方式构建知识图谱。批量导入需支持填写知识点名称、标签信息、认知维度、分类属性、教学目标、知识点说明等信息数据。手动编辑需支持单个修改知识点属性编辑，可批量或单独对当前知识点进行移动。</w:t>
            </w:r>
          </w:p>
          <w:p w14:paraId="4B77742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）支持智能导入，用户上传课程大纲、教材或PPT文件等，系统智能识别构建生成知识图谱。</w:t>
            </w:r>
          </w:p>
          <w:p w14:paraId="178BBF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）支持本地导入</w:t>
            </w:r>
            <w:r>
              <w:rPr>
                <w:rFonts w:hint="eastAsia" w:ascii="宋体" w:hAnsi="宋体" w:cs="宋体"/>
                <w:snapToGrid w:val="0"/>
                <w:color w:val="000000" w:themeColor="text1"/>
                <w:szCs w:val="21"/>
                <w:highlight w:val="none"/>
                <w14:textFill>
                  <w14:solidFill>
                    <w14:schemeClr w14:val="tx1"/>
                  </w14:solidFill>
                </w14:textFill>
              </w:rPr>
              <w:t>X</w:t>
            </w:r>
            <w:r>
              <w:rPr>
                <w:rFonts w:hint="eastAsia" w:ascii="宋体" w:hAnsi="宋体" w:cs="宋体"/>
                <w:snapToGrid w:val="0"/>
                <w:color w:val="000000" w:themeColor="text1"/>
                <w:szCs w:val="21"/>
                <w:highlight w:val="none"/>
                <w:lang w:val="zh-CN"/>
                <w14:textFill>
                  <w14:solidFill>
                    <w14:schemeClr w14:val="tx1"/>
                  </w14:solidFill>
                </w14:textFill>
              </w:rPr>
              <w:t>mind格式的思维导图文件，自动读取文件数据，生成课程知识图谱，并能够导出excel格式文件。</w:t>
            </w:r>
          </w:p>
          <w:p w14:paraId="0754AE6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）支持与教学平台打通，可通过教学平台现有课程章节选择生成章节图谱。</w:t>
            </w:r>
          </w:p>
          <w:p w14:paraId="49FAC3C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）创建图谱支持同步其他课程图谱，支持全量同步或者部分选择同步。支持教学平台所教的课程导入及从教务课程导入功能支持导入知识点之间的关系。</w:t>
            </w:r>
          </w:p>
          <w:p w14:paraId="1A66FC8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）支持AI生成图谱功能，系统可以基于教师已经建设好的网络课程结合AI应用自动生成知识图谱，并支持直接使用生成的图谱，同时支持在生成的图谱上进行自定义化修改。</w:t>
            </w:r>
          </w:p>
          <w:p w14:paraId="182C0A7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）知识图谱知识点支持说明添加，可添加富文本编辑框、公式编辑等富媒体文本。支持AI生成知识点说明。</w:t>
            </w:r>
          </w:p>
          <w:p w14:paraId="363EDEE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 xml:space="preserve"> （9）支持知识图谱自定义编辑功能，系统提供至少8种图谱形态，用户可根据课程性质选择合适的图谱形态进行编辑。</w:t>
            </w:r>
          </w:p>
          <w:p w14:paraId="754DE3A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）支持进行跨课知识点关联，实现不同课程之间知识的聚合联动，关联后可以实现跨课学习并进行专业下多门课程的知识点关联展示应用。</w:t>
            </w:r>
          </w:p>
          <w:p w14:paraId="2456708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）知识图谱显示支持2D和3D展示效果，用户可自主地进行模式切换。</w:t>
            </w:r>
          </w:p>
          <w:p w14:paraId="4DB896B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3.问题图谱建设与应用</w:t>
            </w:r>
          </w:p>
          <w:p w14:paraId="29926A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）基于课程知识图谱，建设不少于三层的问题体系，系统提供对每层级问题的定义能力，允许用户添加问题详情及其与知识点的关联。</w:t>
            </w:r>
          </w:p>
          <w:p w14:paraId="078FDE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）支持用户可根据教学需求，自定义栏目标题和描述，以适应多样化的教学情境。支持用户对栏目中节点的名称、描述、标签和知识点进行修改，保持内容的时效性和准确性。</w:t>
            </w:r>
          </w:p>
          <w:p w14:paraId="485CBB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）支持通过图谱形式展现问题与知识点的关联，使用户能够直观理解知识间的联系。</w:t>
            </w:r>
          </w:p>
          <w:p w14:paraId="396E51F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）提供两种子级问题关联方式，包括层级连线和板块关联功能，以展示问题间的层级结构。</w:t>
            </w:r>
          </w:p>
          <w:p w14:paraId="17A430B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）支持批量导入问题数据和一键导出问题图谱数据，简化教学资源的准备工作。</w:t>
            </w:r>
          </w:p>
          <w:p w14:paraId="450E963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）支持开启探索模式，模拟学生学习路径，通过问题选择和知识点关联，促进学生的深入思考。在探索模式中，用户被引导将核心问题与子问题连接，形成知识网络，并通过提交与标准答案对比，实现自我评估。</w:t>
            </w:r>
          </w:p>
          <w:p w14:paraId="61558DD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4.课程思政图谱建设与应用</w:t>
            </w:r>
          </w:p>
          <w:p w14:paraId="4B7B93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）支持自动根据现有的图谱信息生成课程思政图谱的功能。支持将标签为“课程思政”的知识点以花朵的形式呈现，以视觉突出其在课程中的核心地位，同时以花苞的形式展示其他的知识点。</w:t>
            </w:r>
          </w:p>
          <w:p w14:paraId="194B6D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）支持搜索功能覆盖知识点、分类和标签，实现全面性，满足用户不同维度的搜索需求。</w:t>
            </w:r>
          </w:p>
          <w:p w14:paraId="6EC61B5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）支持通过点击操作，可深入分类卡片获取详细信息，知识点用户也可以选择开启卡片，直接跳转至微课进行学习，实现知识获取的快速通道。</w:t>
            </w:r>
          </w:p>
          <w:p w14:paraId="6FE9BD7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5.目标图谱建设</w:t>
            </w:r>
          </w:p>
          <w:p w14:paraId="305755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）系统允许根据不同班级特点定制课程目标，以满足特定教学需求。支持课程目标模板导入/一键导出功能，便于教师对于课程目标可以直观浏览和整理，同时也能有效地和其他工具同时使用。</w:t>
            </w:r>
          </w:p>
          <w:p w14:paraId="146F4C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）支持课程目标与知识点进行关联，以展示目标与教学内容的直接联系。</w:t>
            </w:r>
          </w:p>
          <w:p w14:paraId="71FAE7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）支持以柱状图展示课程目标关联知识点的个数，提供直观的统计信息；</w:t>
            </w:r>
          </w:p>
          <w:p w14:paraId="283A28A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）支持以列表形式展示课程目标总数、课程目标名称、课程目标说明、课程目标标签以及所关联的知识点个数，方便用户快速浏览和了解。</w:t>
            </w:r>
          </w:p>
          <w:p w14:paraId="273A15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）支持以图谱形式展示每个课程目标所关联的知识点情况，增强信息的可视化效果。</w:t>
            </w:r>
          </w:p>
          <w:p w14:paraId="364254D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6.自定义图谱建设</w:t>
            </w:r>
          </w:p>
          <w:p w14:paraId="154504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）具备自定义图谱功能，可根据个性化的图谱展示进行自定义图谱建设。</w:t>
            </w:r>
          </w:p>
          <w:p w14:paraId="7ED065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）提供多种图谱样式，满足教师不同教学场景，供自由选择。</w:t>
            </w:r>
          </w:p>
          <w:p w14:paraId="289D722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7.知识点微课建设与应用</w:t>
            </w:r>
          </w:p>
          <w:p w14:paraId="71630D7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）支持教师对课程章节内容，包括——视频、音频、文档、图书、章节测验等进行知识点标记，作为知识点教学任务进行设置，方便学生按知识点进行任务学习。</w:t>
            </w:r>
          </w:p>
          <w:p w14:paraId="39FBD2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）支持按知识点上传资源，并查看知识点关联资源数量，方便教师按知识点管理资源。</w:t>
            </w:r>
          </w:p>
          <w:p w14:paraId="7E33B2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）知识点卡片须具备资料添加功能，可通过添加资料关联建设知识点下相关课程资料及其他相关资源。</w:t>
            </w:r>
          </w:p>
          <w:p w14:paraId="090B97B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）支持多种题型的创建管理，包括单选、多选、填空、判断、简答、名词解析、论述、计算、分录、连线、排序、完形填空、阅读理解、口语、听力等常见题型。</w:t>
            </w:r>
          </w:p>
          <w:p w14:paraId="2946A5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）支持在创建或编辑题目时标记每道题对应的知识点标签，并支持按知识点筛选管理题目。支持按模板批量导入题目时导入题目知识点，支持批量编辑题目关联知识点。</w:t>
            </w:r>
          </w:p>
          <w:p w14:paraId="4EBB8E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）题目关联知识点操作时系统支持智能推荐知识点，便于教师快速进行关联操作。</w:t>
            </w:r>
          </w:p>
          <w:p w14:paraId="6109D9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）支持AI生成学习内容，系统结合AI可根据教师网络课程内容自动生成知识点学习内容，生成的内容可一键加入微课中。</w:t>
            </w:r>
          </w:p>
          <w:p w14:paraId="360C18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）支持错题显示解析以及相关知识点。图谱知识点学习界面支持错题集功能，可将学生学习过程中产生的错题归类到知识点下的错题集中。</w:t>
            </w:r>
          </w:p>
          <w:p w14:paraId="0605B5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）支持学生查看课程知识图谱，并查看每个知识点的学习进度情况。</w:t>
            </w:r>
          </w:p>
          <w:p w14:paraId="7C9C948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）支持学生按知识点进行课程任务学习，观看课程视频，阅读课程资料等。</w:t>
            </w:r>
          </w:p>
          <w:p w14:paraId="6A67912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）支持学生按知识点从题库或错题本抽题，逐题自测。支持学生自测时可以设置抽题范围，仅抽当前知识点以及前置知识点的题，避免抽到未开始学习的知识点试题。</w:t>
            </w:r>
          </w:p>
          <w:p w14:paraId="0302F24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）学生端可以查看推荐资源，进行拓展学习。推荐资源应基于知识点智能推荐课程、资源、课程思政资源、题目、论文、期刊、图书、互联网资源等。</w:t>
            </w:r>
          </w:p>
          <w:p w14:paraId="6284451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）支持精准教学设计功能，可以自定义建设事件，可设置知识点的掌握率及完成率的设置，支持自定义学习路径或者微课资料，支持设置对应的动作；</w:t>
            </w:r>
          </w:p>
          <w:p w14:paraId="55DF2F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）支持视频的虚拟剪辑，只需要拖动视频播放的起始点、终止点，就可以将视频文件按照课程的要求剪辑成适当长度，教师还可手动输入时间点，进行视频在线虚拟剪辑。</w:t>
            </w:r>
          </w:p>
          <w:p w14:paraId="49A8E6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16A477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）支持视频替换功能，替换学习视频后，不影响学生已产生的学习记录和成绩。</w:t>
            </w:r>
          </w:p>
          <w:p w14:paraId="7AA18A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17</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p>
          <w:p w14:paraId="784C8D7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）对课程视频进行智能切片，按切片时间点点击可跳转学习对应片段视频；</w:t>
            </w:r>
          </w:p>
          <w:p w14:paraId="2DD6B0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）支持学生对不懂的视频或PDF文档点击“不懂”，触发AI助教及时答疑，页面自动截屏供AI助教分析。</w:t>
            </w:r>
          </w:p>
          <w:p w14:paraId="481783D6">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20</w:t>
            </w:r>
            <w:r>
              <w:rPr>
                <w:rFonts w:hint="eastAsia" w:ascii="宋体" w:hAnsi="宋体" w:cs="宋体"/>
                <w:b/>
                <w:bCs/>
                <w:snapToGrid w:val="0"/>
                <w:color w:val="000000" w:themeColor="text1"/>
                <w:szCs w:val="21"/>
                <w:highlight w:val="none"/>
                <w:lang w:val="zh-CN"/>
                <w14:textFill>
                  <w14:solidFill>
                    <w14:schemeClr w14:val="tx1"/>
                  </w14:solidFill>
                </w14:textFill>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0E47F93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8.基于知识图谱的数智驱动数据分析与统计</w:t>
            </w:r>
          </w:p>
          <w:p w14:paraId="56A318B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）支持教师查看知识图谱的知识点建设情况，包括知识点建设率、图谱知识点总数、图谱关联资源知识点数、已设置标签的知识点数、图谱未关联资源知识点数等；</w:t>
            </w:r>
          </w:p>
          <w:p w14:paraId="799924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）支持查看不同知识点属性概况数据；支持查看图谱资源总数，关联视频、音频、文档、题目及其他类型资源数等；支持查看知识点关联资源数量排行榜。</w:t>
            </w:r>
          </w:p>
          <w:p w14:paraId="0496209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）支持教师查看不同班级的学情数据，包括每个知识点的完成率与掌握率、知识点热度、完成率与掌握率的学情分段人数、学生完成率与掌握率排行情况等数据。</w:t>
            </w:r>
          </w:p>
          <w:p w14:paraId="05FF82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）支持教师选择多个不同班级进行学情数据对比，对比内容包括班级掌握率、班级完成率、完成率区间对比与掌握率区间对比等数据。通过班级对比分析，便于教师更好地了解不同班级间的学习差异。</w:t>
            </w:r>
          </w:p>
          <w:p w14:paraId="1359594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9.移动端知识图谱应用</w:t>
            </w:r>
          </w:p>
          <w:p w14:paraId="20F8B5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）支持用户通过移动端设备访问知识图谱，实现随时随地的个性化学习。移动端提供图谱模式、大纲模式和学习地图模式，以适应不同用户的学习偏好和场景需求。</w:t>
            </w:r>
          </w:p>
          <w:p w14:paraId="24E723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）移动端图谱模式下，用户可以选择导航模式或全局模式，分别深入探索或宏观把握知识结构。移动端图谱模式下左侧导航区域以列表形式展示分类和知识点，支持快速定位和子级展开。</w:t>
            </w:r>
          </w:p>
          <w:p w14:paraId="7FFA5EF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）支持基于关键字的搜索和模糊匹配，帮助用户迅速找到目标知识点及相关全面信息。</w:t>
            </w:r>
          </w:p>
          <w:p w14:paraId="63BEC3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）移动端导航模式下，图谱以一种集中的形态展示最高层级的分类或知识点，允许用户通过交互进一步探索其子级和它们之间的联系。</w:t>
            </w:r>
          </w:p>
          <w:p w14:paraId="01D6397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）移动端直观展示知识点掌握率和完成率，反映用户个人学习情况。</w:t>
            </w:r>
          </w:p>
          <w:p w14:paraId="13B25E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）支持从宏观和微观视角展示用户的知识点掌握情况，并允许与班级整体表现进行比较。</w:t>
            </w:r>
          </w:p>
          <w:p w14:paraId="2ED253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）支持查看和该知识点相关的错题集，帮助用户更有针对性地进行复习。</w:t>
            </w:r>
          </w:p>
          <w:p w14:paraId="1C67E4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）支持点击知识点跳转至微课进行深入学习。移动端微课提供分析、学习内容、自测、资料、错题集、讨论等多功能模块。</w:t>
            </w:r>
          </w:p>
          <w:p w14:paraId="4C82BB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）用户可以根据个人需求在移动端微课选择自测模式，包括时间限制和题目选择，以创建专属的自测体验。自测功能支持仅从未尝试过的题目中抽取，确保每次自测的新鲜感和有效性。</w:t>
            </w:r>
          </w:p>
          <w:p w14:paraId="27E062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）支持对课程所有资源进行智能安全检测。可通过后台配置关键词、忽略词，便于系统审核时，对关键词和忽略词进行屏蔽与忽略，降低人工审核的错误率。</w:t>
            </w:r>
          </w:p>
          <w:p w14:paraId="7934610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10.智慧课程群建设</w:t>
            </w:r>
          </w:p>
          <w:p w14:paraId="043E50F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）以核心课程为基点，支持构建相互关联、层层递进的智慧课程群，打破课程边界，形成学科专业的完整知识链条，呈现横向融通、纵向贯通专业课程体系，帮助学生形成系统化的知识网络。</w:t>
            </w:r>
          </w:p>
          <w:p w14:paraId="035C102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）支持用户根据需求灵活选择不同的图谱模式，将自定义内容与课程群内的课程——知识点进行可视化关联，从而构建个性化的知识网络，深化理解与应用</w:t>
            </w:r>
          </w:p>
          <w:p w14:paraId="15F5109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）支持创立智慧课程群展示门户，可自定义课程群门户信息包括课程群名称、课程群类型、课程群介绍、教师团队等信息。</w:t>
            </w:r>
          </w:p>
          <w:p w14:paraId="66EF59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）支持数据统计功能，可查看课程群门户中的课程数、课程图谱数、知识点总数、教学资源数。</w:t>
            </w:r>
          </w:p>
          <w:p w14:paraId="6D36D5A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）具备资源分布统计功能，可以展示课程群所包含的每门课程的资源总数，包括视频、音频、文档、题目、其他等。</w:t>
            </w:r>
          </w:p>
          <w:p w14:paraId="381955F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）具备资源分类展示功能，以饼状图及柱状图展示课程群下每门课程资源的分布情况。</w:t>
            </w:r>
          </w:p>
          <w:p w14:paraId="1E7C07F4">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0" w:name="_Toc2431"/>
            <w:r>
              <w:rPr>
                <w:rFonts w:hint="eastAsia" w:ascii="宋体" w:hAnsi="宋体" w:cs="宋体"/>
                <w:b/>
                <w:bCs/>
                <w:snapToGrid w:val="0"/>
                <w:color w:val="000000" w:themeColor="text1"/>
                <w:szCs w:val="21"/>
                <w:highlight w:val="none"/>
                <w14:textFill>
                  <w14:solidFill>
                    <w14:schemeClr w14:val="tx1"/>
                  </w14:solidFill>
                </w14:textFill>
              </w:rPr>
              <w:t>四、</w:t>
            </w:r>
            <w:r>
              <w:rPr>
                <w:rFonts w:hint="eastAsia" w:ascii="宋体" w:hAnsi="宋体" w:cs="宋体"/>
                <w:b/>
                <w:bCs/>
                <w:snapToGrid w:val="0"/>
                <w:color w:val="000000" w:themeColor="text1"/>
                <w:szCs w:val="21"/>
                <w:highlight w:val="none"/>
                <w:lang w:val="zh-CN"/>
                <w14:textFill>
                  <w14:solidFill>
                    <w14:schemeClr w14:val="tx1"/>
                  </w14:solidFill>
                </w14:textFill>
              </w:rPr>
              <w:t>AI工作台智慧教学应用</w:t>
            </w:r>
            <w:bookmarkEnd w:id="40"/>
          </w:p>
          <w:p w14:paraId="0BC0AF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指导老师应用AI工具，在备课、教学、学习、教研、科研、评价等全流程深度融合，实现数字素养提升，并实现AI赋能的“师/生/机”深度交互教学模式改革。具有AI教案、AI生成PPT、AI智能写作与校正、章节视频与文档AI解析、AI智能出题、公式识别、作业智能查重、AIGC检测、文献阅读、视频理解、智能翻译、资料查询助手等AI工具应用于教学。</w:t>
            </w:r>
          </w:p>
          <w:p w14:paraId="676FF38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1.AI教案</w:t>
            </w:r>
          </w:p>
          <w:p w14:paraId="4223AD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）教师输入教学材料或关键词，AI自动生成教案，并支持教师借助写作助手进行再次编辑。</w:t>
            </w:r>
          </w:p>
          <w:p w14:paraId="52624EB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）支持教师补充所教层次、适合的教学风格，形成更加具有个性化的教案。</w:t>
            </w:r>
          </w:p>
          <w:p w14:paraId="279FB1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）支持一键导出教案，并且支持按学校教案模板导出。</w:t>
            </w:r>
          </w:p>
          <w:p w14:paraId="6793C33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2.AI课件</w:t>
            </w:r>
          </w:p>
          <w:p w14:paraId="3EED9B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）通过输入PPT内容要求，AI智能生成PPT大纲</w:t>
            </w:r>
          </w:p>
          <w:p w14:paraId="67B8DF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）支持教师在线直接编辑生成的大纲内容</w:t>
            </w:r>
          </w:p>
          <w:p w14:paraId="00ADBA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）支持AI自动根据大纲生成PPT，教师可以进行在线编辑或下载</w:t>
            </w:r>
          </w:p>
          <w:p w14:paraId="2F674F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）支持选择PPT模板场景、设计风格、主题颜色，生成个性化PPT</w:t>
            </w:r>
          </w:p>
          <w:p w14:paraId="3FFB9E3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3.AI写作</w:t>
            </w:r>
          </w:p>
          <w:p w14:paraId="0E76BF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）老师可以向AI写作助手提出需求，点击“生成”，写作助手会根据要求智能生成相应的内容，老师点击保存可以将内容输出到章节编辑页面上</w:t>
            </w:r>
          </w:p>
          <w:p w14:paraId="19C457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）老师可进行文本修改、删减或排版</w:t>
            </w:r>
          </w:p>
          <w:p w14:paraId="08FA60F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）在章节编辑页面，选中内容可进行AI改写、扩写、续写、简写、翻译等操作</w:t>
            </w:r>
          </w:p>
          <w:p w14:paraId="4FBBEDA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4.AI出题</w:t>
            </w:r>
          </w:p>
          <w:p w14:paraId="39D493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）支持教师通过知识点、输入文本、上传附件文档和视频、选定章节等多种方式，搭配补充出题要求说明，由AI自动生成相应试题。AI系统可以自动生成对应的题目并且不限制教师使用次数。</w:t>
            </w:r>
          </w:p>
          <w:p w14:paraId="215C9D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）支持多种题型，题型包括选择题、填空题、简答题等，以便满足不同类型考题的需求</w:t>
            </w:r>
          </w:p>
          <w:p w14:paraId="7224FBC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）教师可以根据课程内容和学生水平，将生成的题目添加到题库。并随时使用这些题目进行测验、考试或者课堂练习。</w:t>
            </w:r>
          </w:p>
          <w:p w14:paraId="6ACD3A9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）支持设置出题要求，比如：适用年级、难易度、题目偏向等。</w:t>
            </w:r>
          </w:p>
          <w:p w14:paraId="121B81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）支持教师在线编辑调整AI生成的试题，也可以一键加入题库，组成作业考试发布给学生，并且支持跨课程使用生成的题目。</w:t>
            </w:r>
          </w:p>
          <w:p w14:paraId="0447F57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）支持根据出题结果生成配套图片，结合题目信息选择图片类型，生成图片后可直接插入题干，至少支持2种图片类型选择。</w:t>
            </w:r>
          </w:p>
          <w:p w14:paraId="1766DC3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5.AI批阅</w:t>
            </w:r>
          </w:p>
          <w:p w14:paraId="2E047A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）使用先进的AI技术，能够批阅学生的主观题、论述题、小论文等。</w:t>
            </w:r>
          </w:p>
          <w:p w14:paraId="20D75B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）对参考答案和学生答案进行分词处理和语法分析，以便计算词语和语句的相似度，从而量化学生答案与标准答案的匹配程度</w:t>
            </w:r>
          </w:p>
          <w:p w14:paraId="12E207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）支持利用语义相似度计算结果给出学生相应的得分，通过深度学习等技术来模拟人类对语义相似度的判断，从而更准确地评估学生的答案质量。</w:t>
            </w:r>
          </w:p>
          <w:p w14:paraId="1DC02F1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）系统可以根据教师设置的得分点来匹配得分，确保评分符合标准化要求，同时满足教学目标和评价体系。</w:t>
            </w:r>
          </w:p>
          <w:p w14:paraId="4BE7C1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）支持智能批阅程序题。</w:t>
            </w:r>
          </w:p>
          <w:p w14:paraId="10A02EE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）支持从结构、内容、语言等6个大维度，12～16个细分维度进行打分，并给出推荐总分。</w:t>
            </w:r>
          </w:p>
          <w:p w14:paraId="0CCBED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）AI批阅系统不仅提供整体评价，还支持对精彩句子进行点评，并给出提升建议。</w:t>
            </w:r>
          </w:p>
          <w:p w14:paraId="49DBC5F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）支持揪出学生作文中的错别字，提供修改建议，帮助学生提高写作水平。</w:t>
            </w:r>
          </w:p>
          <w:p w14:paraId="5BA7B28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6.AI学情分析</w:t>
            </w:r>
          </w:p>
          <w:p w14:paraId="27E9D01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）支持智能呈现班级整体知识点分析数据，提供个性化学习路径。</w:t>
            </w:r>
          </w:p>
          <w:p w14:paraId="5719CAE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）可查看知识点平均完成率、平均掌握率、完成率分布和掌握率分布等。支持按知识点查看每个知识点的关联学习资源数、平均完成率、平均掌握率、课程资料数、课程资料人均阅读情况等。</w:t>
            </w:r>
          </w:p>
          <w:p w14:paraId="6F211F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）基于AI学情分析，可由AI生成学情分析画像，减轻教师学情分析压力，提升效率。</w:t>
            </w:r>
          </w:p>
          <w:p w14:paraId="612443F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4ED2E09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）支持根据平台学生整体学习数据及专项数据，或者上传excel文档，教师可自定义分析维度，AI自动进行学生学情分析并提供建议提醒。</w:t>
            </w:r>
          </w:p>
          <w:p w14:paraId="00E0E7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）支持多班对比分析：对多个班级的数据进行深度分析，洞察每个班级的独特学情，为教育决策提供科学依据。</w:t>
            </w:r>
          </w:p>
          <w:p w14:paraId="3402F9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）支持内置常见问题：智能解答，即刻响应。精准识别并预测用户常见问题，提供即时、精准的智能回复。</w:t>
            </w:r>
          </w:p>
          <w:p w14:paraId="636F50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）支持图表产出：引入多种统计图表，包括饼图、散点图、面积图、箱线图等，提供丰富的数据可视化选项，帮助教师把握数据背后的趋势与洞见。</w:t>
            </w:r>
          </w:p>
          <w:p w14:paraId="0A828C0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7.个性化学习路径推荐</w:t>
            </w:r>
          </w:p>
          <w:p w14:paraId="1282871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）为学生智能化推荐个性化学习路径，呈现路径中各知识点掌握率</w:t>
            </w:r>
          </w:p>
          <w:p w14:paraId="192DE31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）基于知识点的学习，智能化分析学生学习进度与掌握情况，掌握率高于90%的知识点在学习路径上不再显示</w:t>
            </w:r>
          </w:p>
          <w:p w14:paraId="3AAB4A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）基于错题智能推荐薄弱知识点</w:t>
            </w:r>
          </w:p>
          <w:p w14:paraId="40103AB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8.智能推荐资源</w:t>
            </w:r>
          </w:p>
          <w:p w14:paraId="3F054A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根据需求，可通过问答方式由AI助教提供智能化资源推荐，通过关键词识别，智能化挖掘呈现相关联学术资源，包含期刊、图书等内容，助力学生复习相关知识、扩展学习的深度与广度。</w:t>
            </w:r>
          </w:p>
          <w:p w14:paraId="66FA8D5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9.文献阅读</w:t>
            </w:r>
          </w:p>
          <w:p w14:paraId="142A4A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）根据原文内容支持随机生成并显示默认问题，可通过点击默认问题或自定义输入问题查看回复，平台通过匹配向量之间的相似性，支持文字、表格等多种输出格式；</w:t>
            </w:r>
          </w:p>
          <w:p w14:paraId="235715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）支持点击词云查看人物、机构、地名在原文出现次数、页码以及原文信息，快速了解原文的重点和主题；</w:t>
            </w:r>
          </w:p>
          <w:p w14:paraId="27406A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）通过对原文的分析，支持按照章节提取关键信息，生成摘要列表；</w:t>
            </w:r>
          </w:p>
          <w:p w14:paraId="3B1B98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）通过对原文的分析将复杂的概念和关系可视化，支持按照脑图或markdown格式切换查看，帮助知识整理和信息归纳；</w:t>
            </w:r>
          </w:p>
          <w:p w14:paraId="516D51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）通过对原文的分析，支持按照章节查看系统生成的相关试题，试题可以章节为维度进行筛选，生成的试题均为本章节相关内容试题；</w:t>
            </w:r>
          </w:p>
          <w:p w14:paraId="6FCE404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）支持原文在线预览，支持目录检索、全文检索。</w:t>
            </w:r>
          </w:p>
          <w:p w14:paraId="05B63D4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10.视频理解</w:t>
            </w:r>
          </w:p>
          <w:p w14:paraId="4D23E72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）支持自定义上传视频，AI智能分析生成“智能速览”，总结视频摘要、片段摘要。</w:t>
            </w:r>
          </w:p>
          <w:p w14:paraId="25ED63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）智能分析视频中的发言人，按发言人统计发言百分比、发言段落，以时间轴形式展示。</w:t>
            </w:r>
          </w:p>
          <w:p w14:paraId="006FC4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）根据视频随机生成问题，可通过点击默认问题或自定义输入问题开展机器问答，平台通过匹配向量之间的相似性；</w:t>
            </w:r>
          </w:p>
          <w:p w14:paraId="35CA7E9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）支持点击词云查看实体出现次数、时间段以及视频文本信息，快速了解视频的重点和主题；</w:t>
            </w:r>
          </w:p>
          <w:p w14:paraId="3210E3C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）通过对视频的片段分析将复杂的概念和关系可视化，支持按照脑图或markdown格式切换查看，帮助知识整理和信息归纳；</w:t>
            </w:r>
          </w:p>
          <w:p w14:paraId="52BDE2B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11.章节内容智能审查与文本纠错</w:t>
            </w:r>
          </w:p>
          <w:p w14:paraId="70104FF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szCs w:val="21"/>
                <w:highlight w:val="none"/>
                <w:lang w:val="zh-CN"/>
                <w14:textFill>
                  <w14:solidFill>
                    <w14:schemeClr w14:val="tx1"/>
                  </w14:solidFill>
                </w14:textFill>
              </w:rPr>
              <w:t>支持实现文字自动校对，包括错字、漏字、缺字、多字、语法、错误、语义错误等都可以实现自动校对标注。</w:t>
            </w:r>
          </w:p>
          <w:p w14:paraId="1EA5986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12.作业智能查重</w:t>
            </w:r>
          </w:p>
          <w:p w14:paraId="233D12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）比对基础库中的数据包含图书、报纸、期刊、网络文档等多种文献类型；支持选择不同的比对库，包含全部全文比对库、图书全文比对库、非图书全文比对库、法律法规比对库、自建库选择进行检测。</w:t>
            </w:r>
          </w:p>
          <w:p w14:paraId="125CC3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）每万字的检测需在数秒内完成，并在10分钟内提供检测报告；</w:t>
            </w:r>
          </w:p>
          <w:p w14:paraId="7A02FA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）支持30M以上的TXT、DOC、PDF、DOCX、ZIP、RAR多种格式以及非加密文档的上传检测；支持ZIP、RAR压缩包形式上传（大小需在50M以内）；</w:t>
            </w:r>
          </w:p>
          <w:p w14:paraId="1C4F8BE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）支持点击选择文件上传文档或者将50字以上、1万字以下的文本直接粘贴到文本框中进行检测；</w:t>
            </w:r>
          </w:p>
          <w:p w14:paraId="40C2DF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）支持根据上传的检测文献生成检测报告，支持查看在线报告，也支持批量下载全部检测报告、批量下载PDF报告；</w:t>
            </w:r>
          </w:p>
          <w:p w14:paraId="2BBB72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）用户可下载PDF报告（简洁报告、全文检测报告）和HTML报告（综合评估、相似片段、全文对比）进行查看和打印，（PDF报告和HTML报告均提供相似度检测专用印章）；</w:t>
            </w:r>
          </w:p>
          <w:p w14:paraId="5100FC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）支持查看最密集相似段、密集相似段、非密集相似段；</w:t>
            </w:r>
          </w:p>
          <w:p w14:paraId="68DDF8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（8）支持按文献类型查看典型相似图书列表、典型相似报纸列表、典型相似期刊列表、典型相似网络文档列表，支持在检测结果中，单独查看两两文献的比对结果。</w:t>
            </w:r>
          </w:p>
          <w:p w14:paraId="5C45F58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13.视频智能分析</w:t>
            </w:r>
          </w:p>
          <w:p w14:paraId="16741C8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w:t>
            </w:r>
          </w:p>
          <w:p w14:paraId="6EEB6D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）基于人工智能技术生成知识点词云分析并展示</w:t>
            </w:r>
          </w:p>
          <w:p w14:paraId="5A5A17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）支持视频播放时学生可以定位到时间点观看对应知识点的视频讲解。</w:t>
            </w:r>
          </w:p>
          <w:p w14:paraId="5D3E593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14.智能翻译</w:t>
            </w:r>
          </w:p>
          <w:p w14:paraId="33DDD32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）支持用户自行上传文件进行双语翻译（文件至少为10MB内无加密PDF文件）。</w:t>
            </w:r>
          </w:p>
          <w:p w14:paraId="6ED5C8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）支持单语切换：一键切换阅读模式。在开启“同步滑动”的情况下，实现页面同步跳转，方便阅读；</w:t>
            </w:r>
          </w:p>
          <w:p w14:paraId="4559F1E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）支持查词定位：原文、译文阅读界面均支持文章内容的精准查找定位，支持高亮显示和大小写区分，方便用户通过关键词快速检索文章内容；</w:t>
            </w:r>
          </w:p>
          <w:p w14:paraId="6BDF1B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）支持页码定位：支持用户通过上下滑动进行定位，同时支持输入页码调试定位；</w:t>
            </w:r>
          </w:p>
          <w:p w14:paraId="65CC8A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）支持调整阅读比例：支持自动缩放、实际大小、适合页宽以及100%、125%、150%的页面调整；</w:t>
            </w:r>
          </w:p>
          <w:p w14:paraId="24B25DF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）支持开启划词翻译功能，选中原文、译文文本并翻译；</w:t>
            </w:r>
          </w:p>
          <w:p w14:paraId="2369529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15.公式识别</w:t>
            </w:r>
          </w:p>
          <w:p w14:paraId="4F53154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教师录入公式后，系统自动将图片公式分析出来并可转换为latex公式。</w:t>
            </w:r>
          </w:p>
          <w:p w14:paraId="3B51141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16.课程内容不懂智能驱动</w:t>
            </w:r>
          </w:p>
          <w:p w14:paraId="6E15C28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学生观看视频或课件时，点击屏幕右侧“不懂”按钮，智能触发AI助教，并将不懂的页面自动截屏，由AI答疑解惑。</w:t>
            </w:r>
          </w:p>
          <w:p w14:paraId="21A78CF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17.智能推送薄弱点及资源</w:t>
            </w:r>
          </w:p>
          <w:p w14:paraId="1779DB3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）根据每个学生的错题和知识点掌握率，自动为学生进行薄弱知识点的辅导，可以根据学生错题和知识点掌握率优先推送薄弱知识点相关的题目。</w:t>
            </w:r>
          </w:p>
          <w:p w14:paraId="5351DA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）支持生成相似题、变式题的个性化练习，帮助学生加强知识点理解。</w:t>
            </w:r>
          </w:p>
          <w:p w14:paraId="6469B74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18.智能化分层</w:t>
            </w:r>
          </w:p>
          <w:p w14:paraId="70B4D6D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646EB4E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19.AI试卷质量分析</w:t>
            </w:r>
          </w:p>
          <w:p w14:paraId="4AAD01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）支持从题型题量、难易度、知识点覆盖以及题目质量等多个关键维度，对试卷质量进行深入、细致地评估，提供相应建议。</w:t>
            </w:r>
          </w:p>
          <w:p w14:paraId="4FCC49A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）支持根据AI推荐知识点，给题目一键关联知识点，健全知识图谱建设；老师可以进行AI【一键换题】操作，快速获取更优质、更合适的题目，提高试卷编撰效率和质量。</w:t>
            </w:r>
          </w:p>
          <w:p w14:paraId="2B19E51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20.AI实践</w:t>
            </w:r>
          </w:p>
          <w:p w14:paraId="258CDA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科教学体系中，实践教学是培养应用型人才的核心模块，尤其在医学、心理学等强实操性领域具有不可替代性。AI实践是一种融合智能技术与教学场景的任务型学习方式，支持教师根据教学目标配置不同类型的实践任务。</w:t>
            </w:r>
          </w:p>
          <w:p w14:paraId="34C745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）支持预设任务内容、评分标准与评估视角等多项任务信息</w:t>
            </w:r>
          </w:p>
          <w:p w14:paraId="5A5BE2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）支持学生在系统引导下完成练习、提交作品或多轮互动</w:t>
            </w:r>
          </w:p>
          <w:p w14:paraId="58333F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）系统可记录学生过程、提供智能评分反馈，帮助教师高效开展教学管理</w:t>
            </w:r>
          </w:p>
          <w:p w14:paraId="4B450E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）支持情景对话型任务</w:t>
            </w:r>
          </w:p>
          <w:p w14:paraId="7E82AF1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以“情景驱动”为核心的AI互动练习形式，支持教师设置具体情境、任务要求与交互目标，引导学生在设定情境中与AI展开多轮对话，逐步推进任务完成。</w:t>
            </w:r>
          </w:p>
          <w:p w14:paraId="4821C8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）支持上传作品型任务</w:t>
            </w:r>
          </w:p>
          <w:p w14:paraId="0D56B6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上传作品任务适用于学生提交作品型成果，如实验图片、图文混排文档等。支持教师在任务中明确作品要求，设置评估角色与评分标准，结合实际教学目标和评分标准，对学生提交内容进行评阅与打分反馈。</w:t>
            </w:r>
          </w:p>
          <w:p w14:paraId="2EC3C1F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）支持学习阶梯型任务</w:t>
            </w:r>
          </w:p>
          <w:p w14:paraId="0EB321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习阶梯是一种层层递进的任务设计方式，围绕一个核心问题，支持教师预设多个认知维度。学生需逐步作答、逐层推进，答对当前层级的问题后，才能解锁下一层，实现“按维推进、层层深入”的学习过程，帮助学生在实践中锻炼逻辑、分析与综合能力。</w:t>
            </w:r>
          </w:p>
          <w:p w14:paraId="2C84565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）支持知识设置一个简明、明确的标题，便于学生理解任务内容</w:t>
            </w:r>
          </w:p>
          <w:p w14:paraId="11DF325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）支持选择“阶梯闯关”和“主干生长”任务类型</w:t>
            </w:r>
          </w:p>
          <w:p w14:paraId="51BFF80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阶梯闯关（客观题主导）实践，适用场景：聚焦知识点分层拆解、基础概念逐个突破的考核场景。以单选题/多选题/填空题拆分维度知识点，要求学生逐维攻克，确保基础概念掌握扎实，适配阶段基础检测、知识点梯度巩固。</w:t>
            </w:r>
          </w:p>
          <w:p w14:paraId="747E5A4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设置主干生长（主观题主导）实践，适用场景：面向多维度知识整合、复杂问题综合解决的考核场景。学生以主观推导作答后，系统检测等维度覆盖度，对缺失维度知识点生成定向追问，推动知识补漏，适配综合应用题训练、思维漏洞精准修复。</w:t>
            </w:r>
          </w:p>
          <w:p w14:paraId="687680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）支持设置一个任务中最核心的探究疑问，明确学生需聚焦解决的本质问题，指引思考与探究的关键方向</w:t>
            </w:r>
          </w:p>
          <w:p w14:paraId="6CF1875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）支持围绕核心问题，拆解出的具体考核角度（如知识认知、原理推导、操作实践等层面），明确从哪些维度评估学生对核心问题的掌握深度与广度（一个任务至少设置一个考核维度；至多设置五个考核维度）</w:t>
            </w:r>
          </w:p>
          <w:p w14:paraId="6079BA4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）支持在每个考核维度下，需添加具体知识点，支持从课程知识点中勾选，或按需自定义填写添加，精准定位该考核维度涉及的知识范畴（一个维度至少添加一个知识点；至多添加五个知识点）。</w:t>
            </w:r>
          </w:p>
          <w:p w14:paraId="4217431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互动故事</w:t>
            </w:r>
          </w:p>
          <w:p w14:paraId="0DD86EB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将学科知识点转化为可互动的教学剧情，学生通过与故事中的不同AI角色对话还原各类真实专业场景，在沉浸式体验中深化知识理解与应用。</w:t>
            </w:r>
          </w:p>
          <w:p w14:paraId="29139C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（8）AI思辩擂台：</w:t>
            </w:r>
            <w:r>
              <w:rPr>
                <w:rFonts w:hint="eastAsia" w:ascii="宋体" w:hAnsi="宋体" w:cs="宋体"/>
                <w:snapToGrid w:val="0"/>
                <w:color w:val="000000" w:themeColor="text1"/>
                <w:szCs w:val="21"/>
                <w:highlight w:val="none"/>
                <w14:textFill>
                  <w14:solidFill>
                    <w14:schemeClr w14:val="tx1"/>
                  </w14:solidFill>
                </w14:textFill>
              </w:rPr>
              <w:t>支持设定某一主题的辩论任务，自定义话题、观点、评分标准与对话轮次，学生既可自主选择立场，也可由教师指定。任务开始后，学生将与AI智能体展开实时辩论，各自围绕所选观点进行论证、举证与反驳，以此锻炼学生的逻辑组织、证据运用与多角度分析的能力。辩论结束后，系统将依据教师预先设定的评分标准，由 AI 对学生的整体表现进行评估并给出结果，帮助学生在实践中提升逻辑思维能力、证据意识和多角度分析问题的能力。</w:t>
            </w:r>
          </w:p>
          <w:p w14:paraId="0DB57CB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21.AI科研助手</w:t>
            </w:r>
          </w:p>
          <w:p w14:paraId="1A4428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21.1AI科研智能问答</w:t>
            </w:r>
          </w:p>
          <w:p w14:paraId="6B873E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）支持自定义切换多个学科智能体，每个智能体可绑定多个AI知识库与大模型；支持自定义智能体名称、图标、角色定位与使用场景描述。</w:t>
            </w:r>
          </w:p>
          <w:p w14:paraId="4EB07F9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）智能体回答内容支持溯源引用来源，确保回答可信；支持灵活选择多种大模型；支持设置提示词，定义智能体角色行为和问答风格。</w:t>
            </w:r>
          </w:p>
          <w:p w14:paraId="3893669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）支持问答式检索，直接以问题形式获取文献推荐或答案摘要；支持检索结果加入阅读清单与AI解读功能。</w:t>
            </w:r>
          </w:p>
          <w:p w14:paraId="795FCF8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21.2AI学术追踪</w:t>
            </w:r>
          </w:p>
          <w:p w14:paraId="3ACED778">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自定义研究兴趣、学术期刊、学者、学术顶会等信息进行AI追踪，系统自动筛选并推送相关的最新优质文献。支持用户通过自然语言输入具体兴趣追踪最新学术文献。支持对推荐文献快捷引用，支持APA、MLA、GB/T7714等引用格式；支持勾选多篇推荐文献进行多文献对话，支持对多篇文献提供观点对比、研究方法对比、结论对比、摘要总结。</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6C0D83C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）系统自动构建用户画像，基于用户兴趣偏好与历史行为进行内容推荐；推荐内容支持加入阅读清单、课题知识库。</w:t>
            </w:r>
          </w:p>
          <w:p w14:paraId="046CCC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）支持冷启动机制，帮助新用户快速匹配感兴趣内容。</w:t>
            </w:r>
          </w:p>
          <w:p w14:paraId="47E1A4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21.3AI学术对话</w:t>
            </w:r>
          </w:p>
          <w:p w14:paraId="1E4021B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支持对学术追踪的内容进行AI总结；支持AI快速解读关注领域的最新科研动态，便于用户快速及时了解最新文献、大批量文献；AI速读支持提取文章结构（研究方法、结论、贡献等）并生成摘要，支持一键生成关键要点，支持生成脑图。</w:t>
            </w:r>
          </w:p>
          <w:p w14:paraId="0A46C8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（2）支持对单个AI知识库进行AI对话；支持对期刊、学者进行AI对话，以交互方式使用户快捷了解期刊或学者某方面研究内容。</w:t>
            </w:r>
          </w:p>
          <w:p w14:paraId="1AF2F890">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1" w:name="_Toc16786"/>
            <w:r>
              <w:rPr>
                <w:rFonts w:hint="eastAsia" w:ascii="宋体" w:hAnsi="宋体" w:cs="宋体"/>
                <w:b/>
                <w:bCs/>
                <w:snapToGrid w:val="0"/>
                <w:color w:val="000000" w:themeColor="text1"/>
                <w:szCs w:val="21"/>
                <w:highlight w:val="none"/>
                <w14:textFill>
                  <w14:solidFill>
                    <w14:schemeClr w14:val="tx1"/>
                  </w14:solidFill>
                </w14:textFill>
              </w:rPr>
              <w:t>五、智慧</w:t>
            </w:r>
            <w:r>
              <w:rPr>
                <w:rFonts w:hint="eastAsia" w:ascii="宋体" w:hAnsi="宋体" w:cs="宋体"/>
                <w:b/>
                <w:bCs/>
                <w:snapToGrid w:val="0"/>
                <w:color w:val="000000" w:themeColor="text1"/>
                <w:szCs w:val="21"/>
                <w:highlight w:val="none"/>
                <w:lang w:val="zh-CN"/>
                <w14:textFill>
                  <w14:solidFill>
                    <w14:schemeClr w14:val="tx1"/>
                  </w14:solidFill>
                </w14:textFill>
              </w:rPr>
              <w:t>课程门户建设</w:t>
            </w:r>
            <w:bookmarkEnd w:id="41"/>
          </w:p>
          <w:p w14:paraId="4ECC809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1.智慧课程门户搭建</w:t>
            </w:r>
          </w:p>
          <w:p w14:paraId="548DDD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建设专有课程域名，进行课程门户搭建。PC门户配置功能支持用户自定义模块布局，支持拖拽式调整同一模块内不同栏目的位置，支持用户自定义对页面背景、音乐、主题色及简体或繁体字的转换设置。每一个模块内的数据来源均支持人工配置；可以是外部数据接入，也可以直接从数据中心抽调。</w:t>
            </w:r>
          </w:p>
          <w:p w14:paraId="47DA118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2.智慧课程门户展示</w:t>
            </w:r>
          </w:p>
          <w:p w14:paraId="7FD5FE7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）课程门户展示课程整体建设内容，教师团队、教学设计、课程章节、知识图谱、问题图谱、证书图谱、能力图谱、教学运行、AI知识库、AI应用。</w:t>
            </w:r>
          </w:p>
          <w:p w14:paraId="029D45C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）支持对课程门户进行二次编辑，课程基本信息，包含课程名称、封面、宣传片、主讲教师、教师团队、学时学分、课程说明等。</w:t>
            </w:r>
          </w:p>
          <w:p w14:paraId="1F1D36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）支持编辑课程简介，展示课程所属院校、专业、教师团队详情等信息。</w:t>
            </w:r>
          </w:p>
          <w:p w14:paraId="0CD51A4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3.知识图谱展示与应用</w:t>
            </w:r>
          </w:p>
          <w:p w14:paraId="318F030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支持展示课程知识图谱，查看多种图谱模式，包含但不限于关系图谱、思维导图模式、学习路径、问题图谱等，展示课程目标图谱、问题图谱。</w:t>
            </w:r>
          </w:p>
          <w:p w14:paraId="07E5887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4.AI知识库展示</w:t>
            </w:r>
          </w:p>
          <w:p w14:paraId="4C852A1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支持展示知识库总数、资源总数、知识切片总数、问答对总数，动态展示、拓展资料、趣味测试，动态播放知识库资源。</w:t>
            </w:r>
          </w:p>
          <w:p w14:paraId="17D9654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.教学设计展示</w:t>
            </w:r>
          </w:p>
          <w:p w14:paraId="24A386B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）支持对课程章节、小结进行数据统计，按章节展示知识图谱任务点资源及课程资料。</w:t>
            </w:r>
          </w:p>
          <w:p w14:paraId="6C054C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）支持用课程－课程目标－课程知识点3层架构，展示智慧课程知识体系。支持2D\3D模式切换、全屏播放及页面缩放。</w:t>
            </w:r>
          </w:p>
          <w:p w14:paraId="7A11DF6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.课程运行数据统计分析展示</w:t>
            </w:r>
          </w:p>
          <w:p w14:paraId="4BD9DF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）支持对课程建设、运行数据进行详情分析，包含教师团队、学生人数、知识点资源数、知识点属性、知识点学情统计等。</w:t>
            </w:r>
          </w:p>
          <w:p w14:paraId="071D09F9">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2" w:name="_Toc4611"/>
            <w:r>
              <w:rPr>
                <w:rFonts w:hint="eastAsia" w:ascii="宋体" w:hAnsi="宋体" w:cs="宋体"/>
                <w:b/>
                <w:bCs/>
                <w:snapToGrid w:val="0"/>
                <w:color w:val="000000" w:themeColor="text1"/>
                <w:szCs w:val="21"/>
                <w:highlight w:val="none"/>
                <w14:textFill>
                  <w14:solidFill>
                    <w14:schemeClr w14:val="tx1"/>
                  </w14:solidFill>
                </w14:textFill>
              </w:rPr>
              <w:t>六、智慧</w:t>
            </w:r>
            <w:r>
              <w:rPr>
                <w:rFonts w:hint="eastAsia" w:ascii="宋体" w:hAnsi="宋体" w:cs="宋体"/>
                <w:b/>
                <w:bCs/>
                <w:snapToGrid w:val="0"/>
                <w:color w:val="000000" w:themeColor="text1"/>
                <w:szCs w:val="21"/>
                <w:highlight w:val="none"/>
                <w:lang w:val="zh-CN"/>
                <w14:textFill>
                  <w14:solidFill>
                    <w14:schemeClr w14:val="tx1"/>
                  </w14:solidFill>
                </w14:textFill>
              </w:rPr>
              <w:t>课程数据分析</w:t>
            </w:r>
            <w:bookmarkEnd w:id="42"/>
          </w:p>
          <w:p w14:paraId="7155EBF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1.学情统计&amp;图谱统计</w:t>
            </w:r>
          </w:p>
          <w:p w14:paraId="4773D6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）支持用户能深入分析学习情况和图谱数据，以优化教学和学习策略</w:t>
            </w:r>
          </w:p>
          <w:p w14:paraId="7D8E4C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）支持探索每个知识点在班级中的平均表现，并在不同班级间轻松切换，以获得全面的视角</w:t>
            </w:r>
          </w:p>
          <w:p w14:paraId="3E86D3E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）支持将学情统计的快照保存为图像，便于回顾和分享</w:t>
            </w:r>
          </w:p>
          <w:p w14:paraId="383997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）支持在学情统计中检索节点，帮助用户快速定位特定节点的完成率/掌握率</w:t>
            </w:r>
          </w:p>
          <w:p w14:paraId="488149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）课程总览支持创意的词云形式，展示学习中的热门知识点，直观地反映学习的重点和热点</w:t>
            </w:r>
          </w:p>
          <w:p w14:paraId="29909C7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）知识点学习情况分析通过图形化的方式，提供班级学习的整体视图，包括完成率和掌握率</w:t>
            </w:r>
          </w:p>
          <w:p w14:paraId="6CED91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）支持对知识点掌握情况深入分析，同时展示学生知识点掌握率和知识点完成率的前五名，以此凸显学习成效的佼佼者</w:t>
            </w:r>
          </w:p>
          <w:p w14:paraId="33E04AA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）支持全面审视所有学生的数据，提供两种不同的视角来观察这些数据：从知识点出发或从学生个体出发</w:t>
            </w:r>
          </w:p>
          <w:p w14:paraId="446BB7B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2.知识点统计</w:t>
            </w:r>
          </w:p>
          <w:p w14:paraId="049C87A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）分类卡片综合展示关键信息，如标题、描述、知识点及其资源和标签概览，提供非任务点与任务点的数量统计</w:t>
            </w:r>
          </w:p>
          <w:p w14:paraId="14CEC4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）用户可通过点击卡片进入详情页面，页面细分为六个核心部分，全面覆盖分类的各个方面</w:t>
            </w:r>
          </w:p>
          <w:p w14:paraId="1B7BB0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）知识点与资源关联展示知识点数量及其关联的资源总数，揭示知识点的内容丰富度</w:t>
            </w:r>
          </w:p>
          <w:p w14:paraId="0516D34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）知识点微课入口支持以列表形式展示知识点标签，并允许一键跳转至相关微课，增强学习的直接性和便捷性</w:t>
            </w:r>
          </w:p>
          <w:p w14:paraId="0799C1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）知识点标签支持展示分类下所有知识点的标签数量，包括考点、重点和难点，以助于用户识别关键学习领域</w:t>
            </w:r>
          </w:p>
          <w:p w14:paraId="0903B1B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）知识点建设情况支持以柱状图形式展示每个知识点的关联资源数量，提供资源分配的视觉比较</w:t>
            </w:r>
          </w:p>
          <w:p w14:paraId="3BF4C7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）支持以班级为单位，展示不同班级之间的知识点平均掌握率和知识点平均完成率，反映学习成效和掌握程度</w:t>
            </w:r>
          </w:p>
          <w:p w14:paraId="22CEBB8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3.课程数据总览</w:t>
            </w:r>
          </w:p>
          <w:p w14:paraId="67ED4B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提供课程数据总览，能多维度查看课程数据分析，基础数据、课堂报告、学情统计、学生成绩、学习监控。</w:t>
            </w:r>
          </w:p>
          <w:p w14:paraId="4CB597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）基础数据包含学生人数、学习任务、班级、作业、考试、课堂活动、讨论区话题数；</w:t>
            </w:r>
          </w:p>
          <w:p w14:paraId="4F2F78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）教学建设情况统计分析，含课程章节、课程资料、知识库、题库建设数据分析；</w:t>
            </w:r>
          </w:p>
          <w:p w14:paraId="26C0B18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）AI使用情况统计分析，含AI应用和AI指令建设数量，调用情况，AI分析题目数、AI生产资源数、AI智能体会话数等；</w:t>
            </w:r>
          </w:p>
          <w:p w14:paraId="58C3349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）学习监控包括学生成绩、学生学习进度、教学预警、知识点、资源、任务点、资料和评估活动的统计分析及导出；</w:t>
            </w:r>
          </w:p>
          <w:p w14:paraId="07123FBD">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43" w:name="_Toc22883"/>
            <w:r>
              <w:rPr>
                <w:rFonts w:hint="eastAsia" w:ascii="宋体" w:hAnsi="宋体" w:cs="宋体"/>
                <w:b/>
                <w:bCs/>
                <w:snapToGrid w:val="0"/>
                <w:color w:val="000000" w:themeColor="text1"/>
                <w:szCs w:val="21"/>
                <w:highlight w:val="none"/>
                <w14:textFill>
                  <w14:solidFill>
                    <w14:schemeClr w14:val="tx1"/>
                  </w14:solidFill>
                </w14:textFill>
              </w:rPr>
              <w:t>七、任务引擎建设</w:t>
            </w:r>
            <w:bookmarkEnd w:id="43"/>
          </w:p>
          <w:p w14:paraId="4090FE81">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1.以能力培养为导向的任务设计，适配多种教学模式</w:t>
            </w:r>
          </w:p>
          <w:p w14:paraId="0AE2948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574CE386">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2.任务功能模块配置</w:t>
            </w:r>
          </w:p>
          <w:p w14:paraId="78FA4F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）支持新建、编辑、发布、管理和删除任务，并针对任务数据进行自定义排序、指定、创建文件夹进行归纳；</w:t>
            </w:r>
          </w:p>
          <w:p w14:paraId="284730D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）支持AI生成任务，提高老师任务创建效率。</w:t>
            </w:r>
          </w:p>
          <w:p w14:paraId="0472A63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）支持按照章节，教案，文本三种方式AI生成任务基本信息和任务点内容，简化老师任务设计工作，提高任务的建设质量。</w:t>
            </w:r>
          </w:p>
          <w:p w14:paraId="77E547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）支持点击新建任务，跳转至任务编辑页面，进行基本信息编辑和任务设计工作；</w:t>
            </w:r>
          </w:p>
          <w:p w14:paraId="67851E8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）支持编辑任务基本信息，包括任务名称、任务封面、任务介绍和选择任务标签，任务标签支持对接数据源，按照单位设置展示标签内容；</w:t>
            </w:r>
          </w:p>
          <w:p w14:paraId="6EA1B8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）支持切换标签页跳转任务设计页面，添加分组，添加任务点和设置闯关达标条件；</w:t>
            </w:r>
          </w:p>
          <w:p w14:paraId="49E7E4F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44E7F3ED">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8</w:t>
            </w:r>
            <w:r>
              <w:rPr>
                <w:rFonts w:hint="eastAsia" w:ascii="宋体" w:hAnsi="宋体" w:cs="宋体"/>
                <w:b/>
                <w:bCs/>
                <w:snapToGrid w:val="0"/>
                <w:color w:val="000000" w:themeColor="text1"/>
                <w:szCs w:val="21"/>
                <w:highlight w:val="none"/>
                <w:lang w:val="zh-CN"/>
                <w14:textFill>
                  <w14:solidFill>
                    <w14:schemeClr w14:val="tx1"/>
                  </w14:solidFill>
                </w14:textFill>
              </w:rPr>
              <w:t>）支持直接添加当前课下资源和当前登录用户的其他课程资源到任务下，同时支持点击添加跳转到指定页面进行资源添加；</w:t>
            </w:r>
          </w:p>
          <w:p w14:paraId="1762DE9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）支持在任务点上设置闯关条件，学生需要达到任务点设置的完成条件才能够学习下一个任务点，不同类型任务点闯关条件不同；</w:t>
            </w:r>
          </w:p>
          <w:p w14:paraId="76537256">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）支持在任务分组上设置组间闯关条件，学生需要达到组间闯关设置的完成条件后才能够学习下个分组，不同类型任务点闯关条件不同；</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0E7BD0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）支持在任务设计上设置达标标准，学生完成达标标准后，整个任务学习完成，学生可以领取相应的任务达标证书；</w:t>
            </w:r>
          </w:p>
          <w:p w14:paraId="4D0732D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4CDC70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）针对自定义类型任务点，增加“签到”按钮，方便老师发放签到给学生；</w:t>
            </w:r>
          </w:p>
          <w:p w14:paraId="6B0194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）任务中可插入PBL教学：支持开展分组教学活动，支持多种分组方式，包含固定分组、自选分组、组长建组、随机分组、面对面建组、不分组等分组方式；</w:t>
            </w:r>
          </w:p>
          <w:p w14:paraId="46FA4E1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）活动支持教师评价、组内评价、组间评价、自评等多种评价相结合，支持分项评分指标设置；</w:t>
            </w:r>
          </w:p>
          <w:p w14:paraId="19625E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）课程成绩权重支持分组任务明细分配，不同活动可设置不同考核权重。</w:t>
            </w:r>
          </w:p>
          <w:p w14:paraId="2ABACF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2D90C9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）支持针对任务点开启高阶闯关模式，使不同成绩学生后续学习的内容不一样，满足教师个性化教学的场景；</w:t>
            </w:r>
          </w:p>
          <w:p w14:paraId="4B59F2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）任务引擎支持选课功能，支持教师选择部分资源作为任务包，学生选择部分任务点进行选择性学习；</w:t>
            </w:r>
          </w:p>
          <w:p w14:paraId="715102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）支持任务克隆功能，支持克隆给自己和克隆给他人两种方式，提高任务的复用性；</w:t>
            </w:r>
          </w:p>
          <w:p w14:paraId="24A7F3B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21</w:t>
            </w:r>
            <w:r>
              <w:rPr>
                <w:rFonts w:hint="eastAsia" w:ascii="宋体" w:hAnsi="宋体" w:cs="宋体"/>
                <w:snapToGrid w:val="0"/>
                <w:color w:val="000000" w:themeColor="text1"/>
                <w:szCs w:val="21"/>
                <w:highlight w:val="none"/>
                <w:lang w:val="zh-CN"/>
                <w14:textFill>
                  <w14:solidFill>
                    <w14:schemeClr w14:val="tx1"/>
                  </w14:solidFill>
                </w14:textFill>
              </w:rPr>
              <w:t>）支持针对任务进行报名设置工作，教师可以选择开启报名，报名需要填写信息，报名需要审批三种方式，邀请学生报名任务，同时支持查看报名信息。</w:t>
            </w:r>
          </w:p>
          <w:p w14:paraId="31484F61">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3.学生任务学习</w:t>
            </w:r>
            <w:r>
              <w:rPr>
                <w:rFonts w:hint="eastAsia" w:ascii="宋体" w:hAnsi="宋体" w:cs="宋体"/>
                <w:b/>
                <w:bCs/>
                <w:snapToGrid w:val="0"/>
                <w:color w:val="000000" w:themeColor="text1"/>
                <w:szCs w:val="21"/>
                <w:highlight w:val="none"/>
                <w:lang w:val="zh-CN"/>
                <w14:textFill>
                  <w14:solidFill>
                    <w14:schemeClr w14:val="tx1"/>
                  </w14:solidFill>
                </w14:textFill>
              </w:rPr>
              <w:tab/>
            </w:r>
          </w:p>
          <w:p w14:paraId="776C7D4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）支持学生点击个人空间－我的任务查看我的任务列表，支持学生点击课程－任务查看我的任务</w:t>
            </w:r>
          </w:p>
          <w:p w14:paraId="22F724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）点击进入学习，支持学生查看任务的基本信息，达标情况和解锁情况</w:t>
            </w:r>
          </w:p>
          <w:p w14:paraId="5DA839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）支持点击达标按钮，查看学生当前的达标情况</w:t>
            </w:r>
          </w:p>
          <w:p w14:paraId="3E05C45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）任务设置发放证书后，任务达标后支持点击证书按钮，进行证书查看、下载操作</w:t>
            </w:r>
          </w:p>
          <w:p w14:paraId="5C4A09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）支持切换不同类型的学习路径（列表模式、框架模式、图谱模式），方便学生个性化学习</w:t>
            </w:r>
          </w:p>
          <w:p w14:paraId="6DCB641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）支持学生点击任务点进行学习，学习后返回任务详情，支持学生查看自己任务点的最新完成情况和待完成分组、任务点的解锁情况</w:t>
            </w:r>
          </w:p>
          <w:p w14:paraId="01802CC8">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4.任务运行达成数据统计</w:t>
            </w:r>
          </w:p>
          <w:p w14:paraId="5F4C5CD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）学情分析页面展示学生、任务点数据和概览统计情况，方便教师一键明确学生和任务点的完成情况；</w:t>
            </w:r>
          </w:p>
          <w:p w14:paraId="5F98F86B">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）支持督学，有督学和批量督学按钮，支持针对不满足学习进度的学生、单个学生、多个学生进行发放督学通知，督促学生学习。</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2F0D3D5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）提供移动端应用功能，教师可以通过移动端进行简单的任务管理工作；</w:t>
            </w:r>
          </w:p>
          <w:p w14:paraId="2F9A7B5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学生可以通过移动端进行任务学习、查看达标状态、查看证书的工作。</w:t>
            </w:r>
          </w:p>
          <w:p w14:paraId="156A0DCA">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44" w:name="_Toc12564"/>
            <w:r>
              <w:rPr>
                <w:rFonts w:hint="eastAsia" w:ascii="宋体" w:hAnsi="宋体" w:cs="宋体"/>
                <w:b/>
                <w:bCs/>
                <w:snapToGrid w:val="0"/>
                <w:color w:val="000000" w:themeColor="text1"/>
                <w:szCs w:val="21"/>
                <w:highlight w:val="none"/>
                <w14:textFill>
                  <w14:solidFill>
                    <w14:schemeClr w14:val="tx1"/>
                  </w14:solidFill>
                </w14:textFill>
              </w:rPr>
              <w:t>八、系统对接服务</w:t>
            </w:r>
            <w:bookmarkEnd w:id="44"/>
          </w:p>
          <w:p w14:paraId="01010A65">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1.运维性能要求</w:t>
            </w:r>
          </w:p>
          <w:p w14:paraId="63A4AAA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（1）持续更新平台模板、模块样式与应用功能，适配医学教学场景需求。</w:t>
            </w:r>
          </w:p>
          <w:p w14:paraId="2059E6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（2）采用响应式设计，支持PC端、移动端自适应访问，保障多终端使用体验。</w:t>
            </w:r>
          </w:p>
          <w:p w14:paraId="70161F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（3）提供数据备份与恢复服务，全方位保障平台数据安全。</w:t>
            </w:r>
          </w:p>
          <w:p w14:paraId="4EADDD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（4）提供完善的系统运维、技术支持与操作培训服务，保障平台稳定运行。</w:t>
            </w:r>
          </w:p>
          <w:p w14:paraId="38D5D9F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（5）支持对外提供平台统计数据，满足院校数据统计与管理需求。</w:t>
            </w:r>
          </w:p>
          <w:p w14:paraId="2A278532">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2.系统对接要求</w:t>
            </w:r>
          </w:p>
          <w:p w14:paraId="77AEF2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（1）提供与学校指定现有系统（如教务系统、统一认证系统、图书馆系统等）深度对接的全程服务，涵盖方案设计、接口开发、联调测试及数据迁移验证全流程。</w:t>
            </w:r>
          </w:p>
          <w:p w14:paraId="7E483E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（2）支持对接学校统一身份认证系统，实现单点登录功能，便捷进入平台。</w:t>
            </w:r>
          </w:p>
          <w:p w14:paraId="76458A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（3）支持通过数据视图、接口等方式对接学校教务管理数据（含学生、教师、课程、选课等相关数据），并进行定期维护与更新，实现教务数据同步。</w:t>
            </w:r>
          </w:p>
          <w:p w14:paraId="007686A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（4）支持对接学校现有课程教学平台的课程资源数据和运行数据，保障信息化教学的延续性与完整性。</w:t>
            </w:r>
          </w:p>
        </w:tc>
        <w:tc>
          <w:tcPr>
            <w:tcW w:w="364" w:type="pct"/>
            <w:vAlign w:val="center"/>
          </w:tcPr>
          <w:p w14:paraId="727967E8">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门</w:t>
            </w:r>
          </w:p>
        </w:tc>
        <w:tc>
          <w:tcPr>
            <w:tcW w:w="381" w:type="pct"/>
            <w:vAlign w:val="center"/>
          </w:tcPr>
          <w:p w14:paraId="69F6A697">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8</w:t>
            </w:r>
          </w:p>
        </w:tc>
      </w:tr>
      <w:tr w14:paraId="4BE1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65E6C7CD">
            <w:pPr>
              <w:widowControl/>
              <w:kinsoku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4</w:t>
            </w:r>
          </w:p>
        </w:tc>
        <w:tc>
          <w:tcPr>
            <w:tcW w:w="683" w:type="pct"/>
            <w:gridSpan w:val="2"/>
            <w:tcMar>
              <w:top w:w="13" w:type="dxa"/>
              <w:left w:w="57" w:type="dxa"/>
              <w:bottom w:w="0" w:type="dxa"/>
              <w:right w:w="57" w:type="dxa"/>
            </w:tcMar>
            <w:vAlign w:val="center"/>
          </w:tcPr>
          <w:p w14:paraId="06677086">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护理学院2026年</w:t>
            </w:r>
            <w:r>
              <w:rPr>
                <w:rFonts w:hint="eastAsia" w:ascii="宋体" w:hAnsi="宋体" w:cs="宋体"/>
                <w:b/>
                <w:bCs/>
                <w:snapToGrid w:val="0"/>
                <w:color w:val="000000" w:themeColor="text1"/>
                <w:szCs w:val="21"/>
                <w:highlight w:val="none"/>
                <w:lang w:val="zh-CN"/>
                <w14:textFill>
                  <w14:solidFill>
                    <w14:schemeClr w14:val="tx1"/>
                  </w14:solidFill>
                </w14:textFill>
              </w:rPr>
              <w:t>智慧课程建设</w:t>
            </w:r>
            <w:r>
              <w:rPr>
                <w:rFonts w:hint="eastAsia" w:ascii="宋体" w:hAnsi="宋体" w:cs="宋体"/>
                <w:b/>
                <w:bCs/>
                <w:snapToGrid w:val="0"/>
                <w:color w:val="000000" w:themeColor="text1"/>
                <w:szCs w:val="21"/>
                <w:highlight w:val="none"/>
                <w14:textFill>
                  <w14:solidFill>
                    <w14:schemeClr w14:val="tx1"/>
                  </w14:solidFill>
                </w14:textFill>
              </w:rPr>
              <w:t>服务项目</w:t>
            </w:r>
          </w:p>
        </w:tc>
        <w:tc>
          <w:tcPr>
            <w:tcW w:w="3298" w:type="pct"/>
            <w:tcMar>
              <w:top w:w="13" w:type="dxa"/>
              <w:left w:w="57" w:type="dxa"/>
              <w:bottom w:w="0" w:type="dxa"/>
              <w:right w:w="57" w:type="dxa"/>
            </w:tcMar>
            <w:vAlign w:val="center"/>
          </w:tcPr>
          <w:p w14:paraId="595CF274">
            <w:pPr>
              <w:numPr>
                <w:ilvl w:val="0"/>
                <w:numId w:val="5"/>
              </w:num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建设总体要求</w:t>
            </w:r>
            <w:r>
              <w:rPr>
                <w:rFonts w:hint="eastAsia" w:ascii="仿宋" w:hAnsi="仿宋" w:eastAsia="仿宋" w:cs="仿宋"/>
                <w:snapToGrid w:val="0"/>
                <w:color w:val="000000" w:themeColor="text1"/>
                <w:szCs w:val="21"/>
                <w:highlight w:val="none"/>
                <w:lang w:val="zh-CN"/>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完成护理学院《外科护理学》《公众自救互救技术》《老年护理学》《护理礼仪与人际沟通》《临床应用整体助产学》总计5门智慧课程的建设。在采购人要求的上述核心主干课程教学大纲的基础上，梳理课程包含的知识点，构建知识点之间的相互关联及课程目标与知识点关联，完成知识点关系设置、知识点标签设计、视频资源匹配、课程资料匹配、试题库资源匹配等工作，完成课程知识图谱、问题图谱、目标（能力）图谱、课程思政图谱的构建与上线运行。制作团队与课程主要负责人根据课程大纲和混合式教学要求，对课程进行整体教学设计，结合实际教学需要，以服务课程教与学为重点，以资源丰富、充分开放共享、产教融合为基本目标，注重课程资源的适用性和易用性，根据课程内容彰显课程特色。</w:t>
            </w:r>
          </w:p>
          <w:p w14:paraId="3BB0421C">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2.建设《外科护理学》《公众自救互救技术》《老年护理学》《护理礼仪与人际沟通》《临床应用整体助产学》总计5门课程的教学任务搭建工具。工具可用于创建课程项目及教学任务，适配PBL、项目式教学、任务驱动教学、案例式教学、CDIO等多元行动导向教学模式，落地教学设计可视化应用。每门课程配套建设3个示范案例，供教学参考复用。支持案例复用、编辑、二次开发，满足课堂混合式教学使用。</w:t>
            </w:r>
          </w:p>
          <w:p w14:paraId="15327E03">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3.针对《外科护理学》《公众自救互救技术》《老年护理学》《护理礼仪与人际沟通》《临床应用整体助产学》总计5门课程的教学需求，为每门课程搭建3个医学AI实践情景模拟样例。支持开展医护角色模拟、临床分组研讨、多岗位协同交流等教学任务，涵盖临床问诊对话、典型病例分析交流、突发医疗情况沟通处置等对话场景。AI依托教师预设的评分标准，对学生在模拟练习过程中的答复表现进行智能评价，并给出针对性优化方向与改进建议。</w:t>
            </w:r>
          </w:p>
          <w:p w14:paraId="045DC100">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4.依托 DeepSeek、豆包等通用大模型与医学教育垂直专属大模型，建设5门课程私有AI知识库、问答库、护理执业证考试相关知识库并完成增强式私有模型训练，配套部署多功能专属AI助教及AI工作台，适配护理跨学科教学特点，构建智慧教学环境，助力师生开展智慧教学。</w:t>
            </w:r>
          </w:p>
          <w:p w14:paraId="04233AE1">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5" w:name="_Toc22720"/>
            <w:r>
              <w:rPr>
                <w:rFonts w:hint="eastAsia" w:ascii="宋体" w:hAnsi="宋体" w:cs="宋体"/>
                <w:b/>
                <w:bCs/>
                <w:snapToGrid w:val="0"/>
                <w:color w:val="000000" w:themeColor="text1"/>
                <w:szCs w:val="21"/>
                <w:highlight w:val="none"/>
                <w14:textFill>
                  <w14:solidFill>
                    <w14:schemeClr w14:val="tx1"/>
                  </w14:solidFill>
                </w14:textFill>
              </w:rPr>
              <w:t>二、智慧</w:t>
            </w:r>
            <w:r>
              <w:rPr>
                <w:rFonts w:hint="eastAsia" w:ascii="宋体" w:hAnsi="宋体" w:cs="宋体"/>
                <w:b/>
                <w:bCs/>
                <w:snapToGrid w:val="0"/>
                <w:color w:val="000000" w:themeColor="text1"/>
                <w:szCs w:val="21"/>
                <w:highlight w:val="none"/>
                <w:lang w:val="zh-CN"/>
                <w14:textFill>
                  <w14:solidFill>
                    <w14:schemeClr w14:val="tx1"/>
                  </w14:solidFill>
                </w14:textFill>
              </w:rPr>
              <w:t>课程</w:t>
            </w:r>
            <w:r>
              <w:rPr>
                <w:rFonts w:hint="eastAsia" w:ascii="宋体" w:hAnsi="宋体" w:cs="宋体"/>
                <w:b/>
                <w:bCs/>
                <w:snapToGrid w:val="0"/>
                <w:color w:val="000000" w:themeColor="text1"/>
                <w:szCs w:val="21"/>
                <w:highlight w:val="none"/>
                <w14:textFill>
                  <w14:solidFill>
                    <w14:schemeClr w14:val="tx1"/>
                  </w14:solidFill>
                </w14:textFill>
              </w:rPr>
              <w:t>专属</w:t>
            </w:r>
            <w:r>
              <w:rPr>
                <w:rFonts w:hint="eastAsia" w:ascii="宋体" w:hAnsi="宋体" w:cs="宋体"/>
                <w:b/>
                <w:bCs/>
                <w:snapToGrid w:val="0"/>
                <w:color w:val="000000" w:themeColor="text1"/>
                <w:szCs w:val="21"/>
                <w:highlight w:val="none"/>
                <w:lang w:val="zh-CN"/>
                <w14:textFill>
                  <w14:solidFill>
                    <w14:schemeClr w14:val="tx1"/>
                  </w14:solidFill>
                </w14:textFill>
              </w:rPr>
              <w:t>AI环境搭建</w:t>
            </w:r>
            <w:bookmarkEnd w:id="45"/>
          </w:p>
          <w:p w14:paraId="49B9EC9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1.通用大语言模型对接</w:t>
            </w:r>
          </w:p>
          <w:p w14:paraId="20A1CD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根据学校配置，完成指定通用大语言模型或多个通用大模型对接。</w:t>
            </w:r>
          </w:p>
          <w:p w14:paraId="1D5BB777">
            <w:pPr>
              <w:widowControl/>
              <w:numPr>
                <w:ilvl w:val="0"/>
                <w:numId w:val="6"/>
              </w:numPr>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需支持针对医学教育垂直专属大模型，依托权威医学数智教育实验室技术架构，深度融合医学教学、临床案例与专业知识体系。要求具备高精度医学语义理解、护理专业知识推理与临床多场景教学适配能力，可支撑智能备课教案生成、临床案例解析、师生智能问答及个性化分层导学，全面满足院校医学教育数字化、AI赋能教学应用需求。</w:t>
            </w:r>
          </w:p>
          <w:p w14:paraId="04520C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拥有医学垂直领域专属大模型，已完成与教学平台、课程AI智能体的深度适配整合，可呈现医学垂类大模型与教学平台、课程AI智能体的联动交互过程，直观展示医学专业领域知识传递、智能问答等实操功能，支持验证各项功能落地效果。</w:t>
            </w:r>
          </w:p>
          <w:p w14:paraId="7C0CBC4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2.课程专属AI知识库训练</w:t>
            </w:r>
          </w:p>
          <w:p w14:paraId="4EFB915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2.1在线课程自我训练</w:t>
            </w:r>
          </w:p>
          <w:p w14:paraId="04F9BF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）支持一键同步在线课程，对已有资源进行智能化训练。</w:t>
            </w:r>
          </w:p>
          <w:p w14:paraId="40E8DB8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）支持增量同步在线课程，保持与课程内容的一致，保障内容实时更新。</w:t>
            </w:r>
          </w:p>
          <w:p w14:paraId="131929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2.2资源上传与训练</w:t>
            </w:r>
          </w:p>
          <w:p w14:paraId="561BC4E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）课程单元内容建设，可编辑视频、文档、图片、音频、图书、公式、符号、附件、网页、动画等。</w:t>
            </w:r>
          </w:p>
          <w:p w14:paraId="406FB0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）支持导入并编辑内容。</w:t>
            </w:r>
          </w:p>
          <w:p w14:paraId="5628CC1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）视频上传与播放支持rmvb、3gp、mpg、mpeg、mov、wmv、avi、mkv、mp4、flv、vob、f4v等高清和网络格式。</w:t>
            </w:r>
          </w:p>
          <w:p w14:paraId="6693518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）支持2G以上文件上传。支持查看资源上传与训练状态，支持查看训练资源来源。支持按时间范围查看资源上传情况。</w:t>
            </w:r>
          </w:p>
          <w:p w14:paraId="33175D9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2.3学术文献一键对接训练</w:t>
            </w:r>
          </w:p>
          <w:p w14:paraId="764AA94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）支持对接文献库，一次性导入不超过30本课程相关书籍，进行训练，，支持重复导入迭代优化。</w:t>
            </w:r>
          </w:p>
          <w:p w14:paraId="4D8635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）支持反复导入。</w:t>
            </w:r>
          </w:p>
          <w:p w14:paraId="1048405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2.4AI知识库管理功能</w:t>
            </w:r>
          </w:p>
          <w:p w14:paraId="052E4B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）支持“单位AI知识库”与“公共AI知识库”双维度管理，可按创建人、创建时间、知识库名称等条件进行精准检索与筛选。</w:t>
            </w:r>
          </w:p>
          <w:p w14:paraId="493F55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支持新增知识库、知识库管理及召回参数设置等核心操作，可实时统计并展示总文件数、总字符数等关键数据，支持列表与卡片两种视图切换，同时具备分页查询功能，实现对知识库资源的全生命周期管理与高效调用。</w:t>
            </w:r>
          </w:p>
          <w:p w14:paraId="7BE2C39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）支持在公共AI知识库订阅相关学科、专业、领域的知识库，为保证资源适配，公共知识库建设数量不低于1900个。</w:t>
            </w:r>
          </w:p>
          <w:p w14:paraId="7103D71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3.AI问答库建设</w:t>
            </w:r>
          </w:p>
          <w:p w14:paraId="451A8C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建设课程问答库，涵盖</w:t>
            </w:r>
            <w:r>
              <w:rPr>
                <w:rFonts w:hint="eastAsia" w:ascii="宋体" w:hAnsi="宋体" w:cs="宋体"/>
                <w:snapToGrid w:val="0"/>
                <w:color w:val="000000" w:themeColor="text1"/>
                <w:szCs w:val="21"/>
                <w:highlight w:val="none"/>
                <w14:textFill>
                  <w14:solidFill>
                    <w14:schemeClr w14:val="tx1"/>
                  </w14:solidFill>
                </w14:textFill>
              </w:rPr>
              <w:t>基础</w:t>
            </w:r>
            <w:r>
              <w:rPr>
                <w:rFonts w:hint="eastAsia" w:ascii="宋体" w:hAnsi="宋体" w:cs="宋体"/>
                <w:snapToGrid w:val="0"/>
                <w:color w:val="000000" w:themeColor="text1"/>
                <w:szCs w:val="21"/>
                <w:highlight w:val="none"/>
                <w:lang w:val="zh-CN"/>
                <w14:textFill>
                  <w14:solidFill>
                    <w14:schemeClr w14:val="tx1"/>
                  </w14:solidFill>
                </w14:textFill>
              </w:rPr>
              <w:t>问题、重点难点问题与拓展性问题，为教师与学生提供即时问题解决支持。同时，问答库应支持智能检索与语义理解，提升答疑效率与精准度。</w:t>
            </w:r>
          </w:p>
          <w:p w14:paraId="772965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3.1需求调研与主题确定</w:t>
            </w:r>
          </w:p>
          <w:p w14:paraId="7E152B3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）合作沟通：供应商与课程教学团队进行深入沟通，了解各学科的教学需求、痛点及期望并进行梳理。</w:t>
            </w:r>
          </w:p>
          <w:p w14:paraId="264E23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）主题界定：根据课程设计和师生需求，明确问答库的主题范围。</w:t>
            </w:r>
          </w:p>
          <w:p w14:paraId="43B4999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）目标设定：确立问答库的使用目标，如辅助教学、自学辅导、考试复习、临床拓展等。</w:t>
            </w:r>
          </w:p>
          <w:p w14:paraId="6214DD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3.2问答库数据结构设计</w:t>
            </w:r>
          </w:p>
          <w:p w14:paraId="333439D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）数据结构规划：设计高效的数据存储与检索结构，确保问答对的快速响应与准确匹配。</w:t>
            </w:r>
          </w:p>
          <w:p w14:paraId="361E68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）技术选型：选择适合的人工智能技术框架，如自然语言处理（NLP）引擎，以支持问答对的智能匹配与语义理解。</w:t>
            </w:r>
          </w:p>
          <w:p w14:paraId="7002EDC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3.3问答</w:t>
            </w:r>
            <w:r>
              <w:rPr>
                <w:rFonts w:hint="eastAsia" w:ascii="宋体" w:hAnsi="宋体" w:cs="宋体"/>
                <w:snapToGrid w:val="0"/>
                <w:color w:val="000000" w:themeColor="text1"/>
                <w:szCs w:val="21"/>
                <w:highlight w:val="none"/>
                <w14:textFill>
                  <w14:solidFill>
                    <w14:schemeClr w14:val="tx1"/>
                  </w14:solidFill>
                </w14:textFill>
              </w:rPr>
              <w:t>库</w:t>
            </w:r>
            <w:r>
              <w:rPr>
                <w:rFonts w:hint="eastAsia" w:ascii="宋体" w:hAnsi="宋体" w:cs="宋体"/>
                <w:snapToGrid w:val="0"/>
                <w:color w:val="000000" w:themeColor="text1"/>
                <w:szCs w:val="21"/>
                <w:highlight w:val="none"/>
                <w:lang w:val="zh-CN"/>
                <w14:textFill>
                  <w14:solidFill>
                    <w14:schemeClr w14:val="tx1"/>
                  </w14:solidFill>
                </w14:textFill>
              </w:rPr>
              <w:t>收集与验证</w:t>
            </w:r>
          </w:p>
          <w:p w14:paraId="5DFFB12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）内容收集：通过多渠道收集问答素材，包括课程现有资源、电子书、论文、网络资源等。</w:t>
            </w:r>
          </w:p>
          <w:p w14:paraId="3FB3E87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）质量审核：由课程负责人进行逐条审核，确保内容的准确性、适用性和教育性。</w:t>
            </w:r>
          </w:p>
          <w:p w14:paraId="336731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）标准化处理：对问答</w:t>
            </w:r>
            <w:r>
              <w:rPr>
                <w:rFonts w:hint="eastAsia" w:ascii="宋体" w:hAnsi="宋体" w:cs="宋体"/>
                <w:snapToGrid w:val="0"/>
                <w:color w:val="000000" w:themeColor="text1"/>
                <w:szCs w:val="21"/>
                <w:highlight w:val="none"/>
                <w14:textFill>
                  <w14:solidFill>
                    <w14:schemeClr w14:val="tx1"/>
                  </w14:solidFill>
                </w14:textFill>
              </w:rPr>
              <w:t>库</w:t>
            </w:r>
            <w:r>
              <w:rPr>
                <w:rFonts w:hint="eastAsia" w:ascii="宋体" w:hAnsi="宋体" w:cs="宋体"/>
                <w:snapToGrid w:val="0"/>
                <w:color w:val="000000" w:themeColor="text1"/>
                <w:szCs w:val="21"/>
                <w:highlight w:val="none"/>
                <w:lang w:val="zh-CN"/>
                <w14:textFill>
                  <w14:solidFill>
                    <w14:schemeClr w14:val="tx1"/>
                  </w14:solidFill>
                </w14:textFill>
              </w:rPr>
              <w:t>进行标准化处理，统一格式与表述风格，提高问答库的整体质量。</w:t>
            </w:r>
          </w:p>
          <w:p w14:paraId="7AC8BA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3.4实施与测试优化</w:t>
            </w:r>
          </w:p>
          <w:p w14:paraId="51709D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）功能测试：进行全面的功能测试，包括问答匹配准确性、响应速度、用户界面友好性等。</w:t>
            </w:r>
          </w:p>
          <w:p w14:paraId="46A8FA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）优化调整：根据测试结果及用户反馈，对系统进行必要的优化调整，提升系统性能与用户体验。</w:t>
            </w:r>
          </w:p>
          <w:p w14:paraId="0B52FF3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3.5技术支持与更新维护</w:t>
            </w:r>
          </w:p>
          <w:p w14:paraId="6BD8976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（1）问答时支持智能推荐问题关联的相关微应用，点击应用可直接跳转到应用界面，实现应用跳转和业务处理；</w:t>
            </w:r>
          </w:p>
          <w:p w14:paraId="1DC3CD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）支持用户手动上传文档至问答库，上传后系统可对上传的文档进行解析，解析后可智能回答文档相关问题；</w:t>
            </w:r>
          </w:p>
          <w:p w14:paraId="654E1F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同步校本网络教学平台已建设的网络课程资料进行智能解析，解析后可围绕课程内容进行人机问答；支持根据用户输入问题进行匹配提示；支持问答无匹配时，提供语义相似度最高的热门问题；支持未知问题回复语自定义设置。</w:t>
            </w:r>
          </w:p>
          <w:p w14:paraId="6B0A9D5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）支持根据学科发展及用户需求，定期更新问答库内容，保持问答库的时效性与准确性，跟踪周期至少一学期。支持对系统进行定期维护与升级，修复潜在漏洞，提升系统安全性与稳定性。</w:t>
            </w:r>
          </w:p>
          <w:p w14:paraId="155C482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4.AI助教问答与资源推荐</w:t>
            </w:r>
          </w:p>
          <w:p w14:paraId="36E301F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提供训练后的</w:t>
            </w:r>
            <w:r>
              <w:rPr>
                <w:rFonts w:hint="eastAsia" w:ascii="宋体" w:hAnsi="宋体" w:cs="宋体"/>
                <w:snapToGrid w:val="0"/>
                <w:color w:val="000000" w:themeColor="text1"/>
                <w:szCs w:val="21"/>
                <w:highlight w:val="none"/>
                <w14:textFill>
                  <w14:solidFill>
                    <w14:schemeClr w14:val="tx1"/>
                  </w14:solidFill>
                </w14:textFill>
              </w:rPr>
              <w:t>课程</w:t>
            </w:r>
            <w:r>
              <w:rPr>
                <w:rFonts w:hint="eastAsia" w:ascii="宋体" w:hAnsi="宋体" w:cs="宋体"/>
                <w:snapToGrid w:val="0"/>
                <w:color w:val="000000" w:themeColor="text1"/>
                <w:szCs w:val="21"/>
                <w:highlight w:val="none"/>
                <w:lang w:val="zh-CN"/>
                <w14:textFill>
                  <w14:solidFill>
                    <w14:schemeClr w14:val="tx1"/>
                  </w14:solidFill>
                </w14:textFill>
              </w:rPr>
              <w:t>AI助教，可提供问答与资源推荐。</w:t>
            </w:r>
          </w:p>
          <w:p w14:paraId="248B97B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）支持多轮对话，可基于上一个问题的回答继续进行后续问答；提问时支持通过语音输入问题；</w:t>
            </w:r>
          </w:p>
          <w:p w14:paraId="3EFE3C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）提问时支持上传图片通过读取图片内的问题进行提问；</w:t>
            </w:r>
          </w:p>
          <w:p w14:paraId="022241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）提问时支持用户上传文档，让大模型围绕此份文档智能回答相关问题；</w:t>
            </w:r>
          </w:p>
          <w:p w14:paraId="0918F3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）支持用户自主选择是否需要大模型回复；</w:t>
            </w:r>
          </w:p>
          <w:p w14:paraId="7DAA67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）助教输出的答案支持显示来源，允许答案溯源展示，可截取显示与答案有关的原文内容，也可通过来源跳转回原文全文展开学习。</w:t>
            </w:r>
          </w:p>
          <w:p w14:paraId="1CA85EC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w:t>
            </w:r>
            <w:r>
              <w:rPr>
                <w:rFonts w:hint="eastAsia" w:ascii="宋体" w:hAnsi="宋体" w:cs="宋体"/>
                <w:snapToGrid w:val="0"/>
                <w:color w:val="000000" w:themeColor="text1"/>
                <w:szCs w:val="21"/>
                <w:highlight w:val="none"/>
                <w14:textFill>
                  <w14:solidFill>
                    <w14:schemeClr w14:val="tx1"/>
                  </w14:solidFill>
                </w14:textFill>
              </w:rPr>
              <w:t>智能</w:t>
            </w:r>
            <w:r>
              <w:rPr>
                <w:rFonts w:hint="eastAsia" w:ascii="宋体" w:hAnsi="宋体" w:cs="宋体"/>
                <w:snapToGrid w:val="0"/>
                <w:color w:val="000000" w:themeColor="text1"/>
                <w:szCs w:val="21"/>
                <w:highlight w:val="none"/>
                <w:lang w:val="zh-CN"/>
                <w14:textFill>
                  <w14:solidFill>
                    <w14:schemeClr w14:val="tx1"/>
                  </w14:solidFill>
                </w14:textFill>
              </w:rPr>
              <w:t>查询图书、期刊等文献，根据用户输入问题推荐相关文献，图书、期刊等推荐文献支持通过在线查看原文、文献传递等途径获取；</w:t>
            </w:r>
          </w:p>
          <w:p w14:paraId="33C87A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）支持针对</w:t>
            </w:r>
            <w:r>
              <w:rPr>
                <w:rFonts w:hint="eastAsia" w:ascii="宋体" w:hAnsi="宋体" w:cs="宋体"/>
                <w:snapToGrid w:val="0"/>
                <w:color w:val="000000" w:themeColor="text1"/>
                <w:szCs w:val="21"/>
                <w:highlight w:val="none"/>
                <w14:textFill>
                  <w14:solidFill>
                    <w14:schemeClr w14:val="tx1"/>
                  </w14:solidFill>
                </w14:textFill>
              </w:rPr>
              <w:t>学生</w:t>
            </w:r>
            <w:r>
              <w:rPr>
                <w:rFonts w:hint="eastAsia" w:ascii="宋体" w:hAnsi="宋体" w:cs="宋体"/>
                <w:snapToGrid w:val="0"/>
                <w:color w:val="000000" w:themeColor="text1"/>
                <w:szCs w:val="21"/>
                <w:highlight w:val="none"/>
                <w:lang w:val="zh-CN"/>
                <w14:textFill>
                  <w14:solidFill>
                    <w14:schemeClr w14:val="tx1"/>
                  </w14:solidFill>
                </w14:textFill>
              </w:rPr>
              <w:t>网络课程学习进度和掌握情况，个性化推荐学习资源；</w:t>
            </w:r>
          </w:p>
          <w:p w14:paraId="2E512F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）支持移动端、PC端多种使用渠道。</w:t>
            </w:r>
          </w:p>
          <w:p w14:paraId="4F9248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AI助教可自动对没有答案的问题描述进行关键词识别并统计聚类，按照关键词问答频率由高到低排序，同时可以批量导出未知问题；支持统计历史会话，可按照时间范围、使用渠道等维度进行筛选，并可查看、导出会话具体内容。</w:t>
            </w:r>
          </w:p>
          <w:p w14:paraId="5BE840A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5.课程学习助手开通</w:t>
            </w:r>
          </w:p>
          <w:p w14:paraId="5C3A4AC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主动为学生推荐待办任务，帮助学生分析薄弱知识点针对学生提出的概念性问题，运用苏格拉底对话，为学生进行启发式讲解针对学生上传的复杂题目、电路图、实验数据图进行讲解、解读针对学生上传的文档进行文档理解、总结归纳，生成思维导图。</w:t>
            </w:r>
          </w:p>
          <w:p w14:paraId="528F282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6.课程内容安全检测</w:t>
            </w:r>
          </w:p>
          <w:p w14:paraId="3941AD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支持对平台用户发布</w:t>
            </w:r>
            <w:r>
              <w:rPr>
                <w:rFonts w:hint="eastAsia" w:ascii="宋体" w:hAnsi="宋体" w:cs="宋体"/>
                <w:snapToGrid w:val="0"/>
                <w:color w:val="000000" w:themeColor="text1"/>
                <w:szCs w:val="21"/>
                <w:highlight w:val="none"/>
                <w14:textFill>
                  <w14:solidFill>
                    <w14:schemeClr w14:val="tx1"/>
                  </w14:solidFill>
                </w14:textFill>
              </w:rPr>
              <w:t>的敏感</w:t>
            </w:r>
            <w:r>
              <w:rPr>
                <w:rFonts w:hint="eastAsia" w:ascii="宋体" w:hAnsi="宋体" w:cs="宋体"/>
                <w:snapToGrid w:val="0"/>
                <w:color w:val="000000" w:themeColor="text1"/>
                <w:szCs w:val="21"/>
                <w:highlight w:val="none"/>
                <w:lang w:val="zh-CN"/>
                <w14:textFill>
                  <w14:solidFill>
                    <w14:schemeClr w14:val="tx1"/>
                  </w14:solidFill>
                </w14:textFill>
              </w:rPr>
              <w:t>文本、图片、文档、视频等内容的分析和监控</w:t>
            </w:r>
            <w:r>
              <w:rPr>
                <w:rFonts w:hint="eastAsia" w:ascii="宋体" w:hAnsi="宋体" w:cs="宋体"/>
                <w:snapToGrid w:val="0"/>
                <w:color w:val="000000" w:themeColor="text1"/>
                <w:szCs w:val="21"/>
                <w:highlight w:val="none"/>
                <w14:textFill>
                  <w14:solidFill>
                    <w14:schemeClr w14:val="tx1"/>
                  </w14:solidFill>
                </w14:textFill>
              </w:rPr>
              <w:t>功能</w:t>
            </w:r>
            <w:r>
              <w:rPr>
                <w:rFonts w:hint="eastAsia" w:ascii="宋体" w:hAnsi="宋体" w:cs="宋体"/>
                <w:snapToGrid w:val="0"/>
                <w:color w:val="000000" w:themeColor="text1"/>
                <w:szCs w:val="21"/>
                <w:highlight w:val="none"/>
                <w:lang w:val="zh-CN"/>
                <w14:textFill>
                  <w14:solidFill>
                    <w14:schemeClr w14:val="tx1"/>
                  </w14:solidFill>
                </w14:textFill>
              </w:rPr>
              <w:t>，可按时间筛选查看、编辑、删除内容以及自定义修改监控内容；</w:t>
            </w:r>
            <w:r>
              <w:rPr>
                <w:rFonts w:hint="eastAsia" w:ascii="宋体" w:hAnsi="宋体" w:cs="宋体"/>
                <w:snapToGrid w:val="0"/>
                <w:color w:val="000000" w:themeColor="text1"/>
                <w:szCs w:val="21"/>
                <w:highlight w:val="none"/>
                <w14:textFill>
                  <w14:solidFill>
                    <w14:schemeClr w14:val="tx1"/>
                  </w14:solidFill>
                </w14:textFill>
              </w:rPr>
              <w:t>支持自定义敏感关键词、敏感忽略词、用户黑白名单、图片名单。支持通过用户风险统计、垃圾发布量、垃圾发布率的维度统计用户风险。</w:t>
            </w:r>
          </w:p>
          <w:p w14:paraId="550C45FA">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6" w:name="_Toc27887"/>
            <w:r>
              <w:rPr>
                <w:rFonts w:hint="eastAsia" w:ascii="宋体" w:hAnsi="宋体" w:cs="宋体"/>
                <w:b/>
                <w:bCs/>
                <w:snapToGrid w:val="0"/>
                <w:color w:val="000000" w:themeColor="text1"/>
                <w:szCs w:val="21"/>
                <w:highlight w:val="none"/>
                <w14:textFill>
                  <w14:solidFill>
                    <w14:schemeClr w14:val="tx1"/>
                  </w14:solidFill>
                </w14:textFill>
              </w:rPr>
              <w:t>三、智慧</w:t>
            </w:r>
            <w:r>
              <w:rPr>
                <w:rFonts w:hint="eastAsia" w:ascii="宋体" w:hAnsi="宋体" w:cs="宋体"/>
                <w:b/>
                <w:bCs/>
                <w:snapToGrid w:val="0"/>
                <w:color w:val="000000" w:themeColor="text1"/>
                <w:szCs w:val="21"/>
                <w:highlight w:val="none"/>
                <w:lang w:val="zh-CN"/>
                <w14:textFill>
                  <w14:solidFill>
                    <w14:schemeClr w14:val="tx1"/>
                  </w14:solidFill>
                </w14:textFill>
              </w:rPr>
              <w:t>课程图谱建设服务</w:t>
            </w:r>
            <w:bookmarkEnd w:id="46"/>
          </w:p>
          <w:p w14:paraId="4761F80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1.课程图谱设计</w:t>
            </w:r>
          </w:p>
          <w:p w14:paraId="117185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知识图谱设计。通过图谱可视化工具展示课程内容的逻辑结构和知识点之间的关联，帮助学生更直观地理解课程体系，为学生构建更完整的知识网络，培养学生的系统思维能力。</w:t>
            </w:r>
          </w:p>
          <w:p w14:paraId="64D35A8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）供应商根据课程教学团队需求，完成目标图谱设计。通过分解课程目标、关联知识点、提供融入教学活动与评估建议，实现课程设计、教学实施与学习评价的一致性，保障教学成效，助力课程目标有效达成。</w:t>
            </w:r>
          </w:p>
          <w:p w14:paraId="5999E67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）供应商根据课程教学团队需求，完成问题图谱设计，帮助学生梳理问题逻辑，逐步引导学生解决复杂问题。</w:t>
            </w:r>
          </w:p>
          <w:p w14:paraId="1D2358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）供应商根据课程教学团队需求，完成课程思政图谱设计。通过标记思政标签，融入课程思政元素，构建课程思政图谱，明确课程中思想政治教育的切入点与实施路径，实现价值引领与知识传授的有机结合。</w:t>
            </w:r>
          </w:p>
          <w:p w14:paraId="4C96D5F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2.知识图谱建设与应用</w:t>
            </w:r>
          </w:p>
          <w:p w14:paraId="1DF84F4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）支持知识点多层级架构建立，生成分类－知识点关系。</w:t>
            </w:r>
          </w:p>
          <w:p w14:paraId="7FEEFCF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手动添加、批量导入等方式构建知识图谱。批量导入需支持填写知识点名称、标签信息、认知维度、分类属性、教学目标、知识点说明等信息数据。手动编辑需支持单个修改知识点属性编辑，可批量或单独对当前知识点进行移动。</w:t>
            </w:r>
          </w:p>
          <w:p w14:paraId="1D0E2B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）支持智能导入，用户上传课程大纲、教材或PPT文件等，系统智能识别构建生成知识图谱。</w:t>
            </w:r>
          </w:p>
          <w:p w14:paraId="1DF44D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）支持本地导入</w:t>
            </w:r>
            <w:r>
              <w:rPr>
                <w:rFonts w:hint="eastAsia" w:ascii="宋体" w:hAnsi="宋体" w:cs="宋体"/>
                <w:snapToGrid w:val="0"/>
                <w:color w:val="000000" w:themeColor="text1"/>
                <w:szCs w:val="21"/>
                <w:highlight w:val="none"/>
                <w14:textFill>
                  <w14:solidFill>
                    <w14:schemeClr w14:val="tx1"/>
                  </w14:solidFill>
                </w14:textFill>
              </w:rPr>
              <w:t>X</w:t>
            </w:r>
            <w:r>
              <w:rPr>
                <w:rFonts w:hint="eastAsia" w:ascii="宋体" w:hAnsi="宋体" w:cs="宋体"/>
                <w:snapToGrid w:val="0"/>
                <w:color w:val="000000" w:themeColor="text1"/>
                <w:szCs w:val="21"/>
                <w:highlight w:val="none"/>
                <w:lang w:val="zh-CN"/>
                <w14:textFill>
                  <w14:solidFill>
                    <w14:schemeClr w14:val="tx1"/>
                  </w14:solidFill>
                </w14:textFill>
              </w:rPr>
              <w:t>mind格式的思维导图文件，自动读取文件数据，生成课程知识图谱，并能够导出excel格式文件。</w:t>
            </w:r>
          </w:p>
          <w:p w14:paraId="272220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）支持与教学平台打通，可通过教学平台现有课程章节选择生成章节图谱，支持人工二次编辑优化。</w:t>
            </w:r>
          </w:p>
          <w:p w14:paraId="482025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）创建图谱支持同步其他课程图谱，支持全量同步或者部分选择同步。支持教学平台所教的课程导入及从教务课程导入功能支持导入知识点之间的关系。</w:t>
            </w:r>
          </w:p>
          <w:p w14:paraId="5BC4D91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）支持AI生成图谱功能，系统可以基于教师已经建设好的网络课程结合AI应用自动生成知识图谱，并支持直接使用生成的图谱，同时支持在生成的图谱上进行自定义化修改。</w:t>
            </w:r>
          </w:p>
          <w:p w14:paraId="19F1E16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）知识图谱知识点支持说明添加，可添加富文本编辑框、公式编辑等富媒体文本。支持AI生成知识点说明。</w:t>
            </w:r>
          </w:p>
          <w:p w14:paraId="3A41F5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 xml:space="preserve"> （9）支持知识图谱自定义编辑功能，系统提供至少8种图谱形态，用户可根据课程性质选择合适的图谱形态进行编辑。</w:t>
            </w:r>
          </w:p>
          <w:p w14:paraId="2DB90CC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）支持进行跨课知识点关联，实现不同课程之间知识的聚合联动，关联后可以实现跨课学习并进行专业下多门课程的知识点关联展示应用。</w:t>
            </w:r>
          </w:p>
          <w:p w14:paraId="355945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）知识图谱显示支持2D和3D展示效果，用户可自主地进行模式切换。</w:t>
            </w:r>
          </w:p>
          <w:p w14:paraId="3BF8EEF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3.问题图谱建设与应用</w:t>
            </w:r>
          </w:p>
          <w:p w14:paraId="77A3DE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）基于课程知识图谱，建设不少于三层的问题体系，系统提供对每层级问题的定义能力，允许用户添加问题详情及其与知识点的关联。</w:t>
            </w:r>
          </w:p>
          <w:p w14:paraId="2AA68F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）支持用户可根据教学需求，自定义栏目标题和描述，以适应多样化的教学情境。支持用户对栏目中节点的名称、描述、标签和知识点进行修改，保持内容的时效性和准确性。</w:t>
            </w:r>
          </w:p>
          <w:p w14:paraId="21EE83B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）支持通过图谱形式展现问题与知识点的关联，使用户能够直观理解知识间的联系。</w:t>
            </w:r>
          </w:p>
          <w:p w14:paraId="73FF40E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）提供两种子级问题关联方式，包括层级连线和板块关联功能，以展示问题间的层级结构。</w:t>
            </w:r>
          </w:p>
          <w:p w14:paraId="44A018C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）支持批量导入问题数据和一键导出问题图谱数据，简化教学资源的准备工作。</w:t>
            </w:r>
          </w:p>
          <w:p w14:paraId="572322B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）支持开启探索模式，模拟学生学习路径，通过问题选择和知识点关联，促进学生的深入思考。在探索模式中，用户被引导将核心问题与子问题连接，形成知识网络，并通过提交与标准答案对比，实现自我评估。</w:t>
            </w:r>
          </w:p>
          <w:p w14:paraId="7735952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4.课程思政图谱建设与应用</w:t>
            </w:r>
          </w:p>
          <w:p w14:paraId="3B9186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）支持自动根据现有的图谱信息生成课程思政图谱的功能。支持将标签为“课程思政”的知识点以花朵的形式呈现，以视觉突出其在课程中的核心地位，同时以花苞的形式展示其他的知识点。</w:t>
            </w:r>
          </w:p>
          <w:p w14:paraId="452F26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）支持搜索功能覆盖知识点、分类和标签，实现全面性，满足用户不同维度的搜索需求。</w:t>
            </w:r>
          </w:p>
          <w:p w14:paraId="18573E6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）支持通过点击操作，可深入分类卡片获取详细信息，知识点用户也可以选择开启卡片，直接跳转至微课进行学习，实现知识获取的快速通道。</w:t>
            </w:r>
          </w:p>
          <w:p w14:paraId="0EE0563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5.目标图谱建设</w:t>
            </w:r>
          </w:p>
          <w:p w14:paraId="4213CB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）系统允许根据不同班级特点定制课程目标，以满足特定教学需求。支持课程目标模板导入/一键导出功能，便于教师对于课程目标可以直观浏览和整理，同时也能有效地和其他工具同时使用。</w:t>
            </w:r>
          </w:p>
          <w:p w14:paraId="5B736A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）支持课程目标与知识点进行关联，以展示目标与教学内容的直接联系。</w:t>
            </w:r>
          </w:p>
          <w:p w14:paraId="5A18929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）支持以柱状图展示课程目标关联知识点的个数，提供直观的统计信息；</w:t>
            </w:r>
          </w:p>
          <w:p w14:paraId="2A93CEC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）支持以列表形式展示课程目标总数、课程目标名称、课程目标说明、课程目标标签以及所关联的知识点个数，方便用户快速浏览和了解。</w:t>
            </w:r>
          </w:p>
          <w:p w14:paraId="2782FA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）支持以图谱形式展示每个课程目标所关联的知识点情况，增强信息的可视化效果。</w:t>
            </w:r>
          </w:p>
          <w:p w14:paraId="283CFD2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6.自定义图谱建设</w:t>
            </w:r>
          </w:p>
          <w:p w14:paraId="32B710B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）具备自定义图谱功能，可根据个性化的图谱展示进行自定义图谱建设。</w:t>
            </w:r>
          </w:p>
          <w:p w14:paraId="78BA28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）提供多种图谱样式，满足教师不同教学场景，供自由选择。</w:t>
            </w:r>
          </w:p>
          <w:p w14:paraId="7FD68FD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7.知识点微课建设与应用</w:t>
            </w:r>
          </w:p>
          <w:p w14:paraId="40361BA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）支持教师对课程章节内容，包括——视频、音频、文档、图书、章节测验等进行知识点标记，作为知识点教学任务进行设置，方便学生按知识点进行任务学习。</w:t>
            </w:r>
          </w:p>
          <w:p w14:paraId="45F7B9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）支持按知识点上传资源，并查看知识点关联资源数量，方便教师按知识点管理资源。</w:t>
            </w:r>
          </w:p>
          <w:p w14:paraId="14D904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）知识点卡片须具备资料添加功能，可通过添加资料关联建设知识点下相关课程资料及其他相关资源。</w:t>
            </w:r>
          </w:p>
          <w:p w14:paraId="2E1A9F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）支持多种题型的创建管理，包括单选、多选、填空、判断、简答、名词解析、论述、计算、分录、连线、排序、完形填空、阅读理解、口语、听力等常见题型。</w:t>
            </w:r>
          </w:p>
          <w:p w14:paraId="6D9FBA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）支持在创建或编辑题目时标记每道题对应的知识点标签，并支持按知识点筛选管理题目。支持按模板批量导入题目时导入题目知识点，支持批量编辑题目关联知识点。</w:t>
            </w:r>
          </w:p>
          <w:p w14:paraId="074845A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）题目关联知识点操作时系统支持智能推荐知识点，便于教师快速进行关联操作。</w:t>
            </w:r>
          </w:p>
          <w:p w14:paraId="3FAFE3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）支持AI生成学习内容，系统结合AI可根据教师网络课程内容自动生成知识点学习内容，生成的内容可一键加入微课中。</w:t>
            </w:r>
          </w:p>
          <w:p w14:paraId="5CEE159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）支持错题显示解析以及相关知识点。图谱知识点学习界面支持错题集功能，可将学生学习过程中产生的错题归类到知识点下的错题集中。</w:t>
            </w:r>
          </w:p>
          <w:p w14:paraId="759AAC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）支持学生查看课程知识图谱，并查看每个知识点的学习进度情况。</w:t>
            </w:r>
          </w:p>
          <w:p w14:paraId="688A28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）支持学生按知识点进行课程任务学习，观看课程视频，阅读课程资料等。</w:t>
            </w:r>
          </w:p>
          <w:p w14:paraId="5FB6FDF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）支持学生按知识点从题库或错题本抽题，逐题自测。支持学生自测时可以设置抽题范围，仅抽当前知识点以及前置知识点的题，避免抽到未开始学习的知识点试题。</w:t>
            </w:r>
          </w:p>
          <w:p w14:paraId="3871847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）学生端可以查看推荐资源，进行拓展学习。推荐资源应基于知识点智能推荐课程、资源、课程思政资源、题目、论文、期刊、图书、互联网资源等。</w:t>
            </w:r>
          </w:p>
          <w:p w14:paraId="58BB207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）支持精准教学设计功能，可以自定义建设事件，可设置知识点的掌握率及完成率的设置，支持自定义学习路径或者微课资料，支持设置对应的动作；</w:t>
            </w:r>
          </w:p>
          <w:p w14:paraId="5E07440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）支持视频的虚拟剪辑，只需要拖动视频播放的起始点、终止点，就可以将视频文件按照课程的要求剪辑成适当长度，教师还可手动输入时间点，进行视频在线虚拟剪辑。</w:t>
            </w:r>
          </w:p>
          <w:p w14:paraId="4DD577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7AFED8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）支持视频替换功能，替换学习视频后，不影响学生已产生的学习记录和成绩。</w:t>
            </w:r>
          </w:p>
          <w:p w14:paraId="17C9EF1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17</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p>
          <w:p w14:paraId="32BED58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）对课程视频进行智能切片，按切片时间点点击可跳转学习对应片段视频；</w:t>
            </w:r>
          </w:p>
          <w:p w14:paraId="74D5433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）支持学生对不懂的视频或PDF文档点击“不懂”，触发AI助教及时答疑，页面自动截屏供AI助教分析。</w:t>
            </w:r>
          </w:p>
          <w:p w14:paraId="6ABA8C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26E3546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8.基于知识图谱的数智驱动数据分析与统计</w:t>
            </w:r>
          </w:p>
          <w:p w14:paraId="760CDCA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）支持教师查看知识图谱的知识点建设情况，包括知识点建设率、图谱知识点总数、图谱关联资源知识点数、已设置标签的知识点数、图谱未关联资源知识点数等；</w:t>
            </w:r>
          </w:p>
          <w:p w14:paraId="2B3D4A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）支持查看不同知识点属性概况数据；支持查看图谱资源总数，关联视频、音频、文档、题目及其他类型资源数等；支持查看知识点关联资源数量排行榜。</w:t>
            </w:r>
          </w:p>
          <w:p w14:paraId="3FDE0F8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）支持教师查看不同班级的学情数据，包括每个知识点的完成率与掌握率、知识点热度、完成率与掌握率的学情分段人数、学生完成率与掌握率排行情况等数据。</w:t>
            </w:r>
          </w:p>
          <w:p w14:paraId="0C65BF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）支持教师选择多个不同班级进行学情数据对比，对比内容包括班级掌握率、班级完成率、完成率区间对比与掌握率区间对比等数据。通过班级对比分析，便于教师更好地了解不同班级间的学习差异。</w:t>
            </w:r>
          </w:p>
          <w:p w14:paraId="6A47420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9.移动端知识图谱应用</w:t>
            </w:r>
          </w:p>
          <w:p w14:paraId="407B5DA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）支持用户通过移动端设备访问知识图谱，实现随时随地的个性化学习。移动端提供图谱模式、大纲模式和学习地图模式，以适应不同用户的学习偏好和场景需求。</w:t>
            </w:r>
          </w:p>
          <w:p w14:paraId="4DE905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）移动端图谱模式下，用户可以选择导航模式或全局模式，分别深入探索或宏观把握知识结构。移动端图谱模式下左侧导航区域以列表形式展示分类和知识点，支持快速定位和子级展开。</w:t>
            </w:r>
          </w:p>
          <w:p w14:paraId="13948F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）支持基于关键字的搜索和模糊匹配，帮助用户迅速找到目标知识点及相关全面信息。</w:t>
            </w:r>
          </w:p>
          <w:p w14:paraId="4230D2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）移动端导航模式下，图谱以一种集中的形态展示最高层级的分类或知识点，允许用户通过交互进一步探索其子级和它们之间的联系。</w:t>
            </w:r>
          </w:p>
          <w:p w14:paraId="20BE5F1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）移动端直观展示知识点掌握率和完成率，反映用户个人学习情况。</w:t>
            </w:r>
          </w:p>
          <w:p w14:paraId="429362D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）支持从宏观和微观视角展示用户的知识点掌握情况，并允许与班级整体表现进行比较。</w:t>
            </w:r>
          </w:p>
          <w:p w14:paraId="362A2EB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）支持查看和该知识点相关的错题集，帮助用户更有针对性地进行复习。</w:t>
            </w:r>
          </w:p>
          <w:p w14:paraId="5AF4DB7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）支持点击知识点跳转至微课进行深入学习。移动端微课提供分析、学习内容、自测、资料、错题集、讨论等多功能模块。</w:t>
            </w:r>
          </w:p>
          <w:p w14:paraId="753F08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）用户可以根据个人需求在移动端微课选择自测模式，包括时间限制和题目选择，以创建专属的自测体验。自测功能支持仅从未尝试过的题目中抽取，确保每次自测的新鲜感和有效性。</w:t>
            </w:r>
          </w:p>
          <w:p w14:paraId="410C953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）支持对课程所有资源进行智能安全检测。可通过后台配置关键词、忽略词，便于系统审核时，对关键词和忽略词进行屏蔽与忽略，降低人工审核的错误率。</w:t>
            </w:r>
          </w:p>
          <w:p w14:paraId="01B4881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10.智慧课程群建设</w:t>
            </w:r>
          </w:p>
          <w:p w14:paraId="3D616F7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）以核心课程为基点，支持构建相互关联、层层递进的智慧课程群，打破课程边界，形成学科专业的完整知识链条，呈现横向融通、纵向贯通专业课程体系，帮助学生形成系统化的知识网络。</w:t>
            </w:r>
          </w:p>
          <w:p w14:paraId="4DAA35A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）支持用户根据需求灵活选择不同的图谱模式，将自定义内容与课程群内的课程——知识点进行可视化关联，从而构建个性化的知识网络，深化理解与应用</w:t>
            </w:r>
          </w:p>
          <w:p w14:paraId="677507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）支持创立智慧课程群展示门户，可自定义课程群门户信息包括课程群名称、课程群类型、课程群介绍、教师团队等信息。</w:t>
            </w:r>
          </w:p>
          <w:p w14:paraId="399CCC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）支持数据统计功能，可查看课程群门户中的课程数、课程图谱数、知识点总数、教学资源数。</w:t>
            </w:r>
          </w:p>
          <w:p w14:paraId="0FAF60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）具备资源分布统计功能，可以展示课程群所包含的每门课程的资源总数，包括视频、音频、文档、题目、其他等。</w:t>
            </w:r>
          </w:p>
          <w:p w14:paraId="7E5FB51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）具备资源分类展示功能，以饼状图及柱状图展示课程群下每门课程资源的分布情况。</w:t>
            </w:r>
          </w:p>
          <w:p w14:paraId="0246991B">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7" w:name="_Toc2171"/>
            <w:r>
              <w:rPr>
                <w:rFonts w:hint="eastAsia" w:ascii="宋体" w:hAnsi="宋体" w:cs="宋体"/>
                <w:b/>
                <w:bCs/>
                <w:snapToGrid w:val="0"/>
                <w:color w:val="000000" w:themeColor="text1"/>
                <w:szCs w:val="21"/>
                <w:highlight w:val="none"/>
                <w14:textFill>
                  <w14:solidFill>
                    <w14:schemeClr w14:val="tx1"/>
                  </w14:solidFill>
                </w14:textFill>
              </w:rPr>
              <w:t>四、AI工作台智慧教学应用</w:t>
            </w:r>
            <w:bookmarkEnd w:id="47"/>
          </w:p>
          <w:p w14:paraId="50835B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指导老师应用AI工具，在备课、教学、学习、教研、科研、评价等全流程深度融合，实现数字素养提升，并实现AI赋能的“师/生/机”深度交互教学模式改革。具有AI教案、AI生成PPT、AI智能写作与校正、章节视频与文档AI解析、AI智能出题、公式识别、作业智能查重、AIGC检测、文献阅读、视频理解、智能翻译、资料查询助手等AI工具应用于教学。</w:t>
            </w:r>
          </w:p>
          <w:p w14:paraId="403742D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1.AI教案</w:t>
            </w:r>
          </w:p>
          <w:p w14:paraId="1AB129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）教师输入教学材料或关键词，AI自动生成教案，并支持教师借助写作助手进行再次编辑。</w:t>
            </w:r>
          </w:p>
          <w:p w14:paraId="191A2FB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）支持教师补充所教层次、适合的教学风格，形成更加具有个性化的教案。</w:t>
            </w:r>
          </w:p>
          <w:p w14:paraId="66BFFF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）支持一键导出教案，并且支持按学校教案模板导出。</w:t>
            </w:r>
          </w:p>
          <w:p w14:paraId="062AE3E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2.AI课件</w:t>
            </w:r>
          </w:p>
          <w:p w14:paraId="7CD7B8C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）通过输入PPT内容要求，AI智能生成PPT大纲</w:t>
            </w:r>
          </w:p>
          <w:p w14:paraId="6F5F1B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）支持教师在线直接编辑生成的大纲内容</w:t>
            </w:r>
          </w:p>
          <w:p w14:paraId="73206D3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）支持AI自动根据大纲生成PPT，教师可以进行在线编辑或下载</w:t>
            </w:r>
          </w:p>
          <w:p w14:paraId="6236BD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）支持选择PPT模板场景、设计风格、主题颜色，生成个性化PPT</w:t>
            </w:r>
          </w:p>
          <w:p w14:paraId="404B24B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3.AI写作</w:t>
            </w:r>
          </w:p>
          <w:p w14:paraId="26A4387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）老师可以向AI写作助手提出需求，点击“生成”，写作助手会根据要求智能生成相应的内容，老师点击保存可以将内容输出到章节编辑页面上</w:t>
            </w:r>
          </w:p>
          <w:p w14:paraId="3FD896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）老师可进行文本修改、删减或排版</w:t>
            </w:r>
          </w:p>
          <w:p w14:paraId="0A1385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）在章节编辑页面，选中内容可进行AI改写、扩写、续写、简写、翻译等操作</w:t>
            </w:r>
          </w:p>
          <w:p w14:paraId="1E88DEE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4.AI出题</w:t>
            </w:r>
          </w:p>
          <w:p w14:paraId="5B55387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）支持教师通过知识点、输入文本、上传附件文档和视频、选定章节等多种方式，搭配补充出题要求说明，由AI自动生成相应试题。AI系统可以自动生成对应的题目并且不限制教师使用次数。</w:t>
            </w:r>
          </w:p>
          <w:p w14:paraId="223FE69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）支持多种题型，题型包括选择题、填空题、简答题等，以便满足不同类型考题的需求</w:t>
            </w:r>
          </w:p>
          <w:p w14:paraId="4C76378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）教师可以根据课程内容和学生水平，将生成的题目添加到题库。并随时使用这些题目进行测验、考试或者课堂练习。</w:t>
            </w:r>
          </w:p>
          <w:p w14:paraId="6A732F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）支持设置出题要求，比如：适用年级、难易度、题目偏向等。</w:t>
            </w:r>
          </w:p>
          <w:p w14:paraId="717C14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）支持教师在线编辑调整AI生成的试题，也可以一键加入题库，组成作业考试发布给学生，并且支持跨课程使用生成的题目。</w:t>
            </w:r>
          </w:p>
          <w:p w14:paraId="526CE1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）支持根据出题结果生成配套图片，结合题目信息选择图片类型，生成图片后可直接插入题干，至少支持2种图片类型选择。</w:t>
            </w:r>
          </w:p>
          <w:p w14:paraId="58273D2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5.AI批阅</w:t>
            </w:r>
          </w:p>
          <w:p w14:paraId="51F079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）使用先进的AI技术，能够批阅学生的主观题、论述题、小论文等。</w:t>
            </w:r>
          </w:p>
          <w:p w14:paraId="5CE79A7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）对参考答案和学生答案进行分词处理和语法分析，以便计算词语和语句的相似度，从而量化学生答案与标准答案的匹配程度</w:t>
            </w:r>
          </w:p>
          <w:p w14:paraId="2040393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）支持利用语义相似度计算结果给出学生相应的得分，通过深度学习等技术来模拟人类对语义相似度的判断，从而更准确地评估学生的答案质量。</w:t>
            </w:r>
          </w:p>
          <w:p w14:paraId="228771A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）系统可以根据教师设置的得分点来匹配得分，确保评分符合标准化要求，同时满足教学目标和评价体系。</w:t>
            </w:r>
          </w:p>
          <w:p w14:paraId="4FAA6B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）支持智能批阅程序题。</w:t>
            </w:r>
          </w:p>
          <w:p w14:paraId="2C307D6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）支持从结构、内容、语言等6个大维度，12～16个细分维度进行打分，并给出推荐总分。</w:t>
            </w:r>
          </w:p>
          <w:p w14:paraId="11423C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）AI批阅系统不仅提供整体评价，还支持对精彩句子进行点评，并给出提升建议。</w:t>
            </w:r>
          </w:p>
          <w:p w14:paraId="78CABE8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）支持揪出学生作文中的错别字，提供修改建议，帮助学生提高写作水平。</w:t>
            </w:r>
          </w:p>
          <w:p w14:paraId="42FC39C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6.AI学情分析</w:t>
            </w:r>
          </w:p>
          <w:p w14:paraId="173E17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）支持智能呈现班级整体知识点分析数据，提供个性化学习路径。</w:t>
            </w:r>
          </w:p>
          <w:p w14:paraId="2E3B597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）可查看知识点平均完成率、平均掌握率、完成率分布和掌握率分布等。支持按知识点查看每个知识点的关联学习资源数、平均完成率、平均掌握率、课程资料数、课程资料人均阅读情况等。</w:t>
            </w:r>
          </w:p>
          <w:p w14:paraId="1850A9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）基于AI学情分析，可由AI生成学情分析画像，减轻教师学情分析压力，提升效率。</w:t>
            </w:r>
          </w:p>
          <w:p w14:paraId="5FF1F5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378E9BA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）支持根据平台学生整体学习数据及专项数据，或者上传excel文档，教师可自定义分析维度，AI自动进行学生学情分析并提供建议提醒。</w:t>
            </w:r>
          </w:p>
          <w:p w14:paraId="34CB4A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）支持多班对比分析：对多个班级的数据进行深度分析，洞察每个班级的独特学情，为教育决策提供科学依据。</w:t>
            </w:r>
          </w:p>
          <w:p w14:paraId="32B3B61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）支持内置常见问题：智能解答，即刻响应。精准识别并预测用户常见问题，提供即时、精准的智能回复。</w:t>
            </w:r>
          </w:p>
          <w:p w14:paraId="6D09DC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）支持图表产出：引入多种统计图表，包括饼图、散点图、面积图、箱线图等，提供丰富的数据可视化选项，帮助教师把握数据背后的趋势与洞见。</w:t>
            </w:r>
          </w:p>
          <w:p w14:paraId="5494C52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7.个性化学习路径推荐</w:t>
            </w:r>
          </w:p>
          <w:p w14:paraId="17582E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）为学生智能化推荐个性化学习路径，呈现路径中各知识点掌握率</w:t>
            </w:r>
          </w:p>
          <w:p w14:paraId="1AF956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）基于知识点的学习，智能化分析学生学习进度与掌握情况，掌握率高于90%的知识点在学习路径上不再显示</w:t>
            </w:r>
          </w:p>
          <w:p w14:paraId="069E90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）基于错题智能推荐薄弱知识点</w:t>
            </w:r>
          </w:p>
          <w:p w14:paraId="77B2FB5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8.智能推荐资源</w:t>
            </w:r>
          </w:p>
          <w:p w14:paraId="7B20112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根据需求，可通过问答方式由AI助教提供智能化资源推荐，通过关键词识别，智能化挖掘呈现相关联学术资源，包含期刊、图书等内容，助力学生复习相关知识、扩展学习的深度与广度。</w:t>
            </w:r>
          </w:p>
          <w:p w14:paraId="021F90F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9.文献阅读</w:t>
            </w:r>
          </w:p>
          <w:p w14:paraId="0C404DE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）根据原文内容支持随机生成并显示默认问题，可通过点击默认问题或自定义输入问题查看回复，平台通过匹配向量之间的相似性，支持文字、表格等多种输出格式；</w:t>
            </w:r>
          </w:p>
          <w:p w14:paraId="031284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）支持点击词云查看人物、机构、地名在原文出现次数、页码以及原文信息，快速了解原文的重点和主题；</w:t>
            </w:r>
          </w:p>
          <w:p w14:paraId="140D98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）通过对原文的分析，支持按照章节提取关键信息，生成摘要列表；</w:t>
            </w:r>
          </w:p>
          <w:p w14:paraId="5CB18CA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）通过对原文的分析将复杂的概念和关系可视化，支持按照脑图或markdown格式切换查看，帮助知识整理和信息归纳；</w:t>
            </w:r>
          </w:p>
          <w:p w14:paraId="214246A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）通过对原文的分析，支持按照章节查看系统生成的相关试题，试题可以章节为维度进行筛选，生成的试题均为本章节相关内容试题；</w:t>
            </w:r>
          </w:p>
          <w:p w14:paraId="3DE9CA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）支持原文在线预览，支持目录检索、全文检索。</w:t>
            </w:r>
          </w:p>
          <w:p w14:paraId="2047161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10.视频理解</w:t>
            </w:r>
          </w:p>
          <w:p w14:paraId="66DBCC3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）支持自定义上传视频，AI智能分析生成“智能速览”，总结视频摘要、片段摘要。</w:t>
            </w:r>
          </w:p>
          <w:p w14:paraId="0D7647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）智能分析视频中的发言人，按发言人统计发言百分比、发言段落，以时间轴形式展示。</w:t>
            </w:r>
          </w:p>
          <w:p w14:paraId="4D7BB1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）根据视频随机生成问题，可通过点击默认问题或自定义输入问题开展机器问答，平台通过匹配向量之间的相似性；</w:t>
            </w:r>
          </w:p>
          <w:p w14:paraId="6023FB4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）支持点击词云查看实体出现次数、时间段以及视频文本信息，快速了解视频的重点和主题；</w:t>
            </w:r>
          </w:p>
          <w:p w14:paraId="54F7063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）通过对视频的片段分析将复杂的概念和关系可视化，支持按照脑图或markdown格式切换查看，帮助知识整理和信息归纳；</w:t>
            </w:r>
          </w:p>
          <w:p w14:paraId="0AD4165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11.章节内容智能审查与文本纠错</w:t>
            </w:r>
          </w:p>
          <w:p w14:paraId="12CF46B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支持实现文字自动校对，包括错字、漏字、缺字、多字、语法、错误、语义错误等都可以实现自动校对标注。</w:t>
            </w:r>
          </w:p>
          <w:p w14:paraId="70A7917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12.作业智能查重</w:t>
            </w:r>
          </w:p>
          <w:p w14:paraId="432F79C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）比对基础库中的数据包含图书、报纸、期刊、网络文档等多种文献类型；支持选择不同的比对库，包含全部全文比对库、图书全文比对库、非图书全文比对库、法律法规比对库、自建库选择进行检测。</w:t>
            </w:r>
          </w:p>
          <w:p w14:paraId="50D09C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）每万字的检测需在数秒内完成，并在10分钟内提供检测报告；</w:t>
            </w:r>
          </w:p>
          <w:p w14:paraId="365B54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）支持30M以上的TXT、DOC、PDF、DOCX、ZIP、RAR多种格式以及非加密文档的上传检测；支持ZIP、RAR压缩包形式上传（大小需在50M以内）；</w:t>
            </w:r>
          </w:p>
          <w:p w14:paraId="7DDAC3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）支持点击选择文件上传文档或者将50字以上、1万字以下的文本直接粘贴到文本框中进行检测；</w:t>
            </w:r>
          </w:p>
          <w:p w14:paraId="76B2D0D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）支持根据上传的检测文献生成检测报告，支持查看在线报告，也支持批量下载全部检测报告、批量下载PDF报告；</w:t>
            </w:r>
          </w:p>
          <w:p w14:paraId="2FA48F3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）用户可下载PDF报告（简洁报告、全文检测报告）和HTML报告（综合评估、相似片段、全文对比）进行查看和打印，（PDF报告和HTML报告均提供相似度检测专用印章）；</w:t>
            </w:r>
          </w:p>
          <w:p w14:paraId="7C7231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）支持查看最密集相似段、密集相似段、非密集相似段；</w:t>
            </w:r>
          </w:p>
          <w:p w14:paraId="3738BE9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）问答时支持智能推荐问题关联的相关微应用，点击应用可直接跳转到应用界面，实现应用跳转和业务处理；</w:t>
            </w:r>
          </w:p>
          <w:p w14:paraId="5723E9B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13.视频智能分析</w:t>
            </w:r>
          </w:p>
          <w:p w14:paraId="19361ED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w:t>
            </w:r>
          </w:p>
          <w:p w14:paraId="18426F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）基于人工智能技术生成知识点词云分析并展示</w:t>
            </w:r>
          </w:p>
          <w:p w14:paraId="3885DA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）支持视频播放时学生可以定位到时间点观看对应知识点的视频讲解。</w:t>
            </w:r>
          </w:p>
          <w:p w14:paraId="7650BC8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14.智能翻译</w:t>
            </w:r>
          </w:p>
          <w:p w14:paraId="237C919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）支持用户自行上传文件进行双语翻译（文件至少为10MB内无加密PDF文件）。</w:t>
            </w:r>
          </w:p>
          <w:p w14:paraId="45DAAAF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）支持单语切换：一键切换阅读模式。在开启“同步滑动”的情况下，实现页面同步跳转，方便阅读；</w:t>
            </w:r>
          </w:p>
          <w:p w14:paraId="3CEC74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）支持查词定位：原文、译文阅读界面均支持文章内容的精准查找定位，支持高亮显示和大小写区分，方便用户通过关键词快速检索文章内容；</w:t>
            </w:r>
          </w:p>
          <w:p w14:paraId="11D623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）支持页码定位：支持用户通过上下滑动进行定位，同时支持输入页码调试定位；</w:t>
            </w:r>
          </w:p>
          <w:p w14:paraId="199D58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）支持调整阅读比例：支持自动缩放、实际大小、适合页宽以及100%、125%、150%的页面调整；</w:t>
            </w:r>
          </w:p>
          <w:p w14:paraId="04C9F2A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）支持开启划词翻译功能，选中原文、译文文本并翻译；</w:t>
            </w:r>
          </w:p>
          <w:p w14:paraId="469FCC8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15.公式识别</w:t>
            </w:r>
          </w:p>
          <w:p w14:paraId="3A08A0E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教师录入公式后，系统自动将图片公式分析出来并可转换为latex公式。</w:t>
            </w:r>
          </w:p>
          <w:p w14:paraId="2BD42B1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16.课程内容不懂智能驱动</w:t>
            </w:r>
          </w:p>
          <w:p w14:paraId="1F9E19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学生观看视频或课件时，点击屏幕右侧“不懂”按钮，智能触发AI助教，并将不懂的页面自动截屏，由AI答疑解惑。</w:t>
            </w:r>
          </w:p>
          <w:p w14:paraId="2B28519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17.智能推送薄弱点及资源</w:t>
            </w:r>
          </w:p>
          <w:p w14:paraId="04CEFE4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）根据每个学生的错题和知识点掌握率，自动为学生进行薄弱知识点的辅导，可以根据学生错题和知识点掌握率优先推送薄弱知识点相关的题目。</w:t>
            </w:r>
          </w:p>
          <w:p w14:paraId="180E9FB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）支持生成相似题、变式题的个性化练习，帮助学生加强知识点理解。</w:t>
            </w:r>
          </w:p>
          <w:p w14:paraId="2F5E651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18.智能化分层</w:t>
            </w:r>
          </w:p>
          <w:p w14:paraId="4DC45D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3186673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19.AI试卷质量分析</w:t>
            </w:r>
          </w:p>
          <w:p w14:paraId="5D38BC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）支持从题型题量、难易度、知识点覆盖以及题目质量等多个关键维度，对试卷质量进行深入、细致地评估，提供相应建议。</w:t>
            </w:r>
          </w:p>
          <w:p w14:paraId="757B086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）支持根据AI推荐知识点，给题目一键关联知识点，健全知识图谱建设；老师可以进行AI【一键换题】操作，快速获取更优质、更合适的题目，提高试卷编撰效率和质量。</w:t>
            </w:r>
          </w:p>
          <w:p w14:paraId="7163391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20.AI实践</w:t>
            </w:r>
          </w:p>
          <w:p w14:paraId="3CE9B0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科教学体系中，实践教学是培养应用型人才的核心模块，尤其在医学、心理学等强实操性领域具有不可替代性。AI实践是一种融合智能技术与教学场景的任务型学习方式，支持教师根据教学目标配置不同类型的实践任务。</w:t>
            </w:r>
          </w:p>
          <w:p w14:paraId="31E2DC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）支持预设任务内容、评分标准与评估视角等多项任务信息</w:t>
            </w:r>
          </w:p>
          <w:p w14:paraId="423F018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）支持学生在系统引导下完成练习、提交作品或多轮互动</w:t>
            </w:r>
          </w:p>
          <w:p w14:paraId="60120B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）系统可记录学生过程、提供智能评分反馈，帮助教师高效开展教学管理</w:t>
            </w:r>
          </w:p>
          <w:p w14:paraId="509269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）支持情景对话型任务</w:t>
            </w:r>
          </w:p>
          <w:p w14:paraId="6E5B74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以“情景驱动”为核心的AI互动练习形式，支持教师设置具体情境、任务要求与交互目标，引导学生在设定情境中与AI展开多轮对话，逐步推进任务完成。</w:t>
            </w:r>
          </w:p>
          <w:p w14:paraId="07808F7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）支持上传作品型任务</w:t>
            </w:r>
          </w:p>
          <w:p w14:paraId="209E546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上传作品任务适用于学生提交作品型成果，如实验图片、图文混排文档等。支持教师在任务中明确作品要求，设置评估角色与评分标准，结合实际教学目标和评分标准，对学生提交内容进行评阅与打分反馈。</w:t>
            </w:r>
          </w:p>
          <w:p w14:paraId="17CA0A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）支持学习阶梯型任务</w:t>
            </w:r>
          </w:p>
          <w:p w14:paraId="3A04B4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习阶梯是一种层层递进的任务设计方式，围绕一个核心问题，支持教师预设多个认知维度。学生需逐步作答、逐层推进，答对当前层级的问题后，才能解锁下一层，实现“按维推进、层层深入”的学习过程，帮助学生在实践中锻炼逻辑、分析与综合能力。</w:t>
            </w:r>
          </w:p>
          <w:p w14:paraId="1547A2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）支持知识设置一个简明、明确的标题，便于学生理解任务内容</w:t>
            </w:r>
          </w:p>
          <w:p w14:paraId="02C654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）支持选择“阶梯闯关”和“主干生长”任务类型</w:t>
            </w:r>
          </w:p>
          <w:p w14:paraId="23A58C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阶梯闯关（客观题主导）实践，适用场景：聚焦知识点分层拆解、基础概念逐个突破的考核场景。以单选题/多选题/填空题拆分维度知识点，要求学生逐维攻克，确保基础概念掌握扎实，适配阶段基础检测、知识点梯度巩固。</w:t>
            </w:r>
          </w:p>
          <w:p w14:paraId="7D72CED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设置主干生长（主观题主导）实践，适用场景：面向多维度知识整合、复杂问题综合解决的考核场景。学生以主观推导作答后，系统检测等维度覆盖度，对缺失维度知识点生成定向追问，推动知识补漏，适配综合应用题训练、思维漏洞精准修复。</w:t>
            </w:r>
          </w:p>
          <w:p w14:paraId="7D1414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）支持设置一个任务中最核心的探究疑问，明确学生需聚焦解决的本质问题，指引思考与探究的关键方向</w:t>
            </w:r>
          </w:p>
          <w:p w14:paraId="61D919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）支持围绕核心问题，拆解出的具体考核角度（如知识认知、原理推导、操作实践等层面），明确从哪些维度评估学生对核心问题的掌握深度与广度（一个任务至少设置一个考核维度；至多设置五个考核维度）</w:t>
            </w:r>
          </w:p>
          <w:p w14:paraId="224B6D4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）支持在每个考核维度下，需添加具体知识点，支持从课程知识点中勾选，或按需自定义填写添加，精准定位该考核维度涉及的知识范畴（一个维度至少添加一个知识点；至多添加五个知识点）。</w:t>
            </w:r>
          </w:p>
          <w:p w14:paraId="23852FB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互动故事</w:t>
            </w:r>
          </w:p>
          <w:p w14:paraId="3A4BD5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将学科知识点转化为可互动的教学剧情，学生通过与故事中的不同AI角色对话还原各类真实专业场景，在沉浸式体验中深化知识理解与应用。</w:t>
            </w:r>
          </w:p>
          <w:p w14:paraId="3C0CD3EB">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8）AI思辩擂台：支持设定某一主题的辩论任务，自定义话题、观点、评分标准与对话轮次，学生既可自主选择立场，也可由教师指定。任务开始后，学生将与AI智能体展开实时辩论，各自围绕所选观点进行论证、举证与反驳，以此锻炼学生的逻辑组织、证据运用与多角度分析的能力。辩论结束后，系统将依据教师预先设定的评分标准，由 AI 对学生的整体表现进行评估并给出结果，帮助学生在实践中提升逻辑思维能力、证据意识和多角度分析问题的能力。</w:t>
            </w:r>
          </w:p>
          <w:p w14:paraId="69B65F9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21.AI科研助手</w:t>
            </w:r>
          </w:p>
          <w:p w14:paraId="047F92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21.1AI科研智能问答</w:t>
            </w:r>
          </w:p>
          <w:p w14:paraId="6D9C6E2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）支持自定义切换多个学科智能体，每个智能体可绑定多个AI知识库与大模型；支持自定义智能体名称、图标、角色定位与使用场景描述。</w:t>
            </w:r>
          </w:p>
          <w:p w14:paraId="52155C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）智能体回答内容支持溯源引用来源，确保回答可信；支持灵活选择多种大模型；支持设置提示词，定义智能体角色行为和问答风格。</w:t>
            </w:r>
          </w:p>
          <w:p w14:paraId="1ECAEC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）支持问答式检索，直接以问题形式获取文献推荐或答案摘要；支持检索结果加入阅读清单与AI解读功能。</w:t>
            </w:r>
          </w:p>
          <w:p w14:paraId="3164110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21.2AI学术追踪</w:t>
            </w:r>
          </w:p>
          <w:p w14:paraId="2B769F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支持用户自定义研究兴趣、学术期刊、学者、学术顶会等信息进行AI追踪，系统自动筛选并推送相关的最新优质文献。支持用户通过自然语言输入具体兴趣追踪最新学术文献。支持对推荐文献快捷引用，支持APA、MLA、GB/T7714等引用格式；支持勾选多篇推荐文献进行多文献对话，支持对多篇文献提供观点对比、研究方法对比、结论对比、摘要总结。</w:t>
            </w:r>
          </w:p>
          <w:p w14:paraId="27199D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）系统自动构建用户画像，基于用户兴趣偏好与历史行为进行内容推荐；推荐内容支持加入阅读清单、课题知识库。</w:t>
            </w:r>
          </w:p>
          <w:p w14:paraId="5985DB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）支持冷启动机制，帮助新用户快速匹配感兴趣内容。</w:t>
            </w:r>
          </w:p>
          <w:p w14:paraId="4EDA6F9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21.3AI学术对话</w:t>
            </w:r>
          </w:p>
          <w:p w14:paraId="425FB35F">
            <w:pPr>
              <w:widowControl/>
              <w:numPr>
                <w:ilvl w:val="0"/>
                <w:numId w:val="7"/>
              </w:numPr>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学术追踪的内容进行AI总结；支持AI快速解读关注领域的最新科研动态，便于用户快速及时了解最新文献、大批量文献；AI速读支持提取文章结构（研究方法、结论、贡献等）并生成摘要，支持一键生成关键要点，支持生成脑图。</w:t>
            </w:r>
          </w:p>
          <w:p w14:paraId="782E442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（2）支持对单个AI知识库进行AI对话；支持对期刊、学者进行AI对话，以交互方式使用户快捷了解期刊或学者某方面研究内容。</w:t>
            </w:r>
          </w:p>
          <w:p w14:paraId="2852FD42">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8" w:name="_Toc128"/>
            <w:r>
              <w:rPr>
                <w:rFonts w:hint="eastAsia" w:ascii="宋体" w:hAnsi="宋体" w:cs="宋体"/>
                <w:b/>
                <w:bCs/>
                <w:snapToGrid w:val="0"/>
                <w:color w:val="000000" w:themeColor="text1"/>
                <w:szCs w:val="21"/>
                <w:highlight w:val="none"/>
                <w14:textFill>
                  <w14:solidFill>
                    <w14:schemeClr w14:val="tx1"/>
                  </w14:solidFill>
                </w14:textFill>
              </w:rPr>
              <w:t>五、智慧课程门户建设</w:t>
            </w:r>
            <w:bookmarkEnd w:id="48"/>
          </w:p>
          <w:p w14:paraId="64EED2A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1.智慧课程门户搭建</w:t>
            </w:r>
          </w:p>
          <w:p w14:paraId="41710CF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建设专有课程域名，进行课程门户搭建。PC门户配置功能支持用户自定义模块布局，支持拖拽式调整同一模块内不同栏目的位置，支持用户自定义对页面背景、音乐、主题色及简体或繁体字的转换设置。每一个模块内的数据来源均支持人工配置；可以是外部数据接入，也可以直接从数据中心抽调。</w:t>
            </w:r>
          </w:p>
          <w:p w14:paraId="25DF28D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2.智慧课程门户展示</w:t>
            </w:r>
          </w:p>
          <w:p w14:paraId="736982B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）课程门户展示课程整体建设内容，教师团队、教学设计、课程章节、知识图谱、问题图谱、证书图谱、能力图谱、教学运行、AI知识库、AI应用。</w:t>
            </w:r>
          </w:p>
          <w:p w14:paraId="4C13AAF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）支持对课程门户进行二次编辑，课程基本信息，包含课程名称、封面、宣传片、主讲教师、教师团队、学时学分、课程说明等。</w:t>
            </w:r>
          </w:p>
          <w:p w14:paraId="2C62FDD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）支持编辑课程简介，展示课程所属院校、专业、教师团队详情等信息。</w:t>
            </w:r>
          </w:p>
          <w:p w14:paraId="60A1D39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3.知识图谱展示与应用</w:t>
            </w:r>
          </w:p>
          <w:p w14:paraId="7A9922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支持展示课程知识图谱，查看多种图谱模式，包含但不限于关系图谱、思维导图模式、学习路径、问题图谱等，展示课程目标图谱、问题图谱。</w:t>
            </w:r>
          </w:p>
          <w:p w14:paraId="2EA2477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4.AI知识库展示</w:t>
            </w:r>
          </w:p>
          <w:p w14:paraId="693B87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支持展示知识库总数、资源总数、知识切片总数、问答对总数，动态展示、拓展资料、趣味测试，动态播放知识库资源。</w:t>
            </w:r>
          </w:p>
          <w:p w14:paraId="6389A32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.教学设计展示</w:t>
            </w:r>
          </w:p>
          <w:p w14:paraId="0ED4671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）支持对课程章节、小结进行数据统计，按章节展示知识图谱任务点资源及课程资料。</w:t>
            </w:r>
          </w:p>
          <w:p w14:paraId="3DA8F9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）支持用课程－课程目标－课程知识点3层架构，展示智慧课程知识体系。支持2D\3D模式切换、全屏播放及页面缩放。</w:t>
            </w:r>
          </w:p>
          <w:p w14:paraId="6B1FC5C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.课程运行数据统计分析展示</w:t>
            </w:r>
          </w:p>
          <w:p w14:paraId="0259ABC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）支持对课程建设、运行数据进行详情分析，包含教师团队、学生人数、知识点资源数、知识点属性、知识点学情统计等。</w:t>
            </w:r>
          </w:p>
          <w:p w14:paraId="5F3E027D">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49" w:name="_Toc32680"/>
            <w:r>
              <w:rPr>
                <w:rFonts w:hint="eastAsia" w:ascii="宋体" w:hAnsi="宋体" w:cs="宋体"/>
                <w:b/>
                <w:bCs/>
                <w:snapToGrid w:val="0"/>
                <w:color w:val="000000" w:themeColor="text1"/>
                <w:szCs w:val="21"/>
                <w:highlight w:val="none"/>
                <w14:textFill>
                  <w14:solidFill>
                    <w14:schemeClr w14:val="tx1"/>
                  </w14:solidFill>
                </w14:textFill>
              </w:rPr>
              <w:t>六、智慧课程数据分析</w:t>
            </w:r>
            <w:bookmarkEnd w:id="49"/>
          </w:p>
          <w:p w14:paraId="1F1AFE5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1.学情统计&amp;图谱统计</w:t>
            </w:r>
          </w:p>
          <w:p w14:paraId="37C41EE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）支持用户能深入分析学习情况和图谱数据，以优化教学和学习策略</w:t>
            </w:r>
          </w:p>
          <w:p w14:paraId="1ADF1A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）支持探索每个知识点在班级中的平均表现，并在不同班级间轻松切换，以获得全面的视角</w:t>
            </w:r>
          </w:p>
          <w:p w14:paraId="4705834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）支持将学情统计的快照保存为图像，便于回顾和分享</w:t>
            </w:r>
          </w:p>
          <w:p w14:paraId="71B90F2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）支持在学情统计中检索节点，帮助用户快速定位特定节点的完成率/掌握率</w:t>
            </w:r>
          </w:p>
          <w:p w14:paraId="7C9246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）课程总览支持创意的词云形式，展示学习中的热门知识点，直观地反映学习的重点和热点</w:t>
            </w:r>
          </w:p>
          <w:p w14:paraId="0A834B2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）知识点学习情况分析通过图形化的方式，提供班级学习的整体视图，包括完成率和掌握率</w:t>
            </w:r>
          </w:p>
          <w:p w14:paraId="78D5A9E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）支持对知识点掌握情况深入分析，同时展示学生知识点掌握率和知识点完成率的前五名，以此凸显学习成效的佼佼者</w:t>
            </w:r>
          </w:p>
          <w:p w14:paraId="6C264D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）支持全面审视所有学生的数据，提供两种不同的视角来观察这些数据：从知识点出发或从学生个体出发</w:t>
            </w:r>
          </w:p>
          <w:p w14:paraId="21AD3C5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2.知识点统计</w:t>
            </w:r>
          </w:p>
          <w:p w14:paraId="476971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）分类卡片综合展示关键信息，如标题、描述、知识点及其资源和标签概览，提供非任务点与任务点的数量统计</w:t>
            </w:r>
          </w:p>
          <w:p w14:paraId="5015FC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）用户可通过点击卡片进入详情页面，页面细分为六个核心部分，全面覆盖分类的各个方面</w:t>
            </w:r>
          </w:p>
          <w:p w14:paraId="550498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）知识点与资源关联展示知识点数量及其关联的资源总数，揭示知识点的内容丰富度</w:t>
            </w:r>
          </w:p>
          <w:p w14:paraId="469562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）知识点微课入口支持以列表形式展示知识点标签，并允许一键跳转至相关微课，增强学习的直接性和便捷性</w:t>
            </w:r>
          </w:p>
          <w:p w14:paraId="3017B7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）知识点标签支持展示分类下所有知识点的标签数量，包括考点、重点和难点，以助于用户识别关键学习领域</w:t>
            </w:r>
          </w:p>
          <w:p w14:paraId="62CF8E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）知识点建设情况支持以柱状图形式展示每个知识点的关联资源数量，提供资源分配的视觉比较</w:t>
            </w:r>
          </w:p>
          <w:p w14:paraId="72B7B48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）支持以班级为单位，展示不同班级之间的知识点平均掌握率和知识点平均完成率，反映学习成效和掌握程度</w:t>
            </w:r>
          </w:p>
          <w:p w14:paraId="67E3C5B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3.课程数据总览</w:t>
            </w:r>
          </w:p>
          <w:p w14:paraId="12A4152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提供课程数据总览，能多维度查看课程数据分析，基础数据、课堂报告、学情统计、学生成绩、学习监控。</w:t>
            </w:r>
          </w:p>
          <w:p w14:paraId="2D1E2CC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）基础数据包含学生人数、学习任务、班级、作业、考试、课堂活动、讨论区话题数；</w:t>
            </w:r>
          </w:p>
          <w:p w14:paraId="7B615B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）教学建设情况统计分析，含课程章节、课程资料、知识库、题库建设数据分析；</w:t>
            </w:r>
          </w:p>
          <w:p w14:paraId="63CC8A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）AI使用情况统计分析，含AI应用和AI指令建设数量，调用情况，AI分析题目数、AI生产资源数、AI智能体会话数等；</w:t>
            </w:r>
          </w:p>
          <w:p w14:paraId="35BF4B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）学习监控包括学生成绩、学生学习进度、教学预警、知识点、资源、任务点、资料和评估活动的统计分析及导出；</w:t>
            </w:r>
          </w:p>
          <w:p w14:paraId="645BE19E">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50" w:name="_Toc14073"/>
            <w:r>
              <w:rPr>
                <w:rFonts w:hint="eastAsia" w:ascii="宋体" w:hAnsi="宋体" w:cs="宋体"/>
                <w:b/>
                <w:bCs/>
                <w:snapToGrid w:val="0"/>
                <w:color w:val="000000" w:themeColor="text1"/>
                <w:szCs w:val="21"/>
                <w:highlight w:val="none"/>
                <w14:textFill>
                  <w14:solidFill>
                    <w14:schemeClr w14:val="tx1"/>
                  </w14:solidFill>
                </w14:textFill>
              </w:rPr>
              <w:t>七、任务引擎建设</w:t>
            </w:r>
            <w:bookmarkEnd w:id="50"/>
          </w:p>
          <w:p w14:paraId="1C9813A4">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1.以能力培养为导向的任务设计，适配多种教学模式</w:t>
            </w:r>
          </w:p>
          <w:p w14:paraId="6A7724C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41801435">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2.任务功能模块配置</w:t>
            </w:r>
          </w:p>
          <w:p w14:paraId="50AA025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）支持新建、编辑、发布、管理和删除任务，并针对任务数据进行自定义排序、指定、创建文件夹进行归纳；</w:t>
            </w:r>
          </w:p>
          <w:p w14:paraId="4D2364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）支持AI生成任务，提高老师任务创建效率。</w:t>
            </w:r>
          </w:p>
          <w:p w14:paraId="3BBC9ED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）支持按照章节，教案，文本三种方式AI生成任务基本信息和任务点内容，简化老师任务设计工作，提高任务的建设质量。</w:t>
            </w:r>
          </w:p>
          <w:p w14:paraId="5E1FFB6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）支持点击新建任务，跳转至任务编辑页面，进行基本信息编辑和任务设计工作；</w:t>
            </w:r>
          </w:p>
          <w:p w14:paraId="168B27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）支持编辑任务基本信息，包括任务名称、任务封面、任务介绍和选择任务标签，任务标签支持对接数据源，按照单位设置展示标签内容；</w:t>
            </w:r>
          </w:p>
          <w:p w14:paraId="4BE7019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）支持切换标签页跳转任务设计页面，添加分组，添加任务点和设置闯关达标条件；</w:t>
            </w:r>
          </w:p>
          <w:p w14:paraId="35FBFC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3D8DA9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）支持直接添加当前课下资源和当前登录用户的其他课程资源到任务下，同时支持点击添加跳转到指定页面进行资源添加；</w:t>
            </w:r>
          </w:p>
          <w:p w14:paraId="5DBD5F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）支持在任务点上设置闯关条件，学生需要达到任务点设置的完成条件才能够学习下一个任务点，不同类型任务点闯关条件不同；</w:t>
            </w:r>
          </w:p>
          <w:p w14:paraId="51D124F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）支持在任务分组上设置组间闯关条件，学生需要达到组间闯关设置的完成条件后才能够学习下个分组，不同类型任务点闯关条件不同；</w:t>
            </w:r>
          </w:p>
          <w:p w14:paraId="20A039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）支持在任务设计上设置达标标准，学生完成达标标准后，整个任务学习完成，学生可以领取相应的任务达标证书；</w:t>
            </w:r>
          </w:p>
          <w:p w14:paraId="0B9F16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580281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）针对自定义类型任务点，增加“签到”按钮，方便老师发放签到给学生；</w:t>
            </w:r>
          </w:p>
          <w:p w14:paraId="13974E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）任务中可插入PBL教学：支持开展分组教学活动，支持多种分组方式，包含固定分组、自选分组、组长建组、随机分组、面对面建组、不分组等分组方式；</w:t>
            </w:r>
          </w:p>
          <w:p w14:paraId="1545A28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）活动支持教师评价、组内评价、组间评价、自评等多种评价相结合，支持分项评分指标设置；</w:t>
            </w:r>
          </w:p>
          <w:p w14:paraId="7E2583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）课程成绩权重支持分组任务明细分配，不同活动可设置不同考核权重。</w:t>
            </w:r>
          </w:p>
          <w:p w14:paraId="24D79A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3B7F6B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）支持针对任务点开启高阶闯关模式，使不同成绩学生后续学习的内容不一样，满足教师个性化教学的场景；</w:t>
            </w:r>
          </w:p>
          <w:p w14:paraId="54DF69B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）任务引擎支持选课功能，支持教师选择部分资源作为任务包，学生选择部分任务点进行选择性学习；</w:t>
            </w:r>
          </w:p>
          <w:p w14:paraId="72F11253">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20</w:t>
            </w:r>
            <w:r>
              <w:rPr>
                <w:rFonts w:hint="eastAsia" w:ascii="宋体" w:hAnsi="宋体" w:cs="宋体"/>
                <w:b/>
                <w:bCs/>
                <w:snapToGrid w:val="0"/>
                <w:color w:val="000000" w:themeColor="text1"/>
                <w:szCs w:val="21"/>
                <w:highlight w:val="none"/>
                <w:lang w:val="zh-CN"/>
                <w14:textFill>
                  <w14:solidFill>
                    <w14:schemeClr w14:val="tx1"/>
                  </w14:solidFill>
                </w14:textFill>
              </w:rPr>
              <w:t>）支持任务克隆功能，支持克隆给自己和克隆给他人两种方式，提高任务的复用性；</w:t>
            </w:r>
          </w:p>
          <w:p w14:paraId="7ED43DA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21</w:t>
            </w:r>
            <w:r>
              <w:rPr>
                <w:rFonts w:hint="eastAsia" w:ascii="宋体" w:hAnsi="宋体" w:cs="宋体"/>
                <w:snapToGrid w:val="0"/>
                <w:color w:val="000000" w:themeColor="text1"/>
                <w:szCs w:val="21"/>
                <w:highlight w:val="none"/>
                <w:lang w:val="zh-CN"/>
                <w14:textFill>
                  <w14:solidFill>
                    <w14:schemeClr w14:val="tx1"/>
                  </w14:solidFill>
                </w14:textFill>
              </w:rPr>
              <w:t>）支持针对任务进行报名设置工作，教师可以选择开启报名，报名需要填写信息，报名需要审批三种方式，邀请学生报名任务，同时支持查看报名信息。</w:t>
            </w:r>
          </w:p>
          <w:p w14:paraId="020B2215">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3.学生任务学习</w:t>
            </w:r>
            <w:r>
              <w:rPr>
                <w:rFonts w:hint="eastAsia" w:ascii="宋体" w:hAnsi="宋体" w:cs="宋体"/>
                <w:b/>
                <w:bCs/>
                <w:snapToGrid w:val="0"/>
                <w:color w:val="000000" w:themeColor="text1"/>
                <w:szCs w:val="21"/>
                <w:highlight w:val="none"/>
                <w:lang w:val="zh-CN"/>
                <w14:textFill>
                  <w14:solidFill>
                    <w14:schemeClr w14:val="tx1"/>
                  </w14:solidFill>
                </w14:textFill>
              </w:rPr>
              <w:tab/>
            </w:r>
          </w:p>
          <w:p w14:paraId="722C85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）支持学生点击个人空间－我的任务查看我的任务列表，支持学生点击课程－任务查看我的任务</w:t>
            </w:r>
          </w:p>
          <w:p w14:paraId="379AFE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）点击进入学习，支持学生查看任务的基本信息，达标情况和解锁情况</w:t>
            </w:r>
          </w:p>
          <w:p w14:paraId="6E3EAE5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）支持点击达标按钮，查看学生当前的达标情况</w:t>
            </w:r>
          </w:p>
          <w:p w14:paraId="1F1A93F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）任务设置发放证书后，任务达标后支持点击证书按钮，进行证书查看、下载操作</w:t>
            </w:r>
          </w:p>
          <w:p w14:paraId="2B8D252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）支持切换不同类型的学习路径（列表模式、框架模式、图谱模式），方便学生个性化学习</w:t>
            </w:r>
          </w:p>
          <w:p w14:paraId="05CFE7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）支持学生点击任务点进行学习，学习后返回任务详情，支持学生查看自己任务点的最新完成情况和待完成分组、任务点的解锁情况</w:t>
            </w:r>
          </w:p>
          <w:p w14:paraId="711A2D67">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4.任务运行达成数据统计</w:t>
            </w:r>
          </w:p>
          <w:p w14:paraId="23688A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）学情分析页面展示学生、任务点数据和概览统计情况，方便教师一键明确学生和任务点的完成情况；</w:t>
            </w:r>
          </w:p>
          <w:p w14:paraId="6AE0B3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）支持督学，有督学和批量督学按钮，支持针对不满足学习进度的学生、单个学生、多个学生进行发放督学通知，督促学生学习。</w:t>
            </w:r>
          </w:p>
          <w:p w14:paraId="19CC9A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）提供移动端应用功能，教师可以通过移动端进行简单的任务管理工作；</w:t>
            </w:r>
          </w:p>
          <w:p w14:paraId="2E2EE3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学生可以通过移动端进行任务学习、查看达标状态、查看证书的工作。</w:t>
            </w:r>
          </w:p>
          <w:p w14:paraId="5B4DDEF7">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51" w:name="_Toc29533"/>
            <w:r>
              <w:rPr>
                <w:rFonts w:hint="eastAsia" w:ascii="宋体" w:hAnsi="宋体" w:cs="宋体"/>
                <w:b/>
                <w:bCs/>
                <w:snapToGrid w:val="0"/>
                <w:color w:val="000000" w:themeColor="text1"/>
                <w:szCs w:val="21"/>
                <w:highlight w:val="none"/>
                <w14:textFill>
                  <w14:solidFill>
                    <w14:schemeClr w14:val="tx1"/>
                  </w14:solidFill>
                </w14:textFill>
              </w:rPr>
              <w:t>八、系统对接服务</w:t>
            </w:r>
            <w:bookmarkEnd w:id="51"/>
          </w:p>
          <w:p w14:paraId="4D01B42C">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1.运维性能要求</w:t>
            </w:r>
          </w:p>
          <w:p w14:paraId="6ABC6A5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（1）持续更新平台模板、模块样式与应用功能，适配医学教学场景需求。</w:t>
            </w:r>
          </w:p>
          <w:p w14:paraId="58D4006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（2）采用响应式设计，支持PC端、移动端自适应访问，保障多终端使用体验。</w:t>
            </w:r>
          </w:p>
          <w:p w14:paraId="28EF6E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（3）提供数据备份与恢复服务，全方位保障平台数据安全。</w:t>
            </w:r>
          </w:p>
          <w:p w14:paraId="753B6D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（4）提供完善的系统运维、技术支持与操作培训服务，保障平台稳定运行。</w:t>
            </w:r>
          </w:p>
          <w:p w14:paraId="75077F9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（5）支持对外提供平台统计数据，满足院校数据统计与管理需求。</w:t>
            </w:r>
          </w:p>
          <w:p w14:paraId="4870C7FD">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2.系统对接要求</w:t>
            </w:r>
          </w:p>
          <w:p w14:paraId="747FEE9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（1）提供与学校指定现有系统（如教务系统、统一认证系统、图书馆系统等）深度对接的全程服务，涵盖方案设计、接口开发、联调测试及数据迁移验证全流程。</w:t>
            </w:r>
          </w:p>
          <w:p w14:paraId="5225A77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（2）支持对接学校统一身份认证系统，实现单点登录功能，便捷进入平台。</w:t>
            </w:r>
          </w:p>
          <w:p w14:paraId="1FE64D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（3）支持通过数据视图、接口等方式对接学校教务管理数据（含学生、教师、课程、选课等相关数据），并进行定期维护与更新，实现教务数据同步。</w:t>
            </w:r>
          </w:p>
          <w:p w14:paraId="183467D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（4）支持对接学校现有课程教学平台的课程资源数据和运行数据，保障信息化教学的延续性与完整性。</w:t>
            </w:r>
          </w:p>
        </w:tc>
        <w:tc>
          <w:tcPr>
            <w:tcW w:w="364" w:type="pct"/>
            <w:vAlign w:val="center"/>
          </w:tcPr>
          <w:p w14:paraId="0443E1D8">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门</w:t>
            </w:r>
          </w:p>
        </w:tc>
        <w:tc>
          <w:tcPr>
            <w:tcW w:w="381" w:type="pct"/>
            <w:vAlign w:val="center"/>
          </w:tcPr>
          <w:p w14:paraId="1BDD3FC1">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w:t>
            </w:r>
          </w:p>
        </w:tc>
      </w:tr>
      <w:tr w14:paraId="6B19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5DC1EEC5">
            <w:pPr>
              <w:widowControl/>
              <w:kinsoku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5</w:t>
            </w:r>
          </w:p>
        </w:tc>
        <w:tc>
          <w:tcPr>
            <w:tcW w:w="683" w:type="pct"/>
            <w:gridSpan w:val="2"/>
            <w:tcMar>
              <w:top w:w="13" w:type="dxa"/>
              <w:left w:w="57" w:type="dxa"/>
              <w:bottom w:w="0" w:type="dxa"/>
              <w:right w:w="57" w:type="dxa"/>
            </w:tcMar>
            <w:vAlign w:val="center"/>
          </w:tcPr>
          <w:p w14:paraId="5F45D5C9">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第二临床医学院2026年</w:t>
            </w:r>
            <w:r>
              <w:rPr>
                <w:rFonts w:hint="eastAsia" w:ascii="宋体" w:hAnsi="宋体" w:cs="宋体"/>
                <w:b/>
                <w:bCs/>
                <w:snapToGrid w:val="0"/>
                <w:color w:val="000000" w:themeColor="text1"/>
                <w:szCs w:val="21"/>
                <w:highlight w:val="none"/>
                <w:lang w:val="zh-CN"/>
                <w14:textFill>
                  <w14:solidFill>
                    <w14:schemeClr w14:val="tx1"/>
                  </w14:solidFill>
                </w14:textFill>
              </w:rPr>
              <w:t>智慧课程建设</w:t>
            </w:r>
            <w:r>
              <w:rPr>
                <w:rFonts w:hint="eastAsia" w:ascii="宋体" w:hAnsi="宋体" w:cs="宋体"/>
                <w:b/>
                <w:bCs/>
                <w:snapToGrid w:val="0"/>
                <w:color w:val="000000" w:themeColor="text1"/>
                <w:szCs w:val="21"/>
                <w:highlight w:val="none"/>
                <w14:textFill>
                  <w14:solidFill>
                    <w14:schemeClr w14:val="tx1"/>
                  </w14:solidFill>
                </w14:textFill>
              </w:rPr>
              <w:t>服务项目</w:t>
            </w:r>
          </w:p>
        </w:tc>
        <w:tc>
          <w:tcPr>
            <w:tcW w:w="3298" w:type="pct"/>
            <w:tcMar>
              <w:top w:w="13" w:type="dxa"/>
              <w:left w:w="57" w:type="dxa"/>
              <w:bottom w:w="0" w:type="dxa"/>
              <w:right w:w="57" w:type="dxa"/>
            </w:tcMar>
            <w:vAlign w:val="center"/>
          </w:tcPr>
          <w:p w14:paraId="6022C86D">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一、建设总体要求</w:t>
            </w:r>
            <w:r>
              <w:rPr>
                <w:rFonts w:hint="eastAsia" w:ascii="仿宋" w:hAnsi="仿宋" w:eastAsia="仿宋" w:cs="仿宋"/>
                <w:snapToGrid w:val="0"/>
                <w:color w:val="000000" w:themeColor="text1"/>
                <w:szCs w:val="21"/>
                <w:highlight w:val="none"/>
                <w:lang w:val="zh-CN"/>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完成第二临床医学院《临床药理学》《全科医学概论》《临床技能实训》总计3门智慧课程的建设。在采购人要求的上述核心主干课程教学大纲的基础上，梳理课程包含的知识点，构建知识点之间的相互关联及课程目标与知识点关联，完成知识点关系设置、知识点标签设计、视频资源匹配、课程资料匹配、试题库资源匹配等工作，完成课程知识图谱、问题图谱、目标（能力）图谱、课程思政图谱的构建与上线运行。制作团队与课程主要负责人根据课程大纲和混合式教学要求，对课程进行整体教学设计，结合实际教学需要，以服务课程教与学为重点，以资源丰富、充分开放共享、产教融合为基本目标，注重课程资源的适用性和易用性，根据课程内容彰显课程特色。</w:t>
            </w:r>
          </w:p>
          <w:p w14:paraId="5CBE5B13">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2.建设《临床药理学》《全科医学概论》《临床技能实训》总计3门课程的教学任务搭建工具。工具可用于创建课程项目及教学任务，适配PBL、项目式教学、任务驱动教学、案例式教学、CDIO等多元行动导向教学模式，落地教学设计可视化应用。每门课程配套建设3个示范案例，供教学参考复用。</w:t>
            </w:r>
          </w:p>
          <w:p w14:paraId="2389A962">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3.针对《临床药理学》《全科医学概论》《临床技能实训》总计3门课程的教学需求，为每门课程搭建3个医学AI实践情景模拟样例。支持开展医护角色模拟、临床分组研讨、多岗位协同交流等教学任务，涵盖临床问诊对话、典型病例分析交流、突发医疗情况沟通处置等对话场景。AI依托教师预设的评分标准，对学生在模拟练习过程中的答复表现进行智能评价，并给出针对性优化方向与改进建议。</w:t>
            </w:r>
          </w:p>
          <w:p w14:paraId="5BEB912C">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4.针对第二临床医学院课程专业性强、跨学科融合的特点，依托 DeepSeek、豆包等通用大模型与医学教育垂直专属大模型，建设课程AI知识库、问答库并完成增强式私有模型训练，配套部署多功能专属AI助教及</w:t>
            </w:r>
          </w:p>
          <w:p w14:paraId="510EB528">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AI工作台，构建智慧教学环境，助力师生开展智慧教学。</w:t>
            </w:r>
          </w:p>
          <w:p w14:paraId="19647764">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52" w:name="_Toc21788"/>
            <w:r>
              <w:rPr>
                <w:rFonts w:hint="eastAsia" w:ascii="宋体" w:hAnsi="宋体" w:cs="宋体"/>
                <w:b/>
                <w:bCs/>
                <w:snapToGrid w:val="0"/>
                <w:color w:val="000000" w:themeColor="text1"/>
                <w:szCs w:val="21"/>
                <w:highlight w:val="none"/>
                <w14:textFill>
                  <w14:solidFill>
                    <w14:schemeClr w14:val="tx1"/>
                  </w14:solidFill>
                </w14:textFill>
              </w:rPr>
              <w:t>二、智慧</w:t>
            </w:r>
            <w:r>
              <w:rPr>
                <w:rFonts w:hint="eastAsia" w:ascii="宋体" w:hAnsi="宋体" w:cs="宋体"/>
                <w:b/>
                <w:bCs/>
                <w:snapToGrid w:val="0"/>
                <w:color w:val="000000" w:themeColor="text1"/>
                <w:szCs w:val="21"/>
                <w:highlight w:val="none"/>
                <w:lang w:val="zh-CN"/>
                <w14:textFill>
                  <w14:solidFill>
                    <w14:schemeClr w14:val="tx1"/>
                  </w14:solidFill>
                </w14:textFill>
              </w:rPr>
              <w:t>课程</w:t>
            </w:r>
            <w:r>
              <w:rPr>
                <w:rFonts w:hint="eastAsia" w:ascii="宋体" w:hAnsi="宋体" w:cs="宋体"/>
                <w:b/>
                <w:bCs/>
                <w:snapToGrid w:val="0"/>
                <w:color w:val="000000" w:themeColor="text1"/>
                <w:szCs w:val="21"/>
                <w:highlight w:val="none"/>
                <w14:textFill>
                  <w14:solidFill>
                    <w14:schemeClr w14:val="tx1"/>
                  </w14:solidFill>
                </w14:textFill>
              </w:rPr>
              <w:t>专属</w:t>
            </w:r>
            <w:r>
              <w:rPr>
                <w:rFonts w:hint="eastAsia" w:ascii="宋体" w:hAnsi="宋体" w:cs="宋体"/>
                <w:b/>
                <w:bCs/>
                <w:snapToGrid w:val="0"/>
                <w:color w:val="000000" w:themeColor="text1"/>
                <w:szCs w:val="21"/>
                <w:highlight w:val="none"/>
                <w:lang w:val="zh-CN"/>
                <w14:textFill>
                  <w14:solidFill>
                    <w14:schemeClr w14:val="tx1"/>
                  </w14:solidFill>
                </w14:textFill>
              </w:rPr>
              <w:t>AI环境搭建</w:t>
            </w:r>
            <w:bookmarkEnd w:id="52"/>
          </w:p>
          <w:p w14:paraId="1A0403E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1.通用大语言模型对接</w:t>
            </w:r>
          </w:p>
          <w:p w14:paraId="3DFBC88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根据学校配置，完成指定通用大语言模型或多个通用大模型对接。</w:t>
            </w:r>
          </w:p>
          <w:p w14:paraId="62118B1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（1）需支持针对</w:t>
            </w:r>
            <w:r>
              <w:rPr>
                <w:rFonts w:hint="eastAsia" w:ascii="宋体" w:hAnsi="宋体" w:cs="宋体"/>
                <w:snapToGrid w:val="0"/>
                <w:color w:val="000000" w:themeColor="text1"/>
                <w:szCs w:val="21"/>
                <w:highlight w:val="none"/>
                <w:lang w:val="zh-CN"/>
                <w14:textFill>
                  <w14:solidFill>
                    <w14:schemeClr w14:val="tx1"/>
                  </w14:solidFill>
                </w14:textFill>
              </w:rPr>
              <w:t>医学教育垂直专属大模型，依托权威医学数智教育实验室技术架构，深度融合医学教学、临床案例与专业知识体系。要求具备高精度医学语义理解、专业知识推理与多场景教学适配能力，可支撑智能备课教案生成、临床案例解析、师生智能问答及个性化分层导学，全面满足院校医学教育数字化、AI赋能教学应用需求。</w:t>
            </w:r>
          </w:p>
          <w:p w14:paraId="5D8084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拥有医学垂直领域专属大模型，已完成与教学平台、课程AI智能体的深度适配整合，可呈现医学垂类大模型与教学平台、课程AI智能体的联动交互过程，直观展示医学专业领域知识传递、智能问答等实操功能，支持验证各项功能落地效果。</w:t>
            </w:r>
          </w:p>
          <w:p w14:paraId="03C3DCB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2.课程专属AI知识库训练</w:t>
            </w:r>
          </w:p>
          <w:p w14:paraId="50EFDFC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2.1在线课程自我训练</w:t>
            </w:r>
          </w:p>
          <w:p w14:paraId="215222B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）支持一键同步在线课程，对已有资源进行智能化训练。</w:t>
            </w:r>
          </w:p>
          <w:p w14:paraId="1F83826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）支持增量同步在线课程，保持与课程内容的一致。</w:t>
            </w:r>
          </w:p>
          <w:p w14:paraId="6C7AD58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2.2资源上传与训练</w:t>
            </w:r>
          </w:p>
          <w:p w14:paraId="52ADDA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）课程单元内容建设，可编辑视频、文档、图片、音频、图书、公式、符号、附件、网页、动画等。</w:t>
            </w:r>
          </w:p>
          <w:p w14:paraId="055FE1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）支持导入并编辑内容。</w:t>
            </w:r>
          </w:p>
          <w:p w14:paraId="3E6458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）视频上传与播放支持rmvb、3gp、mpg、mpeg、mov、wmv、avi、mkv、mp4、flv、vob、f4v等高清和网络格式。</w:t>
            </w:r>
          </w:p>
          <w:p w14:paraId="782AB4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）支持2G以上文件上传。支持查看资源上传与训练状态，支持查看训练资源来源。支持按时间范围查看资源上传情况。</w:t>
            </w:r>
          </w:p>
          <w:p w14:paraId="05632F3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2.3学术文献一键对接训练</w:t>
            </w:r>
          </w:p>
          <w:p w14:paraId="091B42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）支持对接文献库，一次性导入不超过30本课程相关书籍，进行训练。</w:t>
            </w:r>
          </w:p>
          <w:p w14:paraId="227C2C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）支持反复导入。</w:t>
            </w:r>
          </w:p>
          <w:p w14:paraId="2FB55E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2.4AI知识库管理功能</w:t>
            </w:r>
          </w:p>
          <w:p w14:paraId="2FED92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）支持“单位AI知识库”与“公共AI知识库”双维度管理，可按创建人、创建时间、知识库名称等条件进行精准检索与筛选。</w:t>
            </w:r>
          </w:p>
          <w:p w14:paraId="58ADE92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支持新增知识库、知识库管理及召回参数设置等核心操作，可实时统计并展示总文件数、总字符数等关键数据，支持列表与卡片两种视图切换，同时具备分页查询功能，实现对知识库资源的全生命周期管理与高效调用。</w:t>
            </w:r>
          </w:p>
          <w:p w14:paraId="105BF4D0">
            <w:pPr>
              <w:kinsoku w:val="0"/>
              <w:wordWrap w:val="0"/>
              <w:autoSpaceDE w:val="0"/>
              <w:autoSpaceDN w:val="0"/>
              <w:adjustRightInd w:val="0"/>
              <w:snapToGrid w:val="0"/>
              <w:spacing w:line="360" w:lineRule="auto"/>
              <w:jc w:val="left"/>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实时咨询、自建私有知识库及订阅公共AI知识库，支持如豆包、deepseek、通义千问等各类主流国产大模型，并具有自研且通过国家网信部门备案的大模型，提供教案生成、论文辅助等功能，公共AI知识库数量至少</w:t>
            </w:r>
            <w:r>
              <w:rPr>
                <w:rFonts w:hint="eastAsia" w:ascii="宋体" w:hAnsi="宋体" w:cs="宋体"/>
                <w:snapToGrid w:val="0"/>
                <w:color w:val="000000" w:themeColor="text1"/>
                <w:szCs w:val="21"/>
                <w:highlight w:val="none"/>
                <w14:textFill>
                  <w14:solidFill>
                    <w14:schemeClr w14:val="tx1"/>
                  </w14:solidFill>
                </w14:textFill>
              </w:rPr>
              <w:t>2000</w:t>
            </w:r>
            <w:r>
              <w:rPr>
                <w:rFonts w:hint="eastAsia" w:ascii="宋体" w:hAnsi="宋体" w:cs="宋体"/>
                <w:snapToGrid w:val="0"/>
                <w:color w:val="000000" w:themeColor="text1"/>
                <w:szCs w:val="21"/>
                <w:highlight w:val="none"/>
                <w:lang w:val="zh-CN"/>
                <w14:textFill>
                  <w14:solidFill>
                    <w14:schemeClr w14:val="tx1"/>
                  </w14:solidFill>
                </w14:textFill>
              </w:rPr>
              <w:t>个。</w:t>
            </w:r>
            <w:r>
              <w:rPr>
                <w:rFonts w:hint="eastAsia" w:ascii="宋体" w:hAnsi="宋体" w:cs="宋体"/>
                <w:b/>
                <w:bCs/>
                <w:snapToGrid w:val="0"/>
                <w:color w:val="000000" w:themeColor="text1"/>
                <w:kern w:val="0"/>
                <w:szCs w:val="21"/>
                <w:highlight w:val="none"/>
                <w:lang w:bidi="zh-CN"/>
                <w14:textFill>
                  <w14:solidFill>
                    <w14:schemeClr w14:val="tx1"/>
                  </w14:solidFill>
                </w14:textFill>
              </w:rPr>
              <w:t>（需现场演示功能效果）</w:t>
            </w:r>
          </w:p>
          <w:p w14:paraId="03CDF3C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3.AI问答库建设</w:t>
            </w:r>
          </w:p>
          <w:p w14:paraId="4841E0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建设课程问答库，涵盖常见问题、重点难点问题与拓展性问题，为教师与学生提供即时问题解决支持。同时，问答库应支持智能检索与语义理解，提升答疑效率与精准度。</w:t>
            </w:r>
          </w:p>
          <w:p w14:paraId="6B011B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3.1需求调研与主题确定</w:t>
            </w:r>
          </w:p>
          <w:p w14:paraId="5115ABB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）合作沟通：供应商与课程教学团队进行深入沟通，了解各学科的教学需求、痛点及期望。</w:t>
            </w:r>
          </w:p>
          <w:p w14:paraId="2BFC744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）主题界定：根据课程设计和师生需求，明确问答库的主题范围。</w:t>
            </w:r>
          </w:p>
          <w:p w14:paraId="5111AE5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）目标设定：确立问答库的使用目标，如辅助教学、自学辅导、考试复习等。</w:t>
            </w:r>
          </w:p>
          <w:p w14:paraId="16E641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3.2问答库数据结构设计</w:t>
            </w:r>
          </w:p>
          <w:p w14:paraId="43A921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）数据结构规划：设计高效的数据存储与检索结构，确保问答对的快速响应与准确匹配。</w:t>
            </w:r>
          </w:p>
          <w:p w14:paraId="0019EF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）技术选型：选择适合的人工智能技术框架，如自然语言处理（NLP）引擎，以支持问答对的智能匹配与语义理解。</w:t>
            </w:r>
          </w:p>
          <w:p w14:paraId="4ED8FAA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3.3问答对收集与验证</w:t>
            </w:r>
          </w:p>
          <w:p w14:paraId="142918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）内容收集：通过多渠道收集问答素材，包括课程现有资源、电子书、论文、网络资源等。</w:t>
            </w:r>
          </w:p>
          <w:p w14:paraId="6226060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）质量审核：由课程负责人对问答对进行逐条审核，确保内容的准确性、适用性和教育性。</w:t>
            </w:r>
          </w:p>
          <w:p w14:paraId="44373D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）标准化处理：对问答对进行标准化处理，统一格式与表述风格，提高问答库的整体质量。</w:t>
            </w:r>
          </w:p>
          <w:p w14:paraId="5A5482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3.4实施与测试优化</w:t>
            </w:r>
          </w:p>
          <w:p w14:paraId="6C1627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）功能测试：进行全面的功能测试，包括问答匹配准确性、响应速度、用户界面友好性等。</w:t>
            </w:r>
          </w:p>
          <w:p w14:paraId="468835A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）优化调整：根据测试结果及用户反馈，对系统进行必要的优化调整，提升系统性能与用户体验。</w:t>
            </w:r>
          </w:p>
          <w:p w14:paraId="76C6358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3.5技术支持与更新维护</w:t>
            </w:r>
          </w:p>
          <w:p w14:paraId="6CECF0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（1）问答时支持智能推荐问题关联的相关微应用，点击应用可直接跳转到应用界面，实现应用跳转和业务处理；</w:t>
            </w:r>
          </w:p>
          <w:p w14:paraId="413779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）支持用户手动上传文档至问答库，上传后系统可对上传的文档进行解析，解析后可智能回答文档相关问题；</w:t>
            </w:r>
          </w:p>
          <w:p w14:paraId="01FB5BA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同步校本网络教学平台已建设的网络课程资料进行智能解析，解析后可围绕课程内容进行人机问答；支持根据用户输入问题进行匹配提示；支持问答无匹配时，提供语义相似度最高的热门问题；支持未知问题回复语自定义设置。</w:t>
            </w:r>
          </w:p>
          <w:p w14:paraId="053706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）支持根据学科发展及用户需求，定期更新问答库内容，保持问答库的时效性与准确性，跟踪周期至少一学期。支持对系统进行定期维护与升级，修复潜在漏洞，提升系统安全性与稳定性。</w:t>
            </w:r>
          </w:p>
          <w:p w14:paraId="337D351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4.AI助教问答与资源推荐</w:t>
            </w:r>
          </w:p>
          <w:p w14:paraId="5172ACD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提供训练后的</w:t>
            </w:r>
            <w:r>
              <w:rPr>
                <w:rFonts w:hint="eastAsia" w:ascii="宋体" w:hAnsi="宋体" w:cs="宋体"/>
                <w:snapToGrid w:val="0"/>
                <w:color w:val="000000" w:themeColor="text1"/>
                <w:szCs w:val="21"/>
                <w:highlight w:val="none"/>
                <w14:textFill>
                  <w14:solidFill>
                    <w14:schemeClr w14:val="tx1"/>
                  </w14:solidFill>
                </w14:textFill>
              </w:rPr>
              <w:t>课程</w:t>
            </w:r>
            <w:r>
              <w:rPr>
                <w:rFonts w:hint="eastAsia" w:ascii="宋体" w:hAnsi="宋体" w:cs="宋体"/>
                <w:snapToGrid w:val="0"/>
                <w:color w:val="000000" w:themeColor="text1"/>
                <w:szCs w:val="21"/>
                <w:highlight w:val="none"/>
                <w:lang w:val="zh-CN"/>
                <w14:textFill>
                  <w14:solidFill>
                    <w14:schemeClr w14:val="tx1"/>
                  </w14:solidFill>
                </w14:textFill>
              </w:rPr>
              <w:t>AI助教，可提供问答与资源推荐。</w:t>
            </w:r>
          </w:p>
          <w:p w14:paraId="6914BD5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）支持多轮对话，可基于上一个问题的回答继续进行后续问答；提问时支持通过语音输入问题；</w:t>
            </w:r>
          </w:p>
          <w:p w14:paraId="27F160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）提问时支持上传图片通过读取图片内的问题进行提问；</w:t>
            </w:r>
          </w:p>
          <w:p w14:paraId="702A9D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）提问时支持用户上传文档，让大模型围绕此份文档智能回答相关问题；</w:t>
            </w:r>
          </w:p>
          <w:p w14:paraId="564EE8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）支持用户自主选择是否需要大模型回复；</w:t>
            </w:r>
          </w:p>
          <w:p w14:paraId="7A7304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）助教输出的答案支持显示来源，可截取显示与答案有关的原文内容，也可通过来源跳转回原文全文展开学习。</w:t>
            </w:r>
          </w:p>
          <w:p w14:paraId="4367530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）支持查询图书、期刊等文献，根据用户输入问题推荐相关文献，图书、期刊等推荐文献支持通过在线查看原文、文献传递等途径获取；</w:t>
            </w:r>
          </w:p>
          <w:p w14:paraId="546CEFA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）支持针对用户网络课程学习进度和掌握情况，个性化推荐学习资源；</w:t>
            </w:r>
          </w:p>
          <w:p w14:paraId="551707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）支持移动端、PC端多种使用渠道。</w:t>
            </w:r>
          </w:p>
          <w:p w14:paraId="06EF07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AI助教可自动对没有答案的问题描述进行关键词识别并统计聚类，按照关键词问答频率由高到低排序，同时可以批量导出未知问题；支持统计历史会话，可按照时间范围、使用渠道等维度进行筛选，并可查看、导出会话具体内容。</w:t>
            </w:r>
          </w:p>
          <w:p w14:paraId="19F536A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5.课程学习助手开通</w:t>
            </w:r>
          </w:p>
          <w:p w14:paraId="0D0B79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主动为学生推荐待办任务，帮助学生分析薄弱知识点针对学生提出的概念性问题，运用苏格拉底对话，为学生进行启发式讲解针对学生上传的复杂题目、电路图、实验数据图进行讲解、解读针对学生上传的文档进行文档理解、总结归纳，生成思维导图。</w:t>
            </w:r>
          </w:p>
          <w:p w14:paraId="23A10F63">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6.课程内容安全检测</w:t>
            </w:r>
          </w:p>
          <w:p w14:paraId="4CAD337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支持对平台用户发布</w:t>
            </w:r>
            <w:r>
              <w:rPr>
                <w:rFonts w:hint="eastAsia" w:ascii="宋体" w:hAnsi="宋体" w:cs="宋体"/>
                <w:snapToGrid w:val="0"/>
                <w:color w:val="000000" w:themeColor="text1"/>
                <w:szCs w:val="21"/>
                <w:highlight w:val="none"/>
                <w14:textFill>
                  <w14:solidFill>
                    <w14:schemeClr w14:val="tx1"/>
                  </w14:solidFill>
                </w14:textFill>
              </w:rPr>
              <w:t>的敏感</w:t>
            </w:r>
            <w:r>
              <w:rPr>
                <w:rFonts w:hint="eastAsia" w:ascii="宋体" w:hAnsi="宋体" w:cs="宋体"/>
                <w:snapToGrid w:val="0"/>
                <w:color w:val="000000" w:themeColor="text1"/>
                <w:szCs w:val="21"/>
                <w:highlight w:val="none"/>
                <w:lang w:val="zh-CN"/>
                <w14:textFill>
                  <w14:solidFill>
                    <w14:schemeClr w14:val="tx1"/>
                  </w14:solidFill>
                </w14:textFill>
              </w:rPr>
              <w:t>文本、图片、文档、视频等内容的分析和监控</w:t>
            </w:r>
            <w:r>
              <w:rPr>
                <w:rFonts w:hint="eastAsia" w:ascii="宋体" w:hAnsi="宋体" w:cs="宋体"/>
                <w:snapToGrid w:val="0"/>
                <w:color w:val="000000" w:themeColor="text1"/>
                <w:szCs w:val="21"/>
                <w:highlight w:val="none"/>
                <w14:textFill>
                  <w14:solidFill>
                    <w14:schemeClr w14:val="tx1"/>
                  </w14:solidFill>
                </w14:textFill>
              </w:rPr>
              <w:t>功能</w:t>
            </w:r>
            <w:r>
              <w:rPr>
                <w:rFonts w:hint="eastAsia" w:ascii="宋体" w:hAnsi="宋体" w:cs="宋体"/>
                <w:snapToGrid w:val="0"/>
                <w:color w:val="000000" w:themeColor="text1"/>
                <w:szCs w:val="21"/>
                <w:highlight w:val="none"/>
                <w:lang w:val="zh-CN"/>
                <w14:textFill>
                  <w14:solidFill>
                    <w14:schemeClr w14:val="tx1"/>
                  </w14:solidFill>
                </w14:textFill>
              </w:rPr>
              <w:t>，可按时间筛选查看、编辑、删除内容以及自定义修改监控内容；</w:t>
            </w:r>
            <w:r>
              <w:rPr>
                <w:rFonts w:hint="eastAsia" w:ascii="宋体" w:hAnsi="宋体" w:cs="宋体"/>
                <w:snapToGrid w:val="0"/>
                <w:color w:val="000000" w:themeColor="text1"/>
                <w:szCs w:val="21"/>
                <w:highlight w:val="none"/>
                <w14:textFill>
                  <w14:solidFill>
                    <w14:schemeClr w14:val="tx1"/>
                  </w14:solidFill>
                </w14:textFill>
              </w:rPr>
              <w:t>支持自定义敏感关键词、敏感忽略词、用户黑白名单、图片名单。支持通过用户风险统计、垃圾发布量、垃圾发布率的维度统计用户风险。</w:t>
            </w:r>
          </w:p>
          <w:p w14:paraId="2A29DB26">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53" w:name="_Toc29004"/>
            <w:r>
              <w:rPr>
                <w:rFonts w:hint="eastAsia" w:ascii="宋体" w:hAnsi="宋体" w:cs="宋体"/>
                <w:b/>
                <w:bCs/>
                <w:snapToGrid w:val="0"/>
                <w:color w:val="000000" w:themeColor="text1"/>
                <w:szCs w:val="21"/>
                <w:highlight w:val="none"/>
                <w14:textFill>
                  <w14:solidFill>
                    <w14:schemeClr w14:val="tx1"/>
                  </w14:solidFill>
                </w14:textFill>
              </w:rPr>
              <w:t>三、智慧</w:t>
            </w:r>
            <w:r>
              <w:rPr>
                <w:rFonts w:hint="eastAsia" w:ascii="宋体" w:hAnsi="宋体" w:cs="宋体"/>
                <w:b/>
                <w:bCs/>
                <w:snapToGrid w:val="0"/>
                <w:color w:val="000000" w:themeColor="text1"/>
                <w:szCs w:val="21"/>
                <w:highlight w:val="none"/>
                <w:lang w:val="zh-CN"/>
                <w14:textFill>
                  <w14:solidFill>
                    <w14:schemeClr w14:val="tx1"/>
                  </w14:solidFill>
                </w14:textFill>
              </w:rPr>
              <w:t>课程图谱建设服务</w:t>
            </w:r>
            <w:bookmarkEnd w:id="53"/>
          </w:p>
          <w:p w14:paraId="6A2170B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1.课程图谱设计</w:t>
            </w:r>
          </w:p>
          <w:p w14:paraId="0B0D67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知识图谱设计。通过图谱可视化工具展示课程内容的逻辑结构和知识点之间的关联，帮助学生更直观地理解课程体系，为学生构建更完整的知识网络，培养学生的系统思维能力。</w:t>
            </w:r>
          </w:p>
          <w:p w14:paraId="18D08D3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）供应商根据课程教学团队需求，完成目标图谱设计。通过分解课程目标、关联知识点、提供融入教学活动与评估建议，实现课程设计、教学实施与学习评价的一致性，保障教学成效，助力课程目标有效达成。</w:t>
            </w:r>
          </w:p>
          <w:p w14:paraId="004EF6C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）供应商根据课程教学团队需求，完成问题图谱设计，帮助学生梳理问题逻辑，逐步引导学生解决复杂问题。</w:t>
            </w:r>
          </w:p>
          <w:p w14:paraId="396EF7C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）供应商根据课程教学团队需求，完成课程思政图谱设计。通过标记思政标签，融入课程思政元素，构建课程思政图谱，明确课程中思想政治教育的切入点与实施路径，实现价值引领与知识传授的有机结合。</w:t>
            </w:r>
          </w:p>
          <w:p w14:paraId="1E9E6A2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2.知识图谱建设与应用</w:t>
            </w:r>
          </w:p>
          <w:p w14:paraId="6CDBC4D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）支持知识点多层级架构建立，生成分类－知识点关系。</w:t>
            </w:r>
          </w:p>
          <w:p w14:paraId="7876565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手动添加、批量导入等方式构建知识图谱。批量导入需支持填写知识点名称、标签信息、认知维度、分类属性、教学目标、知识点说明等信息数据。手动编辑需支持单个修改知识点属性编辑，可批量或单独对当前知识点进行移动。</w:t>
            </w:r>
          </w:p>
          <w:p w14:paraId="4A85B86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）支持智能导入，用户上传课程大纲、教材或PPT文件等，系统智能识别构建生成知识图谱。</w:t>
            </w:r>
          </w:p>
          <w:p w14:paraId="527A1CA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）支持本地导入</w:t>
            </w:r>
            <w:r>
              <w:rPr>
                <w:rFonts w:hint="eastAsia" w:ascii="宋体" w:hAnsi="宋体" w:cs="宋体"/>
                <w:snapToGrid w:val="0"/>
                <w:color w:val="000000" w:themeColor="text1"/>
                <w:szCs w:val="21"/>
                <w:highlight w:val="none"/>
                <w14:textFill>
                  <w14:solidFill>
                    <w14:schemeClr w14:val="tx1"/>
                  </w14:solidFill>
                </w14:textFill>
              </w:rPr>
              <w:t>X</w:t>
            </w:r>
            <w:r>
              <w:rPr>
                <w:rFonts w:hint="eastAsia" w:ascii="宋体" w:hAnsi="宋体" w:cs="宋体"/>
                <w:snapToGrid w:val="0"/>
                <w:color w:val="000000" w:themeColor="text1"/>
                <w:szCs w:val="21"/>
                <w:highlight w:val="none"/>
                <w:lang w:val="zh-CN"/>
                <w14:textFill>
                  <w14:solidFill>
                    <w14:schemeClr w14:val="tx1"/>
                  </w14:solidFill>
                </w14:textFill>
              </w:rPr>
              <w:t>mind格式的思维导图文件，自动读取文件数据，生成课程知识图谱，并能够导出excel格式文件。</w:t>
            </w:r>
          </w:p>
          <w:p w14:paraId="3A1A647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）支持与教学平台打通，可通过教学平台现有课程章节选择生成章节图谱。</w:t>
            </w:r>
          </w:p>
          <w:p w14:paraId="6791AF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）创建图谱支持同步其他课程图谱，支持全量同步或者部分选择同步。支持教学平台所教的课程导入及从教务课程导入功能支持导入知识点之间的关系。</w:t>
            </w:r>
          </w:p>
          <w:p w14:paraId="3A8FBD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）支持AI生成图谱功能，系统可以基于教师已经建设好的网络课程结合AI应用自动生成知识图谱，并支持直接使用生成的图谱，同时支持在生成的图谱上进行自定义化修改。</w:t>
            </w:r>
          </w:p>
          <w:p w14:paraId="1407893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）知识图谱知识点支持说明添加，可添加富文本编辑框、公式编辑等富媒体文本。支持AI生成知识点说明。</w:t>
            </w:r>
          </w:p>
          <w:p w14:paraId="6CDF24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 xml:space="preserve"> （9）支持知识图谱自定义编辑功能，系统提供至少8种图谱形态，用户可根据课程性质选择合适的图谱形态进行编辑。</w:t>
            </w:r>
          </w:p>
          <w:p w14:paraId="79C9B6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）支持进行跨课知识点关联，实现不同课程之间知识的聚合联动，关联后可以实现跨课学习并进行专业下多门课程的知识点关联展示应用。</w:t>
            </w:r>
          </w:p>
          <w:p w14:paraId="620194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）知识图谱显示支持2D和3D展示效果，用户可自主地进行模式切换。</w:t>
            </w:r>
          </w:p>
          <w:p w14:paraId="5AD5221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3.问题图谱建设与应用</w:t>
            </w:r>
          </w:p>
          <w:p w14:paraId="6BCC1E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）基于课程知识图谱，建设不少于三层的问题体系，系统提供对每层级问题的定义能力，允许用户添加问题详情及其与知识点的关联。</w:t>
            </w:r>
          </w:p>
          <w:p w14:paraId="02836B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）支持用户可根据教学需求，自定义栏目标题和描述，以适应多样化的教学情境。支持用户对栏目中节点的名称、描述、标签和知识点进行修改，保持内容的时效性和准确性。</w:t>
            </w:r>
          </w:p>
          <w:p w14:paraId="155E39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）支持通过图谱形式展现问题与知识点的关联，使用户能够直观理解知识间的联系。</w:t>
            </w:r>
          </w:p>
          <w:p w14:paraId="217F49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）提供两种子级问题关联方式，包括层级连线和板块关联功能，以展示问题间的层级结构。</w:t>
            </w:r>
          </w:p>
          <w:p w14:paraId="69F4513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）支持批量导入问题数据和一键导出问题图谱数据，简化教学资源的准备工作。</w:t>
            </w:r>
          </w:p>
          <w:p w14:paraId="64A597F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）支持开启探索模式，模拟学生学习路径，通过问题选择和知识点关联，促进学生的深入思考。在探索模式中，用户被引导将核心问题与子问题连接，形成知识网络，并通过提交与标准答案对比，实现自我评估。</w:t>
            </w:r>
          </w:p>
          <w:p w14:paraId="17052BD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4.课程思政图谱建设与应用</w:t>
            </w:r>
          </w:p>
          <w:p w14:paraId="2CC2819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）支持自动根据现有的图谱信息生成课程思政图谱的功能。支持将标签为“课程思政”的知识点以花朵的形式呈现，以视觉突出其在课程中的核心地位，同时以花苞的形式展示其他的知识点。</w:t>
            </w:r>
          </w:p>
          <w:p w14:paraId="2B0622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）支持搜索功能覆盖知识点、分类和标签，实现全面性，满足用户不同维度的搜索需求。</w:t>
            </w:r>
          </w:p>
          <w:p w14:paraId="46580C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）支持通过点击操作，可深入分类卡片获取详细信息，知识点用户也可以选择开启卡片，直接跳转至微课进行学习，实现知识获取的快速通道。</w:t>
            </w:r>
          </w:p>
          <w:p w14:paraId="18593E0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5.目标图谱建设</w:t>
            </w:r>
          </w:p>
          <w:p w14:paraId="479121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）系统允许根据不同班级特点定制课程目标，以满足特定教学需求。支持课程目标模板导入/一键导出功能，便于教师对于课程目标可以直观浏览和整理，同时也能有效地和其他工具同时使用。</w:t>
            </w:r>
          </w:p>
          <w:p w14:paraId="4572567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）支持课程目标与知识点进行关联，以展示目标与教学内容的直接联系。</w:t>
            </w:r>
          </w:p>
          <w:p w14:paraId="5A0B65A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）支持以柱状图展示课程目标关联知识点的个数，提供直观的统计信息；</w:t>
            </w:r>
          </w:p>
          <w:p w14:paraId="625449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）支持以列表形式展示课程目标总数、课程目标名称、课程目标说明、课程目标标签以及所关联的知识点个数，方便用户快速浏览和了解。</w:t>
            </w:r>
          </w:p>
          <w:p w14:paraId="36C55AA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）支持以图谱形式展示每个课程目标所关联的知识点情况，增强信息的可视化效果。</w:t>
            </w:r>
          </w:p>
          <w:p w14:paraId="596BBCE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6.自定义图谱建设</w:t>
            </w:r>
          </w:p>
          <w:p w14:paraId="0646773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）具备自定义图谱功能，可根据个性化的图谱展示进行自定义图谱建设。</w:t>
            </w:r>
          </w:p>
          <w:p w14:paraId="5D64C22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）提供多种图谱样式，满足教师不同教学场景，供自由选择。</w:t>
            </w:r>
          </w:p>
          <w:p w14:paraId="31A5903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7.知识点微课建设与应用</w:t>
            </w:r>
          </w:p>
          <w:p w14:paraId="4E05E82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）支持教师对课程章节内容，包括——视频、音频、文档、图书、章节测验等进行知识点标记，作为知识点教学任务进行设置，方便学生按知识点进行任务学习。</w:t>
            </w:r>
          </w:p>
          <w:p w14:paraId="1A7EC7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）支持按知识点上传资源，并查看知识点关联资源数量，方便教师按知识点管理资源。</w:t>
            </w:r>
          </w:p>
          <w:p w14:paraId="2A3FB2C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）知识点卡片须具备资料添加功能，可通过添加资料关联建设知识点下相关课程资料及其他相关资源。</w:t>
            </w:r>
          </w:p>
          <w:p w14:paraId="22A126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）支持多种题型的创建管理，包括单选、多选、填空、判断、简答、名词解析、论述、计算、分录、连线、排序、完形填空、阅读理解、口语、听力等常见题型。</w:t>
            </w:r>
          </w:p>
          <w:p w14:paraId="7953A6C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）支持在创建或编辑题目时标记每道题对应的知识点标签，并支持按知识点筛选管理题目。支持按模板批量导入题目时导入题目知识点，支持批量编辑题目关联知识点。</w:t>
            </w:r>
          </w:p>
          <w:p w14:paraId="04E56AA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）题目关联知识点操作时系统支持智能推荐知识点，便于教师快速进行关联操作。</w:t>
            </w:r>
          </w:p>
          <w:p w14:paraId="66DB81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）支持AI生成学习内容，系统结合AI可根据教师网络课程内容自动生成知识点学习内容，生成的内容可一键加入微课中。</w:t>
            </w:r>
          </w:p>
          <w:p w14:paraId="5C7C7D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）支持错题显示解析以及相关知识点。图谱知识点学习界面支持错题集功能，可将学生学习过程中产生的错题归类到知识点下的错题集中。</w:t>
            </w:r>
          </w:p>
          <w:p w14:paraId="000FBE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）支持学生查看课程知识图谱，并查看每个知识点的学习进度情况。</w:t>
            </w:r>
          </w:p>
          <w:p w14:paraId="1E4288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）支持学生按知识点进行课程任务学习，观看课程视频，阅读课程资料等。</w:t>
            </w:r>
          </w:p>
          <w:p w14:paraId="3F50B5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）支持学生按知识点从题库或错题本抽题，逐题自测。支持学生自测时可以设置抽题范围，仅抽当前知识点以及前置知识点的题，避免抽到未开始学习的知识点试题。</w:t>
            </w:r>
          </w:p>
          <w:p w14:paraId="378F42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）学生端可以查看推荐资源，进行拓展学习。推荐资源应基于知识点智能推荐课程、资源、课程思政资源、题目、论文、期刊、图书、互联网资源等。</w:t>
            </w:r>
          </w:p>
          <w:p w14:paraId="4D857D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）支持精准教学设计功能，可以自定义建设事件，可设置知识点的掌握率及完成率的设置，支持自定义学习路径或者微课资料，支持设置对应的动作；</w:t>
            </w:r>
          </w:p>
          <w:p w14:paraId="101C9B5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）支持视频的虚拟剪辑，只需要拖动视频播放的起始点、终止点，就可以将视频文件按照课程的要求剪辑成适当长度，教师还可手动输入时间点，进行视频在线虚拟剪辑。</w:t>
            </w:r>
          </w:p>
          <w:p w14:paraId="36EFFB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74CD4FA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）支持视频替换功能，替换学习视频后，不影响学生已产生的学习记录和成绩。</w:t>
            </w:r>
          </w:p>
          <w:p w14:paraId="1ECA12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17</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p>
          <w:p w14:paraId="4D0DE4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）对课程视频进行智能切片，按切片时间点点击可跳转学习对应片段视频；</w:t>
            </w:r>
          </w:p>
          <w:p w14:paraId="7D6A723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）支持学生对不懂的视频或PDF文档点击“不懂”，触发AI助教及时答疑，页面自动截屏供AI助教分析。</w:t>
            </w:r>
          </w:p>
          <w:p w14:paraId="1CB05D0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5A21461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8.基于知识图谱的数智驱动数据分析与统计</w:t>
            </w:r>
          </w:p>
          <w:p w14:paraId="7459CBF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）支持教师查看知识图谱的知识点建设情况，包括知识点建设率、图谱知识点总数、图谱关联资源知识点数、已设置标签的知识点数、图谱未关联资源知识点数等；</w:t>
            </w:r>
          </w:p>
          <w:p w14:paraId="5DD9AB0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）支持查看不同知识点属性概况数据；支持查看图谱资源总数，关联视频、音频、文档、题目及其他类型资源数等；支持查看知识点关联资源数量排行榜。</w:t>
            </w:r>
          </w:p>
          <w:p w14:paraId="75047F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）支持教师查看不同班级的学情数据，包括每个知识点的完成率与掌握率、知识点热度、完成率与掌握率的学情分段人数、学生完成率与掌握率排行情况等数据。</w:t>
            </w:r>
          </w:p>
          <w:p w14:paraId="5A360779">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4</w:t>
            </w:r>
            <w:r>
              <w:rPr>
                <w:rFonts w:hint="eastAsia" w:ascii="宋体" w:hAnsi="宋体" w:cs="宋体"/>
                <w:b/>
                <w:bCs/>
                <w:snapToGrid w:val="0"/>
                <w:color w:val="000000" w:themeColor="text1"/>
                <w:szCs w:val="21"/>
                <w:highlight w:val="none"/>
                <w:lang w:val="zh-CN"/>
                <w14:textFill>
                  <w14:solidFill>
                    <w14:schemeClr w14:val="tx1"/>
                  </w14:solidFill>
                </w14:textFill>
              </w:rPr>
              <w:t>）支持教师选择多个不同班级进行学情数据对比，对比内容包括班级掌握率、班级完成率、完成率区间对比与掌握率区间对比等数据。通过班级对比分析，便于教师更好地了解不同班级间的学习差异。</w:t>
            </w:r>
          </w:p>
          <w:p w14:paraId="5CC3C7B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9.移动端知识图谱应用</w:t>
            </w:r>
          </w:p>
          <w:p w14:paraId="3FC3C2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）支持用户通过移动端设备访问知识图谱，实现随时随地的个性化学习。移动端提供图谱模式、大纲模式和学习地图模式，以适应不同用户的学习偏好和场景需求。</w:t>
            </w:r>
          </w:p>
          <w:p w14:paraId="4AD347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）移动端图谱模式下，用户可以选择导航模式或全局模式，分别深入探索或宏观把握知识结构。移动端图谱模式下左侧导航区域以列表形式展示分类和知识点，支持快速定位和子级展开。</w:t>
            </w:r>
          </w:p>
          <w:p w14:paraId="5C84586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）支持基于关键字的搜索和模糊匹配，帮助用户迅速找到目标知识点及相关全面信息。</w:t>
            </w:r>
          </w:p>
          <w:p w14:paraId="537AAF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）移动端导航模式下，图谱以一种集中的形态展示最高层级的分类或知识点，允许用户通过交互进一步探索其子级和它们之间的联系。</w:t>
            </w:r>
          </w:p>
          <w:p w14:paraId="65142E5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）移动端直观展示知识点掌握率和完成率，反映用户个人学习情况。</w:t>
            </w:r>
          </w:p>
          <w:p w14:paraId="5F7126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）支持从宏观和微观视角展示用户的知识点掌握情况，并允许与班级整体表现进行比较。</w:t>
            </w:r>
          </w:p>
          <w:p w14:paraId="38993C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）支持查看和该知识点相关的错题集，帮助用户更有针对性地进行复习。</w:t>
            </w:r>
          </w:p>
          <w:p w14:paraId="1934184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）支持点击知识点跳转至微课进行深入学习。移动端微课提供分析、学习内容、自测、资料、错题集、讨论等多功能模块。</w:t>
            </w:r>
          </w:p>
          <w:p w14:paraId="629201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）用户可以根据个人需求在移动端微课选择自测模式，包括时间限制和题目选择，以创建专属的自测体验。自测功能支持仅从未尝试过的题目中抽取，确保每次自测的新鲜感和有效性。</w:t>
            </w:r>
          </w:p>
          <w:p w14:paraId="73643D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）支持对课程所有资源进行智能安全检测。可通过后台配置关键词、忽略词，便于系统审核时，对关键词和忽略词进行屏蔽与忽略，降低人工审核的错误率。</w:t>
            </w:r>
          </w:p>
          <w:p w14:paraId="178632E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10.智慧课程群建设</w:t>
            </w:r>
          </w:p>
          <w:p w14:paraId="36BFD7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）以核心课程为基点，支持构建相互关联、层层递进的智慧课程群，打破课程边界，形成学科专业的完整知识链条，呈现横向融通、纵向贯通专业课程体系，帮助学生形成系统化的知识网络。</w:t>
            </w:r>
          </w:p>
          <w:p w14:paraId="1CA09E4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）支持用户根据需求灵活选择不同的图谱模式，将自定义内容与课程群内的课程——知识点进行可视化关联，从而构建个性化的知识网络，深化理解与应用</w:t>
            </w:r>
          </w:p>
          <w:p w14:paraId="7AE016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）支持创立智慧课程群展示门户，可自定义课程群门户信息包括课程群名称、课程群类型、课程群介绍、教师团队等信息。</w:t>
            </w:r>
          </w:p>
          <w:p w14:paraId="77929D1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）支持数据统计功能，可查看课程群门户中的课程数、课程图谱数、知识点总数、教学资源数。</w:t>
            </w:r>
          </w:p>
          <w:p w14:paraId="2DD5B0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）具备资源分布统计功能，可以展示课程群所包含的每门课程的资源总数，包括视频、音频、文档、题目、其他等。</w:t>
            </w:r>
          </w:p>
          <w:p w14:paraId="70F0607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）具备资源分类展示功能，以饼状图及柱状图展示课程群下每门课程资源的分布情况。</w:t>
            </w:r>
          </w:p>
          <w:p w14:paraId="5628BF4C">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54" w:name="_Toc1510"/>
            <w:r>
              <w:rPr>
                <w:rFonts w:hint="eastAsia" w:ascii="宋体" w:hAnsi="宋体" w:cs="宋体"/>
                <w:b/>
                <w:bCs/>
                <w:snapToGrid w:val="0"/>
                <w:color w:val="000000" w:themeColor="text1"/>
                <w:szCs w:val="21"/>
                <w:highlight w:val="none"/>
                <w14:textFill>
                  <w14:solidFill>
                    <w14:schemeClr w14:val="tx1"/>
                  </w14:solidFill>
                </w14:textFill>
              </w:rPr>
              <w:t>四、AI工作台智慧教学应用</w:t>
            </w:r>
            <w:bookmarkEnd w:id="54"/>
          </w:p>
          <w:p w14:paraId="6B81FD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指导老师应用AI工具，在备课、教学、学习、教研、科研、评价等全流程深度融合，实现数字素养提升，并实现AI赋能的“师/生/机”深度交互教学模式改革。具有AI教案、AI生成PPT、AI智能写作与校正、章节视频与文档AI解析、AI智能出题、公式识别、作业智能查重、AIGC检测、文献阅读、视频理解、智能翻译、资料查询助手等AI工具应用于教学。</w:t>
            </w:r>
          </w:p>
          <w:p w14:paraId="7DC2E1C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1.AI教案</w:t>
            </w:r>
          </w:p>
          <w:p w14:paraId="53F47D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）教师输入教学材料或关键词，AI自动生成教案，并支持教师借助写作助手进行再次编辑。</w:t>
            </w:r>
          </w:p>
          <w:p w14:paraId="2F05EF7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）支持教师补充所教层次、适合的教学风格，形成更加具有个性化的教案。</w:t>
            </w:r>
          </w:p>
          <w:p w14:paraId="20D6FC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）支持一键导出教案，并且支持按学校教案模板导出。</w:t>
            </w:r>
          </w:p>
          <w:p w14:paraId="708A2D6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2.AI课件</w:t>
            </w:r>
          </w:p>
          <w:p w14:paraId="3744BE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）通过输入PPT内容要求，AI智能生成PPT大纲</w:t>
            </w:r>
          </w:p>
          <w:p w14:paraId="2C3D41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）支持教师在线直接编辑生成的大纲内容</w:t>
            </w:r>
          </w:p>
          <w:p w14:paraId="38DBEB0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）支持AI自动根据大纲生成PPT，教师可以进行在线编辑或下载</w:t>
            </w:r>
          </w:p>
          <w:p w14:paraId="36B6994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）支持选择PPT模板场景、设计风格、主题颜色，生成个性化PPT</w:t>
            </w:r>
          </w:p>
          <w:p w14:paraId="6B2823E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3.AI写作</w:t>
            </w:r>
          </w:p>
          <w:p w14:paraId="3FC6A29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）老师可以向AI写作助手提出需求，点击“生成”，写作助手会根据要求智能生成相应的内容，老师点击保存可以将内容输出到章节编辑页面上</w:t>
            </w:r>
          </w:p>
          <w:p w14:paraId="4D8D53F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）老师可进行文本修改、删减或排版</w:t>
            </w:r>
          </w:p>
          <w:p w14:paraId="51DB86F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）在章节编辑页面，选中内容可进行AI改写、扩写、续写、简写、翻译等操作</w:t>
            </w:r>
          </w:p>
          <w:p w14:paraId="65D05B5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4.AI出题</w:t>
            </w:r>
          </w:p>
          <w:p w14:paraId="25C55C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）支持教师通过知识点、输入文本、上传附件文档和视频、选定章节等多种方式，搭配补充出题要求说明，由AI自动生成相应试题。AI系统可以自动生成对应的题目并且不限制教师使用次数。</w:t>
            </w:r>
          </w:p>
          <w:p w14:paraId="46E395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）支持多种题型，题型包括选择题、填空题、简答题等，以便满足不同类型考题的需求</w:t>
            </w:r>
          </w:p>
          <w:p w14:paraId="299340A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）教师可以根据课程内容和学生水平，将生成的题目添加到题库。并随时使用这些题目进行测验、考试或者课堂练习。</w:t>
            </w:r>
          </w:p>
          <w:p w14:paraId="00EE7E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）支持设置出题要求，比如：适用年级、难易度、题目偏向等。</w:t>
            </w:r>
          </w:p>
          <w:p w14:paraId="5E5E494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）支持教师在线编辑调整AI生成的试题，也可以一键加入题库，组成作业考试发布给学生，并且支持跨课程使用生成的题目。</w:t>
            </w:r>
          </w:p>
          <w:p w14:paraId="0D9F837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）支持根据出题结果生成配套图片，结合题目信息选择图片类型，生成图片后可直接插入题干，至少支持2种图片类型选择。</w:t>
            </w:r>
          </w:p>
          <w:p w14:paraId="0EF2B9A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5.AI批阅</w:t>
            </w:r>
          </w:p>
          <w:p w14:paraId="33EB316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）使用先进的AI技术，能够批阅学生的主观题、论述题、小论文等。</w:t>
            </w:r>
          </w:p>
          <w:p w14:paraId="64DA54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）对参考答案和学生答案进行分词处理和语法分析，以便计算词语和语句的相似度，从而量化学生答案与标准答案的匹配程度</w:t>
            </w:r>
          </w:p>
          <w:p w14:paraId="004B594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）支持利用语义相似度计算结果给出学生相应的得分，通过深度学习等技术来模拟人类对语义相似度的判断，从而更准确地评估学生的答案质量。</w:t>
            </w:r>
          </w:p>
          <w:p w14:paraId="78246A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）系统可以根据教师设置的得分点来匹配得分，确保评分符合标准化要求，同时满足教学目标和评价体系。</w:t>
            </w:r>
          </w:p>
          <w:p w14:paraId="67E4C27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）支持智能批阅程序题。</w:t>
            </w:r>
          </w:p>
          <w:p w14:paraId="195C816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）支持从结构、内容、语言等6个大维度，12～16个细分维度进行打分，并给出推荐总分。</w:t>
            </w:r>
          </w:p>
          <w:p w14:paraId="3B89EC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）AI批阅系统不仅提供整体评价，还支持对精彩句子进行点评，并给出提升建议。</w:t>
            </w:r>
          </w:p>
          <w:p w14:paraId="6B0EB1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）支持揪出学生作文中的错别字，提供修改建议，帮助学生提高写作水平。</w:t>
            </w:r>
          </w:p>
          <w:p w14:paraId="7A07CFC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6.AI学情分析</w:t>
            </w:r>
          </w:p>
          <w:p w14:paraId="0151F2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）支持智能呈现班级整体知识点分析数据，提供个性化学习路径。</w:t>
            </w:r>
          </w:p>
          <w:p w14:paraId="477D7FE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）可查看知识点平均完成率、平均掌握率、完成率分布和掌握率分布等。支持按知识点查看每个知识点的关联学习资源数、平均完成率、平均掌握率、课程资料数、课程资料人均阅读情况等。</w:t>
            </w:r>
          </w:p>
          <w:p w14:paraId="1582DC3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）基于AI学情分析，可由AI生成学情分析画像，减轻教师学情分析压力，提升效率。</w:t>
            </w:r>
          </w:p>
          <w:p w14:paraId="4F67E7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7BF3F3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）支持根据平台学生整体学习数据及专项数据，或者上传excel文档，教师可自定义分析维度，AI自动进行学生学情分析并提供建议提醒。</w:t>
            </w:r>
          </w:p>
          <w:p w14:paraId="44CFF28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）支持多班对比分析：对多个班级的数据进行深度分析，洞察每个班级的独特学情，为教育决策提供科学依据。</w:t>
            </w:r>
          </w:p>
          <w:p w14:paraId="326B602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）支持内置常见问题：智能解答，即刻响应。精准识别并预测用户常见问题，提供即时、精准的智能回复。</w:t>
            </w:r>
          </w:p>
          <w:p w14:paraId="1C4530D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）支持图表产出：引入多种统计图表，包括饼图、散点图、面积图、箱线图等，提供丰富的数据可视化选项，帮助教师把握数据背后的趋势与洞见。</w:t>
            </w:r>
          </w:p>
          <w:p w14:paraId="68A166D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7.个性化学习路径推荐</w:t>
            </w:r>
          </w:p>
          <w:p w14:paraId="2917ED1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）为学生智能化推荐个性化学习路径，呈现路径中各知识点掌握率</w:t>
            </w:r>
          </w:p>
          <w:p w14:paraId="5F5A3F1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）基于知识点的学习，智能化分析学生学习进度与掌握情况，掌握率高于90%的知识点在学习路径上不再显示</w:t>
            </w:r>
          </w:p>
          <w:p w14:paraId="1365739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）基于错题智能推荐薄弱知识点</w:t>
            </w:r>
          </w:p>
          <w:p w14:paraId="32C8585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8.智能推荐资源</w:t>
            </w:r>
          </w:p>
          <w:p w14:paraId="03A394F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根据需求，可通过问答方式由AI助教提供智能化资源推荐，通过关键词识别，智能化挖掘呈现相关联学术资源，包含期刊、图书等内容，助力学生复习相关知识、扩展学习的深度与广度。</w:t>
            </w:r>
          </w:p>
          <w:p w14:paraId="0D61227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9.文献阅读</w:t>
            </w:r>
          </w:p>
          <w:p w14:paraId="2F35675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）根据原文内容支持随机生成并显示默认问题，可通过点击默认问题或自定义输入问题查看回复，平台通过匹配向量之间的相似性，支持文字、表格等多种输出格式；</w:t>
            </w:r>
          </w:p>
          <w:p w14:paraId="4E3EBDE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）支持点击词云查看人物、机构、地名在原文出现次数、页码以及原文信息，快速了解原文的重点和主题；</w:t>
            </w:r>
          </w:p>
          <w:p w14:paraId="158FB90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）通过对原文的分析，支持按照章节提取关键信息，生成摘要列表；</w:t>
            </w:r>
          </w:p>
          <w:p w14:paraId="261018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）通过对原文的分析将复杂的概念和关系可视化，支持按照脑图或markdown格式切换查看，帮助知识整理和信息归纳；</w:t>
            </w:r>
          </w:p>
          <w:p w14:paraId="60EE26B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）通过对原文的分析，支持按照章节查看系统生成的相关试题，试题可以章节为维度进行筛选，生成的试题均为本章节相关内容试题；</w:t>
            </w:r>
          </w:p>
          <w:p w14:paraId="2DE81BA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）支持原文在线预览，支持目录检索、全文检索。</w:t>
            </w:r>
          </w:p>
          <w:p w14:paraId="1F9AF00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10.视频理解</w:t>
            </w:r>
          </w:p>
          <w:p w14:paraId="720B3E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）支持自定义上传视频，AI智能分析生成“智能速览”，总结视频摘要、片段摘要。</w:t>
            </w:r>
          </w:p>
          <w:p w14:paraId="423B6C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）智能分析视频中的发言人，按发言人统计发言百分比、发言段落，以时间轴形式展示。</w:t>
            </w:r>
          </w:p>
          <w:p w14:paraId="099696F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）根据视频随机生成问题，可通过点击默认问题或自定义输入问题开展机器问答，平台通过匹配向量之间的相似性；</w:t>
            </w:r>
          </w:p>
          <w:p w14:paraId="1F3F6F8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）支持点击词云查看实体出现次数、时间段以及视频文本信息，快速了解视频的重点和主题；</w:t>
            </w:r>
          </w:p>
          <w:p w14:paraId="7BB8AA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）通过对视频的片段分析将复杂的概念和关系可视化，支持按照脑图或markdown格式切换查看，帮助知识整理和信息归纳；</w:t>
            </w:r>
          </w:p>
          <w:p w14:paraId="22E2C0C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11.章节内容智能审查与文本纠错</w:t>
            </w:r>
          </w:p>
          <w:p w14:paraId="7C077FB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支持实现文字自动校对，包括错字、漏字、缺字、多字、语法、错误、语义错误等都可以实现自动校对标注。</w:t>
            </w:r>
          </w:p>
          <w:p w14:paraId="13FA67D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12.作业智能查重</w:t>
            </w:r>
          </w:p>
          <w:p w14:paraId="77828C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）比对基础库中的数据包含图书、报纸、期刊、网络文档等多种文献类型；支持选择不同的比对库，包含全部全文比对库、图书全文比对库、非图书全文比对库、法律法规比对库、自建库选择进行检测。</w:t>
            </w:r>
          </w:p>
          <w:p w14:paraId="11456E1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）每万字的检测需在数秒内完成，并在10分钟内提供检测报告；</w:t>
            </w:r>
          </w:p>
          <w:p w14:paraId="1084530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）支持30M以上的TXT、DOC、PDF、DOCX、ZIP、RAR多种格式以及非加密文档的上传检测；支持ZIP、RAR压缩包形式上传（大小需在50M以内）；</w:t>
            </w:r>
          </w:p>
          <w:p w14:paraId="2D7B9A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）支持点击选择文件上传文档或者将50字以上、1万字以下的文本直接粘贴到文本框中进行检测；</w:t>
            </w:r>
          </w:p>
          <w:p w14:paraId="19338B5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）支持根据上传的检测文献生成检测报告，支持查看在线报告，也支持批量下载全部检测报告、批量下载PDF报告；</w:t>
            </w:r>
          </w:p>
          <w:p w14:paraId="5643877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）用户可下载PDF报告（简洁报告、全文检测报告）和HTML报告（综合评估、相似片段、全文对比）进行查看和打印，（PDF报告和HTML报告均提供相似度检测专用印章）；</w:t>
            </w:r>
          </w:p>
          <w:p w14:paraId="10CDA6D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）支持查看最密集相似段、密集相似段、非密集相似段；</w:t>
            </w:r>
          </w:p>
          <w:p w14:paraId="524F040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）问答时支持智能推荐问题关联的相关微应用，点击应用可直接跳转到应用界面，实现应用跳转和业务处理；</w:t>
            </w:r>
          </w:p>
          <w:p w14:paraId="348F340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13.视频智能分析</w:t>
            </w:r>
          </w:p>
          <w:p w14:paraId="41C1057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w:t>
            </w:r>
          </w:p>
          <w:p w14:paraId="77AFE66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）基于人工智能技术生成知识点词云分析并展示</w:t>
            </w:r>
          </w:p>
          <w:p w14:paraId="74005E6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）支持视频播放时学生可以定位到时间点观看对应知识点的视频讲解。</w:t>
            </w:r>
          </w:p>
          <w:p w14:paraId="2FF6731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14.智能翻译</w:t>
            </w:r>
          </w:p>
          <w:p w14:paraId="4D7145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）支持用户自行上传文件进行双语翻译（文件至少为10MB内无加密PDF文件）。</w:t>
            </w:r>
          </w:p>
          <w:p w14:paraId="1ED3D76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）支持单语切换：一键切换阅读模式。在开启“同步滑动”的情况下，实现页面同步跳转，方便阅读；</w:t>
            </w:r>
          </w:p>
          <w:p w14:paraId="5023BC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）支持查词定位：原文、译文阅读界面均支持文章内容的精准查找定位，支持高亮显示和大小写区分，方便用户通过关键词快速检索文章内容；</w:t>
            </w:r>
          </w:p>
          <w:p w14:paraId="067FF0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）支持页码定位：支持用户通过上下滑动进行定位，同时支持输入页码调试定位；</w:t>
            </w:r>
          </w:p>
          <w:p w14:paraId="7FB6A3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）支持调整阅读比例：支持自动缩放、实际大小、适合页宽以及100%、125%、150%的页面调整；</w:t>
            </w:r>
          </w:p>
          <w:p w14:paraId="054F7D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）支持开启划词翻译功能，选中原文、译文文本并翻译；</w:t>
            </w:r>
          </w:p>
          <w:p w14:paraId="3C0E910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15.公式识别</w:t>
            </w:r>
          </w:p>
          <w:p w14:paraId="1710468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教师录入公式后，系统自动将图片公式分析出来并可转换为latex公式。</w:t>
            </w:r>
          </w:p>
          <w:p w14:paraId="77DC7AB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16.课程内容不懂智能驱动</w:t>
            </w:r>
          </w:p>
          <w:p w14:paraId="1636094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学生观看视频或课件时，点击屏幕右侧“不懂”按钮，智能触发AI助教，并将不懂的页面自动截屏，由AI答疑解惑。</w:t>
            </w:r>
          </w:p>
          <w:p w14:paraId="70763C6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17.智能推送薄弱点及资源</w:t>
            </w:r>
          </w:p>
          <w:p w14:paraId="027B401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）根据每个学生的错题和知识点掌握率，自动为学生进行薄弱知识点的辅导，可以根据学生错题和知识点掌握率优先推送薄弱知识点相关的题目。</w:t>
            </w:r>
          </w:p>
          <w:p w14:paraId="30F74F0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）支持生成相似题、变式题的个性化练习，帮助学生加强知识点理解。</w:t>
            </w:r>
          </w:p>
          <w:p w14:paraId="5BC2C45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18.智能化分层</w:t>
            </w:r>
          </w:p>
          <w:p w14:paraId="6258F6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0964E96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19.AI试卷质量分析</w:t>
            </w:r>
          </w:p>
          <w:p w14:paraId="037FC48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）支持从题型题量、难易度、知识点覆盖以及题目质量等多个关键维度，对试卷质量进行深入、细致地评估，提供相应建议。</w:t>
            </w:r>
          </w:p>
          <w:p w14:paraId="622AC0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）支持根据AI推荐知识点，给题目一键关联知识点，健全知识图谱建设；老师可以进行AI【一键换题】操作，快速获取更优质、更合适的题目，提高试卷编撰效率和质量。</w:t>
            </w:r>
          </w:p>
          <w:p w14:paraId="1BD40C4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20.AI实践</w:t>
            </w:r>
          </w:p>
          <w:p w14:paraId="6A4332A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科教学体系中，实践教学是培养应用型人才的核心模块，尤其在医学、心理学等强实操性领域具有不可替代性。AI实践是一种融合智能技术与教学场景的任务型学习方式，支持教师根据教学目标配置不同类型的实践任务。</w:t>
            </w:r>
          </w:p>
          <w:p w14:paraId="4B51E3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）支持预设任务内容、评分标准与评估视角等多项任务信息</w:t>
            </w:r>
          </w:p>
          <w:p w14:paraId="15CF19A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）支持学生在系统引导下完成练习、提交作品或多轮互动</w:t>
            </w:r>
          </w:p>
          <w:p w14:paraId="65A579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）系统可记录学生过程、提供智能评分反馈，帮助教师高效开展教学管理</w:t>
            </w:r>
          </w:p>
          <w:p w14:paraId="2BE1572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）支持情景对话型任务</w:t>
            </w:r>
          </w:p>
          <w:p w14:paraId="012142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以“情景驱动”为核心的AI互动练习形式，支持教师设置具体情境、任务要求与交互目标，引导学生在设定情境中与AI展开多轮对话，逐步推进任务完成。</w:t>
            </w:r>
          </w:p>
          <w:p w14:paraId="4D00F6B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）支持上传作品型任务</w:t>
            </w:r>
          </w:p>
          <w:p w14:paraId="528C952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上传作品任务适用于学生提交作品型成果，如实验图片、图文混排文档等。支持教师在任务中明确作品要求，设置评估角色与评分标准，结合实际教学目标和评分标准，对学生提交内容进行评阅与打分反馈。</w:t>
            </w:r>
          </w:p>
          <w:p w14:paraId="484817B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）支持学习阶梯型任务</w:t>
            </w:r>
          </w:p>
          <w:p w14:paraId="01E6A15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习阶梯是一种层层递进的任务设计方式，围绕一个核心问题，支持教师预设多个认知维度。学生需逐步作答、逐层推进，答对当前层级的问题后，才能解锁下一层，实现“按维推进、层层深入”的学习过程，帮助学生在实践中锻炼逻辑、分析与综合能力。</w:t>
            </w:r>
          </w:p>
          <w:p w14:paraId="1B567B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）支持知识设置一个简明、明确的标题，便于学生理解任务内容</w:t>
            </w:r>
          </w:p>
          <w:p w14:paraId="28AD3A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）支持选择“阶梯闯关”和“主干生长”任务类型</w:t>
            </w:r>
          </w:p>
          <w:p w14:paraId="4129657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阶梯闯关（客观题主导）实践，适用场景：聚焦知识点分层拆解、基础概念逐个突破的考核场景。以单选题/多选题/填空题拆分维度知识点，要求学生逐维攻克，确保基础概念掌握扎实，适配阶段基础检测、知识点梯度巩固。</w:t>
            </w:r>
          </w:p>
          <w:p w14:paraId="359BCFC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设置主干生长（主观题主导）实践，适用场景：面向多维度知识整合、复杂问题综合解决的考核场景。学生以主观推导作答后，系统检测等维度覆盖度，对缺失维度知识点生成定向追问，推动知识补漏，适配综合应用题训练、思维漏洞精准修复。</w:t>
            </w:r>
          </w:p>
          <w:p w14:paraId="50B10D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）支持设置一个任务中最核心的探究疑问，明确学生需聚焦解决的本质问题，指引思考与探究的关键方向</w:t>
            </w:r>
          </w:p>
          <w:p w14:paraId="4DA5030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）支持围绕核心问题，拆解出的具体考核角度（如知识认知、原理推导、操作实践等层面），明确从哪些维度评估学生对核心问题的掌握深度与广度（一个任务至少设置一个考核维度；至多设置五个考核维度）</w:t>
            </w:r>
          </w:p>
          <w:p w14:paraId="63848C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）支持在每个考核维度下，需添加具体知识点，支持从课程知识点中勾选，或按需自定义填写添加，精准定位该考核维度涉及的知识范畴（一个维度至少添加一个知识点；至多添加五个知识点）。</w:t>
            </w:r>
          </w:p>
          <w:p w14:paraId="26B4EFE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互动故事</w:t>
            </w:r>
          </w:p>
          <w:p w14:paraId="3B7311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将学科知识点转化为可互动的教学剧情，学生通过与故事中的不同AI角色对话还原各类真实专业场景，在沉浸式体验中深化知识理解与应用。</w:t>
            </w:r>
          </w:p>
          <w:p w14:paraId="5EC1CBD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（8）AI思辩擂台：</w:t>
            </w:r>
            <w:r>
              <w:rPr>
                <w:rFonts w:hint="eastAsia" w:ascii="宋体" w:hAnsi="宋体" w:cs="宋体"/>
                <w:snapToGrid w:val="0"/>
                <w:color w:val="000000" w:themeColor="text1"/>
                <w:szCs w:val="21"/>
                <w:highlight w:val="none"/>
                <w14:textFill>
                  <w14:solidFill>
                    <w14:schemeClr w14:val="tx1"/>
                  </w14:solidFill>
                </w14:textFill>
              </w:rPr>
              <w:t>支持设定某一主题的辩论任务，自定义话题、观点、评分标准与对话轮次，学生既可自主选择立场，也可由教师指定。任务开始后，学生将与AI智能体展开实时辩论，各自围绕所选观点进行论证、举证与反驳，以此锻炼学生的逻辑组织、证据运用与多角度分析的能力。辩论结束后，系统将依据教师预先设定的评分标准，由 AI 对学生的整体表现进行评估并给出结果，帮助学生在实践中提升逻辑思维能力、证据意识和多角度分析问题的能力。</w:t>
            </w:r>
          </w:p>
          <w:p w14:paraId="3B64864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21.AI科研助手</w:t>
            </w:r>
          </w:p>
          <w:p w14:paraId="3AF542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21.1AI科研智能问答</w:t>
            </w:r>
          </w:p>
          <w:p w14:paraId="678F39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）支持自定义切换多个学科智能体，每个智能体可绑定多个AI知识库与大模型；支持自定义智能体名称、图标、角色定位与使用场景描述。</w:t>
            </w:r>
          </w:p>
          <w:p w14:paraId="40180D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）智能体回答内容支持溯源引用来源，确保回答可信；支持灵活选择多种大模型；支持设置提示词，定义智能体角色行为和问答风格。</w:t>
            </w:r>
          </w:p>
          <w:p w14:paraId="6FFF8E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）支持问答式检索，直接以问题形式获取文献推荐或答案摘要；支持检索结果加入阅读清单与AI解读功能。</w:t>
            </w:r>
          </w:p>
          <w:p w14:paraId="4E56C28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21.2AI学术追踪</w:t>
            </w:r>
          </w:p>
          <w:p w14:paraId="25A88D1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支持用户自定义研究兴趣、学术期刊、学者、学术顶会等信息进行AI追踪，系统自动筛选并推送相关的最新优质文献。支持用户通过自然语言输入具体兴趣追踪最新学术文献。支持对推荐文献快捷引用，支持APA、MLA、GB/T7714等引用格式；支持勾选多篇推荐文献进行多文献对话，支持对多篇文献提供观点对比、研究方法对比、结论对比、摘要总结。</w:t>
            </w:r>
          </w:p>
          <w:p w14:paraId="08022FD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）系统自动构建用户画像，基于用户兴趣偏好与历史行为进行内容推荐；推荐内容支持加入阅读清单、课题知识库。</w:t>
            </w:r>
          </w:p>
          <w:p w14:paraId="1B73D9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）支持冷启动机制，帮助新用户快速匹配感兴趣内容。</w:t>
            </w:r>
          </w:p>
          <w:p w14:paraId="6DC152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21.3AI学术对话</w:t>
            </w:r>
          </w:p>
          <w:p w14:paraId="0D231EA2">
            <w:pPr>
              <w:widowControl/>
              <w:numPr>
                <w:ilvl w:val="0"/>
                <w:numId w:val="8"/>
              </w:numPr>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学术追踪的内容进行AI总结；支持AI快速解读关注领域的最新科研动态，便于用户快速及时了解最新文献、大批量文献；AI速读支持提取文章结构（研究方法、结论、贡献等）并生成摘要，支持一键生成关键要点，支持生成脑图。</w:t>
            </w:r>
          </w:p>
          <w:p w14:paraId="4DD8033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（2）支持对单个AI知识库进行AI对话；支持对期刊、学者进行AI对话，以交互方式使用户快捷了解期刊或学者某方面研究内容。</w:t>
            </w:r>
          </w:p>
          <w:p w14:paraId="3695B12C">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55" w:name="_Toc17481"/>
            <w:r>
              <w:rPr>
                <w:rFonts w:hint="eastAsia" w:ascii="宋体" w:hAnsi="宋体" w:cs="宋体"/>
                <w:b/>
                <w:bCs/>
                <w:snapToGrid w:val="0"/>
                <w:color w:val="000000" w:themeColor="text1"/>
                <w:szCs w:val="21"/>
                <w:highlight w:val="none"/>
                <w14:textFill>
                  <w14:solidFill>
                    <w14:schemeClr w14:val="tx1"/>
                  </w14:solidFill>
                </w14:textFill>
              </w:rPr>
              <w:t>五、智慧课程门户建设</w:t>
            </w:r>
            <w:bookmarkEnd w:id="55"/>
          </w:p>
          <w:p w14:paraId="5E980FA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1.智慧课程门户搭建</w:t>
            </w:r>
          </w:p>
          <w:p w14:paraId="4D70E7F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建设专有课程域名，进行课程门户搭建。PC门户配置功能支持用户自定义模块布局，支持拖拽式调整同一模块内不同栏目的位置，支持用户自定义对页面背景、音乐、主题色及简体或繁体字的转换设置。每一个模块内的数据来源均支持人工配置；可以是外部数据接入，也可以直接从数据中心抽调。</w:t>
            </w:r>
          </w:p>
          <w:p w14:paraId="52CA4B8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2.智慧课程门户展示</w:t>
            </w:r>
          </w:p>
          <w:p w14:paraId="1460437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）课程门户展示课程整体建设内容，教师团队、教学设计、课程章节、知识图谱、问题图谱、证书图谱、能力图谱、教学运行、AI知识库、AI应用。</w:t>
            </w:r>
          </w:p>
          <w:p w14:paraId="11A8C8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）支持对课程门户进行二次编辑，课程基本信息，包含课程名称、封面、宣传片、主讲教师、教师团队、学时学分、课程说明等。</w:t>
            </w:r>
          </w:p>
          <w:p w14:paraId="317E3F1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）支持编辑课程简介，展示课程所属院校、专业、教师团队详情等信息。</w:t>
            </w:r>
          </w:p>
          <w:p w14:paraId="05F6746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3.知识图谱展示与应用</w:t>
            </w:r>
          </w:p>
          <w:p w14:paraId="21D4A57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支持展示课程知识图谱，查看多种图谱模式，包含但不限于关系图谱、思维导图模式、学习路径、问题图谱等，展示课程目标图谱、问题图谱。</w:t>
            </w:r>
          </w:p>
          <w:p w14:paraId="2C5D041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4.AI知识库展示</w:t>
            </w:r>
          </w:p>
          <w:p w14:paraId="635506E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支持展示知识库总数、资源总数、知识切片总数、问答对总数，动态展示、拓展资料、趣味测试，动态播放知识库资源。</w:t>
            </w:r>
          </w:p>
          <w:p w14:paraId="3EC194F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.教学设计展示</w:t>
            </w:r>
          </w:p>
          <w:p w14:paraId="3527E2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）支持对课程章节、小结进行数据统计，按章节展示知识图谱任务点资源及课程资料。</w:t>
            </w:r>
          </w:p>
          <w:p w14:paraId="78D8D3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）支持用课程－课程目标－课程知识点3层架构，展示智慧课程知识体系。支持2D\3D模式切换、全屏播放及页面缩放。</w:t>
            </w:r>
          </w:p>
          <w:p w14:paraId="771B0B8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.课程运行数据统计分析展示</w:t>
            </w:r>
          </w:p>
          <w:p w14:paraId="17FA1D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）支持对课程建设、运行数据进行详情分析，包含教师团队、学生人数、知识点资源数、知识点属性、知识点学情统计等。</w:t>
            </w:r>
          </w:p>
          <w:p w14:paraId="60A677F8">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56" w:name="_Toc11643"/>
            <w:r>
              <w:rPr>
                <w:rFonts w:hint="eastAsia" w:ascii="宋体" w:hAnsi="宋体" w:cs="宋体"/>
                <w:b/>
                <w:bCs/>
                <w:snapToGrid w:val="0"/>
                <w:color w:val="000000" w:themeColor="text1"/>
                <w:szCs w:val="21"/>
                <w:highlight w:val="none"/>
                <w14:textFill>
                  <w14:solidFill>
                    <w14:schemeClr w14:val="tx1"/>
                  </w14:solidFill>
                </w14:textFill>
              </w:rPr>
              <w:t>六、智慧课程数据分析</w:t>
            </w:r>
            <w:bookmarkEnd w:id="56"/>
          </w:p>
          <w:p w14:paraId="032DE30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1.学情统计&amp;图谱统计</w:t>
            </w:r>
          </w:p>
          <w:p w14:paraId="1A00AF1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）支持用户能深入分析学习情况和图谱数据，以优化教学和学习策略</w:t>
            </w:r>
          </w:p>
          <w:p w14:paraId="30830D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）支持探索每个知识点在班级中的平均表现，并在不同班级间轻松切换，以获得全面的视角</w:t>
            </w:r>
          </w:p>
          <w:p w14:paraId="7B482F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）支持将学情统计的快照保存为图像，便于回顾和分享</w:t>
            </w:r>
          </w:p>
          <w:p w14:paraId="6FE312E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）支持在学情统计中检索节点，帮助用户快速定位特定节点的完成率/掌握率</w:t>
            </w:r>
          </w:p>
          <w:p w14:paraId="335F8D4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）课程总览支持创意的词云形式，展示学习中的热门知识点，直观地反映学习的重点和热点</w:t>
            </w:r>
          </w:p>
          <w:p w14:paraId="714879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）知识点学习情况分析通过图形化的方式，提供班级学习的整体视图，包括完成率和掌握率</w:t>
            </w:r>
          </w:p>
          <w:p w14:paraId="6DF8EC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）支持对知识点掌握情况深入分析，同时展示学生知识点掌握率和知识点完成率的前五名，以此凸显学习成效的佼佼者</w:t>
            </w:r>
          </w:p>
          <w:p w14:paraId="77E8F2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）支持全面审视所有学生的数据，提供两种不同的视角来观察这些数据：从知识点出发或从学生个体出发</w:t>
            </w:r>
          </w:p>
          <w:p w14:paraId="559D51B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2.知识点统计</w:t>
            </w:r>
          </w:p>
          <w:p w14:paraId="7574959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）分类卡片综合展示关键信息，如标题、描述、知识点及其资源和标签概览，提供非任务点与任务点的数量统计</w:t>
            </w:r>
          </w:p>
          <w:p w14:paraId="322C9B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）用户可通过点击卡片进入详情页面，页面细分为六个核心部分，全面覆盖分类的各个方面</w:t>
            </w:r>
          </w:p>
          <w:p w14:paraId="115A881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）知识点与资源关联展示知识点数量及其关联的资源总数，揭示知识点的内容丰富度</w:t>
            </w:r>
          </w:p>
          <w:p w14:paraId="61ED67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）知识点微课入口支持以列表形式展示知识点标签，并允许一键跳转至相关微课，增强学习的直接性和便捷性</w:t>
            </w:r>
          </w:p>
          <w:p w14:paraId="122F7A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）知识点标签支持展示分类下所有知识点的标签数量，包括考点、重点和难点，以助于用户识别关键学习领域</w:t>
            </w:r>
          </w:p>
          <w:p w14:paraId="33A0555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）知识点建设情况支持以柱状图形式展示每个知识点的关联资源数量，提供资源分配的视觉比较</w:t>
            </w:r>
          </w:p>
          <w:p w14:paraId="29CC47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）支持以班级为单位，展示不同班级之间的知识点平均掌握率和知识点平均完成率，反映学习成效和掌握程度</w:t>
            </w:r>
          </w:p>
          <w:p w14:paraId="4BCEEAB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3.课程数据总览</w:t>
            </w:r>
          </w:p>
          <w:p w14:paraId="53B10B4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提供课程数据总览，能多维度查看课程数据分析，基础数据、课堂报告、学情统计、学生成绩、学习监控。</w:t>
            </w:r>
          </w:p>
          <w:p w14:paraId="33164F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）基础数据包含学生人数、学习任务、班级、作业、考试、课堂活动、讨论区话题数；</w:t>
            </w:r>
          </w:p>
          <w:p w14:paraId="0E653AC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）教学建设情况统计分析，含课程章节、课程资料、知识库、题库建设数据分析；</w:t>
            </w:r>
          </w:p>
          <w:p w14:paraId="161BD3A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）AI使用情况统计分析，含AI应用和AI指令建设数量，调用情况，AI分析题目数、AI生产资源数、AI智能体会话数等；</w:t>
            </w:r>
          </w:p>
          <w:p w14:paraId="56CDBF8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）学习监控包括学生成绩、学生学习进度、教学预警、知识点、资源、任务点、资料和评估活动的统计分析及导出；</w:t>
            </w:r>
          </w:p>
          <w:p w14:paraId="1F167001">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57" w:name="_Toc31236"/>
            <w:r>
              <w:rPr>
                <w:rFonts w:hint="eastAsia" w:ascii="宋体" w:hAnsi="宋体" w:cs="宋体"/>
                <w:b/>
                <w:bCs/>
                <w:snapToGrid w:val="0"/>
                <w:color w:val="000000" w:themeColor="text1"/>
                <w:szCs w:val="21"/>
                <w:highlight w:val="none"/>
                <w14:textFill>
                  <w14:solidFill>
                    <w14:schemeClr w14:val="tx1"/>
                  </w14:solidFill>
                </w14:textFill>
              </w:rPr>
              <w:t>七、任务引擎建设</w:t>
            </w:r>
            <w:bookmarkEnd w:id="57"/>
          </w:p>
          <w:p w14:paraId="1D9EC287">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1.以能力培养为导向的任务设计，适配多种教学模式</w:t>
            </w:r>
          </w:p>
          <w:p w14:paraId="3B5A92B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1438589D">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2.任务功能模块配置</w:t>
            </w:r>
          </w:p>
          <w:p w14:paraId="7D21CD1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）支持新建、编辑、发布、管理和删除任务，并针对任务数据进行自定义排序、指定、创建文件夹进行归纳；</w:t>
            </w:r>
          </w:p>
          <w:p w14:paraId="370595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）支持AI生成任务，提高老师任务创建效率。</w:t>
            </w:r>
          </w:p>
          <w:p w14:paraId="386A33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）支持按照章节，教案，文本三种方式AI生成任务基本信息和任务点内容，简化老师任务设计工作，提高任务的建设质量。</w:t>
            </w:r>
          </w:p>
          <w:p w14:paraId="574CFF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）支持点击新建任务，跳转至任务编辑页面，进行基本信息编辑和任务设计工作；</w:t>
            </w:r>
          </w:p>
          <w:p w14:paraId="5D95723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）支持编辑任务基本信息，包括任务名称、任务封面、任务介绍和选择任务标签，任务标签支持对接数据源，按照单位设置展示标签内容；</w:t>
            </w:r>
          </w:p>
          <w:p w14:paraId="1BD5CD5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）支持切换标签页跳转任务设计页面，添加分组，添加任务点和设置闯关达标条件；</w:t>
            </w:r>
          </w:p>
          <w:p w14:paraId="0D60971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6659146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）支持直接添加当前课下资源和当前登录用户的其他课程资源到任务下，同时支持点击添加跳转到指定页面进行资源添加；</w:t>
            </w:r>
          </w:p>
          <w:p w14:paraId="7F84AC8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）支持在任务点上设置闯关条件，学生需要达到任务点设置的完成条件才能够学习下一个任务点，不同类型任务点闯关条件不同；</w:t>
            </w:r>
          </w:p>
          <w:p w14:paraId="5FB630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）支持在任务分组上设置组间闯关条件，学生需要达到组间闯关设置的完成条件后才能够学习下个分组，不同类型任务点闯关条件不同；</w:t>
            </w:r>
          </w:p>
          <w:p w14:paraId="1CD5E0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）支持在任务设计上设置达标标准，学生完成达标标准后，整个任务学习完成，学生可以领取相应的任务达标证书；</w:t>
            </w:r>
          </w:p>
          <w:p w14:paraId="33DBBC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5B4B4D3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）针对自定义类型任务点，增加“签到”按钮，方便老师发放签到给学生；</w:t>
            </w:r>
          </w:p>
          <w:p w14:paraId="299EF7C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）任务中可插入PBL教学：支持开展分组教学活动，支持多种分组方式，包含固定分组、自选分组、组长建组、随机分组、面对面建组、不分组等分组方式；</w:t>
            </w:r>
          </w:p>
          <w:p w14:paraId="2FA901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）活动支持教师评价、组内评价、组间评价、自评等多种评价相结合，支持分项评分指标设置；</w:t>
            </w:r>
          </w:p>
          <w:p w14:paraId="52B275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）课程成绩权重支持分组任务明细分配，不同活动可设置不同考核权重。</w:t>
            </w:r>
          </w:p>
          <w:p w14:paraId="08C4CF05">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17</w:t>
            </w:r>
            <w:r>
              <w:rPr>
                <w:rFonts w:hint="eastAsia" w:ascii="宋体" w:hAnsi="宋体" w:cs="宋体"/>
                <w:snapToGrid w:val="0"/>
                <w:color w:val="000000" w:themeColor="text1"/>
                <w:szCs w:val="21"/>
                <w:highlight w:val="none"/>
                <w:lang w:val="zh-CN"/>
                <w14:textFill>
                  <w14:solidFill>
                    <w14:schemeClr w14:val="tx1"/>
                  </w14:solidFill>
                </w14:textFill>
              </w:rPr>
              <w:t>）支持针对单个任务点设置“是否选学”开关，开启后学生可自主决定是否学习，同时学习成绩不作任务闯关和任务达标的参考项；</w:t>
            </w:r>
            <w:r>
              <w:rPr>
                <w:rFonts w:hint="eastAsia" w:ascii="宋体" w:hAnsi="宋体" w:cs="宋体"/>
                <w:b/>
                <w:bCs/>
                <w:snapToGrid w:val="0"/>
                <w:color w:val="000000" w:themeColor="text1"/>
                <w:szCs w:val="21"/>
                <w:highlight w:val="none"/>
                <w:lang w:val="zh-CN"/>
                <w14:textFill>
                  <w14:solidFill>
                    <w14:schemeClr w14:val="tx1"/>
                  </w14:solidFill>
                </w14:textFill>
              </w:rPr>
              <w:t>（需现场演示功能效果）</w:t>
            </w:r>
          </w:p>
          <w:p w14:paraId="48C99BC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）支持针对任务点开启高阶闯关模式，使不同成绩学生后续学习的内容不一样，满足教师个性化教学的场景；</w:t>
            </w:r>
          </w:p>
          <w:p w14:paraId="3C535E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）任务引擎支持选课功能，支持教师选择部分资源作为任务包，学生选择部分任务点进行选择性学习；</w:t>
            </w:r>
          </w:p>
          <w:p w14:paraId="1F3600F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）支持任务克隆功能，支持克隆给自己和克隆给他人两种方式，提高任务的复用性；</w:t>
            </w:r>
          </w:p>
          <w:p w14:paraId="038B96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21</w:t>
            </w:r>
            <w:r>
              <w:rPr>
                <w:rFonts w:hint="eastAsia" w:ascii="宋体" w:hAnsi="宋体" w:cs="宋体"/>
                <w:snapToGrid w:val="0"/>
                <w:color w:val="000000" w:themeColor="text1"/>
                <w:szCs w:val="21"/>
                <w:highlight w:val="none"/>
                <w:lang w:val="zh-CN"/>
                <w14:textFill>
                  <w14:solidFill>
                    <w14:schemeClr w14:val="tx1"/>
                  </w14:solidFill>
                </w14:textFill>
              </w:rPr>
              <w:t>）支持针对任务进行报名设置工作，教师可以选择开启报名，报名需要填写信息，报名需要审批三种方式，邀请学生报名任务，同时支持查看报名信息。</w:t>
            </w:r>
          </w:p>
          <w:p w14:paraId="1A3F8821">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3.学生任务学习</w:t>
            </w:r>
            <w:r>
              <w:rPr>
                <w:rFonts w:hint="eastAsia" w:ascii="宋体" w:hAnsi="宋体" w:cs="宋体"/>
                <w:b/>
                <w:bCs/>
                <w:snapToGrid w:val="0"/>
                <w:color w:val="000000" w:themeColor="text1"/>
                <w:szCs w:val="21"/>
                <w:highlight w:val="none"/>
                <w:lang w:val="zh-CN"/>
                <w14:textFill>
                  <w14:solidFill>
                    <w14:schemeClr w14:val="tx1"/>
                  </w14:solidFill>
                </w14:textFill>
              </w:rPr>
              <w:tab/>
            </w:r>
          </w:p>
          <w:p w14:paraId="64C5D61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）支持学生点击个人空间－我的任务查看我的任务列表，支持学生点击课程－任务查看我的任务</w:t>
            </w:r>
          </w:p>
          <w:p w14:paraId="39309E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）点击进入学习，支持学生查看任务的基本信息，达标情况和解锁情况</w:t>
            </w:r>
          </w:p>
          <w:p w14:paraId="5BE1A27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）支持点击达标按钮，查看学生当前的达标情况</w:t>
            </w:r>
          </w:p>
          <w:p w14:paraId="2C4B4E5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）任务设置发放证书后，任务达标后支持点击证书按钮，进行证书查看、下载操作</w:t>
            </w:r>
          </w:p>
          <w:p w14:paraId="43602E6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）支持切换不同类型的学习路径（列表模式、框架模式、图谱模式），方便学生个性化学习</w:t>
            </w:r>
          </w:p>
          <w:p w14:paraId="70E66E8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）支持学生点击任务点进行学习，学习后返回任务详情，支持学生查看自己任务点的最新完成情况和待完成分组、任务点的解锁情况</w:t>
            </w:r>
          </w:p>
          <w:p w14:paraId="61AADB58">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4.任务运行达成数据统计</w:t>
            </w:r>
          </w:p>
          <w:p w14:paraId="1D47222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）学情分析页面展示学生、任务点数据和概览统计情况，方便教师一键明确学生和任务点的完成情况；</w:t>
            </w:r>
          </w:p>
          <w:p w14:paraId="6E834F7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）支持督学，有督学和批量督学按钮，支持针对不满足学习进度的学生、单个学生、多个学生进行发放督学通知，督促学生学习。</w:t>
            </w:r>
          </w:p>
          <w:p w14:paraId="3F1B24F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）提供移动端应用功能，教师可以通过移动端进行简单的任务管理工作；</w:t>
            </w:r>
          </w:p>
          <w:p w14:paraId="728F322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学生可以通过移动端进行任务学习、查看达标状态、查看证书的工作。</w:t>
            </w:r>
          </w:p>
          <w:p w14:paraId="65F6F3BD">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58" w:name="_Toc23680"/>
            <w:r>
              <w:rPr>
                <w:rFonts w:hint="eastAsia" w:ascii="宋体" w:hAnsi="宋体" w:cs="宋体"/>
                <w:b/>
                <w:bCs/>
                <w:snapToGrid w:val="0"/>
                <w:color w:val="000000" w:themeColor="text1"/>
                <w:szCs w:val="21"/>
                <w:highlight w:val="none"/>
                <w14:textFill>
                  <w14:solidFill>
                    <w14:schemeClr w14:val="tx1"/>
                  </w14:solidFill>
                </w14:textFill>
              </w:rPr>
              <w:t>八、系统对接服务</w:t>
            </w:r>
            <w:bookmarkEnd w:id="58"/>
          </w:p>
          <w:p w14:paraId="49E13458">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1.运维性能要求</w:t>
            </w:r>
          </w:p>
          <w:p w14:paraId="6085E6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（1）持续更新平台模板、模块样式与应用功能，适配医学教学场景需求。</w:t>
            </w:r>
          </w:p>
          <w:p w14:paraId="4B3952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（2）采用响应式设计，支持PC端、移动端自适应访问，保障多终端使用体验。</w:t>
            </w:r>
          </w:p>
          <w:p w14:paraId="50EA76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（3）提供数据备份与恢复服务，全方位保障平台数据安全。</w:t>
            </w:r>
          </w:p>
          <w:p w14:paraId="22CE416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（4）提供完善的系统运维、技术支持与操作培训服务，保障平台稳定运行。</w:t>
            </w:r>
          </w:p>
          <w:p w14:paraId="2D4530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（5）支持对外提供平台统计数据，满足院校数据统计与管理需求。</w:t>
            </w:r>
          </w:p>
          <w:p w14:paraId="31B2ECC7">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2.系统对接要求</w:t>
            </w:r>
          </w:p>
          <w:p w14:paraId="4C96CED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（1）提供与学校指定现有系统（如教务系统、统一认证系统、图书馆系统等）深度对接的全程服务，涵盖方案设计、接口开发、联调测试及数据迁移验证全流程。</w:t>
            </w:r>
          </w:p>
          <w:p w14:paraId="1C0BB19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（2）支持对接学校统一身份认证系统，实现单点登录功能，便捷进入平台。</w:t>
            </w:r>
          </w:p>
          <w:p w14:paraId="7D333F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（3）支持通过数据视图、接口等方式对接学校教务管理数据（含学生、教师、课程、选课等相关数据），并进行定期维护与更新，实现教务数据同步。</w:t>
            </w:r>
          </w:p>
          <w:p w14:paraId="430081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（4）支持对接学校现有课程教学平台的课程资源数据和运行数据，保障信息化教学的延续性与完整性。</w:t>
            </w:r>
          </w:p>
        </w:tc>
        <w:tc>
          <w:tcPr>
            <w:tcW w:w="364" w:type="pct"/>
            <w:vAlign w:val="center"/>
          </w:tcPr>
          <w:p w14:paraId="26024E5D">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门</w:t>
            </w:r>
          </w:p>
        </w:tc>
        <w:tc>
          <w:tcPr>
            <w:tcW w:w="381" w:type="pct"/>
            <w:vAlign w:val="center"/>
          </w:tcPr>
          <w:p w14:paraId="4528037B">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w:t>
            </w:r>
          </w:p>
        </w:tc>
      </w:tr>
      <w:tr w14:paraId="7A35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1D04E625">
            <w:pPr>
              <w:widowControl/>
              <w:kinsoku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w:t>
            </w:r>
          </w:p>
        </w:tc>
        <w:tc>
          <w:tcPr>
            <w:tcW w:w="683" w:type="pct"/>
            <w:gridSpan w:val="2"/>
            <w:tcMar>
              <w:top w:w="13" w:type="dxa"/>
              <w:left w:w="57" w:type="dxa"/>
              <w:bottom w:w="0" w:type="dxa"/>
              <w:right w:w="57" w:type="dxa"/>
            </w:tcMar>
            <w:vAlign w:val="center"/>
          </w:tcPr>
          <w:p w14:paraId="141588B4">
            <w:pPr>
              <w:widowControl/>
              <w:kinsoku w:val="0"/>
              <w:wordWrap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马克思主义学院2026年</w:t>
            </w:r>
            <w:r>
              <w:rPr>
                <w:rFonts w:hint="eastAsia" w:ascii="宋体" w:hAnsi="宋体" w:cs="宋体"/>
                <w:b/>
                <w:bCs/>
                <w:snapToGrid w:val="0"/>
                <w:color w:val="000000" w:themeColor="text1"/>
                <w:szCs w:val="21"/>
                <w:highlight w:val="none"/>
                <w:lang w:val="zh-CN"/>
                <w14:textFill>
                  <w14:solidFill>
                    <w14:schemeClr w14:val="tx1"/>
                  </w14:solidFill>
                </w14:textFill>
              </w:rPr>
              <w:t>智慧课程建设</w:t>
            </w:r>
            <w:r>
              <w:rPr>
                <w:rFonts w:hint="eastAsia" w:ascii="宋体" w:hAnsi="宋体" w:cs="宋体"/>
                <w:b/>
                <w:bCs/>
                <w:snapToGrid w:val="0"/>
                <w:color w:val="000000" w:themeColor="text1"/>
                <w:szCs w:val="21"/>
                <w:highlight w:val="none"/>
                <w14:textFill>
                  <w14:solidFill>
                    <w14:schemeClr w14:val="tx1"/>
                  </w14:solidFill>
                </w14:textFill>
              </w:rPr>
              <w:t>服务项目</w:t>
            </w:r>
          </w:p>
        </w:tc>
        <w:tc>
          <w:tcPr>
            <w:tcW w:w="3298" w:type="pct"/>
            <w:tcMar>
              <w:top w:w="13" w:type="dxa"/>
              <w:left w:w="57" w:type="dxa"/>
              <w:bottom w:w="0" w:type="dxa"/>
              <w:right w:w="57" w:type="dxa"/>
            </w:tcMar>
            <w:vAlign w:val="center"/>
          </w:tcPr>
          <w:p w14:paraId="48FA7E83">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一、建设总体要求</w:t>
            </w:r>
            <w:r>
              <w:rPr>
                <w:rFonts w:hint="eastAsia" w:ascii="仿宋" w:hAnsi="仿宋" w:eastAsia="仿宋" w:cs="仿宋"/>
                <w:snapToGrid w:val="0"/>
                <w:color w:val="000000" w:themeColor="text1"/>
                <w:szCs w:val="21"/>
                <w:highlight w:val="none"/>
                <w:lang w:val="zh-CN"/>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完成《马克思主义基本原理》总计1门智慧课程的建设。在采购人要求的上述核心主干课程教学大纲的基础上，梳理课程包含的知识点，构建知识点之间的相互关联及课程目标与知识点关联，完成知识点关系设置、知识点标签设计、视频资源匹配、课程资料匹配、试题库资源匹配等工作，完成课程知识图谱、问题图谱、目标（能力）图谱的构建与上线运行。制作团队与课程主要负责人根据课程大纲和混合式教学要求，对课程进行整体教学设计，结合实际教学需要，以服务课程教与学为重点，以资源丰富、充分开放共享、产教融合为基本目标，注重课程资源的适用性和易用性，根据课程内容彰显课程特色。</w:t>
            </w:r>
          </w:p>
          <w:p w14:paraId="6C2AF92B">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2.建设《马克思主义基本原理》总计1门课程的教学任务搭建工具。工具可用于创建课程项目及教学任务，适配PBL、项目式教学、任务驱动教学、案例式教学、CDIO等多元行动导向教学模式，落地教学设计可视化应用。为课程配套建设3个示范案例，供教学参考复用。</w:t>
            </w:r>
          </w:p>
          <w:p w14:paraId="6DC06335">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3.针对《马克思主义基本原理》课程教学需求，搭建3个AI实践情景模拟样例。依托单人对话模式开展练习，围绕马克思主义基本理论、唯物辩证思维方法、坚定共产主义理想信念以及理论联系实际、分析和解决问题的能力、医学人文素养等内容进行互动交流。AI按照教师预设评分标准，评价学生作答表现，并提供相应改进建议。</w:t>
            </w:r>
          </w:p>
          <w:p w14:paraId="014288B4">
            <w:pPr>
              <w:kinsoku w:val="0"/>
              <w:wordWrap w:val="0"/>
              <w:autoSpaceDE w:val="0"/>
              <w:autoSpaceDN w:val="0"/>
              <w:adjustRightInd w:val="0"/>
              <w:snapToGrid w:val="0"/>
              <w:spacing w:line="360" w:lineRule="auto"/>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结合马克思主义学院课程理论体系完整、注重学科融合的特点，依托通用大模型与思政教育垂直大模型，搭建AI知识库、问答库并完成私有模型增强训练，部署专属AI助教与AI工作台，打造智慧教学环境，支撑思政课程智慧化教学。</w:t>
            </w:r>
          </w:p>
          <w:p w14:paraId="24A36785">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59" w:name="_Toc31605"/>
            <w:r>
              <w:rPr>
                <w:rFonts w:hint="eastAsia" w:ascii="宋体" w:hAnsi="宋体" w:cs="宋体"/>
                <w:b/>
                <w:bCs/>
                <w:snapToGrid w:val="0"/>
                <w:color w:val="000000" w:themeColor="text1"/>
                <w:szCs w:val="21"/>
                <w:highlight w:val="none"/>
                <w14:textFill>
                  <w14:solidFill>
                    <w14:schemeClr w14:val="tx1"/>
                  </w14:solidFill>
                </w14:textFill>
              </w:rPr>
              <w:t>二、智慧</w:t>
            </w:r>
            <w:r>
              <w:rPr>
                <w:rFonts w:hint="eastAsia" w:ascii="宋体" w:hAnsi="宋体" w:cs="宋体"/>
                <w:b/>
                <w:bCs/>
                <w:snapToGrid w:val="0"/>
                <w:color w:val="000000" w:themeColor="text1"/>
                <w:szCs w:val="21"/>
                <w:highlight w:val="none"/>
                <w:lang w:val="zh-CN"/>
                <w14:textFill>
                  <w14:solidFill>
                    <w14:schemeClr w14:val="tx1"/>
                  </w14:solidFill>
                </w14:textFill>
              </w:rPr>
              <w:t>课程</w:t>
            </w:r>
            <w:r>
              <w:rPr>
                <w:rFonts w:hint="eastAsia" w:ascii="宋体" w:hAnsi="宋体" w:cs="宋体"/>
                <w:b/>
                <w:bCs/>
                <w:snapToGrid w:val="0"/>
                <w:color w:val="000000" w:themeColor="text1"/>
                <w:szCs w:val="21"/>
                <w:highlight w:val="none"/>
                <w14:textFill>
                  <w14:solidFill>
                    <w14:schemeClr w14:val="tx1"/>
                  </w14:solidFill>
                </w14:textFill>
              </w:rPr>
              <w:t>专属</w:t>
            </w:r>
            <w:r>
              <w:rPr>
                <w:rFonts w:hint="eastAsia" w:ascii="宋体" w:hAnsi="宋体" w:cs="宋体"/>
                <w:b/>
                <w:bCs/>
                <w:snapToGrid w:val="0"/>
                <w:color w:val="000000" w:themeColor="text1"/>
                <w:szCs w:val="21"/>
                <w:highlight w:val="none"/>
                <w:lang w:val="zh-CN"/>
                <w14:textFill>
                  <w14:solidFill>
                    <w14:schemeClr w14:val="tx1"/>
                  </w14:solidFill>
                </w14:textFill>
              </w:rPr>
              <w:t>AI环境搭建</w:t>
            </w:r>
            <w:bookmarkEnd w:id="59"/>
          </w:p>
          <w:p w14:paraId="4F6648C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1.通用大语言模型对接</w:t>
            </w:r>
          </w:p>
          <w:p w14:paraId="4327110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根据学校配置，完成指定通用大语言模型或多个通用大模型对接。</w:t>
            </w:r>
          </w:p>
          <w:p w14:paraId="60AA01D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（1）需支持针对</w:t>
            </w:r>
            <w:r>
              <w:rPr>
                <w:rFonts w:hint="eastAsia" w:ascii="宋体" w:hAnsi="宋体" w:cs="宋体"/>
                <w:snapToGrid w:val="0"/>
                <w:color w:val="000000" w:themeColor="text1"/>
                <w:szCs w:val="21"/>
                <w:highlight w:val="none"/>
                <w:lang w:val="zh-CN"/>
                <w14:textFill>
                  <w14:solidFill>
                    <w14:schemeClr w14:val="tx1"/>
                  </w14:solidFill>
                </w14:textFill>
              </w:rPr>
              <w:t>医学教育垂直专属大模型，依托权威医学数智教育实验室技术架构，深度融合医学教学、临床案例与专业知识体系。要求具备高精度医学语义理解、专业知识推理与多场景教学适配能力，可支撑智能备课教案生成、临床案例解析、师生智能问答及个性化分层导学，全面满足院校医学教育数字化、AI赋能教学应用需求。</w:t>
            </w:r>
          </w:p>
          <w:p w14:paraId="207B42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拥有医学垂直领域专属大模型，已完成与教学平台、课程AI智能体的深度适配整合，可呈现医学垂类大模型与教学平台、课程AI智能体的联动交互过程，直观展示医学专业领域知识传递、智能问答等实操功能，支持验证各项功能落地效果。</w:t>
            </w:r>
          </w:p>
          <w:p w14:paraId="6CB1B53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2.课程专属AI知识库训练</w:t>
            </w:r>
          </w:p>
          <w:p w14:paraId="385763A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2.1在线课程自我训练</w:t>
            </w:r>
          </w:p>
          <w:p w14:paraId="529030F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）支持一键同步在线课程，对已有资源进行智能化训练。</w:t>
            </w:r>
          </w:p>
          <w:p w14:paraId="1782822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）支持增量同步在线课程，保持与课程内容的一致。</w:t>
            </w:r>
          </w:p>
          <w:p w14:paraId="43205D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2.2资源上传与训练</w:t>
            </w:r>
          </w:p>
          <w:p w14:paraId="7019272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）课程单元内容建设，可编辑视频、文档、图片、音频、图书、公式、符号、附件、网页、动画等。</w:t>
            </w:r>
          </w:p>
          <w:p w14:paraId="3DB081A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）支持导入并编辑内容。</w:t>
            </w:r>
          </w:p>
          <w:p w14:paraId="077454F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）视频上传与播放支持rmvb、3gp、mpg、mpeg、mov、wmv、avi、mkv、mp4、flv、vob、f4v等高清和网络格式。</w:t>
            </w:r>
          </w:p>
          <w:p w14:paraId="31F47E2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）支持2G以上文件上传。支持查看资源上传与训练状态，支持查看训练资源来源。支持按时间范围查看资源上传情况。</w:t>
            </w:r>
          </w:p>
          <w:p w14:paraId="34AF95C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2.3学术文献一键对接训练</w:t>
            </w:r>
          </w:p>
          <w:p w14:paraId="1D3B23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）支持对接文献库，一次性导入不超过30本课程相关书籍，进行训练。</w:t>
            </w:r>
          </w:p>
          <w:p w14:paraId="67DF8D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）支持反复导入。</w:t>
            </w:r>
          </w:p>
          <w:p w14:paraId="718010C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2.4AI知识库管理功能</w:t>
            </w:r>
          </w:p>
          <w:p w14:paraId="5DAD695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）支持“单位AI知识库”与“公共AI知识库”双维度管理，可按创建人、创建时间、知识库名称等条件进行精准检索与筛选。</w:t>
            </w:r>
          </w:p>
          <w:p w14:paraId="617951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支持新增知识库、知识库管理及召回参数设置等核心操作，可实时统计并展示总文件数、总字符数等关键数据，支持列表与卡片两种视图切换，同时具备分页查询功能，实现对知识库资源的全生命周期管理与高效调用。</w:t>
            </w:r>
          </w:p>
          <w:p w14:paraId="343FD7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）支持在公共AI知识库订阅相关学科、专业、领域的知识库，为保证资源适配，公共知识库建设数量不低于1900个。</w:t>
            </w:r>
          </w:p>
          <w:p w14:paraId="7A30414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3.AI问答库建设</w:t>
            </w:r>
          </w:p>
          <w:p w14:paraId="0A29832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建设课程问答库，涵盖常见问题、重点难点问题与拓展性问题，为教师与学生提供即时问题解决支持。同时，问答库应支持智能检索与语义理解，提升答疑效率与精准度。</w:t>
            </w:r>
          </w:p>
          <w:p w14:paraId="3FE50A9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3.1需求调研与主题确定</w:t>
            </w:r>
          </w:p>
          <w:p w14:paraId="73156C3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）合作沟通：供应商与课程教学团队进行深入沟通，了解各学科的教学需求、痛点及期望。</w:t>
            </w:r>
          </w:p>
          <w:p w14:paraId="7E3A5A4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）主题界定：根据课程设计和师生需求，明确问答库的主题范围。</w:t>
            </w:r>
          </w:p>
          <w:p w14:paraId="1E18EED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）目标设定：确立问答库的使用目标，如辅助教学、自学辅导、考试复习等。</w:t>
            </w:r>
          </w:p>
          <w:p w14:paraId="5DA68D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3.2问答库数据结构设计</w:t>
            </w:r>
          </w:p>
          <w:p w14:paraId="1F3119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）数据结构规划：设计高效的数据存储与检索结构，确保问答对的快速响应与准确匹配。</w:t>
            </w:r>
          </w:p>
          <w:p w14:paraId="700CED4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）技术选型：选择适合的人工智能技术框架，如自然语言处理（NLP）引擎，以支持问答对的智能匹配与语义理解。</w:t>
            </w:r>
          </w:p>
          <w:p w14:paraId="63E7ECF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3.3问答对收集与验证</w:t>
            </w:r>
          </w:p>
          <w:p w14:paraId="330AE5B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）内容收集：通过多渠道收集问答素材，包括课程现有资源、电子书、论文、网络资源等。</w:t>
            </w:r>
          </w:p>
          <w:p w14:paraId="1282CCD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）质量审核：由课程负责人对问答对进行逐条审核，确保内容的准确性、适用性和教育性。</w:t>
            </w:r>
          </w:p>
          <w:p w14:paraId="5F73FF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）标准化处理：对问答对进行标准化处理，统一格式与表述风格，提高问答库的整体质量。</w:t>
            </w:r>
          </w:p>
          <w:p w14:paraId="6D1B659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3.4实施与测试优化</w:t>
            </w:r>
          </w:p>
          <w:p w14:paraId="2A5965B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）功能测试：进行全面的功能测试，包括问答匹配准确性、响应速度、用户界面友好性等。</w:t>
            </w:r>
          </w:p>
          <w:p w14:paraId="574B95F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）优化调整：根据测试结果及用户反馈，对系统进行必要的优化调整，提升系统性能与用户体验。</w:t>
            </w:r>
          </w:p>
          <w:p w14:paraId="2DA523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3.5技术支持与更新维护</w:t>
            </w:r>
          </w:p>
          <w:p w14:paraId="590A45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（1）问答时支持智能推荐问题关联的相关微应用，点击应用可直接跳转到应用界面，实现应用跳转和业务处理；</w:t>
            </w:r>
          </w:p>
          <w:p w14:paraId="5F7FBB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）支持用户手动上传文档至问答库，上传后系统可对上传的文档进行解析，解析后可智能回答文档相关问题；</w:t>
            </w:r>
          </w:p>
          <w:p w14:paraId="2761746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同步校本网络教学平台已建设的网络课程资料进行智能解析，解析后可围绕课程内容进行人机问答；支持根据用户输入问题进行匹配提示；支持问答无匹配时，提供语义相似度最高的热门问题；支持未知问题回复语自定义设置。</w:t>
            </w:r>
          </w:p>
          <w:p w14:paraId="7EC3C3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）支持根据学科发展及用户需求，定期更新问答库内容，保持问答库的时效性与准确性，跟踪周期至少一学期。支持对系统进行定期维护与升级，修复潜在漏洞，提升系统安全性与稳定性。</w:t>
            </w:r>
          </w:p>
          <w:p w14:paraId="59263FC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4.AI助教问答与资源推荐</w:t>
            </w:r>
          </w:p>
          <w:p w14:paraId="2346045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支持</w:t>
            </w:r>
            <w:r>
              <w:rPr>
                <w:rFonts w:hint="eastAsia" w:ascii="宋体" w:hAnsi="宋体" w:cs="宋体"/>
                <w:snapToGrid w:val="0"/>
                <w:color w:val="000000" w:themeColor="text1"/>
                <w:szCs w:val="21"/>
                <w:highlight w:val="none"/>
                <w:lang w:val="zh-CN"/>
                <w14:textFill>
                  <w14:solidFill>
                    <w14:schemeClr w14:val="tx1"/>
                  </w14:solidFill>
                </w14:textFill>
              </w:rPr>
              <w:t>提供训练后的</w:t>
            </w:r>
            <w:r>
              <w:rPr>
                <w:rFonts w:hint="eastAsia" w:ascii="宋体" w:hAnsi="宋体" w:cs="宋体"/>
                <w:snapToGrid w:val="0"/>
                <w:color w:val="000000" w:themeColor="text1"/>
                <w:szCs w:val="21"/>
                <w:highlight w:val="none"/>
                <w14:textFill>
                  <w14:solidFill>
                    <w14:schemeClr w14:val="tx1"/>
                  </w14:solidFill>
                </w14:textFill>
              </w:rPr>
              <w:t>课程</w:t>
            </w:r>
            <w:r>
              <w:rPr>
                <w:rFonts w:hint="eastAsia" w:ascii="宋体" w:hAnsi="宋体" w:cs="宋体"/>
                <w:snapToGrid w:val="0"/>
                <w:color w:val="000000" w:themeColor="text1"/>
                <w:szCs w:val="21"/>
                <w:highlight w:val="none"/>
                <w:lang w:val="zh-CN"/>
                <w14:textFill>
                  <w14:solidFill>
                    <w14:schemeClr w14:val="tx1"/>
                  </w14:solidFill>
                </w14:textFill>
              </w:rPr>
              <w:t>AI助教，可提供问答与资源推荐。</w:t>
            </w:r>
          </w:p>
          <w:p w14:paraId="35DC11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）支持多轮对话，可基于上一个问题的回答继续进行后续问答；提问时支持通过语音输入问题；</w:t>
            </w:r>
          </w:p>
          <w:p w14:paraId="28DBFE4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）提问时支持上传图片通过读取图片内的问题进行提问；</w:t>
            </w:r>
          </w:p>
          <w:p w14:paraId="6695B3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）提问时支持用户上传文档，让大模型围绕此份文档智能回答相关问题；</w:t>
            </w:r>
          </w:p>
          <w:p w14:paraId="4C495C3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）支持用户自主选择是否需要大模型回复；</w:t>
            </w:r>
          </w:p>
          <w:p w14:paraId="720FBD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）助教输出的答案支持显示来源，可截取显示与答案有关的原文内容，也可通过来源跳转回原文全文展开学习。</w:t>
            </w:r>
          </w:p>
          <w:p w14:paraId="526B09C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）支持查询图书、期刊等文献，根据用户输入问题推荐相关文献，图书、期刊等推荐文献支持通过在线查看原文、文献传递等途径获取；</w:t>
            </w:r>
          </w:p>
          <w:p w14:paraId="3B496F4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）支持针对用户网络课程学习进度和掌握情况，个性化推荐学习资源；</w:t>
            </w:r>
          </w:p>
          <w:p w14:paraId="0477203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）支持移动端、PC端多种使用渠道。</w:t>
            </w:r>
          </w:p>
          <w:p w14:paraId="73C94ED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AI助教可自动对没有答案的问题描述进行关键词识别并统计聚类，按照关键词问答频率由高到低排序，同时可以批量导出未知问题；支持统计历史会话，可按照时间范围、使用渠道等维度进行筛选，并可查看、导出会话具体内容。</w:t>
            </w:r>
          </w:p>
          <w:p w14:paraId="3C7371E4">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5.课程学习助手开通</w:t>
            </w:r>
          </w:p>
          <w:p w14:paraId="45CDD51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主动为学生推荐待办任务，帮助学生分析薄弱知识点针对学生提出的概念性问题，运用苏格拉底对话，为学生进行启发式讲解针对学生上传的复杂题目、电路图、实验数据图进行讲解、解读针对学生上传的文档进行文档理解、总结归纳，生成思维导图。</w:t>
            </w:r>
          </w:p>
          <w:p w14:paraId="1604B66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6.课程内容安全检测</w:t>
            </w:r>
          </w:p>
          <w:p w14:paraId="28622E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支持对平台用户发布</w:t>
            </w:r>
            <w:r>
              <w:rPr>
                <w:rFonts w:hint="eastAsia" w:ascii="宋体" w:hAnsi="宋体" w:cs="宋体"/>
                <w:snapToGrid w:val="0"/>
                <w:color w:val="000000" w:themeColor="text1"/>
                <w:szCs w:val="21"/>
                <w:highlight w:val="none"/>
                <w14:textFill>
                  <w14:solidFill>
                    <w14:schemeClr w14:val="tx1"/>
                  </w14:solidFill>
                </w14:textFill>
              </w:rPr>
              <w:t>的敏感</w:t>
            </w:r>
            <w:r>
              <w:rPr>
                <w:rFonts w:hint="eastAsia" w:ascii="宋体" w:hAnsi="宋体" w:cs="宋体"/>
                <w:snapToGrid w:val="0"/>
                <w:color w:val="000000" w:themeColor="text1"/>
                <w:szCs w:val="21"/>
                <w:highlight w:val="none"/>
                <w:lang w:val="zh-CN"/>
                <w14:textFill>
                  <w14:solidFill>
                    <w14:schemeClr w14:val="tx1"/>
                  </w14:solidFill>
                </w14:textFill>
              </w:rPr>
              <w:t>文本、图片、文档、视频等内容的分析和监控</w:t>
            </w:r>
            <w:r>
              <w:rPr>
                <w:rFonts w:hint="eastAsia" w:ascii="宋体" w:hAnsi="宋体" w:cs="宋体"/>
                <w:snapToGrid w:val="0"/>
                <w:color w:val="000000" w:themeColor="text1"/>
                <w:szCs w:val="21"/>
                <w:highlight w:val="none"/>
                <w14:textFill>
                  <w14:solidFill>
                    <w14:schemeClr w14:val="tx1"/>
                  </w14:solidFill>
                </w14:textFill>
              </w:rPr>
              <w:t>功能</w:t>
            </w:r>
            <w:r>
              <w:rPr>
                <w:rFonts w:hint="eastAsia" w:ascii="宋体" w:hAnsi="宋体" w:cs="宋体"/>
                <w:snapToGrid w:val="0"/>
                <w:color w:val="000000" w:themeColor="text1"/>
                <w:szCs w:val="21"/>
                <w:highlight w:val="none"/>
                <w:lang w:val="zh-CN"/>
                <w14:textFill>
                  <w14:solidFill>
                    <w14:schemeClr w14:val="tx1"/>
                  </w14:solidFill>
                </w14:textFill>
              </w:rPr>
              <w:t>，可按时间筛选查看、编辑、删除内容以及自定义修改监控内容；</w:t>
            </w:r>
            <w:r>
              <w:rPr>
                <w:rFonts w:hint="eastAsia" w:ascii="宋体" w:hAnsi="宋体" w:cs="宋体"/>
                <w:snapToGrid w:val="0"/>
                <w:color w:val="000000" w:themeColor="text1"/>
                <w:szCs w:val="21"/>
                <w:highlight w:val="none"/>
                <w14:textFill>
                  <w14:solidFill>
                    <w14:schemeClr w14:val="tx1"/>
                  </w14:solidFill>
                </w14:textFill>
              </w:rPr>
              <w:t>支持自定义敏感关键词、敏感忽略词、用户黑白名单、图片名单。支持通过用户风险统计、垃圾发布量、垃圾发布率的维度统计用户风险。</w:t>
            </w:r>
          </w:p>
          <w:p w14:paraId="28C0C4A3">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60" w:name="_Toc12108"/>
            <w:r>
              <w:rPr>
                <w:rFonts w:hint="eastAsia" w:ascii="宋体" w:hAnsi="宋体" w:cs="宋体"/>
                <w:b/>
                <w:bCs/>
                <w:snapToGrid w:val="0"/>
                <w:color w:val="000000" w:themeColor="text1"/>
                <w:szCs w:val="21"/>
                <w:highlight w:val="none"/>
                <w14:textFill>
                  <w14:solidFill>
                    <w14:schemeClr w14:val="tx1"/>
                  </w14:solidFill>
                </w14:textFill>
              </w:rPr>
              <w:t>三、智慧</w:t>
            </w:r>
            <w:r>
              <w:rPr>
                <w:rFonts w:hint="eastAsia" w:ascii="宋体" w:hAnsi="宋体" w:cs="宋体"/>
                <w:b/>
                <w:bCs/>
                <w:snapToGrid w:val="0"/>
                <w:color w:val="000000" w:themeColor="text1"/>
                <w:szCs w:val="21"/>
                <w:highlight w:val="none"/>
                <w:lang w:val="zh-CN"/>
                <w14:textFill>
                  <w14:solidFill>
                    <w14:schemeClr w14:val="tx1"/>
                  </w14:solidFill>
                </w14:textFill>
              </w:rPr>
              <w:t>课程图谱建设服务</w:t>
            </w:r>
            <w:bookmarkEnd w:id="60"/>
          </w:p>
          <w:p w14:paraId="69D1D75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1.课程图谱设计</w:t>
            </w:r>
          </w:p>
          <w:p w14:paraId="1BC8DDC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知识图谱设计。通过图谱可视化工具展示课程内容的逻辑结构和知识点之间的关联，帮助学生更直观地理解课程体系，为学生构建更完整的知识网络，培养学生的系统思维能力。</w:t>
            </w:r>
          </w:p>
          <w:p w14:paraId="2A25A52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）供应商根据课程教学团队需求，完成目标图谱设计。通过分解课程目标、关联知识点、提供融入教学活动与评估建议，实现课程设计、教学实施与学习评价的一致性，保障教学成效，助力课程目标有效达成。</w:t>
            </w:r>
          </w:p>
          <w:p w14:paraId="2A66F65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）供应商根据课程教学团队需求，完成问题图谱设计，帮助学生梳理问题逻辑，逐步引导学生解决复杂问题。</w:t>
            </w:r>
          </w:p>
          <w:p w14:paraId="428AD1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）供应商根据课程教学团队需求，完成课程思政图谱设计。通过标记思政标签，融入课程思政元素，构建课程思政图谱，明确课程中思想政治教育的切入点与实施路径，实现价值引领与知识传授的有机结合。</w:t>
            </w:r>
          </w:p>
          <w:p w14:paraId="69DCFE1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2.知识图谱建设与应用</w:t>
            </w:r>
          </w:p>
          <w:p w14:paraId="7042A5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）支持知识点多层级架构建立，生成分类－知识点关系。</w:t>
            </w:r>
          </w:p>
          <w:p w14:paraId="786F685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手动添加、批量导入等方式构建知识图谱。批量导入需支持填写知识点名称、标签信息、认知维度、分类属性、教学目标、知识点说明等信息数据。手动编辑需支持单个修改知识点属性编辑，可批量或单独对当前知识点进行移动。</w:t>
            </w:r>
          </w:p>
          <w:p w14:paraId="2A1058F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）支持智能导入，用户上传课程大纲、教材或PPT文件等，系统智能识别构建生成知识图谱。</w:t>
            </w:r>
          </w:p>
          <w:p w14:paraId="2363383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）支持本地导入</w:t>
            </w:r>
            <w:r>
              <w:rPr>
                <w:rFonts w:hint="eastAsia" w:ascii="宋体" w:hAnsi="宋体" w:cs="宋体"/>
                <w:snapToGrid w:val="0"/>
                <w:color w:val="000000" w:themeColor="text1"/>
                <w:szCs w:val="21"/>
                <w:highlight w:val="none"/>
                <w14:textFill>
                  <w14:solidFill>
                    <w14:schemeClr w14:val="tx1"/>
                  </w14:solidFill>
                </w14:textFill>
              </w:rPr>
              <w:t>X</w:t>
            </w:r>
            <w:r>
              <w:rPr>
                <w:rFonts w:hint="eastAsia" w:ascii="宋体" w:hAnsi="宋体" w:cs="宋体"/>
                <w:snapToGrid w:val="0"/>
                <w:color w:val="000000" w:themeColor="text1"/>
                <w:szCs w:val="21"/>
                <w:highlight w:val="none"/>
                <w:lang w:val="zh-CN"/>
                <w14:textFill>
                  <w14:solidFill>
                    <w14:schemeClr w14:val="tx1"/>
                  </w14:solidFill>
                </w14:textFill>
              </w:rPr>
              <w:t>mind格式的思维导图文件，自动读取文件数据，生成课程知识图谱，并能够导出excel格式文件。</w:t>
            </w:r>
          </w:p>
          <w:p w14:paraId="4B550E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）支持与教学平台打通，可通过教学平台现有课程章节选择生成章节图谱。</w:t>
            </w:r>
          </w:p>
          <w:p w14:paraId="5FDB37F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）创建图谱支持同步其他课程图谱，支持全量同步或者部分选择同步。支持教学平台所教的课程导入及从教务课程导入功能支持导入知识点之间的关系。</w:t>
            </w:r>
          </w:p>
          <w:p w14:paraId="39E4709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）支持AI生成图谱功能，系统可以基于教师已经建设好的网络课程结合AI应用自动生成知识图谱，并支持直接使用生成的图谱，同时支持在生成的图谱上进行自定义化修改。</w:t>
            </w:r>
          </w:p>
          <w:p w14:paraId="10F4169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）知识图谱知识点支持说明添加，可添加富文本编辑框、公式编辑等富媒体文本。支持AI生成知识点说明。</w:t>
            </w:r>
          </w:p>
          <w:p w14:paraId="269E376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 xml:space="preserve"> （9）支持知识图谱自定义编辑功能，系统提供至少8种图谱形态，用户可根据课程性质选择合适的图谱形态进行编辑。</w:t>
            </w:r>
          </w:p>
          <w:p w14:paraId="35C0DA1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）支持进行跨课知识点关联，实现不同课程之间知识的聚合联动，关联后可以实现跨课学习并进行专业下多门课程的知识点关联展示应用。</w:t>
            </w:r>
          </w:p>
          <w:p w14:paraId="0AAAB1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）知识图谱显示支持2D和3D展示效果，用户可自主地进行模式切换。</w:t>
            </w:r>
          </w:p>
          <w:p w14:paraId="39A8332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3.问题图谱建设与应用</w:t>
            </w:r>
          </w:p>
          <w:p w14:paraId="35F820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）基于课程知识图谱，建设不少于三层的问题体系，系统提供对每层级问题的定义能力，允许用户添加问题详情及其与知识点的关联。</w:t>
            </w:r>
          </w:p>
          <w:p w14:paraId="155451B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）支持用户可根据教学需求，自定义栏目标题和描述，以适应多样化的教学情境。支持用户对栏目中节点的名称、描述、标签和知识点进行修改，保持内容的时效性和准确性。</w:t>
            </w:r>
          </w:p>
          <w:p w14:paraId="75565D7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）支持通过图谱形式展现问题与知识点的关联，使用户能够直观理解知识间的联系。</w:t>
            </w:r>
          </w:p>
          <w:p w14:paraId="14F7EDE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）提供两种子级问题关联方式，包括层级连线和板块关联功能，以展示问题间的层级结构。</w:t>
            </w:r>
          </w:p>
          <w:p w14:paraId="31FEA5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）支持批量导入问题数据和一键导出问题图谱数据，简化教学资源的准备工作。</w:t>
            </w:r>
          </w:p>
          <w:p w14:paraId="71FCEBB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）支持开启探索模式，模拟学生学习路径，通过问题选择和知识点关联，促进学生的深入思考。在探索模式中，用户被引导将核心问题与子问题连接，形成知识网络，并通过提交与标准答案对比，实现自我评估。</w:t>
            </w:r>
          </w:p>
          <w:p w14:paraId="4FA3108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4.课程思政图谱建设与应用</w:t>
            </w:r>
          </w:p>
          <w:p w14:paraId="54D3A6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）支持自动根据现有的图谱信息生成课程思政图谱的功能。支持将标签为“课程思政”的知识点以花朵的形式呈现，以视觉突出其在课程中的核心地位，同时以花苞的形式展示其他的知识点。</w:t>
            </w:r>
          </w:p>
          <w:p w14:paraId="7D91B4C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）支持搜索功能覆盖知识点、分类和标签，实现全面性，满足用户不同维度的搜索需求。</w:t>
            </w:r>
          </w:p>
          <w:p w14:paraId="7E8A368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）支持通过点击操作，可深入分类卡片获取详细信息，知识点用户也可以选择开启卡片，直接跳转至微课进行学习，实现知识获取的快速通道。</w:t>
            </w:r>
          </w:p>
          <w:p w14:paraId="79B4651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5.目标图谱建设</w:t>
            </w:r>
          </w:p>
          <w:p w14:paraId="497DAC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）系统允许根据不同班级特点定制课程目标，以满足特定教学需求。支持课程目标模板导入/一键导出功能，便于教师对于课程目标可以直观浏览和整理，同时也能有效地和其他工具同时使用。</w:t>
            </w:r>
          </w:p>
          <w:p w14:paraId="31FA92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）支持课程目标与知识点进行关联，以展示目标与教学内容的直接联系。</w:t>
            </w:r>
          </w:p>
          <w:p w14:paraId="564519F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）支持以柱状图展示课程目标关联知识点的个数，提供直观的统计信息；</w:t>
            </w:r>
          </w:p>
          <w:p w14:paraId="5E3F69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）支持以列表形式展示课程目标总数、课程目标名称、课程目标说明、课程目标标签以及所关联的知识点个数，方便用户快速浏览和了解。</w:t>
            </w:r>
          </w:p>
          <w:p w14:paraId="6781605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）支持以图谱形式展示每个课程目标所关联的知识点情况，增强信息的可视化效果。</w:t>
            </w:r>
          </w:p>
          <w:p w14:paraId="408D056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6.自定义图谱建设</w:t>
            </w:r>
          </w:p>
          <w:p w14:paraId="2D3427B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）具备自定义图谱功能，可根据个性化的图谱展示进行自定义图谱建设。</w:t>
            </w:r>
          </w:p>
          <w:p w14:paraId="714FC22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）提供多种图谱样式，满足教师不同教学场景，供自由选择。</w:t>
            </w:r>
          </w:p>
          <w:p w14:paraId="68F9937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7.知识点微课建设与应用</w:t>
            </w:r>
          </w:p>
          <w:p w14:paraId="68AE22B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）支持教师对课程章节内容，包括——视频、音频、文档、图书、章节测验等进行知识点标记，作为知识点教学任务进行设置，方便学生按知识点进行任务学习。</w:t>
            </w:r>
          </w:p>
          <w:p w14:paraId="2F606DB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）支持按知识点上传资源，并查看知识点关联资源数量，方便教师按知识点管理资源。</w:t>
            </w:r>
          </w:p>
          <w:p w14:paraId="6691AC0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）知识点卡片须具备资料添加功能，可通过添加资料关联建设知识点下相关课程资料及其他相关资源。</w:t>
            </w:r>
          </w:p>
          <w:p w14:paraId="66EA3B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）支持多种题型的创建管理，包括单选、多选、填空、判断、简答、名词解析、论述、计算、分录、连线、排序、完形填空、阅读理解、口语、听力等常见题型。</w:t>
            </w:r>
          </w:p>
          <w:p w14:paraId="42F569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）支持在创建或编辑题目时标记每道题对应的知识点标签，并支持按知识点筛选管理题目。支持按模板批量导入题目时导入题目知识点，支持批量编辑题目关联知识点。</w:t>
            </w:r>
          </w:p>
          <w:p w14:paraId="1C9A797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）题目关联知识点操作时系统支持智能推荐知识点，便于教师快速进行关联操作。</w:t>
            </w:r>
          </w:p>
          <w:p w14:paraId="6EC744D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）支持AI生成学习内容，系统结合AI可根据教师网络课程内容自动生成知识点学习内容，生成的内容可一键加入微课中。</w:t>
            </w:r>
          </w:p>
          <w:p w14:paraId="3C2E55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）支持错题显示解析以及相关知识点。图谱知识点学习界面支持错题集功能，可将学生学习过程中产生的错题归类到知识点下的错题集中。</w:t>
            </w:r>
          </w:p>
          <w:p w14:paraId="0B97BA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）支持学生查看课程知识图谱，并查看每个知识点的学习进度情况。</w:t>
            </w:r>
          </w:p>
          <w:p w14:paraId="6414A02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）支持学生按知识点进行课程任务学习，观看课程视频，阅读课程资料等。</w:t>
            </w:r>
          </w:p>
          <w:p w14:paraId="2D80256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）支持学生按知识点从题库或错题本抽题，逐题自测。支持学生自测时可以设置抽题范围，仅抽当前知识点以及前置知识点的题，避免抽到未开始学习的知识点试题。</w:t>
            </w:r>
          </w:p>
          <w:p w14:paraId="70A90B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）学生端可以查看推荐资源，进行拓展学习。推荐资源应基于知识点智能推荐课程、资源、课程思政资源、题目、论文、期刊、图书、互联网资源等。</w:t>
            </w:r>
          </w:p>
          <w:p w14:paraId="2D8C5A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）支持精准教学设计功能，可以自定义建设事件，可设置知识点的掌握率及完成率的设置，支持自定义学习路径或者微课资料，支持设置对应的动作；</w:t>
            </w:r>
          </w:p>
          <w:p w14:paraId="6D80AC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）支持视频的虚拟剪辑，只需要拖动视频播放的起始点、终止点，就可以将视频文件按照课程的要求剪辑成适当长度，教师还可手动输入时间点，进行视频在线虚拟剪辑。</w:t>
            </w:r>
          </w:p>
          <w:p w14:paraId="77027F6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5E83B34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）支持视频替换功能，替换学习视频后，不影响学生已产生的学习记录和成绩。</w:t>
            </w:r>
          </w:p>
          <w:p w14:paraId="2B0231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17</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p>
          <w:p w14:paraId="7A1BC70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）对课程视频进行智能切片，按切片时间点点击可跳转学习对应片段视频；</w:t>
            </w:r>
          </w:p>
          <w:p w14:paraId="2E3E34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）支持学生对不懂的视频或PDF文档点击“不懂”，触发AI助教及时答疑，页面自动截屏供AI助教分析。</w:t>
            </w:r>
          </w:p>
          <w:p w14:paraId="5575BD7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0C7CBC4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8.基于知识图谱的数智驱动数据分析与统计</w:t>
            </w:r>
          </w:p>
          <w:p w14:paraId="13CF28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）支持教师查看知识图谱的知识点建设情况，包括知识点建设率、图谱知识点总数、图谱关联资源知识点数、已设置标签的知识点数、图谱未关联资源知识点数等；</w:t>
            </w:r>
          </w:p>
          <w:p w14:paraId="55111C4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）支持查看不同知识点属性概况数据；支持查看图谱资源总数，关联视频、音频、文档、题目及其他类型资源数等；支持查看知识点关联资源数量排行榜。</w:t>
            </w:r>
          </w:p>
          <w:p w14:paraId="43057DC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）支持教师查看不同班级的学情数据，包括每个知识点的完成率与掌握率、知识点热度、完成率与掌握率的学情分段人数、学生完成率与掌握率排行情况等数据。</w:t>
            </w:r>
          </w:p>
          <w:p w14:paraId="3AB2B01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）支持教师选择多个不同班级进行学情数据对比，对比内容包括班级掌握率、班级完成率、完成率区间对比与掌握率区间对比等数据。通过班级对比分析，便于教师更好地了解不同班级间的学习差异。</w:t>
            </w:r>
          </w:p>
          <w:p w14:paraId="0C6DDC1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9.移动端知识图谱应用</w:t>
            </w:r>
          </w:p>
          <w:p w14:paraId="22673DF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）支持用户通过移动端设备访问知识图谱，实现随时随地的个性化学习。移动端提供图谱模式、大纲模式和学习地图模式，以适应不同用户的学习偏好和场景需求。</w:t>
            </w:r>
          </w:p>
          <w:p w14:paraId="4343BA7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）移动端图谱模式下，用户可以选择导航模式或全局模式，分别深入探索或宏观把握知识结构。移动端图谱模式下左侧导航区域以列表形式展示分类和知识点，支持快速定位和子级展开。</w:t>
            </w:r>
          </w:p>
          <w:p w14:paraId="1FB3AF9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）支持基于关键字的搜索和模糊匹配，帮助用户迅速找到目标知识点及相关全面信息。</w:t>
            </w:r>
          </w:p>
          <w:p w14:paraId="438D52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）移动端导航模式下，图谱以一种集中的形态展示最高层级的分类或知识点，允许用户通过交互进一步探索其子级和它们之间的联系。</w:t>
            </w:r>
          </w:p>
          <w:p w14:paraId="40960E8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）移动端直观展示知识点掌握率和完成率，反映用户个人学习情况。</w:t>
            </w:r>
          </w:p>
          <w:p w14:paraId="334399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）支持从宏观和微观视角展示用户的知识点掌握情况，并允许与班级整体表现进行比较。</w:t>
            </w:r>
          </w:p>
          <w:p w14:paraId="119B88C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）支持查看和该知识点相关的错题集，帮助用户更有针对性地进行复习。</w:t>
            </w:r>
          </w:p>
          <w:p w14:paraId="17A6268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）支持点击知识点跳转至微课进行深入学习。移动端微课提供分析、学习内容、自测、资料、错题集、讨论等多功能模块。</w:t>
            </w:r>
          </w:p>
          <w:p w14:paraId="51D9311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）用户可以根据个人需求在移动端微课选择自测模式，包括时间限制和题目选择，以创建专属的自测体验。自测功能支持仅从未尝试过的题目中抽取，确保每次自测的新鲜感和有效性。</w:t>
            </w:r>
          </w:p>
          <w:p w14:paraId="64431AC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）支持对课程所有资源进行智能安全检测。可通过后台配置关键词、忽略词，便于系统审核时，对关键词和忽略词进行屏蔽与忽略，降低人工审核的错误率。</w:t>
            </w:r>
          </w:p>
          <w:p w14:paraId="4771F5E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10.智慧课程群建设</w:t>
            </w:r>
          </w:p>
          <w:p w14:paraId="0C33CC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）以核心课程为基点，支持构建相互关联、层层递进的智慧课程群，打破课程边界，形成学科专业的完整知识链条，呈现横向融通、纵向贯通专业课程体系，帮助学生形成系统化的知识网络。</w:t>
            </w:r>
          </w:p>
          <w:p w14:paraId="75FBBC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）支持用户根据需求灵活选择不同的图谱模式，将自定义内容与课程群内的课程——知识点进行可视化关联，从而构建个性化的知识网络，深化理解与应用</w:t>
            </w:r>
          </w:p>
          <w:p w14:paraId="7ADE4D3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）支持创立智慧课程群展示门户，可自定义课程群门户信息包括课程群名称、课程群类型、课程群介绍、教师团队等信息。</w:t>
            </w:r>
          </w:p>
          <w:p w14:paraId="6E64C6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）支持数据统计功能，可查看课程群门户中的课程数、课程图谱数、知识点总数、教学资源数。</w:t>
            </w:r>
          </w:p>
          <w:p w14:paraId="5D480C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）具备资源分布统计功能，可以展示课程群所包含的每门课程的资源总数，包括视频、音频、文档、题目、其他等。</w:t>
            </w:r>
          </w:p>
          <w:p w14:paraId="018722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）具备资源分类展示功能，以饼状图及柱状图展示课程群下每门课程资源的分布情况。</w:t>
            </w:r>
          </w:p>
          <w:p w14:paraId="64CE3BB7">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61" w:name="_Toc30160"/>
            <w:r>
              <w:rPr>
                <w:rFonts w:hint="eastAsia" w:ascii="宋体" w:hAnsi="宋体" w:cs="宋体"/>
                <w:b/>
                <w:bCs/>
                <w:snapToGrid w:val="0"/>
                <w:color w:val="000000" w:themeColor="text1"/>
                <w:szCs w:val="21"/>
                <w:highlight w:val="none"/>
                <w14:textFill>
                  <w14:solidFill>
                    <w14:schemeClr w14:val="tx1"/>
                  </w14:solidFill>
                </w14:textFill>
              </w:rPr>
              <w:t>四、AI工作台智慧教学应用</w:t>
            </w:r>
            <w:bookmarkEnd w:id="61"/>
          </w:p>
          <w:p w14:paraId="679B735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指导老师应用AI工具，在备课、教学、学习、教研、科研、评价等全流程深度融合，实现数字素养提升，并实现AI赋能的“师/生/机”深度交互教学模式改革。具有AI教案、AI生成PPT、AI智能写作与校正、章节视频与文档AI解析、AI智能出题、公式识别、作业智能查重、AIGC检测、文献阅读、视频理解、智能翻译、资料查询助手等AI工具应用于教学。</w:t>
            </w:r>
          </w:p>
          <w:p w14:paraId="1A93303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1.AI教案</w:t>
            </w:r>
          </w:p>
          <w:p w14:paraId="3512B75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）教师输入教学材料或关键词，AI自动生成教案，并支持教师借助写作助手进行再次编辑。</w:t>
            </w:r>
          </w:p>
          <w:p w14:paraId="0141AB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）支持教师补充所教层次、适合的教学风格，形成更加具有个性化的教案。</w:t>
            </w:r>
          </w:p>
          <w:p w14:paraId="6AB694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）支持一键导出教案，并且支持按学校教案模板导出。</w:t>
            </w:r>
          </w:p>
          <w:p w14:paraId="7D7D1F77">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2.AI课件</w:t>
            </w:r>
          </w:p>
          <w:p w14:paraId="6A7EF25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）通过输入PPT内容要求，AI智能生成PPT大纲</w:t>
            </w:r>
          </w:p>
          <w:p w14:paraId="73169C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）支持教师在线直接编辑生成的大纲内容</w:t>
            </w:r>
          </w:p>
          <w:p w14:paraId="558A63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）支持AI自动根据大纲生成PPT，教师可以进行在线编辑或下载</w:t>
            </w:r>
          </w:p>
          <w:p w14:paraId="5F707A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）支持选择PPT模板场景、设计风格、主题颜色，生成个性化PPT</w:t>
            </w:r>
          </w:p>
          <w:p w14:paraId="37FC9D5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3.AI写作</w:t>
            </w:r>
          </w:p>
          <w:p w14:paraId="08675F1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）老师可以向AI写作助手提出需求，点击“生成”，写作助手会根据要求智能生成相应的内容，老师点击保存可以将内容输出到章节编辑页面上</w:t>
            </w:r>
          </w:p>
          <w:p w14:paraId="2969407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）老师可进行文本修改、删减或排版</w:t>
            </w:r>
          </w:p>
          <w:p w14:paraId="46F4056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）在章节编辑页面，选中内容可进行AI改写、扩写、续写、简写、翻译等操作</w:t>
            </w:r>
          </w:p>
          <w:p w14:paraId="1220E42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4.AI出题</w:t>
            </w:r>
          </w:p>
          <w:p w14:paraId="6B5E1DF4">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）支持教师通过知识点、输入文本、上传附件文档和视频、选定章节等多种方式，搭配补充出题要求说明，由AI自动生成相应试题。AI系统可以自动生成对应的题目并且不限制教师使用次数，</w:t>
            </w:r>
            <w:r>
              <w:rPr>
                <w:rFonts w:hint="eastAsia" w:ascii="宋体" w:hAnsi="宋体" w:cs="宋体"/>
                <w:snapToGrid w:val="0"/>
                <w:color w:val="000000" w:themeColor="text1"/>
                <w:szCs w:val="21"/>
                <w:highlight w:val="none"/>
                <w14:textFill>
                  <w14:solidFill>
                    <w14:schemeClr w14:val="tx1"/>
                  </w14:solidFill>
                </w14:textFill>
              </w:rPr>
              <w:t>并支持勾选按知识库出题模式，开启后优先匹配课程知识库出题，更贴课程内容。</w:t>
            </w:r>
            <w:r>
              <w:rPr>
                <w:rFonts w:hint="eastAsia" w:ascii="宋体" w:hAnsi="宋体" w:cs="宋体"/>
                <w:b/>
                <w:bCs/>
                <w:snapToGrid w:val="0"/>
                <w:color w:val="000000" w:themeColor="text1"/>
                <w:szCs w:val="21"/>
                <w:highlight w:val="none"/>
                <w14:textFill>
                  <w14:solidFill>
                    <w14:schemeClr w14:val="tx1"/>
                  </w14:solidFill>
                </w14:textFill>
              </w:rPr>
              <w:t>（需提供相关功能截图并加盖供应商公章）</w:t>
            </w:r>
          </w:p>
          <w:p w14:paraId="35F6F54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）支持多种题型，题型包括选择题、填空题、简答题等，以便满足不同类型考题的需求</w:t>
            </w:r>
          </w:p>
          <w:p w14:paraId="114961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）教师可以根据课程内容和学生水平，将生成的题目添加到题库。并随时使用这些题目进行测验、考试或者课堂练习。</w:t>
            </w:r>
          </w:p>
          <w:p w14:paraId="2F9B4F0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）支持设置出题要求，比如：适用年级、难易度、题目偏向等。</w:t>
            </w:r>
          </w:p>
          <w:p w14:paraId="67C262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）支持教师在线编辑调整AI生成的试题，也可以一键加入题库，组成作业考试发布给学生，并且支持跨课程使用生成的题目。</w:t>
            </w:r>
          </w:p>
          <w:p w14:paraId="621051F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）支持根据出题结果生成配套图片，结合题目信息选择图片类型，生成图片后可直接插入题干，至少支持2种图片类型选择。</w:t>
            </w:r>
          </w:p>
          <w:p w14:paraId="0AB2AEB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5.AI批阅</w:t>
            </w:r>
          </w:p>
          <w:p w14:paraId="493BE0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）使用先进的AI技术，能够批阅学生的主观题、论述题、小论文等。</w:t>
            </w:r>
          </w:p>
          <w:p w14:paraId="4D5A94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）对参考答案和学生答案进行分词处理和语法分析，以便计算词语和语句的相似度，从而量化学生答案与标准答案的匹配程度</w:t>
            </w:r>
          </w:p>
          <w:p w14:paraId="045E0E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）支持利用语义相似度计算结果给出学生相应的得分，通过深度学习等技术来模拟人类对语义相似度的判断，从而更准确地评估学生的答案质量。</w:t>
            </w:r>
          </w:p>
          <w:p w14:paraId="34C671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）系统可以根据教师设置的得分点来匹配得分，确保评分符合标准化要求，同时满足教学目标和评价体系。</w:t>
            </w:r>
          </w:p>
          <w:p w14:paraId="3C5CDB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）支持智能批阅程序题。</w:t>
            </w:r>
          </w:p>
          <w:p w14:paraId="484AC37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）支持从结构、内容、语言等6个大维度，12～16个细分维度进行打分，并给出推荐总分。</w:t>
            </w:r>
          </w:p>
          <w:p w14:paraId="10D5CC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）AI批阅系统不仅提供整体评价，还支持对精彩句子进行点评，并给出提升建议。</w:t>
            </w:r>
          </w:p>
          <w:p w14:paraId="77F8B08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）支持揪出学生作文中的错别字，提供修改建议，帮助学生提高写作水平。</w:t>
            </w:r>
          </w:p>
          <w:p w14:paraId="7A76642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6.AI学情分析</w:t>
            </w:r>
          </w:p>
          <w:p w14:paraId="27EA8A2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）支持智能呈现班级整体知识点分析数据，提供个性化学习路径。</w:t>
            </w:r>
          </w:p>
          <w:p w14:paraId="31BFD27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）可查看知识点平均完成率、平均掌握率、完成率分布和掌握率分布等。支持按知识点查看每个知识点的关联学习资源数、平均完成率、平均掌握率、课程资料数、课程资料人均阅读情况等。</w:t>
            </w:r>
          </w:p>
          <w:p w14:paraId="0D04DF0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）基于AI学情分析，可由AI生成学情分析画像，减轻教师学情分析压力，提升效率。</w:t>
            </w:r>
          </w:p>
          <w:p w14:paraId="337327F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58C5F8F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）支持根据平台学生整体学习数据及专项数据，或者上传excel文档，教师可自定义分析维度，AI自动进行学生学情分析并提供建议提醒。</w:t>
            </w:r>
          </w:p>
          <w:p w14:paraId="6BAC56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）支持多班对比分析：对多个班级的数据进行深度分析，洞察每个班级的独特学情，为教育决策提供科学依据。</w:t>
            </w:r>
          </w:p>
          <w:p w14:paraId="116D373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）支持内置常见问题：智能解答，即刻响应。精准识别并预测用户常见问题，提供即时、精准的智能回复。</w:t>
            </w:r>
          </w:p>
          <w:p w14:paraId="6D0BDE7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）支持图表产出：引入多种统计图表，包括饼图、散点图、面积图、箱线图等，提供丰富的数据可视化选项，帮助教师把握数据背后的趋势与洞见。</w:t>
            </w:r>
          </w:p>
          <w:p w14:paraId="52DCD9C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7.个性化学习路径推荐</w:t>
            </w:r>
          </w:p>
          <w:p w14:paraId="5A8ABF1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）为学生智能化推荐个性化学习路径，呈现路径中各知识点掌握率</w:t>
            </w:r>
          </w:p>
          <w:p w14:paraId="707F38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）基于知识点的学习，智能化分析学生学习进度与掌握情况，掌握率高于90%的知识点在学习路径上不再显示</w:t>
            </w:r>
          </w:p>
          <w:p w14:paraId="553677E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）基于错题智能推荐薄弱知识点</w:t>
            </w:r>
          </w:p>
          <w:p w14:paraId="0646E3A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8.智能推荐资源</w:t>
            </w:r>
          </w:p>
          <w:p w14:paraId="321B977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根据需求，可通过问答方式由AI助教提供智能化资源推荐，通过关键词识别，智能化挖掘呈现相关联学术资源，包含期刊、图书等内容，助力学生复习相关知识、扩展学习的深度与广度。</w:t>
            </w:r>
          </w:p>
          <w:p w14:paraId="6BCCCEE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9.文献阅读</w:t>
            </w:r>
          </w:p>
          <w:p w14:paraId="475F70E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）根据原文内容支持随机生成并显示默认问题，可通过点击默认问题或自定义输入问题查看回复，平台通过匹配向量之间的相似性，支持文字、表格等多种输出格式；</w:t>
            </w:r>
          </w:p>
          <w:p w14:paraId="4BFC8A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）支持点击词云查看人物、机构、地名在原文出现次数、页码以及原文信息，快速了解原文的重点和主题；</w:t>
            </w:r>
          </w:p>
          <w:p w14:paraId="1F78E60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）通过对原文的分析，支持按照章节提取关键信息，生成摘要列表；</w:t>
            </w:r>
          </w:p>
          <w:p w14:paraId="2404C63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）通过对原文的分析将复杂的概念和关系可视化，支持按照脑图或markdown格式切换查看，帮助知识整理和信息归纳；</w:t>
            </w:r>
          </w:p>
          <w:p w14:paraId="592E9BD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）通过对原文的分析，支持按照章节查看系统生成的相关试题，试题可以章节为维度进行筛选，生成的试题均为本章节相关内容试题；</w:t>
            </w:r>
          </w:p>
          <w:p w14:paraId="71378C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）支持原文在线预览，支持目录检索、全文检索。</w:t>
            </w:r>
          </w:p>
          <w:p w14:paraId="20C87035">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10.视频理解</w:t>
            </w:r>
          </w:p>
          <w:p w14:paraId="03A3832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）支持自定义上传视频，AI智能分析生成“智能速览”，总结视频摘要、片段摘要。</w:t>
            </w:r>
          </w:p>
          <w:p w14:paraId="7C0E81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）智能分析视频中的发言人，按发言人统计发言百分比、发言段落，以时间轴形式展示。</w:t>
            </w:r>
          </w:p>
          <w:p w14:paraId="49DF90F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）根据视频随机生成问题，可通过点击默认问题或自定义输入问题开展机器问答，平台通过匹配向量之间的相似性；</w:t>
            </w:r>
          </w:p>
          <w:p w14:paraId="0E2403A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）支持点击词云查看实体出现次数、时间段以及视频文本信息，快速了解视频的重点和主题；</w:t>
            </w:r>
          </w:p>
          <w:p w14:paraId="2A3A1E0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）通过对视频的片段分析将复杂的概念和关系可视化，支持按照脑图或markdown格式切换查看，帮助知识整理和信息归纳；</w:t>
            </w:r>
          </w:p>
          <w:p w14:paraId="0F6C26F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11.章节内容智能审查与文本纠错</w:t>
            </w:r>
          </w:p>
          <w:p w14:paraId="4F04082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支持实现文字自动校对，包括错字、漏字、缺字、多字、语法、错误、语义错误等都可以实现自动校对标注。</w:t>
            </w:r>
          </w:p>
          <w:p w14:paraId="61EBDCB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12.作业智能查重</w:t>
            </w:r>
          </w:p>
          <w:p w14:paraId="0BB728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）比对基础库中的数据包含图书、报纸、期刊、网络文档等多种文献类型；支持选择不同的比对库，包含全部全文比对库、图书全文比对库、非图书全文比对库、法律法规比对库、自建库选择进行检测。</w:t>
            </w:r>
          </w:p>
          <w:p w14:paraId="6BAAA6F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）每万字的检测需在数秒内完成，并在10分钟内提供检测报告；</w:t>
            </w:r>
          </w:p>
          <w:p w14:paraId="0701BC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）支持30M以上的TXT、DOC、PDF、DOCX、ZIP、RAR多种格式以及非加密文档的上传检测；支持ZIP、RAR压缩包形式上传（大小需在50M以内）；</w:t>
            </w:r>
          </w:p>
          <w:p w14:paraId="6256961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）支持点击选择文件上传文档或者将50字以上、1万字以下的文本直接粘贴到文本框中进行检测；</w:t>
            </w:r>
          </w:p>
          <w:p w14:paraId="5752D5D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）支持根据上传的检测文献生成检测报告，支持查看在线报告，也支持批量下载全部检测报告、批量下载PDF报告；</w:t>
            </w:r>
          </w:p>
          <w:p w14:paraId="21643A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）用户可下载PDF报告（简洁报告、全文检测报告）和HTML报告（综合评估、相似片段、全文对比）进行查看和打印，（PDF报告和HTML报告均提供相似度检测专用印章）；</w:t>
            </w:r>
          </w:p>
          <w:p w14:paraId="41C065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）支持查看最密集相似段、密集相似段、非密集相似段；</w:t>
            </w:r>
          </w:p>
          <w:p w14:paraId="1325C37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）问答时支持智能推荐问题关联的相关微应用，点击应用可直接跳转到应用界面，实现应用跳转和业务处理；</w:t>
            </w:r>
          </w:p>
          <w:p w14:paraId="68B8C309">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13.视频智能分析</w:t>
            </w:r>
          </w:p>
          <w:p w14:paraId="027205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）对课程建设系统中的视频进行智能分析，自动匹配课程中的知识点，并在视频对应的时间点进行自动打点。</w:t>
            </w:r>
          </w:p>
          <w:p w14:paraId="12D3E17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）基于人工智能技术生成知识点词云分析并展示</w:t>
            </w:r>
          </w:p>
          <w:p w14:paraId="23143F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）支持视频播放时学生可以定位到时间点观看对应知识点的视频讲解。</w:t>
            </w:r>
          </w:p>
          <w:p w14:paraId="0AF284B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14.智能翻译</w:t>
            </w:r>
          </w:p>
          <w:p w14:paraId="38FCE8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）支持用户自行上传文件进行双语翻译（文件至少为10MB内无加密PDF文件）。</w:t>
            </w:r>
          </w:p>
          <w:p w14:paraId="001339D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）支持单语切换：一键切换阅读模式。在开启“同步滑动”的情况下，实现页面同步跳转，方便阅读；</w:t>
            </w:r>
          </w:p>
          <w:p w14:paraId="587371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）支持查词定位：原文、译文阅读界面均支持文章内容的精准查找定位，支持高亮显示和大小写区分，方便用户通过关键词快速检索文章内容；</w:t>
            </w:r>
          </w:p>
          <w:p w14:paraId="49F72A9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）支持页码定位：支持用户通过上下滑动进行定位，同时支持输入页码调试定位；</w:t>
            </w:r>
          </w:p>
          <w:p w14:paraId="6D9753A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）支持调整阅读比例：支持自动缩放、实际大小、适合页宽以及100%、125%、150%的页面调整；</w:t>
            </w:r>
          </w:p>
          <w:p w14:paraId="52024A6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）支持开启划词翻译功能，选中原文、译文文本并翻译；</w:t>
            </w:r>
          </w:p>
          <w:p w14:paraId="32CA7C4E">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15.公式识别</w:t>
            </w:r>
          </w:p>
          <w:p w14:paraId="458A3AA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教师录入公式后，系统自动将图片公式分析出来并可转换为latex公式。</w:t>
            </w:r>
          </w:p>
          <w:p w14:paraId="7204CAC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16.课程内容不懂智能驱动</w:t>
            </w:r>
          </w:p>
          <w:p w14:paraId="370AE5B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学生观看视频或课件时，点击屏幕右侧“不懂”按钮，智能触发AI助教，并将不懂的页面自动截屏，由AI答疑解惑。</w:t>
            </w:r>
          </w:p>
          <w:p w14:paraId="176210E6">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17.智能推送薄弱点及资源</w:t>
            </w:r>
          </w:p>
          <w:p w14:paraId="7E2AFEB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）根据每个学生的错题和知识点掌握率，自动为学生进行薄弱知识点的辅导，可以根据学生错题和知识点掌握率优先推送薄弱知识点相关的题目。</w:t>
            </w:r>
          </w:p>
          <w:p w14:paraId="3E6F0CE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）支持生成相似题、变式题的个性化练习，帮助学生加强知识点理解。</w:t>
            </w:r>
          </w:p>
          <w:p w14:paraId="1B5E6C1B">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18.智能化分层</w:t>
            </w:r>
          </w:p>
          <w:p w14:paraId="1F7C82C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针对班级学情数据进行分析，将班级学生分布自动划分为发展层、期望层、跃进层、提高层，并给出具体的教学建议，帮助教师开展精准教学。</w:t>
            </w:r>
          </w:p>
          <w:p w14:paraId="525C637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19.AI试卷质量分析</w:t>
            </w:r>
          </w:p>
          <w:p w14:paraId="418DAF9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）支持从题型题量、难易度、知识点覆盖以及题目质量等多个关键维度，对试卷质量进行深入、细致地评估，提供相应建议。</w:t>
            </w:r>
          </w:p>
          <w:p w14:paraId="7347AFB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）支持根据AI推荐知识点，给题目一键关联知识点，健全知识图谱建设；老师可以进行AI【一键换题】操作，快速获取更优质、更合适的题目，提高试卷编撰效率和质量。</w:t>
            </w:r>
          </w:p>
          <w:p w14:paraId="3DA4F2A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20.AI实践</w:t>
            </w:r>
          </w:p>
          <w:p w14:paraId="05345AA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学科教学体系中，实践教学是培养应用型人才的核心模块，尤其在医学、心理学等强实操性领域具有不可替代性。AI实践是一种融合智能技术与教学场景的任务型学习方式，支持教师根据教学目标配置不同类型的实践任务。</w:t>
            </w:r>
          </w:p>
          <w:p w14:paraId="4FB19C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）支持预设任务内容、评分标准与评估视角等多项任务信息</w:t>
            </w:r>
          </w:p>
          <w:p w14:paraId="39A3C75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）支持学生在系统引导下完成练习、提交作品或多轮互动</w:t>
            </w:r>
          </w:p>
          <w:p w14:paraId="1A5BC92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）系统可记录学生过程、提供智能评分反馈，帮助教师高效开展教学管理</w:t>
            </w:r>
          </w:p>
          <w:p w14:paraId="03D6F5E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）支持情景对话型任务</w:t>
            </w:r>
          </w:p>
          <w:p w14:paraId="5D637B1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以“情景驱动”为核心的AI互动练习形式，支持教师设置具体情境、任务要求与交互目标，引导学生在设定情境中与AI展开多轮对话，逐步推进任务完成。</w:t>
            </w:r>
          </w:p>
          <w:p w14:paraId="2B384D22">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w:t>
            </w: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）支持上传作品型任务</w:t>
            </w:r>
          </w:p>
          <w:p w14:paraId="0C463A73">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上传作品任务适用于学生提交作品型成果，如实验图片、图文混排文档等。支持教师在任务中明确作品要求，设置评估角色与评分标准，结合实际教学目标和评分标准，对学生提交内容进行评阅与打分反馈。</w:t>
            </w:r>
          </w:p>
          <w:p w14:paraId="199BF1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）支持学习阶梯型任务</w:t>
            </w:r>
          </w:p>
          <w:p w14:paraId="3A73A2E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习阶梯是一种层层递进的任务设计方式，围绕一个核心问题，支持教师预设多个认知维度。学生需逐步作答、逐层推进，答对当前层级的问题后，才能解锁下一层，实现“按维推进、层层深入”的学习过程，帮助学生在实践中锻炼逻辑、分析与综合能力。</w:t>
            </w:r>
          </w:p>
          <w:p w14:paraId="718ABA1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）支持知识设置一个简明、明确的标题，便于学生理解任务内容</w:t>
            </w:r>
          </w:p>
          <w:p w14:paraId="4EC284D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）支持选择“阶梯闯关”和“主干生长”任务类型</w:t>
            </w:r>
          </w:p>
          <w:p w14:paraId="056BC6C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设置阶梯闯关（客观题主导）实践，适用场景：聚焦知识点分层拆解、基础概念逐个突破的考核场景。以单选题/多选题/填空题拆分维度知识点，要求学生逐维攻克，确保基础概念掌握扎实，适配阶段基础检测、知识点梯度巩固。</w:t>
            </w:r>
          </w:p>
          <w:p w14:paraId="41974C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设置主干生长（主观题主导）实践，适用场景：面向多维度知识整合、复杂问题综合解决的考核场景。学生以主观推导作答后，系统检测等维度覆盖度，对缺失维度知识点生成定向追问，推动知识补漏，适配综合应用题训练、思维漏洞精准修复。</w:t>
            </w:r>
          </w:p>
          <w:p w14:paraId="3D1C9D4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）支持设置一个任务中最核心的探究疑问，明确学生需聚焦解决的本质问题，指引思考与探究的关键方向</w:t>
            </w:r>
          </w:p>
          <w:p w14:paraId="3F0F5ED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）支持围绕核心问题，拆解出的具体考核角度（如知识认知、原理推导、操作实践等层面），明确从哪些维度评估学生对核心问题的掌握深度与广度（一个任务至少设置一个考核维度；至多设置五个考核维度）</w:t>
            </w:r>
          </w:p>
          <w:p w14:paraId="55678C8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）支持在每个考核维度下，需添加具体知识点，支持从课程知识点中勾选，或按需自定义填写添加，精准定位该考核维度涉及的知识范畴（一个维度至少添加一个知识点；至多添加五个知识点）。</w:t>
            </w:r>
          </w:p>
          <w:p w14:paraId="35CAEDA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互动故事</w:t>
            </w:r>
          </w:p>
          <w:p w14:paraId="42563FA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将学科知识点转化为可互动的教学剧情，学生通过与故事中的不同AI角色对话还原各类真实专业场景，在沉浸式体验中深化知识理解与应用。</w:t>
            </w:r>
          </w:p>
          <w:p w14:paraId="23C3BC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（8）AI思辩擂台：</w:t>
            </w:r>
            <w:r>
              <w:rPr>
                <w:rFonts w:hint="eastAsia" w:ascii="宋体" w:hAnsi="宋体" w:cs="宋体"/>
                <w:snapToGrid w:val="0"/>
                <w:color w:val="000000" w:themeColor="text1"/>
                <w:szCs w:val="21"/>
                <w:highlight w:val="none"/>
                <w14:textFill>
                  <w14:solidFill>
                    <w14:schemeClr w14:val="tx1"/>
                  </w14:solidFill>
                </w14:textFill>
              </w:rPr>
              <w:t>支持设定某一主题的辩论任务，自定义话题、观点、评分标准与对话轮次，学生既可自主选择立场，也可由教师指定。任务开始后，学生将与AI智能体展开实时辩论，各自围绕所选观点进行论证、举证与反驳，以此锻炼学生的逻辑组织、证据运用与多角度分析的能力。辩论结束后，系统将依据教师预先设定的评分标准，由 AI 对学生的整体表现进行评估并给出结果，帮助学生在实践中提升逻辑思维能力、证据意识和多角度分析问题的能力。</w:t>
            </w:r>
          </w:p>
          <w:p w14:paraId="5898B37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21.AI科研助手</w:t>
            </w:r>
          </w:p>
          <w:p w14:paraId="22E92F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21.1AI科研智能问答</w:t>
            </w:r>
          </w:p>
          <w:p w14:paraId="0E65CAD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）支持自定义切换多个学科智能体，每个智能体可绑定多个AI知识库与大模型；支持自定义智能体名称、图标、角色定位与使用场景描述。</w:t>
            </w:r>
          </w:p>
          <w:p w14:paraId="238D90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）智能体回答内容支持溯源引用来源，确保回答可信；支持灵活选择多种大模型；支持设置提示词，定义智能体角色行为和问答风格。</w:t>
            </w:r>
          </w:p>
          <w:p w14:paraId="4422DA7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）支持问答式检索，直接以问题形式获取文献推荐或答案摘要；支持检索结果加入阅读清单与AI解读功能。</w:t>
            </w:r>
          </w:p>
          <w:p w14:paraId="5BF10A0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21.2AI学术追踪</w:t>
            </w:r>
          </w:p>
          <w:p w14:paraId="3FF00BC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支持用户自定义研究兴趣、学术期刊、学者、学术顶会等信息进行AI追踪，系统自动筛选并推送相关的最新优质文献。支持用户通过自然语言输入具体兴趣追踪最新学术文献。支持对推荐文献快捷引用，支持APA、MLA、GB/T7714等引用格式；支持勾选多篇推荐文献进行多文献对话，支持对多篇文献提供观点对比、研究方法对比、结论对比、摘要总结。</w:t>
            </w:r>
          </w:p>
          <w:p w14:paraId="1AD5D3C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）系统自动构建用户画像，基于用户兴趣偏好与历史行为进行内容推荐；推荐内容支持加入阅读清单、课题知识库。</w:t>
            </w:r>
          </w:p>
          <w:p w14:paraId="78A8BFE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）支持冷启动机制，帮助新用户快速匹配感兴趣内容。</w:t>
            </w:r>
          </w:p>
          <w:p w14:paraId="11EBA84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21.3AI学术对话</w:t>
            </w:r>
          </w:p>
          <w:p w14:paraId="0AB48BC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支持对学术追踪的内容进行AI总结；支持AI快速解读关注领域的最新科研动态，便于用户快速及时了解最新文献、大批量文献；AI速读支持提取文章结构（研究方法、结论、贡献等）并生成摘要，支持一键生成关键要点，支持生成脑图。</w:t>
            </w:r>
          </w:p>
          <w:p w14:paraId="73F42699">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（2）支持对单个AI知识库进行AI对话；支持对期刊、学者进行AI对话，以交互方式使用户快捷了解期刊或学者某方面研究内容。</w:t>
            </w:r>
            <w:r>
              <w:rPr>
                <w:rFonts w:hint="eastAsia" w:ascii="宋体" w:hAnsi="宋体" w:cs="宋体"/>
                <w:b/>
                <w:bCs/>
                <w:snapToGrid w:val="0"/>
                <w:color w:val="000000" w:themeColor="text1"/>
                <w:szCs w:val="21"/>
                <w:highlight w:val="none"/>
                <w:lang w:val="zh-CN"/>
                <w14:textFill>
                  <w14:solidFill>
                    <w14:schemeClr w14:val="tx1"/>
                  </w14:solidFill>
                </w14:textFill>
              </w:rPr>
              <w:t>（需提供</w:t>
            </w:r>
            <w:r>
              <w:rPr>
                <w:rFonts w:hint="eastAsia" w:ascii="宋体" w:hAnsi="宋体" w:cs="宋体"/>
                <w:b/>
                <w:bCs/>
                <w:snapToGrid w:val="0"/>
                <w:color w:val="000000" w:themeColor="text1"/>
                <w:szCs w:val="21"/>
                <w:highlight w:val="none"/>
                <w14:textFill>
                  <w14:solidFill>
                    <w14:schemeClr w14:val="tx1"/>
                  </w14:solidFill>
                </w14:textFill>
              </w:rPr>
              <w:t>相关</w:t>
            </w:r>
            <w:r>
              <w:rPr>
                <w:rFonts w:hint="eastAsia" w:ascii="宋体" w:hAnsi="宋体" w:cs="宋体"/>
                <w:b/>
                <w:bCs/>
                <w:snapToGrid w:val="0"/>
                <w:color w:val="000000" w:themeColor="text1"/>
                <w:szCs w:val="21"/>
                <w:highlight w:val="none"/>
                <w:lang w:val="zh-CN"/>
                <w14:textFill>
                  <w14:solidFill>
                    <w14:schemeClr w14:val="tx1"/>
                  </w14:solidFill>
                </w14:textFill>
              </w:rPr>
              <w:t>功能截图并加盖供应商公章）</w:t>
            </w:r>
          </w:p>
          <w:p w14:paraId="4DD57D2A">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62" w:name="_Toc32662"/>
            <w:r>
              <w:rPr>
                <w:rFonts w:hint="eastAsia" w:ascii="宋体" w:hAnsi="宋体" w:cs="宋体"/>
                <w:b/>
                <w:bCs/>
                <w:snapToGrid w:val="0"/>
                <w:color w:val="000000" w:themeColor="text1"/>
                <w:szCs w:val="21"/>
                <w:highlight w:val="none"/>
                <w14:textFill>
                  <w14:solidFill>
                    <w14:schemeClr w14:val="tx1"/>
                  </w14:solidFill>
                </w14:textFill>
              </w:rPr>
              <w:t>五、智慧课程门户建设</w:t>
            </w:r>
            <w:bookmarkEnd w:id="62"/>
          </w:p>
          <w:p w14:paraId="40D28F81">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1.智慧课程门户搭建</w:t>
            </w:r>
          </w:p>
          <w:p w14:paraId="1B6EE0A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建设专有课程域名，进行课程门户搭建。PC门户配置功能支持用户自定义模块布局，支持拖拽式调整同一模块内不同栏目的位置，支持用户自定义对页面背景、音乐、主题色及简体或繁体字的转换设置。每一个模块内的数据来源均支持人工配置；可以是外部数据接入，也可以直接从数据中心抽调。</w:t>
            </w:r>
          </w:p>
          <w:p w14:paraId="122828ED">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2.智慧课程门户展示</w:t>
            </w:r>
          </w:p>
          <w:p w14:paraId="10225CA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）课程门户展示课程整体建设内容，教师团队、教学设计、课程章节、知识图谱、问题图谱、证书图谱、能力图谱、教学运行、AI知识库、AI应用。</w:t>
            </w:r>
          </w:p>
          <w:p w14:paraId="6401FC0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）支持对课程门户进行二次编辑，课程基本信息，包含课程名称、封面、宣传片、主讲教师、教师团队、学时学分、课程说明等。</w:t>
            </w:r>
          </w:p>
          <w:p w14:paraId="4E9CB5F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）支持编辑课程简介，展示课程所属院校、专业、教师团队详情等信息。</w:t>
            </w:r>
          </w:p>
          <w:p w14:paraId="46985802">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3.知识图谱展示与应用</w:t>
            </w:r>
          </w:p>
          <w:p w14:paraId="2B0881F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支持展示课程知识图谱，查看多种图谱模式，包含但不限于关系图谱、思维导图模式、学习路径、问题图谱等，展示课程目标图谱、问题图谱。</w:t>
            </w:r>
          </w:p>
          <w:p w14:paraId="0896C6D0">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4.AI知识库展示</w:t>
            </w:r>
          </w:p>
          <w:p w14:paraId="6A511E9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支持展示知识库总数、资源总数、知识切片总数、问答对总数，动态展示、拓展资料、趣味测试，动态播放知识库资源。</w:t>
            </w:r>
          </w:p>
          <w:p w14:paraId="5D0EF43A">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5</w:t>
            </w:r>
            <w:r>
              <w:rPr>
                <w:rFonts w:hint="eastAsia" w:ascii="宋体" w:hAnsi="宋体" w:cs="宋体"/>
                <w:b/>
                <w:bCs/>
                <w:snapToGrid w:val="0"/>
                <w:color w:val="000000" w:themeColor="text1"/>
                <w:szCs w:val="21"/>
                <w:highlight w:val="none"/>
                <w:lang w:val="zh-CN"/>
                <w14:textFill>
                  <w14:solidFill>
                    <w14:schemeClr w14:val="tx1"/>
                  </w14:solidFill>
                </w14:textFill>
              </w:rPr>
              <w:t>.教学设计展示</w:t>
            </w:r>
          </w:p>
          <w:p w14:paraId="15284C0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）支持对课程章节、小结进行数据统计，按章节展示知识图谱任务点资源及课程资料。</w:t>
            </w:r>
          </w:p>
          <w:p w14:paraId="0E6150C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）支持用课程－课程目标－课程知识点3层架构，展示智慧课程知识体系。支持2D\3D模式切换、全屏播放及页面缩放。</w:t>
            </w:r>
          </w:p>
          <w:p w14:paraId="71494CB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6</w:t>
            </w:r>
            <w:r>
              <w:rPr>
                <w:rFonts w:hint="eastAsia" w:ascii="宋体" w:hAnsi="宋体" w:cs="宋体"/>
                <w:b/>
                <w:bCs/>
                <w:snapToGrid w:val="0"/>
                <w:color w:val="000000" w:themeColor="text1"/>
                <w:szCs w:val="21"/>
                <w:highlight w:val="none"/>
                <w:lang w:val="zh-CN"/>
                <w14:textFill>
                  <w14:solidFill>
                    <w14:schemeClr w14:val="tx1"/>
                  </w14:solidFill>
                </w14:textFill>
              </w:rPr>
              <w:t>.课程运行数据统计分析展示</w:t>
            </w:r>
          </w:p>
          <w:p w14:paraId="7013C78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）支持对课程建设、运行数据进行详情分析，包含教师团队、学生人数、知识点资源数、知识点属性、知识点学情统计等。</w:t>
            </w:r>
          </w:p>
          <w:p w14:paraId="61FE5870">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lang w:val="zh-CN"/>
                <w14:textFill>
                  <w14:solidFill>
                    <w14:schemeClr w14:val="tx1"/>
                  </w14:solidFill>
                </w14:textFill>
              </w:rPr>
            </w:pPr>
            <w:bookmarkStart w:id="63" w:name="_Toc0"/>
            <w:r>
              <w:rPr>
                <w:rFonts w:hint="eastAsia" w:ascii="宋体" w:hAnsi="宋体" w:cs="宋体"/>
                <w:b/>
                <w:bCs/>
                <w:snapToGrid w:val="0"/>
                <w:color w:val="000000" w:themeColor="text1"/>
                <w:szCs w:val="21"/>
                <w:highlight w:val="none"/>
                <w14:textFill>
                  <w14:solidFill>
                    <w14:schemeClr w14:val="tx1"/>
                  </w14:solidFill>
                </w14:textFill>
              </w:rPr>
              <w:t>六、智慧课程数据分析</w:t>
            </w:r>
            <w:bookmarkEnd w:id="63"/>
          </w:p>
          <w:p w14:paraId="3D0B0DDF">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1.学情统计&amp;图谱统计</w:t>
            </w:r>
          </w:p>
          <w:p w14:paraId="5F12206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）支持用户能深入分析学习情况和图谱数据，以优化教学和学习策略</w:t>
            </w:r>
          </w:p>
          <w:p w14:paraId="660C6CE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）支持探索每个知识点在班级中的平均表现，并在不同班级间轻松切换，以获得全面的视角</w:t>
            </w:r>
          </w:p>
          <w:p w14:paraId="2206774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）支持将学情统计的快照保存为图像，便于回顾和分享</w:t>
            </w:r>
          </w:p>
          <w:p w14:paraId="5FFDD70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）支持在学情统计中检索节点，帮助用户快速定位特定节点的完成率/掌握率</w:t>
            </w:r>
          </w:p>
          <w:p w14:paraId="7D657D0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）课程总览支持创意的词云形式，展示学习中的热门知识点，直观地反映学习的重点和热点</w:t>
            </w:r>
          </w:p>
          <w:p w14:paraId="467AC83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）知识点学习情况分析通过图形化的方式，提供班级学习的整体视图，包括完成率和掌握率</w:t>
            </w:r>
          </w:p>
          <w:p w14:paraId="5D9D43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）支持对知识点掌握情况深入分析，同时展示学生知识点掌握率和知识点完成率的前五名，以此凸显学习成效的佼佼者</w:t>
            </w:r>
          </w:p>
          <w:p w14:paraId="374394E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）支持全面审视所有学生的数据，提供两种不同的视角来观察这些数据：从知识点出发或从学生个体出发</w:t>
            </w:r>
          </w:p>
          <w:p w14:paraId="27C28478">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2.知识点统计</w:t>
            </w:r>
          </w:p>
          <w:p w14:paraId="706156A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）分类卡片综合展示关键信息，如标题、描述、知识点及其资源和标签概览，提供非任务点与任务点的数量统计</w:t>
            </w:r>
          </w:p>
          <w:p w14:paraId="249A37A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）用户可通过点击卡片进入详情页面，页面细分为六个核心部分，全面覆盖分类的各个方面</w:t>
            </w:r>
          </w:p>
          <w:p w14:paraId="4030CE5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）知识点与资源关联展示知识点数量及其关联的资源总数，揭示知识点的内容丰富度</w:t>
            </w:r>
          </w:p>
          <w:p w14:paraId="6C7B43E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）知识点微课入口支持以列表形式展示知识点标签，并允许一键跳转至相关微课，增强学习的直接性和便捷性</w:t>
            </w:r>
          </w:p>
          <w:p w14:paraId="2F79C25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）知识点标签支持展示分类下所有知识点的标签数量，包括考点、重点和难点，以助于用户识别关键学习领域</w:t>
            </w:r>
          </w:p>
          <w:p w14:paraId="6319F5C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）知识点建设情况支持以柱状图形式展示每个知识点的关联资源数量，提供资源分配的视觉比较</w:t>
            </w:r>
          </w:p>
          <w:p w14:paraId="462DFF8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7</w:t>
            </w:r>
            <w:r>
              <w:rPr>
                <w:rFonts w:hint="eastAsia" w:ascii="宋体" w:hAnsi="宋体" w:cs="宋体"/>
                <w:snapToGrid w:val="0"/>
                <w:color w:val="000000" w:themeColor="text1"/>
                <w:szCs w:val="21"/>
                <w:highlight w:val="none"/>
                <w:lang w:val="zh-CN"/>
                <w14:textFill>
                  <w14:solidFill>
                    <w14:schemeClr w14:val="tx1"/>
                  </w14:solidFill>
                </w14:textFill>
              </w:rPr>
              <w:t>）支持以班级为单位，展示不同班级之间的知识点平均掌握率和知识点平均完成率，反映学习成效和掌握程度</w:t>
            </w:r>
          </w:p>
          <w:p w14:paraId="7782152C">
            <w:pPr>
              <w:widowControl/>
              <w:kinsoku w:val="0"/>
              <w:wordWrap w:val="0"/>
              <w:autoSpaceDE w:val="0"/>
              <w:autoSpaceDN w:val="0"/>
              <w:adjustRightInd w:val="0"/>
              <w:snapToGrid w:val="0"/>
              <w:spacing w:line="360" w:lineRule="auto"/>
              <w:jc w:val="left"/>
              <w:textAlignment w:val="center"/>
              <w:outlineLvl w:val="1"/>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3.课程数据总览</w:t>
            </w:r>
          </w:p>
          <w:p w14:paraId="1A32D1C2">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提供课程数据总览，能多维度查看课程数据分析，基础数据、课堂报告、学情统计、学生成绩、学习监控。</w:t>
            </w:r>
          </w:p>
          <w:p w14:paraId="4F7CDA6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）基础数据包含学生人数、学习任务、班级、作业、考试、课堂活动、讨论区话题数；</w:t>
            </w:r>
          </w:p>
          <w:p w14:paraId="3A29952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）教学建设情况统计分析，含课程章节、课程资料、知识库、题库建设数据分析；</w:t>
            </w:r>
          </w:p>
          <w:p w14:paraId="6D6BAFD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）AI使用情况统计分析，含AI应用和AI指令建设数量，调用情况，AI分析题目数、AI生产资源数、AI智能体会话数等；</w:t>
            </w:r>
          </w:p>
          <w:p w14:paraId="499447F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）学习监控包括学生成绩、学生学习进度、教学预警、知识点、资源、任务点、资料和评估活动的统计分析及导出；</w:t>
            </w:r>
          </w:p>
          <w:p w14:paraId="1737D7C3">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64" w:name="_Toc17538"/>
            <w:r>
              <w:rPr>
                <w:rFonts w:hint="eastAsia" w:ascii="宋体" w:hAnsi="宋体" w:cs="宋体"/>
                <w:b/>
                <w:bCs/>
                <w:snapToGrid w:val="0"/>
                <w:color w:val="000000" w:themeColor="text1"/>
                <w:szCs w:val="21"/>
                <w:highlight w:val="none"/>
                <w14:textFill>
                  <w14:solidFill>
                    <w14:schemeClr w14:val="tx1"/>
                  </w14:solidFill>
                </w14:textFill>
              </w:rPr>
              <w:t>七、任务引擎建设</w:t>
            </w:r>
            <w:bookmarkEnd w:id="64"/>
          </w:p>
          <w:p w14:paraId="6A8185D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1.以能力培养为导向的任务设计，适配多种教学模式</w:t>
            </w:r>
          </w:p>
          <w:p w14:paraId="3C93DA7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50F75749">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2.任务功能模块配置</w:t>
            </w:r>
          </w:p>
          <w:p w14:paraId="495987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）支持新建、编辑、发布、管理和删除任务，并针对任务数据进行自定义排序、指定、创建文件夹进行归纳；</w:t>
            </w:r>
          </w:p>
          <w:p w14:paraId="39C4F63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）支持AI生成任务，提高老师任务创建效率。</w:t>
            </w:r>
          </w:p>
          <w:p w14:paraId="408CFDD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）支持按照章节，教案，文本三种方式AI生成任务基本信息和任务点内容，简化老师任务设计工作，提高任务的建设质量。</w:t>
            </w:r>
          </w:p>
          <w:p w14:paraId="7EB1728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）支持点击新建任务，跳转至任务编辑页面，进行基本信息编辑和任务设计工作；</w:t>
            </w:r>
          </w:p>
          <w:p w14:paraId="65790EF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）支持编辑任务基本信息，包括任务名称、任务封面、任务介绍和选择任务标签，任务标签支持对接数据源，按照单位设置展示标签内容；</w:t>
            </w:r>
          </w:p>
          <w:p w14:paraId="20F0A68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）支持切换标签页跳转任务设计页面，添加分组，添加任务点和设置闯关达标条件；</w:t>
            </w:r>
          </w:p>
          <w:p w14:paraId="2D42266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6303B40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8</w:t>
            </w:r>
            <w:r>
              <w:rPr>
                <w:rFonts w:hint="eastAsia" w:ascii="宋体" w:hAnsi="宋体" w:cs="宋体"/>
                <w:snapToGrid w:val="0"/>
                <w:color w:val="000000" w:themeColor="text1"/>
                <w:szCs w:val="21"/>
                <w:highlight w:val="none"/>
                <w:lang w:val="zh-CN"/>
                <w14:textFill>
                  <w14:solidFill>
                    <w14:schemeClr w14:val="tx1"/>
                  </w14:solidFill>
                </w14:textFill>
              </w:rPr>
              <w:t>）支持直接添加当前课下资源和当前登录用户的其他课程资源到任务下，同时支持点击添加跳转到指定页面进行资源添加；</w:t>
            </w:r>
          </w:p>
          <w:p w14:paraId="0FA17E8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9</w:t>
            </w:r>
            <w:r>
              <w:rPr>
                <w:rFonts w:hint="eastAsia" w:ascii="宋体" w:hAnsi="宋体" w:cs="宋体"/>
                <w:snapToGrid w:val="0"/>
                <w:color w:val="000000" w:themeColor="text1"/>
                <w:szCs w:val="21"/>
                <w:highlight w:val="none"/>
                <w:lang w:val="zh-CN"/>
                <w14:textFill>
                  <w14:solidFill>
                    <w14:schemeClr w14:val="tx1"/>
                  </w14:solidFill>
                </w14:textFill>
              </w:rPr>
              <w:t>）支持在任务点上设置闯关条件，学生需要达到任务点设置的完成条件才能够学习下一个任务点，不同类型任务点闯关条件不同；</w:t>
            </w:r>
          </w:p>
          <w:p w14:paraId="00648546">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10</w:t>
            </w:r>
            <w:r>
              <w:rPr>
                <w:rFonts w:hint="eastAsia" w:ascii="宋体" w:hAnsi="宋体" w:cs="宋体"/>
                <w:snapToGrid w:val="0"/>
                <w:color w:val="000000" w:themeColor="text1"/>
                <w:szCs w:val="21"/>
                <w:highlight w:val="none"/>
                <w:lang w:val="zh-CN"/>
                <w14:textFill>
                  <w14:solidFill>
                    <w14:schemeClr w14:val="tx1"/>
                  </w14:solidFill>
                </w14:textFill>
              </w:rPr>
              <w:t>）支持在任务分组上设置组间闯关条件，学生需要达到组间闯关设置的完成条件后才能够学习下个分组，不同类型任务点闯关条件不同；</w:t>
            </w:r>
          </w:p>
          <w:p w14:paraId="6EAAF9C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11</w:t>
            </w:r>
            <w:r>
              <w:rPr>
                <w:rFonts w:hint="eastAsia" w:ascii="宋体" w:hAnsi="宋体" w:cs="宋体"/>
                <w:snapToGrid w:val="0"/>
                <w:color w:val="000000" w:themeColor="text1"/>
                <w:szCs w:val="21"/>
                <w:highlight w:val="none"/>
                <w:lang w:val="zh-CN"/>
                <w14:textFill>
                  <w14:solidFill>
                    <w14:schemeClr w14:val="tx1"/>
                  </w14:solidFill>
                </w14:textFill>
              </w:rPr>
              <w:t>）支持在任务设计上设置达标标准，学生完成达标标准后，整个任务学习完成，学生可以领取相应的任务达标证书；</w:t>
            </w:r>
          </w:p>
          <w:p w14:paraId="3960F08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12</w:t>
            </w:r>
            <w:r>
              <w:rPr>
                <w:rFonts w:hint="eastAsia" w:ascii="宋体" w:hAnsi="宋体" w:cs="宋体"/>
                <w:snapToGrid w:val="0"/>
                <w:color w:val="000000" w:themeColor="text1"/>
                <w:szCs w:val="21"/>
                <w:highlight w:val="none"/>
                <w:lang w:val="zh-CN"/>
                <w14:textFill>
                  <w14:solidFill>
                    <w14:schemeClr w14:val="tx1"/>
                  </w14:solidFill>
                </w14:textFill>
              </w:rPr>
              <w:t>）支持在任务的分组下添加任务点，任务点类型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315B3658">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13</w:t>
            </w:r>
            <w:r>
              <w:rPr>
                <w:rFonts w:hint="eastAsia" w:ascii="宋体" w:hAnsi="宋体" w:cs="宋体"/>
                <w:snapToGrid w:val="0"/>
                <w:color w:val="000000" w:themeColor="text1"/>
                <w:szCs w:val="21"/>
                <w:highlight w:val="none"/>
                <w:lang w:val="zh-CN"/>
                <w14:textFill>
                  <w14:solidFill>
                    <w14:schemeClr w14:val="tx1"/>
                  </w14:solidFill>
                </w14:textFill>
              </w:rPr>
              <w:t>）针对自定义类型任务点，增加“签到”按钮，方便老师发放签到给学生；</w:t>
            </w:r>
          </w:p>
          <w:p w14:paraId="4132F60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14</w:t>
            </w:r>
            <w:r>
              <w:rPr>
                <w:rFonts w:hint="eastAsia" w:ascii="宋体" w:hAnsi="宋体" w:cs="宋体"/>
                <w:snapToGrid w:val="0"/>
                <w:color w:val="000000" w:themeColor="text1"/>
                <w:szCs w:val="21"/>
                <w:highlight w:val="none"/>
                <w:lang w:val="zh-CN"/>
                <w14:textFill>
                  <w14:solidFill>
                    <w14:schemeClr w14:val="tx1"/>
                  </w14:solidFill>
                </w14:textFill>
              </w:rPr>
              <w:t>）任务中可插入PBL教学：支持开展分组教学活动，支持多种分组方式，包含固定分组、自选分组、组长建组、随机分组、面对面建组、不分组等分组方式；</w:t>
            </w:r>
          </w:p>
          <w:p w14:paraId="51E5E54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15</w:t>
            </w:r>
            <w:r>
              <w:rPr>
                <w:rFonts w:hint="eastAsia" w:ascii="宋体" w:hAnsi="宋体" w:cs="宋体"/>
                <w:snapToGrid w:val="0"/>
                <w:color w:val="000000" w:themeColor="text1"/>
                <w:szCs w:val="21"/>
                <w:highlight w:val="none"/>
                <w:lang w:val="zh-CN"/>
                <w14:textFill>
                  <w14:solidFill>
                    <w14:schemeClr w14:val="tx1"/>
                  </w14:solidFill>
                </w14:textFill>
              </w:rPr>
              <w:t>）活动支持教师评价、组内评价、组间评价、自评等多种评价相结合，支持分项评分指标设置；</w:t>
            </w:r>
          </w:p>
          <w:p w14:paraId="6E8189C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16</w:t>
            </w:r>
            <w:r>
              <w:rPr>
                <w:rFonts w:hint="eastAsia" w:ascii="宋体" w:hAnsi="宋体" w:cs="宋体"/>
                <w:snapToGrid w:val="0"/>
                <w:color w:val="000000" w:themeColor="text1"/>
                <w:szCs w:val="21"/>
                <w:highlight w:val="none"/>
                <w:lang w:val="zh-CN"/>
                <w14:textFill>
                  <w14:solidFill>
                    <w14:schemeClr w14:val="tx1"/>
                  </w14:solidFill>
                </w14:textFill>
              </w:rPr>
              <w:t>）课程成绩权重支持分组任务明细分配，不同活动可设置不同考核权重。</w:t>
            </w:r>
          </w:p>
          <w:p w14:paraId="79F061A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7）支持在任务的分组下添加任务点，任务点类型</w:t>
            </w:r>
            <w:r>
              <w:rPr>
                <w:rFonts w:hint="eastAsia" w:ascii="宋体" w:hAnsi="宋体" w:cs="宋体"/>
                <w:snapToGrid w:val="0"/>
                <w:color w:val="000000" w:themeColor="text1"/>
                <w:szCs w:val="21"/>
                <w:highlight w:val="none"/>
                <w:lang w:val="en-US" w:eastAsia="zh-CN"/>
                <w14:textFill>
                  <w14:solidFill>
                    <w14:schemeClr w14:val="tx1"/>
                  </w14:solidFill>
                </w14:textFill>
              </w:rPr>
              <w:t>至少</w:t>
            </w:r>
            <w:r>
              <w:rPr>
                <w:rFonts w:hint="eastAsia" w:ascii="宋体" w:hAnsi="宋体" w:cs="宋体"/>
                <w:snapToGrid w:val="0"/>
                <w:color w:val="000000" w:themeColor="text1"/>
                <w:szCs w:val="21"/>
                <w:highlight w:val="none"/>
                <w:lang w:val="zh-CN"/>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hint="eastAsia" w:ascii="宋体" w:hAnsi="宋体" w:cs="宋体"/>
                <w:snapToGrid w:val="0"/>
                <w:color w:val="000000" w:themeColor="text1"/>
                <w:szCs w:val="21"/>
                <w:highlight w:val="none"/>
                <w:lang w:val="zh-CN"/>
                <w14:textFill>
                  <w14:solidFill>
                    <w14:schemeClr w14:val="tx1"/>
                  </w14:solidFill>
                </w14:textFill>
              </w:rPr>
              <w:t>类型；</w:t>
            </w:r>
          </w:p>
          <w:p w14:paraId="3129BEB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18</w:t>
            </w:r>
            <w:r>
              <w:rPr>
                <w:rFonts w:hint="eastAsia" w:ascii="宋体" w:hAnsi="宋体" w:cs="宋体"/>
                <w:snapToGrid w:val="0"/>
                <w:color w:val="000000" w:themeColor="text1"/>
                <w:szCs w:val="21"/>
                <w:highlight w:val="none"/>
                <w:lang w:val="zh-CN"/>
                <w14:textFill>
                  <w14:solidFill>
                    <w14:schemeClr w14:val="tx1"/>
                  </w14:solidFill>
                </w14:textFill>
              </w:rPr>
              <w:t>）支持针对任务点开启高阶闯关模式，使不同成绩学生后续学习的内容不一样，满足教师个性化教学的场景；</w:t>
            </w:r>
          </w:p>
          <w:p w14:paraId="10277C4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19</w:t>
            </w:r>
            <w:r>
              <w:rPr>
                <w:rFonts w:hint="eastAsia" w:ascii="宋体" w:hAnsi="宋体" w:cs="宋体"/>
                <w:snapToGrid w:val="0"/>
                <w:color w:val="000000" w:themeColor="text1"/>
                <w:szCs w:val="21"/>
                <w:highlight w:val="none"/>
                <w:lang w:val="zh-CN"/>
                <w14:textFill>
                  <w14:solidFill>
                    <w14:schemeClr w14:val="tx1"/>
                  </w14:solidFill>
                </w14:textFill>
              </w:rPr>
              <w:t>）任务引擎支持选课功能，支持教师选择部分资源作为任务包，学生选择部分任务点进行选择性学习；</w:t>
            </w:r>
          </w:p>
          <w:p w14:paraId="7520BB6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20</w:t>
            </w:r>
            <w:r>
              <w:rPr>
                <w:rFonts w:hint="eastAsia" w:ascii="宋体" w:hAnsi="宋体" w:cs="宋体"/>
                <w:snapToGrid w:val="0"/>
                <w:color w:val="000000" w:themeColor="text1"/>
                <w:szCs w:val="21"/>
                <w:highlight w:val="none"/>
                <w:lang w:val="zh-CN"/>
                <w14:textFill>
                  <w14:solidFill>
                    <w14:schemeClr w14:val="tx1"/>
                  </w14:solidFill>
                </w14:textFill>
              </w:rPr>
              <w:t>）支持任务克隆功能，支持克隆给自己和克隆给他人两种方式，提高任务的复用性；</w:t>
            </w:r>
          </w:p>
          <w:p w14:paraId="55CDF73A">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21</w:t>
            </w:r>
            <w:r>
              <w:rPr>
                <w:rFonts w:hint="eastAsia" w:ascii="宋体" w:hAnsi="宋体" w:cs="宋体"/>
                <w:snapToGrid w:val="0"/>
                <w:color w:val="000000" w:themeColor="text1"/>
                <w:szCs w:val="21"/>
                <w:highlight w:val="none"/>
                <w:lang w:val="zh-CN"/>
                <w14:textFill>
                  <w14:solidFill>
                    <w14:schemeClr w14:val="tx1"/>
                  </w14:solidFill>
                </w14:textFill>
              </w:rPr>
              <w:t>）支持针对任务进行报名设置工作，教师可以选择开启报名，报名需要填写信息，报名需要审批三种方式，邀请学生报名任务，同时支持查看报名信息。</w:t>
            </w:r>
          </w:p>
          <w:p w14:paraId="534769AF">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3.学生任务学习</w:t>
            </w:r>
            <w:r>
              <w:rPr>
                <w:rFonts w:hint="eastAsia" w:ascii="宋体" w:hAnsi="宋体" w:cs="宋体"/>
                <w:b/>
                <w:bCs/>
                <w:snapToGrid w:val="0"/>
                <w:color w:val="000000" w:themeColor="text1"/>
                <w:szCs w:val="21"/>
                <w:highlight w:val="none"/>
                <w:lang w:val="zh-CN"/>
                <w14:textFill>
                  <w14:solidFill>
                    <w14:schemeClr w14:val="tx1"/>
                  </w14:solidFill>
                </w14:textFill>
              </w:rPr>
              <w:tab/>
            </w:r>
          </w:p>
          <w:p w14:paraId="6761336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）支持学生点击个人空间－我的任务查看我的任务列表，支持学生点击课程－任务查看我的任务</w:t>
            </w:r>
          </w:p>
          <w:p w14:paraId="59F2C4F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）点击进入学习，支持学生查看任务的基本信息，达标情况和解锁情况</w:t>
            </w:r>
          </w:p>
          <w:p w14:paraId="7625ED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）支持点击达标按钮，查看学生当前的达标情况</w:t>
            </w:r>
          </w:p>
          <w:p w14:paraId="23A73E8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）任务设置发放证书后，任务达标后支持点击证书按钮，进行证书查看、下载操作。</w:t>
            </w:r>
          </w:p>
          <w:p w14:paraId="509A87FE">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5</w:t>
            </w:r>
            <w:r>
              <w:rPr>
                <w:rFonts w:hint="eastAsia" w:ascii="宋体" w:hAnsi="宋体" w:cs="宋体"/>
                <w:snapToGrid w:val="0"/>
                <w:color w:val="000000" w:themeColor="text1"/>
                <w:szCs w:val="21"/>
                <w:highlight w:val="none"/>
                <w:lang w:val="zh-CN"/>
                <w14:textFill>
                  <w14:solidFill>
                    <w14:schemeClr w14:val="tx1"/>
                  </w14:solidFill>
                </w14:textFill>
              </w:rPr>
              <w:t>）支持切换不同类型的学习路径（列表模式、框架模式、图谱模式），方便学生个性化学习</w:t>
            </w:r>
          </w:p>
          <w:p w14:paraId="599A709C">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6</w:t>
            </w:r>
            <w:r>
              <w:rPr>
                <w:rFonts w:hint="eastAsia" w:ascii="宋体" w:hAnsi="宋体" w:cs="宋体"/>
                <w:snapToGrid w:val="0"/>
                <w:color w:val="000000" w:themeColor="text1"/>
                <w:szCs w:val="21"/>
                <w:highlight w:val="none"/>
                <w:lang w:val="zh-CN"/>
                <w14:textFill>
                  <w14:solidFill>
                    <w14:schemeClr w14:val="tx1"/>
                  </w14:solidFill>
                </w14:textFill>
              </w:rPr>
              <w:t>）支持学生点击任务点进行学习，学习后返回任务详情，支持学生查看自己任务点的最新完成情况和待完成分组、任务点的解锁情况</w:t>
            </w:r>
          </w:p>
          <w:p w14:paraId="005E5B60">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4.任务运行达成数据统计</w:t>
            </w:r>
          </w:p>
          <w:p w14:paraId="122F40D0">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1</w:t>
            </w:r>
            <w:r>
              <w:rPr>
                <w:rFonts w:hint="eastAsia" w:ascii="宋体" w:hAnsi="宋体" w:cs="宋体"/>
                <w:snapToGrid w:val="0"/>
                <w:color w:val="000000" w:themeColor="text1"/>
                <w:szCs w:val="21"/>
                <w:highlight w:val="none"/>
                <w:lang w:val="zh-CN"/>
                <w14:textFill>
                  <w14:solidFill>
                    <w14:schemeClr w14:val="tx1"/>
                  </w14:solidFill>
                </w14:textFill>
              </w:rPr>
              <w:t>）学情分析页面展示学生、任务点数据和概览统计情况，方便教师一键明确学生和任务点的完成情况；</w:t>
            </w:r>
          </w:p>
          <w:p w14:paraId="574B6C65">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2</w:t>
            </w:r>
            <w:r>
              <w:rPr>
                <w:rFonts w:hint="eastAsia" w:ascii="宋体" w:hAnsi="宋体" w:cs="宋体"/>
                <w:snapToGrid w:val="0"/>
                <w:color w:val="000000" w:themeColor="text1"/>
                <w:szCs w:val="21"/>
                <w:highlight w:val="none"/>
                <w:lang w:val="zh-CN"/>
                <w14:textFill>
                  <w14:solidFill>
                    <w14:schemeClr w14:val="tx1"/>
                  </w14:solidFill>
                </w14:textFill>
              </w:rPr>
              <w:t>）支持督学，有督学和批量督学按钮，支持针对不满足学习进度的学生、单个学生、多个学生进行发放督学通知，督促学生学习。</w:t>
            </w:r>
          </w:p>
          <w:p w14:paraId="4A957947">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w:t>
            </w:r>
            <w:r>
              <w:rPr>
                <w:rFonts w:hint="eastAsia" w:ascii="宋体" w:hAnsi="宋体" w:cs="宋体"/>
                <w:snapToGrid w:val="0"/>
                <w:color w:val="000000" w:themeColor="text1"/>
                <w:szCs w:val="21"/>
                <w:highlight w:val="none"/>
                <w14:textFill>
                  <w14:solidFill>
                    <w14:schemeClr w14:val="tx1"/>
                  </w14:solidFill>
                </w14:textFill>
              </w:rPr>
              <w:t>3</w:t>
            </w:r>
            <w:r>
              <w:rPr>
                <w:rFonts w:hint="eastAsia" w:ascii="宋体" w:hAnsi="宋体" w:cs="宋体"/>
                <w:snapToGrid w:val="0"/>
                <w:color w:val="000000" w:themeColor="text1"/>
                <w:szCs w:val="21"/>
                <w:highlight w:val="none"/>
                <w:lang w:val="zh-CN"/>
                <w14:textFill>
                  <w14:solidFill>
                    <w14:schemeClr w14:val="tx1"/>
                  </w14:solidFill>
                </w14:textFill>
              </w:rPr>
              <w:t>）提供移动端应用功能，教师可以通过移动端进行简单的任务管理工作；</w:t>
            </w:r>
          </w:p>
          <w:p w14:paraId="31EF26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（4）</w:t>
            </w:r>
            <w:r>
              <w:rPr>
                <w:rFonts w:hint="eastAsia" w:ascii="宋体" w:hAnsi="宋体" w:cs="宋体"/>
                <w:snapToGrid w:val="0"/>
                <w:color w:val="000000" w:themeColor="text1"/>
                <w:szCs w:val="21"/>
                <w:highlight w:val="none"/>
                <w:lang w:val="zh-CN"/>
                <w14:textFill>
                  <w14:solidFill>
                    <w14:schemeClr w14:val="tx1"/>
                  </w14:solidFill>
                </w14:textFill>
              </w:rPr>
              <w:t>学生可以通过移动端进行任务学习、查看达标状态、查看证书的工作。</w:t>
            </w:r>
          </w:p>
          <w:p w14:paraId="13977FF2">
            <w:pPr>
              <w:widowControl/>
              <w:kinsoku w:val="0"/>
              <w:wordWrap w:val="0"/>
              <w:autoSpaceDE w:val="0"/>
              <w:autoSpaceDN w:val="0"/>
              <w:adjustRightInd w:val="0"/>
              <w:snapToGrid w:val="0"/>
              <w:spacing w:line="360" w:lineRule="auto"/>
              <w:jc w:val="left"/>
              <w:textAlignment w:val="center"/>
              <w:outlineLvl w:val="0"/>
              <w:rPr>
                <w:rFonts w:hint="eastAsia" w:ascii="宋体" w:hAnsi="宋体" w:cs="宋体"/>
                <w:b/>
                <w:bCs/>
                <w:snapToGrid w:val="0"/>
                <w:color w:val="000000" w:themeColor="text1"/>
                <w:szCs w:val="21"/>
                <w:highlight w:val="none"/>
                <w14:textFill>
                  <w14:solidFill>
                    <w14:schemeClr w14:val="tx1"/>
                  </w14:solidFill>
                </w14:textFill>
              </w:rPr>
            </w:pPr>
            <w:bookmarkStart w:id="65" w:name="_Toc2285"/>
            <w:r>
              <w:rPr>
                <w:rFonts w:hint="eastAsia" w:ascii="宋体" w:hAnsi="宋体" w:cs="宋体"/>
                <w:b/>
                <w:bCs/>
                <w:snapToGrid w:val="0"/>
                <w:color w:val="000000" w:themeColor="text1"/>
                <w:szCs w:val="21"/>
                <w:highlight w:val="none"/>
                <w14:textFill>
                  <w14:solidFill>
                    <w14:schemeClr w14:val="tx1"/>
                  </w14:solidFill>
                </w14:textFill>
              </w:rPr>
              <w:t>八、系统对接服务</w:t>
            </w:r>
            <w:bookmarkEnd w:id="65"/>
          </w:p>
          <w:p w14:paraId="4202AAEB">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1.运维性能要求</w:t>
            </w:r>
          </w:p>
          <w:p w14:paraId="207F688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（1）持续更新平台模板、模块样式与应用功能，适配医学教学场景需求。</w:t>
            </w:r>
          </w:p>
          <w:p w14:paraId="78C5A4A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（2）采用响应式设计，支持PC端、移动端自适应访问，保障多终端使用体验。</w:t>
            </w:r>
          </w:p>
          <w:p w14:paraId="6462BAF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（3）提供数据备份与恢复服务，全方位保障平台数据安全。</w:t>
            </w:r>
          </w:p>
          <w:p w14:paraId="68D74B99">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（4）提供完善的系统运维、技术支持与操作培训服务，保障平台稳定运行。</w:t>
            </w:r>
          </w:p>
          <w:p w14:paraId="3AE44D5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（5）支持对外提供平台统计数据，满足院校数据统计与管理需求。</w:t>
            </w:r>
          </w:p>
          <w:p w14:paraId="38111DE1">
            <w:pPr>
              <w:widowControl/>
              <w:kinsoku w:val="0"/>
              <w:wordWrap w:val="0"/>
              <w:autoSpaceDE w:val="0"/>
              <w:autoSpaceDN w:val="0"/>
              <w:adjustRightInd w:val="0"/>
              <w:snapToGrid w:val="0"/>
              <w:spacing w:line="360" w:lineRule="auto"/>
              <w:jc w:val="left"/>
              <w:textAlignment w:val="center"/>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2.系统对接要求</w:t>
            </w:r>
          </w:p>
          <w:p w14:paraId="352C4AB3">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（1）提供与学校指定现有系统（如教务系统、统一认证系统、图书馆系统等）深度对接的全程服务，涵盖方案设计、接口开发、联调测试及数据迁移验证全流程。</w:t>
            </w:r>
          </w:p>
          <w:p w14:paraId="1AD28524">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（2）支持对接学校统一身份认证系统，实现单点登录功能，便捷进入平台。</w:t>
            </w:r>
          </w:p>
          <w:p w14:paraId="7054B3A1">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（3）支持通过数据视图、接口等方式对接学校教务管理数据（含学生、教师、课程、选课等相关数据），并进行定期维护与更新，实现教务数据同步。</w:t>
            </w:r>
          </w:p>
          <w:p w14:paraId="2D28A64D">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szCs w:val="21"/>
                <w:highlight w:val="none"/>
                <w:lang w:val="zh-CN"/>
                <w14:textFill>
                  <w14:solidFill>
                    <w14:schemeClr w14:val="tx1"/>
                  </w14:solidFill>
                </w14:textFill>
              </w:rPr>
              <w:t>（4）支持对接学校现有课程教学平台的课程资源数据和运行数据，保障信息化教学的延续性与完整性。</w:t>
            </w:r>
          </w:p>
        </w:tc>
        <w:tc>
          <w:tcPr>
            <w:tcW w:w="364" w:type="pct"/>
            <w:vAlign w:val="center"/>
          </w:tcPr>
          <w:p w14:paraId="3302CCFA">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门</w:t>
            </w:r>
          </w:p>
        </w:tc>
        <w:tc>
          <w:tcPr>
            <w:tcW w:w="381" w:type="pct"/>
            <w:vAlign w:val="center"/>
          </w:tcPr>
          <w:p w14:paraId="1C0FE82F">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p>
        </w:tc>
      </w:tr>
      <w:tr w14:paraId="1740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1" w:type="pct"/>
            <w:tcMar>
              <w:top w:w="13" w:type="dxa"/>
              <w:left w:w="57" w:type="dxa"/>
              <w:bottom w:w="0" w:type="dxa"/>
              <w:right w:w="57" w:type="dxa"/>
            </w:tcMar>
            <w:vAlign w:val="center"/>
          </w:tcPr>
          <w:p w14:paraId="22308A81">
            <w:pPr>
              <w:widowControl/>
              <w:kinsoku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14:textFill>
                  <w14:solidFill>
                    <w14:schemeClr w14:val="tx1"/>
                  </w14:solidFill>
                </w14:textFill>
              </w:rPr>
              <w:t>7</w:t>
            </w:r>
          </w:p>
        </w:tc>
        <w:tc>
          <w:tcPr>
            <w:tcW w:w="683" w:type="pct"/>
            <w:gridSpan w:val="2"/>
            <w:tcMar>
              <w:top w:w="13" w:type="dxa"/>
              <w:left w:w="57" w:type="dxa"/>
              <w:bottom w:w="0" w:type="dxa"/>
              <w:right w:w="57" w:type="dxa"/>
            </w:tcMar>
            <w:vAlign w:val="center"/>
          </w:tcPr>
          <w:p w14:paraId="0282E5A9">
            <w:pPr>
              <w:widowControl/>
              <w:kinsoku w:val="0"/>
              <w:wordWrap w:val="0"/>
              <w:autoSpaceDE w:val="0"/>
              <w:autoSpaceDN w:val="0"/>
              <w:adjustRightInd w:val="0"/>
              <w:snapToGrid w:val="0"/>
              <w:jc w:val="center"/>
              <w:textAlignment w:val="center"/>
              <w:rPr>
                <w:rFonts w:hint="eastAsia" w:ascii="宋体" w:hAnsi="宋体" w:cs="宋体"/>
                <w:b/>
                <w:bCs/>
                <w:snapToGrid w:val="0"/>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szCs w:val="21"/>
                <w:highlight w:val="none"/>
                <w:lang w:val="zh-CN"/>
                <w14:textFill>
                  <w14:solidFill>
                    <w14:schemeClr w14:val="tx1"/>
                  </w14:solidFill>
                </w14:textFill>
              </w:rPr>
              <w:t>教学医院案例库建设</w:t>
            </w:r>
            <w:r>
              <w:rPr>
                <w:rFonts w:hint="eastAsia" w:ascii="宋体" w:hAnsi="宋体" w:cs="宋体"/>
                <w:b/>
                <w:bCs/>
                <w:snapToGrid w:val="0"/>
                <w:color w:val="000000" w:themeColor="text1"/>
                <w:szCs w:val="21"/>
                <w:highlight w:val="none"/>
                <w14:textFill>
                  <w14:solidFill>
                    <w14:schemeClr w14:val="tx1"/>
                  </w14:solidFill>
                </w14:textFill>
              </w:rPr>
              <w:t>服务项目</w:t>
            </w:r>
          </w:p>
        </w:tc>
        <w:tc>
          <w:tcPr>
            <w:tcW w:w="3298" w:type="pct"/>
            <w:tcMar>
              <w:top w:w="13" w:type="dxa"/>
              <w:left w:w="57" w:type="dxa"/>
              <w:bottom w:w="0" w:type="dxa"/>
              <w:right w:w="57" w:type="dxa"/>
            </w:tcMar>
            <w:vAlign w:val="center"/>
          </w:tcPr>
          <w:p w14:paraId="1D0E9205">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一、教学医院案例库建设基本要求</w:t>
            </w:r>
          </w:p>
          <w:p w14:paraId="50A87E6E">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1.补充整合各教学医院特色案例资源，重点收录专科优势案例、罕见病例，丰富案例库层级，适配不同专业教学需求。</w:t>
            </w:r>
          </w:p>
          <w:p w14:paraId="1883DD09">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2.支持案例与课程、实训场景深度绑定，实现“案例+课程”“案例+实训”联动教学，强化理论与临床实践结合。</w:t>
            </w:r>
          </w:p>
          <w:p w14:paraId="548A782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3.新增案例互评功能，教师可对案例质量进行评分、点评，学生可结合案例发表诊疗见解，提升案例教学互动性。</w:t>
            </w:r>
          </w:p>
          <w:p w14:paraId="5E6B9C13">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4.对接教学医院临床带教系统，实现带教案例同步上传，支持带教老师标注带教重点，助力临床带教标准化。</w:t>
            </w:r>
          </w:p>
          <w:p w14:paraId="00D17AB9">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5.支持案例导出为教学课件、实训手册格式，方便教师快速应用于课堂教学、临床实训指导。</w:t>
            </w:r>
          </w:p>
          <w:p w14:paraId="009970A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6.新增案例分类标签管理，可按诊疗难度、教学阶段、专业方向设置标签，提升案例检索精准度。</w:t>
            </w:r>
          </w:p>
          <w:p w14:paraId="7EF7C50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7.支持跨教学医院案例共享，联动各合作医院共建优质案例资源池，实现资源优势互补。</w:t>
            </w:r>
          </w:p>
          <w:p w14:paraId="0AC65712">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8.新增案例教学效果反馈功能，统计案例应用于教学的频次、学生学习评价，为案例优化提供依据。</w:t>
            </w:r>
          </w:p>
          <w:p w14:paraId="30D0FCF1">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二、教学医院案例库基础管理功能</w:t>
            </w:r>
          </w:p>
          <w:p w14:paraId="2BB725D4">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1.案例库站点管理</w:t>
            </w:r>
          </w:p>
          <w:p w14:paraId="6CA24E2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（1）超级管理员和案例库管理员可新建教学医院案例库站点，设置或修改站点相关基础信息，可删除或查询站点，实现站点的集中化“增删改查”管理。案例库负责人可在站点管理页面查看自身负责的站点。</w:t>
            </w:r>
          </w:p>
          <w:p w14:paraId="59CC911C">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（2）支持多站点创建，每个教学医院可对应独立案例库站点，每个站点为完整的独立网站。系统管理员可创建多站点，并指定相关教师作为站点负责人，同时可对各站点的样式、导航等信息进行统一设置管理。</w:t>
            </w:r>
            <w:r>
              <w:rPr>
                <w:rFonts w:hint="eastAsia" w:ascii="宋体" w:hAnsi="宋体" w:cs="宋体"/>
                <w:b/>
                <w:bCs/>
                <w:snapToGrid w:val="0"/>
                <w:color w:val="000000" w:themeColor="text1"/>
                <w:kern w:val="0"/>
                <w:szCs w:val="21"/>
                <w:highlight w:val="none"/>
                <w:lang w:bidi="zh-CN"/>
                <w14:textFill>
                  <w14:solidFill>
                    <w14:schemeClr w14:val="tx1"/>
                  </w14:solidFill>
                </w14:textFill>
              </w:rPr>
              <w:t>（需提供相关功能截图并加盖供应商公章）</w:t>
            </w:r>
          </w:p>
          <w:p w14:paraId="4BBF034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（3）每个站点配备独立的导航与栏目管理，支持多级栏目建设，贴合教学医院案例展示、教学应用的实际需求。</w:t>
            </w:r>
          </w:p>
          <w:p w14:paraId="28E825B0">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案例库管理中，可进行案例库相关基础设置，对齐相关教育及医疗行业政策，支持区分主持和参建单位类型，设置案例库所属教学医院及服务范围，可上传编辑相关教学资料、案例库介绍及宣传视频等内容。</w:t>
            </w:r>
          </w:p>
          <w:p w14:paraId="54102A7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（5）配备案例库智能体，支持智能在线问答，解答案例库使用、案例查询、相关操作等各类问题，提升使用便捷性。</w:t>
            </w:r>
          </w:p>
          <w:p w14:paraId="2056BA2E">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2.教学医院专业管理</w:t>
            </w:r>
          </w:p>
          <w:p w14:paraId="6ED4C4F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（1）在专业管理功能中，可对站点内教学医院相关专业进行管理，支持单独专业站点及专业群组两种管理形式。</w:t>
            </w:r>
          </w:p>
          <w:p w14:paraId="0BCF2938">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（2）在专业群站点中，可实现对纳入群组的各专业站点的案例资源管理和数据统计，支持编辑专业相关信息、设置负责人、完善专业基础信息等操作。</w:t>
            </w:r>
          </w:p>
          <w:p w14:paraId="40DAFA4C">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3.数据管理</w:t>
            </w:r>
          </w:p>
          <w:p w14:paraId="1F816F9B">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支持查看当前教学医院案例库的各类基础数据，可自由配置数据是否在门户展示。数据涵盖访问量、案例素材总数、相关课程总数、用户总数、资源存储量、试题总量、视频总时长及各类用户数量、资源活跃情况等核心数据，全面反映案例库运行状态。</w:t>
            </w:r>
            <w:r>
              <w:rPr>
                <w:rFonts w:hint="eastAsia" w:ascii="宋体" w:hAnsi="宋体" w:cs="宋体"/>
                <w:b/>
                <w:bCs/>
                <w:snapToGrid w:val="0"/>
                <w:color w:val="000000" w:themeColor="text1"/>
                <w:kern w:val="0"/>
                <w:szCs w:val="21"/>
                <w:highlight w:val="none"/>
                <w:lang w:bidi="zh-CN"/>
                <w14:textFill>
                  <w14:solidFill>
                    <w14:schemeClr w14:val="tx1"/>
                  </w14:solidFill>
                </w14:textFill>
              </w:rPr>
              <w:t>（需提供相关功能截图并加盖供应商公章）</w:t>
            </w:r>
          </w:p>
          <w:p w14:paraId="4B6D65FA">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4.案例资源管理</w:t>
            </w:r>
          </w:p>
          <w:p w14:paraId="78CE586C">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4.1案例收集填报</w:t>
            </w:r>
          </w:p>
          <w:p w14:paraId="190E212B">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ascii="宋体" w:hAnsi="宋体" w:cs="宋体"/>
                <w:snapToGrid w:val="0"/>
                <w:color w:val="000000" w:themeColor="text1"/>
                <w:kern w:val="0"/>
                <w:szCs w:val="21"/>
                <w:highlight w:val="none"/>
                <w:lang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（1）</w:t>
            </w:r>
            <w:r>
              <w:rPr>
                <w:rFonts w:ascii="宋体" w:hAnsi="宋体" w:cs="宋体"/>
                <w:snapToGrid w:val="0"/>
                <w:color w:val="000000" w:themeColor="text1"/>
                <w:kern w:val="0"/>
                <w:szCs w:val="21"/>
                <w:highlight w:val="none"/>
                <w:lang w:bidi="zh-CN"/>
                <w14:textFill>
                  <w14:solidFill>
                    <w14:schemeClr w14:val="tx1"/>
                  </w14:solidFill>
                </w14:textFill>
              </w:rPr>
              <w:t>医学教学案例采集工具：支持新建案例表单、AI对话创建、Excel 批量导入、复制已有案例表单等多方式创建表单开展案例收集；支持字段显隐规则设置，满足条件时显示对应字段；支持动态审批流程配置，可在业务流转中实时获取节点人员，适配管理员、任课教师等开展医学教学案例收集及业务审批需求，可灵活调整审核人员。</w:t>
            </w:r>
            <w:r>
              <w:rPr>
                <w:rFonts w:hint="eastAsia" w:ascii="宋体" w:hAnsi="宋体" w:cs="宋体"/>
                <w:b/>
                <w:bCs/>
                <w:snapToGrid w:val="0"/>
                <w:color w:val="000000" w:themeColor="text1"/>
                <w:kern w:val="0"/>
                <w:szCs w:val="21"/>
                <w:highlight w:val="none"/>
                <w:lang w:bidi="zh-CN"/>
                <w14:textFill>
                  <w14:solidFill>
                    <w14:schemeClr w14:val="tx1"/>
                  </w14:solidFill>
                </w14:textFill>
              </w:rPr>
              <w:t>（需现场演示功能效果）</w:t>
            </w:r>
          </w:p>
          <w:p w14:paraId="50136BD2">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ascii="宋体" w:hAnsi="宋体" w:cs="宋体"/>
                <w:snapToGrid w:val="0"/>
                <w:color w:val="000000" w:themeColor="text1"/>
                <w:kern w:val="0"/>
                <w:szCs w:val="21"/>
                <w:highlight w:val="none"/>
                <w:lang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（2）</w:t>
            </w:r>
            <w:r>
              <w:rPr>
                <w:rFonts w:ascii="宋体" w:hAnsi="宋体" w:cs="宋体"/>
                <w:snapToGrid w:val="0"/>
                <w:color w:val="000000" w:themeColor="text1"/>
                <w:kern w:val="0"/>
                <w:szCs w:val="21"/>
                <w:highlight w:val="none"/>
                <w:lang w:bidi="zh-CN"/>
                <w14:textFill>
                  <w14:solidFill>
                    <w14:schemeClr w14:val="tx1"/>
                  </w14:solidFill>
                </w14:textFill>
              </w:rPr>
              <w:t>医学教学案例填写工具：支持AI智能填表，支持粘贴文本或上传文档，由AI自动识别医学教学案例关键信息并精准填充至对应表单字段，提升案例填报效率与准确性；支持AI公式智能编辑，支持通过自然语言对话方式描述公式需求，系统自动完成公式编写、符号匹配及目标字段自动插入，无需人工手动输入公式及符号，保障公式规范性与案例填报准确率。</w:t>
            </w:r>
            <w:r>
              <w:rPr>
                <w:rFonts w:hint="eastAsia" w:ascii="宋体" w:hAnsi="宋体" w:cs="宋体"/>
                <w:b/>
                <w:bCs/>
                <w:snapToGrid w:val="0"/>
                <w:color w:val="000000" w:themeColor="text1"/>
                <w:kern w:val="0"/>
                <w:szCs w:val="21"/>
                <w:highlight w:val="none"/>
                <w:lang w:bidi="zh-CN"/>
                <w14:textFill>
                  <w14:solidFill>
                    <w14:schemeClr w14:val="tx1"/>
                  </w14:solidFill>
                </w14:textFill>
              </w:rPr>
              <w:t>（需现场演示功能效果）</w:t>
            </w:r>
          </w:p>
          <w:p w14:paraId="75DC5860">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4.2资源管理</w:t>
            </w:r>
          </w:p>
          <w:p w14:paraId="0897F731">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（1）支持对案例库内的课程、案例素材、题库等资源进行增加、删除、修改、审核等全流程管理，保障资源质量。</w:t>
            </w:r>
          </w:p>
          <w:p w14:paraId="3F272BFF">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（2）课程管理中，支持按不同条件筛选课程，可通过多种方式添加课程，支持课程模板标记及引用，方便校内教师快速复用优质课程资源，可查看课程引用数据，支持基于示范课程二次建课。</w:t>
            </w:r>
            <w:r>
              <w:rPr>
                <w:rFonts w:hint="eastAsia" w:ascii="宋体" w:hAnsi="宋体" w:cs="宋体"/>
                <w:b/>
                <w:bCs/>
                <w:snapToGrid w:val="0"/>
                <w:color w:val="000000" w:themeColor="text1"/>
                <w:kern w:val="0"/>
                <w:szCs w:val="21"/>
                <w:highlight w:val="none"/>
                <w:lang w:bidi="zh-CN"/>
                <w14:textFill>
                  <w14:solidFill>
                    <w14:schemeClr w14:val="tx1"/>
                  </w14:solidFill>
                </w14:textFill>
              </w:rPr>
              <w:t>（需提供相关功能截图并加盖供应商公章）</w:t>
            </w:r>
          </w:p>
          <w:p w14:paraId="43BB8E3E">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（3）课程下的各类模块资源可自动同步到案例库，同步后按相关规则调整资源提交人信息。</w:t>
            </w:r>
          </w:p>
          <w:p w14:paraId="2CC872D0">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（4）素材管理中，支持按条件筛选案例素材，可对素材进行删除、信息修改、分类调整、下架及审核等操作，素材可通过多种方式添加，支持为素材添加标签，方便分类检索。</w:t>
            </w:r>
          </w:p>
          <w:p w14:paraId="6756A9DB">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（5）题库管理中，可按分类创建题库，支持多条件筛选，通过多种方式添加试题，支持题库的批量操作及导出，适配教学考核需求。</w:t>
            </w:r>
          </w:p>
          <w:p w14:paraId="595A47EC">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4.3分类管理</w:t>
            </w:r>
          </w:p>
          <w:p w14:paraId="36A4FE7E">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支持对案例库内的课程、素材及素材媒体类型进行分类管理，可自定义分类规则，上传资源时可对应选择分类栏目，门户中可配置对应栏目链接，实现前后台贯通，便于操作和检索，贴合教学医院案例分类展示需求。</w:t>
            </w:r>
          </w:p>
          <w:p w14:paraId="6BBF5E60">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（2）课程分类管理针对结构化课程开展，新建分类后可分配建设任务，支持分类的启用与禁用。</w:t>
            </w:r>
          </w:p>
          <w:p w14:paraId="14D95059">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（3）素材分类管理针对颗粒化素材开展，新建分类后可分配建设任务，支持分类的启用与禁用；素材媒体分类可根据教学医院专业特点，自由配置可选素材类型，禁用后不在上传界面显示。</w:t>
            </w:r>
          </w:p>
          <w:p w14:paraId="303F339E">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▲4.4资源审核</w:t>
            </w:r>
          </w:p>
          <w:p w14:paraId="0D4EF3AF">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（1）基于相关建设标准，制定严格的资源审核机制，支持移动端和PC端多终端审核，管理人员可随时随地处理审核任务，移动端审核任务以即时通知形式推送，审核通过的资源方可正常使用。</w:t>
            </w:r>
          </w:p>
          <w:p w14:paraId="3FF1C6AC">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（2）具备智能审核功能，可对各类资源进行智能纠错、敏感内容判断等，为管理员审核提供辅助依据，提升审核效率和质量。</w:t>
            </w:r>
          </w:p>
          <w:p w14:paraId="0A142411">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4.5资源编目</w:t>
            </w:r>
          </w:p>
          <w:p w14:paraId="2CD464D9">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（1）支持为上传的案例资源填写编目信息，系统可根据资源类型、上传来源、名称等自动提取部分编目信息，节省操作时间，便于后期检索和精准查找。</w:t>
            </w:r>
          </w:p>
          <w:p w14:paraId="5E40D36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（2）管理后台可自定义编目设置，配置各编目项的启用、禁用及必填状态，编目内容贴合教学医院案例特点，涵盖所属课程、关键字、适用对象、资源简介等相关信息。</w:t>
            </w:r>
          </w:p>
          <w:p w14:paraId="3CF1EBE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（3）在基础设置之上，支持高级配置，可设置所属栏目是否可多选、是否必选至最后一级等，适配不同分类管理需求。</w:t>
            </w:r>
          </w:p>
          <w:p w14:paraId="40FA74C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4.6智能体管理</w:t>
            </w:r>
          </w:p>
          <w:p w14:paraId="1B0DE94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 w:val="28"/>
                <w:szCs w:val="22"/>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支持在站点后台直接与智能体进行对话测试，可针对智能体进行基础设置，优化智能问答效果，更好地服务于案例库使用人员。</w:t>
            </w:r>
          </w:p>
          <w:p w14:paraId="0B3783AA">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5.数据统计与监测</w:t>
            </w:r>
          </w:p>
          <w:p w14:paraId="5D3D091E">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5.1数据统计</w:t>
            </w:r>
          </w:p>
          <w:p w14:paraId="5B6A4B44">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为方便学校及教学医院管理者全面了解案例库建设及使用情况，及时督促工作，平台支持详细的数据统计分析功能，涵盖资源建设、课程教学等多个维度。</w:t>
            </w:r>
          </w:p>
          <w:p w14:paraId="2DD33324">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（1）基本数据统计：可查看案例库各类资源的数量、存储情况、更新情况及终端访问、资源占比、活跃情况等基础数据。</w:t>
            </w:r>
          </w:p>
          <w:p w14:paraId="6D7FA530">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（2）资源使用统计：可查看资源浏览、下载、收藏、评论等使用情况及详细数据，掌握资源利用效率。</w:t>
            </w:r>
          </w:p>
          <w:p w14:paraId="6878F1E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（3）资源引用统计：可查看案例资源的引用情况，了解资源复用效果。</w:t>
            </w:r>
          </w:p>
          <w:p w14:paraId="128460DC">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（4）访问量统计：可查看案例库的浏览、访问、互动等相关数据，反映平台活跃度。</w:t>
            </w:r>
          </w:p>
          <w:p w14:paraId="7D5E8C78">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（5）用户统计：可查看各类用户的分布、活跃度及资源使用详情，掌握用户使用行为。</w:t>
            </w:r>
          </w:p>
          <w:p w14:paraId="17544269">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（6）课程相关统计：可查看课程排行、单门课程详细运行数据，以及教师教学、学生学习相关统计数据，为教学优化提供依据。</w:t>
            </w:r>
          </w:p>
          <w:p w14:paraId="5EEEFA09">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（7）日志统计：支持以图表形式查看用户、访问量、资源更新等日常变化，可查看用户行为分析及操作日志，保障管理规范性。</w:t>
            </w:r>
          </w:p>
          <w:p w14:paraId="5B8A1E58">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5.2权限管理</w:t>
            </w:r>
          </w:p>
          <w:p w14:paraId="7202620E">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（1）权限管理包含资源审核设置和资源使用设置两部分，实现对资源审核和使用权限的精细化管理。</w:t>
            </w:r>
          </w:p>
          <w:p w14:paraId="042A02EF">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（2）资源审核设置：可对不同类型上传者上传的课程、素材等资源设置审核模式，默认手动审核，可根据需求调整为自动审核。</w:t>
            </w:r>
          </w:p>
          <w:p w14:paraId="1B512C21">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（3）资源使用设置：可对各类用户及游客的资源使用权限进行配置，涵盖素材浏览、下载、收藏、分享、评论及课程引用等相关权限，保障资源使用的规范性。</w:t>
            </w:r>
            <w:r>
              <w:rPr>
                <w:rFonts w:hint="eastAsia" w:ascii="宋体" w:hAnsi="宋体" w:cs="宋体"/>
                <w:b/>
                <w:bCs/>
                <w:snapToGrid w:val="0"/>
                <w:color w:val="000000" w:themeColor="text1"/>
                <w:kern w:val="0"/>
                <w:szCs w:val="21"/>
                <w:highlight w:val="none"/>
                <w:lang w:bidi="zh-CN"/>
                <w14:textFill>
                  <w14:solidFill>
                    <w14:schemeClr w14:val="tx1"/>
                  </w14:solidFill>
                </w14:textFill>
              </w:rPr>
              <w:t>（需提供相关功能截图并加盖供应商公章）</w:t>
            </w:r>
          </w:p>
          <w:p w14:paraId="48769BFE">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6.资源建设</w:t>
            </w:r>
          </w:p>
          <w:p w14:paraId="0D1AA987">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（1）建立分级建设机制，由站点负责人指派栏目负责人，再由栏目负责人将建设任务分配至教师个人，聚焦案例库特定栏目开展建设。教师可对自身负责栏目下的资源、课程进行管理，包括编辑、删除等操作。</w:t>
            </w:r>
          </w:p>
          <w:p w14:paraId="3DE0913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教师资源上传：支持教师将案例素材、课程、题库等资源上传至指定栏目，上传方式灵活多样，支持批量上传，系统可自动识别资源相关信息，便于后期管理。上传资源需提交审核，审核通过后可进行二次编辑或删除；删除的资源可在回收站进行还原或彻底删除。</w:t>
            </w:r>
          </w:p>
          <w:p w14:paraId="1ED995E7">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负责人管理端上传：案例库负责人可从管理端直接上传资源，无需审核，支持批量上传课程、素材，可从现有课程中提取颗粒化素材上传，也可单独创建题库，提升资源建设效率。系统管理员可查看所有上传资源，对不合适的资源进行删除，回收站功能可避免误删、多删问题。</w:t>
            </w:r>
          </w:p>
          <w:p w14:paraId="5F0DDC5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资源上传类型：支持多种类型和格式的资源上传，涵盖文本、图片、视频、音频、演示文稿、电子表格、压缩文件等，适配教学医院案例资源的多样性需求，支持超大附件上传、断点续传等功能，可对上传资源进行智能处理。</w:t>
            </w:r>
          </w:p>
          <w:p w14:paraId="727CD9E3">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（5）题库建设：支持多种题型编辑及试题批量导入，支持试题中图片、公式的编辑，可通过多种方式导入试题，适配教学考核及案例配套练习需求。</w:t>
            </w:r>
          </w:p>
          <w:p w14:paraId="68A4BCB0">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（6）支持资源重复上传校验，对重复上传的资源进行提醒，避免案例库中出现重复资源，保障资源质量。</w:t>
            </w:r>
          </w:p>
          <w:p w14:paraId="2407C561">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（7）支持从课程管理中导入虚拟仿真类资源，丰富案例库资源形式，贴合医学教学特点。</w:t>
            </w:r>
          </w:p>
          <w:p w14:paraId="6A15F293">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7.资源应用</w:t>
            </w:r>
          </w:p>
          <w:p w14:paraId="7BEF8781">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聚焦桂林医科大学教学及教学医院临床教学、实习实训、技能培训等场景，提供多样化资源支持，满足不同群体用户的学习、教学需求。</w:t>
            </w:r>
          </w:p>
          <w:p w14:paraId="7F9AE64F">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资源展示：为每类案例资源设置独立展示页面，包含资源上传者、所属单位、关键词、内容简介等信息，支持评分、评论功能，统计资源下载、阅读数据，帮助用户判断资源可用性；视频资源可自动生成缩略图，提升展示效果。</w:t>
            </w:r>
          </w:p>
          <w:p w14:paraId="5F14D0F2">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（2）资源下载：实行授权下载机制，被授权用户可直接下载资源，部分资源可设置下载密码，保障资源安全性。</w:t>
            </w:r>
          </w:p>
          <w:p w14:paraId="1A6256B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（3）资源在线浏览：授权用户可在线浏览资源，无需下载即可查看详情，提升资源利用便捷性。</w:t>
            </w:r>
          </w:p>
          <w:p w14:paraId="1DB4E523">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（4）资源检索：支持全局检索和一站式检索，用户可按标题、关键字等多种条件搜索资源，登录用户可通过高级检索实现精准查找，提升资源获取效率。</w:t>
            </w:r>
          </w:p>
          <w:p w14:paraId="328A87C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（5）资源互动：登录用户可对资源进行评分、评论，分享使用意见和建议；可将优质资源收藏至个人空间，方便随时调用。</w:t>
            </w:r>
          </w:p>
          <w:p w14:paraId="1F7DD96A">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●（6）资源与课程联动：教师可将案例库中的资源添加至自身网络课程，用于课堂教学、课后练习等环节；网络教学平台中的资源也可推送至案例库共享，实现双向互通，丰富教学资源。</w:t>
            </w:r>
            <w:r>
              <w:rPr>
                <w:rFonts w:hint="eastAsia" w:ascii="宋体" w:hAnsi="宋体" w:cs="宋体"/>
                <w:b/>
                <w:bCs/>
                <w:snapToGrid w:val="0"/>
                <w:color w:val="000000" w:themeColor="text1"/>
                <w:kern w:val="0"/>
                <w:szCs w:val="21"/>
                <w:highlight w:val="none"/>
                <w:lang w:bidi="zh-CN"/>
                <w14:textFill>
                  <w14:solidFill>
                    <w14:schemeClr w14:val="tx1"/>
                  </w14:solidFill>
                </w14:textFill>
              </w:rPr>
              <w:t>（需现场演示功能效果）</w:t>
            </w:r>
          </w:p>
          <w:p w14:paraId="1865E01D">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三、教学医院案例知识库建设</w:t>
            </w:r>
          </w:p>
          <w:p w14:paraId="3F38BA6B">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w:t>
            </w:r>
            <w:r>
              <w:rPr>
                <w:rFonts w:hint="eastAsia" w:ascii="宋体" w:hAnsi="宋体" w:cs="宋体"/>
                <w:snapToGrid w:val="0"/>
                <w:color w:val="000000" w:themeColor="text1"/>
                <w:kern w:val="0"/>
                <w:szCs w:val="21"/>
                <w:highlight w:val="none"/>
                <w:lang w:val="zh-CN" w:bidi="zh-CN"/>
                <w14:textFill>
                  <w14:solidFill>
                    <w14:schemeClr w14:val="tx1"/>
                  </w14:solidFill>
                </w14:textFill>
              </w:rPr>
              <w:t>需提供智能体RAG检索增强检索依赖的知识库建设管理平台。基于平台整理汇聚学校各主要业务场景知识库、文档，形成学校校本知识库。</w:t>
            </w:r>
          </w:p>
          <w:p w14:paraId="333E1F9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w:t>
            </w:r>
            <w:r>
              <w:rPr>
                <w:rFonts w:hint="eastAsia" w:ascii="宋体" w:hAnsi="宋体" w:cs="宋体"/>
                <w:snapToGrid w:val="0"/>
                <w:color w:val="000000" w:themeColor="text1"/>
                <w:kern w:val="0"/>
                <w:szCs w:val="21"/>
                <w:highlight w:val="none"/>
                <w:lang w:val="zh-CN" w:bidi="zh-CN"/>
                <w14:textFill>
                  <w14:solidFill>
                    <w14:schemeClr w14:val="tx1"/>
                  </w14:solidFill>
                </w14:textFill>
              </w:rPr>
              <w:t>需支持新增知识库，新增知识库需支持名称、描述、知识库封面等。知识库类型需支持文档类知识库、表格类知识库。表格类知识库可导入结构化查询类excel数据。</w:t>
            </w:r>
          </w:p>
          <w:p w14:paraId="768596E4">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3.</w:t>
            </w:r>
            <w:r>
              <w:rPr>
                <w:rFonts w:hint="eastAsia" w:ascii="宋体" w:hAnsi="宋体" w:cs="宋体"/>
                <w:snapToGrid w:val="0"/>
                <w:color w:val="000000" w:themeColor="text1"/>
                <w:kern w:val="0"/>
                <w:szCs w:val="21"/>
                <w:highlight w:val="none"/>
                <w:lang w:val="zh-CN" w:bidi="zh-CN"/>
                <w14:textFill>
                  <w14:solidFill>
                    <w14:schemeClr w14:val="tx1"/>
                  </w14:solidFill>
                </w14:textFill>
              </w:rPr>
              <w:t>文档类知识库需提供校内知识库新建和公共知识库订阅形式，支持管理员对校内知识库进行新建、删除、查看知识库的名称、创建时间等信息，知识库删除后可以在回收站恢复；公共知识库需支持按照分类、订阅状态、更新时间进行筛选、排序，也需支持直接与公共知识库进行知识问答对话。校内知识库新增时需要支持设置知识库的描述、封面。</w:t>
            </w:r>
          </w:p>
          <w:p w14:paraId="294C81C2">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4.</w:t>
            </w:r>
            <w:r>
              <w:rPr>
                <w:rFonts w:hint="eastAsia" w:ascii="宋体" w:hAnsi="宋体" w:cs="宋体"/>
                <w:snapToGrid w:val="0"/>
                <w:color w:val="000000" w:themeColor="text1"/>
                <w:kern w:val="0"/>
                <w:szCs w:val="21"/>
                <w:highlight w:val="none"/>
                <w:lang w:val="zh-CN" w:bidi="zh-CN"/>
                <w14:textFill>
                  <w14:solidFill>
                    <w14:schemeClr w14:val="tx1"/>
                  </w14:solidFill>
                </w14:textFill>
              </w:rPr>
              <w:t>可对指定网页进行爬虫采集，将抓取网页的链接和内容，自动同步至知识库；抓取范围支持抓取指定页面、抓取所有子页面；设置成抓取所有子页面时，可以设置自动更新频率。可设置是否开启图片文字识别。</w:t>
            </w:r>
          </w:p>
          <w:p w14:paraId="1A149842">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5.</w:t>
            </w:r>
            <w:r>
              <w:rPr>
                <w:rFonts w:hint="eastAsia" w:ascii="宋体" w:hAnsi="宋体" w:cs="宋体"/>
                <w:snapToGrid w:val="0"/>
                <w:color w:val="000000" w:themeColor="text1"/>
                <w:kern w:val="0"/>
                <w:szCs w:val="21"/>
                <w:highlight w:val="none"/>
                <w:lang w:val="zh-CN" w:bidi="zh-CN"/>
                <w14:textFill>
                  <w14:solidFill>
                    <w14:schemeClr w14:val="tx1"/>
                  </w14:solidFill>
                </w14:textFill>
              </w:rPr>
              <w:t>文档类知识库需支持文档名称、文档内容、文档状态搜索、日期范围筛选等操作，方便知识库管理员快速查找和更新文档。上传的文档需支持设定是否启用查看文档原文、下载全文、查看参考资料；可设置文档停启用状态；可设置文档生效时间，不在时间内的自动停用文档；对于上传文档训练中心需要能实时标记文档的处理状态。可以预览、下载文档。</w:t>
            </w:r>
          </w:p>
          <w:p w14:paraId="29AC32E6">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6.</w:t>
            </w:r>
            <w:r>
              <w:rPr>
                <w:rFonts w:hint="eastAsia" w:ascii="宋体" w:hAnsi="宋体" w:cs="宋体"/>
                <w:snapToGrid w:val="0"/>
                <w:color w:val="000000" w:themeColor="text1"/>
                <w:kern w:val="0"/>
                <w:szCs w:val="21"/>
                <w:highlight w:val="none"/>
                <w:lang w:val="zh-CN" w:bidi="zh-CN"/>
                <w14:textFill>
                  <w14:solidFill>
                    <w14:schemeClr w14:val="tx1"/>
                  </w14:solidFill>
                </w14:textFill>
              </w:rPr>
              <w:t>文档类知识库需能够支持管理员上传业务文档，包括txt、doc/docx、pdf、ppt/pptx、xls/xlsx等文件格式，支持视频类文件上传，包括mp4、mov、avi等格式。智能体需基于文档实现问答回复，并标注来源。需支持对历史上传文档进行预览、下载等操作。</w:t>
            </w:r>
          </w:p>
          <w:p w14:paraId="7E7F128E">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w:t>
            </w:r>
            <w:r>
              <w:rPr>
                <w:rFonts w:hint="eastAsia" w:ascii="宋体" w:hAnsi="宋体" w:cs="宋体"/>
                <w:b/>
                <w:bCs/>
                <w:snapToGrid w:val="0"/>
                <w:color w:val="000000" w:themeColor="text1"/>
                <w:kern w:val="0"/>
                <w:szCs w:val="21"/>
                <w:highlight w:val="none"/>
                <w:lang w:bidi="zh-CN"/>
                <w14:textFill>
                  <w14:solidFill>
                    <w14:schemeClr w14:val="tx1"/>
                  </w14:solidFill>
                </w14:textFill>
              </w:rPr>
              <w:t>7.</w:t>
            </w:r>
            <w:r>
              <w:rPr>
                <w:rFonts w:hint="eastAsia" w:ascii="宋体" w:hAnsi="宋体" w:cs="宋体"/>
                <w:b/>
                <w:bCs/>
                <w:snapToGrid w:val="0"/>
                <w:color w:val="000000" w:themeColor="text1"/>
                <w:kern w:val="0"/>
                <w:szCs w:val="21"/>
                <w:highlight w:val="none"/>
                <w:lang w:val="zh-CN" w:bidi="zh-CN"/>
                <w14:textFill>
                  <w14:solidFill>
                    <w14:schemeClr w14:val="tx1"/>
                  </w14:solidFill>
                </w14:textFill>
              </w:rPr>
              <w:t>可选择文档分片方式，支持默认分片、自定义分片、语义分片。自定义分片可设置分片标识符、分片最大长度、分片重合度，支持替换连续空格、换行符和制表符，支持删除文档中的 url 和电子邮件。</w:t>
            </w:r>
          </w:p>
          <w:p w14:paraId="6A1E1365">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8.</w:t>
            </w:r>
            <w:r>
              <w:rPr>
                <w:rFonts w:hint="eastAsia" w:ascii="宋体" w:hAnsi="宋体" w:cs="宋体"/>
                <w:snapToGrid w:val="0"/>
                <w:color w:val="000000" w:themeColor="text1"/>
                <w:kern w:val="0"/>
                <w:szCs w:val="21"/>
                <w:highlight w:val="none"/>
                <w:lang w:val="zh-CN" w:bidi="zh-CN"/>
                <w14:textFill>
                  <w14:solidFill>
                    <w14:schemeClr w14:val="tx1"/>
                  </w14:solidFill>
                </w14:textFill>
              </w:rPr>
              <w:t>需提供文档优化建议说明，对于用户提供知识库常见格式文件的处理建议，提高文档质量。</w:t>
            </w:r>
          </w:p>
          <w:p w14:paraId="7089D90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9.</w:t>
            </w:r>
            <w:r>
              <w:rPr>
                <w:rFonts w:hint="eastAsia" w:ascii="宋体" w:hAnsi="宋体" w:cs="宋体"/>
                <w:snapToGrid w:val="0"/>
                <w:color w:val="000000" w:themeColor="text1"/>
                <w:kern w:val="0"/>
                <w:szCs w:val="21"/>
                <w:highlight w:val="none"/>
                <w:lang w:val="zh-CN" w:bidi="zh-CN"/>
                <w14:textFill>
                  <w14:solidFill>
                    <w14:schemeClr w14:val="tx1"/>
                  </w14:solidFill>
                </w14:textFill>
              </w:rPr>
              <w:t>需统计智能体挂载的知识库总文件数量、总字符数量。</w:t>
            </w:r>
          </w:p>
          <w:p w14:paraId="1487D53C">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w:t>
            </w:r>
            <w:r>
              <w:rPr>
                <w:rFonts w:hint="eastAsia" w:ascii="宋体" w:hAnsi="宋体" w:cs="宋体"/>
                <w:b/>
                <w:bCs/>
                <w:snapToGrid w:val="0"/>
                <w:color w:val="000000" w:themeColor="text1"/>
                <w:kern w:val="0"/>
                <w:szCs w:val="21"/>
                <w:highlight w:val="none"/>
                <w:lang w:bidi="zh-CN"/>
                <w14:textFill>
                  <w14:solidFill>
                    <w14:schemeClr w14:val="tx1"/>
                  </w14:solidFill>
                </w14:textFill>
              </w:rPr>
              <w:t>10.</w:t>
            </w:r>
            <w:r>
              <w:rPr>
                <w:rFonts w:hint="eastAsia" w:ascii="宋体" w:hAnsi="宋体" w:cs="宋体"/>
                <w:b/>
                <w:bCs/>
                <w:snapToGrid w:val="0"/>
                <w:color w:val="000000" w:themeColor="text1"/>
                <w:kern w:val="0"/>
                <w:szCs w:val="21"/>
                <w:highlight w:val="none"/>
                <w:lang w:val="zh-CN" w:bidi="zh-CN"/>
                <w14:textFill>
                  <w14:solidFill>
                    <w14:schemeClr w14:val="tx1"/>
                  </w14:solidFill>
                </w14:textFill>
              </w:rPr>
              <w:t>可配置智能体对于知识库的召回文档回复补全策略，至少支持全文档召回、自定义上下文分片补充两种策略。自定义上下文分片补充可设定补充的切片数量。需支持设定召回检索策略。至少包含语义检索、全文检索、混合检索，需支持设定智能体召回文档切片的详细参数，包括最大召回切片数量、最小相似度得分、召回重排阈值等；混合检索时可设定语义和关键词两种方式的比例权重。</w:t>
            </w:r>
          </w:p>
          <w:p w14:paraId="0933D91F">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11.</w:t>
            </w:r>
            <w:r>
              <w:rPr>
                <w:rFonts w:hint="eastAsia" w:ascii="宋体" w:hAnsi="宋体" w:cs="宋体"/>
                <w:snapToGrid w:val="0"/>
                <w:color w:val="000000" w:themeColor="text1"/>
                <w:kern w:val="0"/>
                <w:szCs w:val="21"/>
                <w:highlight w:val="none"/>
                <w:lang w:val="zh-CN" w:bidi="zh-CN"/>
                <w14:textFill>
                  <w14:solidFill>
                    <w14:schemeClr w14:val="tx1"/>
                  </w14:solidFill>
                </w14:textFill>
              </w:rPr>
              <w:t>校内知识库设置：需提供知识库内容切片方式设置功能，支持默认切片、自定义切片和语义切片三种方式，切片支持换行符、中英文句号、中英文叹号、中英文问号、自定义标识符切切分，支持设置切片长度和重叠长度，支持自动替换连续的空格、换行符和制表符，支持自动删除所有 url 和电子邮箱地址。</w:t>
            </w:r>
          </w:p>
          <w:p w14:paraId="4AC8C97C">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12.</w:t>
            </w:r>
            <w:r>
              <w:rPr>
                <w:rFonts w:hint="eastAsia" w:ascii="宋体" w:hAnsi="宋体" w:cs="宋体"/>
                <w:snapToGrid w:val="0"/>
                <w:color w:val="000000" w:themeColor="text1"/>
                <w:kern w:val="0"/>
                <w:szCs w:val="21"/>
                <w:highlight w:val="none"/>
                <w:lang w:val="zh-CN" w:bidi="zh-CN"/>
                <w14:textFill>
                  <w14:solidFill>
                    <w14:schemeClr w14:val="tx1"/>
                  </w14:solidFill>
                </w14:textFill>
              </w:rPr>
              <w:t>校内知识库内容管理：</w:t>
            </w:r>
          </w:p>
          <w:p w14:paraId="7120C4A4">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ascii="宋体" w:hAnsi="宋体" w:cs="宋体"/>
                <w:snapToGrid w:val="0"/>
                <w:color w:val="000000" w:themeColor="text1"/>
                <w:kern w:val="0"/>
                <w:szCs w:val="21"/>
                <w:highlight w:val="none"/>
                <w:lang w:val="zh-CN" w:bidi="zh-CN"/>
                <w14:textFill>
                  <w14:solidFill>
                    <w14:schemeClr w14:val="tx1"/>
                  </w14:solidFill>
                </w14:textFill>
              </w:rPr>
              <w:t>支持对上传的文件进行版面分析，支持程序自动识别文件版面结构并进行标注，同时支持管理员在页面中进行框选标注，如正文、页眉、图像、表格、注释等；</w:t>
            </w:r>
          </w:p>
          <w:p w14:paraId="46AFC5C6">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w:t>
            </w:r>
            <w:r>
              <w:rPr>
                <w:rFonts w:hint="eastAsia" w:ascii="宋体" w:hAnsi="宋体" w:cs="宋体"/>
                <w:b/>
                <w:bCs/>
                <w:snapToGrid w:val="0"/>
                <w:color w:val="000000" w:themeColor="text1"/>
                <w:kern w:val="0"/>
                <w:szCs w:val="21"/>
                <w:highlight w:val="none"/>
                <w:lang w:bidi="zh-CN"/>
                <w14:textFill>
                  <w14:solidFill>
                    <w14:schemeClr w14:val="tx1"/>
                  </w14:solidFill>
                </w14:textFill>
              </w:rPr>
              <w:t>2）OCR识别：上传文件中检测或版面标注后的图片信息支持勾选进行OCR识别，也可对已经OCR的文字替换使用原始图片。OCR识别需支持文档中的流程图识别，对于多张图片需支持图片合并识别，合并方式需支持上下合并、左右合并。</w:t>
            </w:r>
          </w:p>
          <w:p w14:paraId="45154DD1">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3</w:t>
            </w:r>
            <w:r>
              <w:rPr>
                <w:rFonts w:hint="eastAsia" w:ascii="宋体" w:hAnsi="宋体" w:cs="宋体"/>
                <w:snapToGrid w:val="0"/>
                <w:color w:val="000000" w:themeColor="text1"/>
                <w:kern w:val="0"/>
                <w:szCs w:val="21"/>
                <w:highlight w:val="none"/>
                <w:lang w:val="zh-CN" w:bidi="zh-CN"/>
                <w14:textFill>
                  <w14:solidFill>
                    <w14:schemeClr w14:val="tx1"/>
                  </w14:solidFill>
                </w14:textFill>
              </w:rPr>
              <w:t>）内容检测：支持对上传文件进行文档相似度检测、错别字校对、语句不通校对、敏感词检测、文档间矛盾检测。</w:t>
            </w:r>
          </w:p>
          <w:p w14:paraId="6030FB5E">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4</w:t>
            </w:r>
            <w:r>
              <w:rPr>
                <w:rFonts w:hint="eastAsia" w:ascii="宋体" w:hAnsi="宋体" w:cs="宋体"/>
                <w:snapToGrid w:val="0"/>
                <w:color w:val="000000" w:themeColor="text1"/>
                <w:kern w:val="0"/>
                <w:szCs w:val="21"/>
                <w:highlight w:val="none"/>
                <w:lang w:val="zh-CN" w:bidi="zh-CN"/>
                <w14:textFill>
                  <w14:solidFill>
                    <w14:schemeClr w14:val="tx1"/>
                  </w14:solidFill>
                </w14:textFill>
              </w:rPr>
              <w:t>）可设置文件检测范围，可设置文件中的标题、正文、图像、图像标题、图像描述、表格、表格标题、表格描述、行间公式、注释、页脚、页眉、脚注是否参与文件检测</w:t>
            </w:r>
          </w:p>
          <w:p w14:paraId="13EF7AEF">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5</w:t>
            </w:r>
            <w:r>
              <w:rPr>
                <w:rFonts w:hint="eastAsia" w:ascii="宋体" w:hAnsi="宋体" w:cs="宋体"/>
                <w:snapToGrid w:val="0"/>
                <w:color w:val="000000" w:themeColor="text1"/>
                <w:kern w:val="0"/>
                <w:szCs w:val="21"/>
                <w:highlight w:val="none"/>
                <w:lang w:val="zh-CN" w:bidi="zh-CN"/>
                <w14:textFill>
                  <w14:solidFill>
                    <w14:schemeClr w14:val="tx1"/>
                  </w14:solidFill>
                </w14:textFill>
              </w:rPr>
              <w:t>）对于检测到的敏感词支持设置是否进行屏蔽。</w:t>
            </w:r>
          </w:p>
          <w:p w14:paraId="72AAB307">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6</w:t>
            </w:r>
            <w:r>
              <w:rPr>
                <w:rFonts w:hint="eastAsia" w:ascii="宋体" w:hAnsi="宋体" w:cs="宋体"/>
                <w:snapToGrid w:val="0"/>
                <w:color w:val="000000" w:themeColor="text1"/>
                <w:kern w:val="0"/>
                <w:szCs w:val="21"/>
                <w:highlight w:val="none"/>
                <w:lang w:val="zh-CN" w:bidi="zh-CN"/>
                <w14:textFill>
                  <w14:solidFill>
                    <w14:schemeClr w14:val="tx1"/>
                  </w14:solidFill>
                </w14:textFill>
              </w:rPr>
              <w:t>）可设置身份证号、手机号、学工号是否屏蔽，可设置文件分片范围，可设置文件中的标题、正文、图像、图像标题、图像描述、表格、表格标题、表格描述、行间公式、注释、页脚、页眉、脚注是否参与切片</w:t>
            </w:r>
          </w:p>
          <w:p w14:paraId="3379E13C">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13.</w:t>
            </w:r>
            <w:r>
              <w:rPr>
                <w:rFonts w:hint="eastAsia" w:ascii="宋体" w:hAnsi="宋体" w:cs="宋体"/>
                <w:snapToGrid w:val="0"/>
                <w:color w:val="000000" w:themeColor="text1"/>
                <w:kern w:val="0"/>
                <w:szCs w:val="21"/>
                <w:highlight w:val="none"/>
                <w:lang w:val="zh-CN" w:bidi="zh-CN"/>
                <w14:textFill>
                  <w14:solidFill>
                    <w14:schemeClr w14:val="tx1"/>
                  </w14:solidFill>
                </w14:textFill>
              </w:rPr>
              <w:t>可授权其他角色维护某知识库的权限。</w:t>
            </w:r>
          </w:p>
          <w:p w14:paraId="4E90261A">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14.</w:t>
            </w:r>
            <w:r>
              <w:rPr>
                <w:rFonts w:hint="eastAsia" w:ascii="宋体" w:hAnsi="宋体" w:cs="宋体"/>
                <w:snapToGrid w:val="0"/>
                <w:color w:val="000000" w:themeColor="text1"/>
                <w:kern w:val="0"/>
                <w:szCs w:val="21"/>
                <w:highlight w:val="none"/>
                <w:lang w:val="zh-CN" w:bidi="zh-CN"/>
                <w14:textFill>
                  <w14:solidFill>
                    <w14:schemeClr w14:val="tx1"/>
                  </w14:solidFill>
                </w14:textFill>
              </w:rPr>
              <w:t>可设置知识库只针对某个角色进行回复。</w:t>
            </w:r>
          </w:p>
          <w:p w14:paraId="2C1B74AC">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四、案例库内置资源</w:t>
            </w:r>
          </w:p>
          <w:p w14:paraId="3EC87F2D">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案例库内置海量资源，为教师开展案例库建设、备课、课件制作、网络课程建设等工作提供支撑，方便教师随时查阅、引用。</w:t>
            </w:r>
          </w:p>
          <w:p w14:paraId="7456735D">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1.课程模板</w:t>
            </w:r>
          </w:p>
          <w:p w14:paraId="1858143B">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整合各类院校及医疗行业的示范教学课程资源，涵盖医学相关各专业，教师可在案例库建设过程中引用示范课程中的资源、课堂活动示例、题库等内容，并根据自身教学需求进行重组使用，提升教学质量。</w:t>
            </w:r>
          </w:p>
          <w:p w14:paraId="250A4789">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▲2.备课资源库</w:t>
            </w:r>
          </w:p>
          <w:p w14:paraId="065BC1BD">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包含电子图书、学术视频等备课资源，教师可直接将其添加至案例库，也可与网络教学平台无缝对接，在备课、授课过程中随时搜索、引用，全面辅助教师教学和学生学习。所有电子图书、学术视频均取得著作权授权，无版权问题。</w:t>
            </w:r>
          </w:p>
          <w:p w14:paraId="47631AAE">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3.公共共享资源</w:t>
            </w:r>
          </w:p>
          <w:p w14:paraId="0CFA06C2">
            <w:pPr>
              <w:kinsoku w:val="0"/>
              <w:wordWrap w:val="0"/>
              <w:autoSpaceDE w:val="0"/>
              <w:autoSpaceDN w:val="0"/>
              <w:adjustRightInd w:val="0"/>
              <w:snapToGrid w:val="0"/>
              <w:spacing w:line="360" w:lineRule="auto"/>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平台提供公共共享资源，涵盖教学视频、演示文稿、动画等多种类型，教师可在案例库建设过程中搜索、添加，丰富案例库资源内容，实现资源共享复用。</w:t>
            </w:r>
          </w:p>
          <w:p w14:paraId="3A07DAC8">
            <w:pPr>
              <w:kinsoku w:val="0"/>
              <w:wordWrap w:val="0"/>
              <w:autoSpaceDE w:val="0"/>
              <w:autoSpaceDN w:val="0"/>
              <w:adjustRightInd w:val="0"/>
              <w:snapToGrid w:val="0"/>
              <w:spacing w:line="360" w:lineRule="auto"/>
              <w:jc w:val="left"/>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4.</w:t>
            </w:r>
            <w:r>
              <w:rPr>
                <w:rFonts w:hint="eastAsia" w:ascii="宋体" w:hAnsi="宋体" w:cs="宋体"/>
                <w:b/>
                <w:bCs/>
                <w:snapToGrid w:val="0"/>
                <w:color w:val="000000" w:themeColor="text1"/>
                <w:kern w:val="0"/>
                <w:szCs w:val="21"/>
                <w:highlight w:val="none"/>
                <w:lang w:val="zh-CN" w:bidi="zh-CN"/>
                <w14:textFill>
                  <w14:solidFill>
                    <w14:schemeClr w14:val="tx1"/>
                  </w14:solidFill>
                </w14:textFill>
              </w:rPr>
              <w:t>全国课程资源</w:t>
            </w:r>
          </w:p>
          <w:p w14:paraId="7A0AA384">
            <w:pPr>
              <w:kinsoku w:val="0"/>
              <w:wordWrap w:val="0"/>
              <w:autoSpaceDE w:val="0"/>
              <w:autoSpaceDN w:val="0"/>
              <w:adjustRightInd w:val="0"/>
              <w:snapToGrid w:val="0"/>
              <w:spacing w:line="360" w:lineRule="auto"/>
              <w:jc w:val="left"/>
              <w:rPr>
                <w:rFonts w:hint="eastAsia" w:ascii="宋体" w:hAnsi="宋体" w:cs="宋体"/>
                <w:snapToGrid w:val="0"/>
                <w:color w:val="000000" w:themeColor="text1"/>
                <w:szCs w:val="21"/>
                <w:highlight w:val="none"/>
                <w:lang w:val="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整合全国高校各院系的本、专科课程信息，课程目录包含教育部规定的13个学科门类，至少1.5万门课程。并以课程为中心，整合与课程相关的各种精品资源，包括各高校的名师视频课程、网络精品共享课程，以及与课程相关的电子图书、期刊、论文、视频讲座等。为保证无版权纠纷，</w:t>
            </w:r>
            <w:r>
              <w:rPr>
                <w:rFonts w:hint="eastAsia" w:ascii="宋体" w:hAnsi="宋体" w:cs="宋体"/>
                <w:snapToGrid w:val="0"/>
                <w:color w:val="000000" w:themeColor="text1"/>
                <w:kern w:val="0"/>
                <w:szCs w:val="21"/>
                <w:highlight w:val="none"/>
                <w:lang w:bidi="zh-CN"/>
                <w14:textFill>
                  <w14:solidFill>
                    <w14:schemeClr w14:val="tx1"/>
                  </w14:solidFill>
                </w14:textFill>
              </w:rPr>
              <w:t>中标后中标供应商需</w:t>
            </w:r>
            <w:r>
              <w:rPr>
                <w:rFonts w:hint="eastAsia" w:ascii="宋体" w:hAnsi="宋体" w:cs="宋体"/>
                <w:snapToGrid w:val="0"/>
                <w:color w:val="000000" w:themeColor="text1"/>
                <w:kern w:val="0"/>
                <w:szCs w:val="21"/>
                <w:highlight w:val="none"/>
                <w:lang w:val="zh-CN" w:bidi="zh-CN"/>
                <w14:textFill>
                  <w14:solidFill>
                    <w14:schemeClr w14:val="tx1"/>
                  </w14:solidFill>
                </w14:textFill>
              </w:rPr>
              <w:t>提供视频的授权协议、个人作者授权协议复印件</w:t>
            </w:r>
            <w:r>
              <w:rPr>
                <w:rFonts w:hint="eastAsia" w:ascii="宋体" w:hAnsi="宋体" w:cs="宋体"/>
                <w:snapToGrid w:val="0"/>
                <w:color w:val="000000" w:themeColor="text1"/>
                <w:kern w:val="0"/>
                <w:szCs w:val="21"/>
                <w:highlight w:val="none"/>
                <w:lang w:bidi="zh-CN"/>
                <w14:textFill>
                  <w14:solidFill>
                    <w14:schemeClr w14:val="tx1"/>
                  </w14:solidFill>
                </w14:textFill>
              </w:rPr>
              <w:t>均</w:t>
            </w:r>
            <w:r>
              <w:rPr>
                <w:rFonts w:hint="eastAsia" w:ascii="宋体" w:hAnsi="宋体" w:cs="宋体"/>
                <w:snapToGrid w:val="0"/>
                <w:color w:val="000000" w:themeColor="text1"/>
                <w:kern w:val="0"/>
                <w:szCs w:val="21"/>
                <w:highlight w:val="none"/>
                <w:lang w:val="zh-CN" w:bidi="zh-CN"/>
                <w14:textFill>
                  <w14:solidFill>
                    <w14:schemeClr w14:val="tx1"/>
                  </w14:solidFill>
                </w14:textFill>
              </w:rPr>
              <w:t>不少于伍份，原件备查。</w:t>
            </w:r>
          </w:p>
        </w:tc>
        <w:tc>
          <w:tcPr>
            <w:tcW w:w="364" w:type="pct"/>
            <w:vAlign w:val="center"/>
          </w:tcPr>
          <w:p w14:paraId="5AF7384A">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个</w:t>
            </w:r>
          </w:p>
        </w:tc>
        <w:tc>
          <w:tcPr>
            <w:tcW w:w="381" w:type="pct"/>
            <w:vAlign w:val="center"/>
          </w:tcPr>
          <w:p w14:paraId="62CAD1FA">
            <w:pPr>
              <w:widowControl/>
              <w:kinsoku w:val="0"/>
              <w:wordWrap w:val="0"/>
              <w:autoSpaceDE w:val="0"/>
              <w:autoSpaceDN w:val="0"/>
              <w:adjustRightInd w:val="0"/>
              <w:snapToGrid w:val="0"/>
              <w:jc w:val="center"/>
              <w:textAlignment w:val="center"/>
              <w:rPr>
                <w:rFonts w:hint="eastAsia" w:ascii="宋体" w:hAnsi="宋体" w:cs="宋体"/>
                <w:snapToGrid w:val="0"/>
                <w:color w:val="000000" w:themeColor="text1"/>
                <w:szCs w:val="21"/>
                <w:highlight w:val="none"/>
                <w14:textFill>
                  <w14:solidFill>
                    <w14:schemeClr w14:val="tx1"/>
                  </w14:solidFill>
                </w14:textFill>
              </w:rPr>
            </w:pPr>
            <w:r>
              <w:rPr>
                <w:rFonts w:hint="eastAsia" w:ascii="宋体" w:hAnsi="宋体" w:cs="宋体"/>
                <w:snapToGrid w:val="0"/>
                <w:color w:val="000000" w:themeColor="text1"/>
                <w:szCs w:val="21"/>
                <w:highlight w:val="none"/>
                <w14:textFill>
                  <w14:solidFill>
                    <w14:schemeClr w14:val="tx1"/>
                  </w14:solidFill>
                </w14:textFill>
              </w:rPr>
              <w:t>1</w:t>
            </w:r>
          </w:p>
        </w:tc>
      </w:tr>
      <w:tr w14:paraId="20B3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trPr>
        <w:tc>
          <w:tcPr>
            <w:tcW w:w="4999" w:type="pct"/>
            <w:gridSpan w:val="6"/>
            <w:tcMar>
              <w:top w:w="13" w:type="dxa"/>
              <w:left w:w="57" w:type="dxa"/>
              <w:bottom w:w="0" w:type="dxa"/>
              <w:right w:w="57" w:type="dxa"/>
            </w:tcMar>
            <w:vAlign w:val="center"/>
          </w:tcPr>
          <w:p w14:paraId="6289A414">
            <w:pPr>
              <w:kinsoku w:val="0"/>
              <w:wordWrap w:val="0"/>
              <w:autoSpaceDE w:val="0"/>
              <w:autoSpaceDN w:val="0"/>
              <w:adjustRightInd w:val="0"/>
              <w:snapToGrid w:val="0"/>
              <w:jc w:val="left"/>
              <w:rPr>
                <w:rFonts w:hint="eastAsia" w:ascii="宋体" w:hAnsi="宋体" w:cs="宋体"/>
                <w:b/>
                <w:bCs/>
                <w:snapToGrid w:val="0"/>
                <w:color w:val="000000" w:themeColor="text1"/>
                <w:szCs w:val="21"/>
                <w:highlight w:val="none"/>
                <w:lang w:val="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二、商务要求</w:t>
            </w:r>
          </w:p>
        </w:tc>
      </w:tr>
      <w:tr w14:paraId="3B7A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75" w:type="pct"/>
            <w:gridSpan w:val="2"/>
            <w:tcMar>
              <w:top w:w="13" w:type="dxa"/>
              <w:left w:w="57" w:type="dxa"/>
              <w:bottom w:w="0" w:type="dxa"/>
              <w:right w:w="57" w:type="dxa"/>
            </w:tcMar>
            <w:vAlign w:val="center"/>
          </w:tcPr>
          <w:p w14:paraId="081C61B2">
            <w:pPr>
              <w:kinsoku w:val="0"/>
              <w:wordWrap w:val="0"/>
              <w:autoSpaceDE w:val="0"/>
              <w:autoSpaceDN w:val="0"/>
              <w:adjustRightInd w:val="0"/>
              <w:snapToGrid w:val="0"/>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报价说明</w:t>
            </w:r>
          </w:p>
        </w:tc>
        <w:tc>
          <w:tcPr>
            <w:tcW w:w="4324" w:type="pct"/>
            <w:gridSpan w:val="4"/>
            <w:tcMar>
              <w:top w:w="13" w:type="dxa"/>
              <w:left w:w="57" w:type="dxa"/>
              <w:bottom w:w="0" w:type="dxa"/>
              <w:right w:w="57" w:type="dxa"/>
            </w:tcMar>
            <w:vAlign w:val="center"/>
          </w:tcPr>
          <w:p w14:paraId="0E63690B">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报价为采购人指定地点的现场交付价格，包括但不限于：</w:t>
            </w:r>
          </w:p>
          <w:p w14:paraId="77B3303F">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1</w:t>
            </w:r>
            <w:r>
              <w:rPr>
                <w:rFonts w:hint="eastAsia" w:ascii="宋体" w:hAnsi="宋体" w:cs="宋体"/>
                <w:snapToGrid w:val="0"/>
                <w:color w:val="000000" w:themeColor="text1"/>
                <w:kern w:val="0"/>
                <w:szCs w:val="21"/>
                <w:highlight w:val="none"/>
                <w:lang w:val="zh-CN" w:bidi="zh-CN"/>
                <w14:textFill>
                  <w14:solidFill>
                    <w14:schemeClr w14:val="tx1"/>
                  </w14:solidFill>
                </w14:textFill>
              </w:rPr>
              <w:t>）采购内容中所有货物和服务的价格；</w:t>
            </w:r>
          </w:p>
          <w:p w14:paraId="2DCCBDA3">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（2）货物的标准附件、备品备件、专用工具的价格；</w:t>
            </w:r>
          </w:p>
          <w:p w14:paraId="595AA4FF">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3</w:t>
            </w:r>
            <w:r>
              <w:rPr>
                <w:rFonts w:hint="eastAsia" w:ascii="宋体" w:hAnsi="宋体" w:cs="宋体"/>
                <w:snapToGrid w:val="0"/>
                <w:color w:val="000000" w:themeColor="text1"/>
                <w:kern w:val="0"/>
                <w:szCs w:val="21"/>
                <w:highlight w:val="none"/>
                <w:lang w:val="zh-CN" w:bidi="zh-CN"/>
                <w14:textFill>
                  <w14:solidFill>
                    <w14:schemeClr w14:val="tx1"/>
                  </w14:solidFill>
                </w14:textFill>
              </w:rPr>
              <w:t>）运输、装卸、安装（含安装材料）、</w:t>
            </w:r>
            <w:r>
              <w:rPr>
                <w:rFonts w:hint="eastAsia" w:ascii="宋体" w:hAnsi="宋体" w:cs="宋体"/>
                <w:snapToGrid w:val="0"/>
                <w:color w:val="000000" w:themeColor="text1"/>
                <w:kern w:val="0"/>
                <w:szCs w:val="21"/>
                <w:highlight w:val="none"/>
                <w:lang w:bidi="zh-CN"/>
                <w14:textFill>
                  <w14:solidFill>
                    <w14:schemeClr w14:val="tx1"/>
                  </w14:solidFill>
                </w14:textFill>
              </w:rPr>
              <w:t>代理服务费、</w:t>
            </w:r>
            <w:r>
              <w:rPr>
                <w:rFonts w:hint="eastAsia" w:ascii="宋体" w:hAnsi="宋体" w:cs="宋体"/>
                <w:snapToGrid w:val="0"/>
                <w:color w:val="000000" w:themeColor="text1"/>
                <w:kern w:val="0"/>
                <w:szCs w:val="21"/>
                <w:highlight w:val="none"/>
                <w:lang w:val="zh-CN" w:bidi="zh-CN"/>
                <w14:textFill>
                  <w14:solidFill>
                    <w14:schemeClr w14:val="tx1"/>
                  </w14:solidFill>
                </w14:textFill>
              </w:rPr>
              <w:t>调试、培训、技术支持、售后服务的费用，质保期内免费维修、养护、软件升级等费用；</w:t>
            </w:r>
          </w:p>
          <w:p w14:paraId="7FD47AE2">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w:t>
            </w:r>
            <w:r>
              <w:rPr>
                <w:rFonts w:hint="eastAsia" w:ascii="宋体" w:hAnsi="宋体" w:cs="宋体"/>
                <w:snapToGrid w:val="0"/>
                <w:color w:val="000000" w:themeColor="text1"/>
                <w:kern w:val="0"/>
                <w:szCs w:val="21"/>
                <w:highlight w:val="none"/>
                <w:lang w:bidi="zh-CN"/>
                <w14:textFill>
                  <w14:solidFill>
                    <w14:schemeClr w14:val="tx1"/>
                  </w14:solidFill>
                </w14:textFill>
              </w:rPr>
              <w:t>4</w:t>
            </w:r>
            <w:r>
              <w:rPr>
                <w:rFonts w:hint="eastAsia" w:ascii="宋体" w:hAnsi="宋体" w:cs="宋体"/>
                <w:snapToGrid w:val="0"/>
                <w:color w:val="000000" w:themeColor="text1"/>
                <w:kern w:val="0"/>
                <w:szCs w:val="21"/>
                <w:highlight w:val="none"/>
                <w:lang w:val="zh-CN" w:bidi="zh-CN"/>
                <w14:textFill>
                  <w14:solidFill>
                    <w14:schemeClr w14:val="tx1"/>
                  </w14:solidFill>
                </w14:textFill>
              </w:rPr>
              <w:t>）必要的保险、检测费用和各项税费等。</w:t>
            </w:r>
          </w:p>
        </w:tc>
      </w:tr>
      <w:tr w14:paraId="7DD1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75" w:type="pct"/>
            <w:gridSpan w:val="2"/>
            <w:tcMar>
              <w:top w:w="13" w:type="dxa"/>
              <w:left w:w="57" w:type="dxa"/>
              <w:bottom w:w="0" w:type="dxa"/>
              <w:right w:w="57" w:type="dxa"/>
            </w:tcMar>
            <w:vAlign w:val="center"/>
          </w:tcPr>
          <w:p w14:paraId="2BD4FE9C">
            <w:pPr>
              <w:kinsoku w:val="0"/>
              <w:wordWrap w:val="0"/>
              <w:autoSpaceDE w:val="0"/>
              <w:autoSpaceDN w:val="0"/>
              <w:adjustRightInd w:val="0"/>
              <w:snapToGrid w:val="0"/>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质保期</w:t>
            </w:r>
          </w:p>
        </w:tc>
        <w:tc>
          <w:tcPr>
            <w:tcW w:w="4324" w:type="pct"/>
            <w:gridSpan w:val="4"/>
            <w:tcMar>
              <w:top w:w="13" w:type="dxa"/>
              <w:left w:w="57" w:type="dxa"/>
              <w:bottom w:w="0" w:type="dxa"/>
              <w:right w:w="57" w:type="dxa"/>
            </w:tcMar>
            <w:vAlign w:val="center"/>
          </w:tcPr>
          <w:p w14:paraId="57123ED8">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bCs/>
                <w:snapToGrid w:val="0"/>
                <w:color w:val="000000" w:themeColor="text1"/>
                <w:kern w:val="0"/>
                <w:szCs w:val="21"/>
                <w:highlight w:val="none"/>
                <w:lang w:val="zh-CN" w:bidi="zh-CN"/>
                <w14:textFill>
                  <w14:solidFill>
                    <w14:schemeClr w14:val="tx1"/>
                  </w14:solidFill>
                </w14:textFill>
              </w:rPr>
              <w:t>1.</w:t>
            </w:r>
            <w:r>
              <w:rPr>
                <w:rFonts w:hint="eastAsia" w:ascii="宋体" w:hAnsi="宋体" w:cs="宋体"/>
                <w:b/>
                <w:snapToGrid w:val="0"/>
                <w:color w:val="000000" w:themeColor="text1"/>
                <w:kern w:val="0"/>
                <w:szCs w:val="21"/>
                <w:highlight w:val="none"/>
                <w:lang w:val="zh-CN" w:bidi="zh-CN"/>
                <w14:textFill>
                  <w14:solidFill>
                    <w14:schemeClr w14:val="tx1"/>
                  </w14:solidFill>
                </w14:textFill>
              </w:rPr>
              <w:t>质保期</w:t>
            </w:r>
            <w:r>
              <w:rPr>
                <w:rFonts w:hint="eastAsia" w:ascii="宋体" w:hAnsi="宋体" w:cs="宋体"/>
                <w:b/>
                <w:snapToGrid w:val="0"/>
                <w:color w:val="000000" w:themeColor="text1"/>
                <w:kern w:val="0"/>
                <w:szCs w:val="21"/>
                <w:highlight w:val="none"/>
                <w:u w:val="single"/>
                <w:lang w:val="zh-CN" w:bidi="zh-CN"/>
                <w14:textFill>
                  <w14:solidFill>
                    <w14:schemeClr w14:val="tx1"/>
                  </w14:solidFill>
                </w14:textFill>
              </w:rPr>
              <w:t xml:space="preserve"> </w:t>
            </w:r>
            <w:r>
              <w:rPr>
                <w:rFonts w:hint="eastAsia" w:ascii="宋体" w:hAnsi="宋体" w:cs="宋体"/>
                <w:b/>
                <w:snapToGrid w:val="0"/>
                <w:color w:val="000000" w:themeColor="text1"/>
                <w:kern w:val="0"/>
                <w:szCs w:val="21"/>
                <w:highlight w:val="none"/>
                <w:u w:val="single"/>
                <w:lang w:bidi="zh-CN"/>
                <w14:textFill>
                  <w14:solidFill>
                    <w14:schemeClr w14:val="tx1"/>
                  </w14:solidFill>
                </w14:textFill>
              </w:rPr>
              <w:t>不少于1</w:t>
            </w:r>
            <w:r>
              <w:rPr>
                <w:rFonts w:hint="eastAsia" w:ascii="宋体" w:hAnsi="宋体" w:cs="宋体"/>
                <w:b/>
                <w:snapToGrid w:val="0"/>
                <w:color w:val="000000" w:themeColor="text1"/>
                <w:kern w:val="0"/>
                <w:szCs w:val="21"/>
                <w:highlight w:val="none"/>
                <w:lang w:val="zh-CN" w:bidi="zh-CN"/>
                <w14:textFill>
                  <w14:solidFill>
                    <w14:schemeClr w14:val="tx1"/>
                  </w14:solidFill>
                </w14:textFill>
              </w:rPr>
              <w:t>年。</w:t>
            </w:r>
            <w:r>
              <w:rPr>
                <w:rFonts w:hint="eastAsia" w:ascii="宋体" w:hAnsi="宋体" w:cs="宋体"/>
                <w:snapToGrid w:val="0"/>
                <w:color w:val="000000" w:themeColor="text1"/>
                <w:kern w:val="0"/>
                <w:szCs w:val="21"/>
                <w:highlight w:val="none"/>
                <w:lang w:val="zh-CN" w:bidi="zh-CN"/>
                <w14:textFill>
                  <w14:solidFill>
                    <w14:schemeClr w14:val="tx1"/>
                  </w14:solidFill>
                </w14:textFill>
              </w:rPr>
              <w:t>（分项货物服务要求中有特别注明的，按特别注明的执行）</w:t>
            </w:r>
          </w:p>
          <w:p w14:paraId="61D5AAE1">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2.所有货物服务按国家“三包”有关规定执行“三包”。质保期自交付验收合格之日起计算，质保期内提供上门更换和软件升级服务；质保期结束后，提供终身维护，并优惠提供相关</w:t>
            </w:r>
            <w:r>
              <w:rPr>
                <w:rFonts w:hint="eastAsia" w:ascii="宋体" w:hAnsi="宋体" w:cs="宋体"/>
                <w:snapToGrid w:val="0"/>
                <w:color w:val="000000" w:themeColor="text1"/>
                <w:kern w:val="0"/>
                <w:szCs w:val="21"/>
                <w:highlight w:val="none"/>
                <w:lang w:bidi="zh-CN"/>
                <w14:textFill>
                  <w14:solidFill>
                    <w14:schemeClr w14:val="tx1"/>
                  </w14:solidFill>
                </w14:textFill>
              </w:rPr>
              <w:t>服务</w:t>
            </w:r>
            <w:r>
              <w:rPr>
                <w:rFonts w:hint="eastAsia" w:ascii="宋体" w:hAnsi="宋体" w:cs="宋体"/>
                <w:snapToGrid w:val="0"/>
                <w:color w:val="000000" w:themeColor="text1"/>
                <w:kern w:val="0"/>
                <w:szCs w:val="21"/>
                <w:highlight w:val="none"/>
                <w:lang w:val="zh-CN" w:bidi="zh-CN"/>
                <w14:textFill>
                  <w14:solidFill>
                    <w14:schemeClr w14:val="tx1"/>
                  </w14:solidFill>
                </w14:textFill>
              </w:rPr>
              <w:t>。</w:t>
            </w:r>
          </w:p>
        </w:tc>
      </w:tr>
      <w:tr w14:paraId="2FB4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75" w:type="pct"/>
            <w:gridSpan w:val="2"/>
            <w:tcMar>
              <w:top w:w="13" w:type="dxa"/>
              <w:left w:w="57" w:type="dxa"/>
              <w:bottom w:w="0" w:type="dxa"/>
              <w:right w:w="57" w:type="dxa"/>
            </w:tcMar>
            <w:vAlign w:val="center"/>
          </w:tcPr>
          <w:p w14:paraId="323F0ED3">
            <w:pPr>
              <w:kinsoku w:val="0"/>
              <w:wordWrap w:val="0"/>
              <w:autoSpaceDE w:val="0"/>
              <w:autoSpaceDN w:val="0"/>
              <w:adjustRightInd w:val="0"/>
              <w:snapToGrid w:val="0"/>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产品及售后服务要求</w:t>
            </w:r>
          </w:p>
        </w:tc>
        <w:tc>
          <w:tcPr>
            <w:tcW w:w="4324" w:type="pct"/>
            <w:gridSpan w:val="4"/>
            <w:tcMar>
              <w:top w:w="13" w:type="dxa"/>
              <w:left w:w="57" w:type="dxa"/>
              <w:bottom w:w="0" w:type="dxa"/>
              <w:right w:w="57" w:type="dxa"/>
            </w:tcMar>
            <w:vAlign w:val="center"/>
          </w:tcPr>
          <w:p w14:paraId="1CA0B119">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1</w:t>
            </w:r>
            <w:r>
              <w:rPr>
                <w:rFonts w:hint="eastAsia" w:ascii="宋体" w:hAnsi="宋体" w:cs="宋体"/>
                <w:snapToGrid w:val="0"/>
                <w:color w:val="000000" w:themeColor="text1"/>
                <w:kern w:val="0"/>
                <w:szCs w:val="21"/>
                <w:highlight w:val="none"/>
                <w:lang w:val="zh-CN" w:bidi="zh-CN"/>
                <w14:textFill>
                  <w14:solidFill>
                    <w14:schemeClr w14:val="tx1"/>
                  </w14:solidFill>
                </w14:textFill>
              </w:rPr>
              <w:t>. 依据用户问题轻重缓急，提供不同的响应时间，具体为：</w:t>
            </w:r>
          </w:p>
          <w:p w14:paraId="2D03D0F0">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（1）“严重错误”，严重影响用户正常使用的情况下，</w:t>
            </w:r>
            <w:r>
              <w:rPr>
                <w:rFonts w:hint="eastAsia" w:ascii="宋体" w:hAnsi="宋体" w:cs="宋体"/>
                <w:snapToGrid w:val="0"/>
                <w:color w:val="000000" w:themeColor="text1"/>
                <w:kern w:val="0"/>
                <w:szCs w:val="21"/>
                <w:highlight w:val="none"/>
                <w:lang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将安排优先处理，在6小时内处理好或提出应急措施。处理时间：6小时内；</w:t>
            </w:r>
          </w:p>
          <w:p w14:paraId="075391AE">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（2）“一般错误”，一般系统错误，对用户使用平台无十分紧急的影响，</w:t>
            </w:r>
            <w:r>
              <w:rPr>
                <w:rFonts w:hint="eastAsia" w:ascii="宋体" w:hAnsi="宋体" w:cs="宋体"/>
                <w:snapToGrid w:val="0"/>
                <w:color w:val="000000" w:themeColor="text1"/>
                <w:kern w:val="0"/>
                <w:szCs w:val="21"/>
                <w:highlight w:val="none"/>
                <w:lang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将在24小时内处理好或提出应急措施。处理时间：24小时内；</w:t>
            </w:r>
          </w:p>
          <w:p w14:paraId="4BA8B41F">
            <w:pPr>
              <w:kinsoku w:val="0"/>
              <w:wordWrap w:val="0"/>
              <w:autoSpaceDE w:val="0"/>
              <w:autoSpaceDN w:val="0"/>
              <w:adjustRightInd w:val="0"/>
              <w:snapToGrid w:val="0"/>
              <w:jc w:val="left"/>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（3）“需求变化”，增加和改进功能，使用方便性调整，接到报告48小时内给予答复，并提出有关的意见。处理时间：48小时内。</w:t>
            </w:r>
          </w:p>
          <w:p w14:paraId="1E1A4F88">
            <w:pPr>
              <w:kinsoku w:val="0"/>
              <w:wordWrap w:val="0"/>
              <w:autoSpaceDE w:val="0"/>
              <w:autoSpaceDN w:val="0"/>
              <w:adjustRightInd w:val="0"/>
              <w:snapToGrid w:val="0"/>
              <w:jc w:val="left"/>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bidi="zh-CN"/>
                <w14:textFill>
                  <w14:solidFill>
                    <w14:schemeClr w14:val="tx1"/>
                  </w14:solidFill>
                </w14:textFill>
              </w:rPr>
              <w:t>2</w:t>
            </w:r>
            <w:r>
              <w:rPr>
                <w:rFonts w:hint="eastAsia" w:ascii="宋体" w:hAnsi="宋体" w:cs="宋体"/>
                <w:snapToGrid w:val="0"/>
                <w:color w:val="000000" w:themeColor="text1"/>
                <w:kern w:val="0"/>
                <w:szCs w:val="21"/>
                <w:highlight w:val="none"/>
                <w:lang w:val="zh-CN" w:bidi="zh-CN"/>
                <w14:textFill>
                  <w14:solidFill>
                    <w14:schemeClr w14:val="tx1"/>
                  </w14:solidFill>
                </w14:textFill>
              </w:rPr>
              <w:t>.中标供应商需提供课程数据对接服务，需要支持按校级课程中心字段规范要求以 API、离线数据包输出课程数据，配合完成跨系统数据归集对接调试。</w:t>
            </w:r>
          </w:p>
        </w:tc>
      </w:tr>
      <w:tr w14:paraId="0EC3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675" w:type="pct"/>
            <w:gridSpan w:val="2"/>
            <w:tcMar>
              <w:top w:w="13" w:type="dxa"/>
              <w:left w:w="57" w:type="dxa"/>
              <w:bottom w:w="0" w:type="dxa"/>
              <w:right w:w="57" w:type="dxa"/>
            </w:tcMar>
            <w:vAlign w:val="center"/>
          </w:tcPr>
          <w:p w14:paraId="226C1F98">
            <w:pPr>
              <w:kinsoku w:val="0"/>
              <w:wordWrap w:val="0"/>
              <w:autoSpaceDE w:val="0"/>
              <w:autoSpaceDN w:val="0"/>
              <w:adjustRightInd w:val="0"/>
              <w:snapToGrid w:val="0"/>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交付时间</w:t>
            </w:r>
          </w:p>
        </w:tc>
        <w:tc>
          <w:tcPr>
            <w:tcW w:w="4324" w:type="pct"/>
            <w:gridSpan w:val="4"/>
            <w:tcMar>
              <w:top w:w="13" w:type="dxa"/>
              <w:left w:w="57" w:type="dxa"/>
              <w:bottom w:w="0" w:type="dxa"/>
              <w:right w:w="57" w:type="dxa"/>
            </w:tcMar>
            <w:vAlign w:val="center"/>
          </w:tcPr>
          <w:p w14:paraId="1BA2F48F">
            <w:pPr>
              <w:kinsoku w:val="0"/>
              <w:wordWrap w:val="0"/>
              <w:autoSpaceDE w:val="0"/>
              <w:autoSpaceDN w:val="0"/>
              <w:adjustRightInd w:val="0"/>
              <w:snapToGrid w:val="0"/>
              <w:jc w:val="left"/>
              <w:rPr>
                <w:rFonts w:hint="eastAsia" w:ascii="宋体" w:hAnsi="宋体" w:cs="宋体"/>
                <w:snapToGrid w:val="0"/>
                <w:color w:val="000000" w:themeColor="text1"/>
                <w:spacing w:val="-2"/>
                <w:kern w:val="0"/>
                <w:szCs w:val="21"/>
                <w:highlight w:val="none"/>
                <w:lang w:val="zh-CN" w:bidi="zh-CN"/>
                <w14:textFill>
                  <w14:solidFill>
                    <w14:schemeClr w14:val="tx1"/>
                  </w14:solidFill>
                </w14:textFill>
              </w:rPr>
            </w:pPr>
            <w:r>
              <w:rPr>
                <w:rFonts w:hint="eastAsia" w:ascii="宋体" w:hAnsi="宋体" w:cs="宋体"/>
                <w:snapToGrid w:val="0"/>
                <w:color w:val="000000" w:themeColor="text1"/>
                <w:spacing w:val="-2"/>
                <w:kern w:val="0"/>
                <w:szCs w:val="21"/>
                <w:highlight w:val="none"/>
                <w:lang w:val="zh-CN" w:bidi="zh-CN"/>
                <w14:textFill>
                  <w14:solidFill>
                    <w14:schemeClr w14:val="tx1"/>
                  </w14:solidFill>
                </w14:textFill>
              </w:rPr>
              <w:t>1.交付时间：自签订合同之日起</w:t>
            </w:r>
            <w:r>
              <w:rPr>
                <w:rFonts w:hint="eastAsia" w:ascii="宋体" w:hAnsi="宋体" w:cs="宋体"/>
                <w:snapToGrid w:val="0"/>
                <w:color w:val="000000" w:themeColor="text1"/>
                <w:spacing w:val="-2"/>
                <w:kern w:val="0"/>
                <w:szCs w:val="21"/>
                <w:highlight w:val="none"/>
                <w:u w:val="single"/>
                <w:lang w:val="zh-CN" w:bidi="zh-CN"/>
                <w14:textFill>
                  <w14:solidFill>
                    <w14:schemeClr w14:val="tx1"/>
                  </w14:solidFill>
                </w14:textFill>
              </w:rPr>
              <w:t xml:space="preserve"> </w:t>
            </w:r>
            <w:r>
              <w:rPr>
                <w:rFonts w:hint="eastAsia" w:ascii="宋体" w:hAnsi="宋体" w:cs="宋体"/>
                <w:snapToGrid w:val="0"/>
                <w:color w:val="000000" w:themeColor="text1"/>
                <w:spacing w:val="-2"/>
                <w:kern w:val="0"/>
                <w:szCs w:val="21"/>
                <w:highlight w:val="none"/>
                <w:u w:val="single"/>
                <w:lang w:bidi="zh-CN"/>
                <w14:textFill>
                  <w14:solidFill>
                    <w14:schemeClr w14:val="tx1"/>
                  </w14:solidFill>
                </w14:textFill>
              </w:rPr>
              <w:t xml:space="preserve"> 180 </w:t>
            </w:r>
            <w:r>
              <w:rPr>
                <w:rFonts w:hint="eastAsia" w:ascii="宋体" w:hAnsi="宋体" w:cs="宋体"/>
                <w:snapToGrid w:val="0"/>
                <w:color w:val="000000" w:themeColor="text1"/>
                <w:spacing w:val="-2"/>
                <w:kern w:val="0"/>
                <w:szCs w:val="21"/>
                <w:highlight w:val="none"/>
                <w:u w:val="single"/>
                <w:lang w:val="zh-CN" w:bidi="zh-CN"/>
                <w14:textFill>
                  <w14:solidFill>
                    <w14:schemeClr w14:val="tx1"/>
                  </w14:solidFill>
                </w14:textFill>
              </w:rPr>
              <w:t xml:space="preserve"> </w:t>
            </w:r>
            <w:r>
              <w:rPr>
                <w:rFonts w:hint="eastAsia" w:ascii="宋体" w:hAnsi="宋体" w:cs="宋体"/>
                <w:snapToGrid w:val="0"/>
                <w:color w:val="000000" w:themeColor="text1"/>
                <w:spacing w:val="-2"/>
                <w:kern w:val="0"/>
                <w:szCs w:val="21"/>
                <w:highlight w:val="none"/>
                <w:lang w:val="zh-CN" w:bidi="zh-CN"/>
                <w14:textFill>
                  <w14:solidFill>
                    <w14:schemeClr w14:val="tx1"/>
                  </w14:solidFill>
                </w14:textFill>
              </w:rPr>
              <w:t>日历日内全部交付完成并验收合格。</w:t>
            </w:r>
          </w:p>
          <w:p w14:paraId="148BF9F4">
            <w:pPr>
              <w:kinsoku w:val="0"/>
              <w:wordWrap w:val="0"/>
              <w:autoSpaceDE w:val="0"/>
              <w:autoSpaceDN w:val="0"/>
              <w:adjustRightInd w:val="0"/>
              <w:snapToGrid w:val="0"/>
              <w:jc w:val="left"/>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2.交付地点：</w:t>
            </w:r>
            <w:r>
              <w:rPr>
                <w:rFonts w:hint="eastAsia" w:ascii="宋体" w:hAnsi="宋体" w:cs="宋体"/>
                <w:snapToGrid w:val="0"/>
                <w:color w:val="000000" w:themeColor="text1"/>
                <w:kern w:val="0"/>
                <w:szCs w:val="21"/>
                <w:highlight w:val="none"/>
                <w:lang w:bidi="zh-CN"/>
                <w14:textFill>
                  <w14:solidFill>
                    <w14:schemeClr w14:val="tx1"/>
                  </w14:solidFill>
                </w14:textFill>
              </w:rPr>
              <w:t>桂林医科大学</w:t>
            </w:r>
            <w:r>
              <w:rPr>
                <w:rFonts w:hint="eastAsia" w:ascii="宋体" w:hAnsi="宋体" w:cs="宋体"/>
                <w:snapToGrid w:val="0"/>
                <w:color w:val="000000" w:themeColor="text1"/>
                <w:kern w:val="0"/>
                <w:szCs w:val="21"/>
                <w:highlight w:val="none"/>
                <w:u w:val="single"/>
                <w:lang w:bidi="zh-CN"/>
                <w14:textFill>
                  <w14:solidFill>
                    <w14:schemeClr w14:val="tx1"/>
                  </w14:solidFill>
                </w14:textFill>
              </w:rPr>
              <w:t xml:space="preserve"> 临桂 校区</w:t>
            </w:r>
            <w:r>
              <w:rPr>
                <w:rFonts w:hint="eastAsia" w:ascii="宋体" w:hAnsi="宋体" w:cs="宋体"/>
                <w:snapToGrid w:val="0"/>
                <w:color w:val="000000" w:themeColor="text1"/>
                <w:kern w:val="0"/>
                <w:szCs w:val="21"/>
                <w:highlight w:val="none"/>
                <w:lang w:val="zh-CN" w:bidi="zh-CN"/>
                <w14:textFill>
                  <w14:solidFill>
                    <w14:schemeClr w14:val="tx1"/>
                  </w14:solidFill>
                </w14:textFill>
              </w:rPr>
              <w:t>。</w:t>
            </w:r>
          </w:p>
        </w:tc>
      </w:tr>
      <w:tr w14:paraId="0A62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4999" w:type="pct"/>
            <w:gridSpan w:val="6"/>
            <w:tcMar>
              <w:top w:w="13" w:type="dxa"/>
              <w:left w:w="57" w:type="dxa"/>
              <w:bottom w:w="0" w:type="dxa"/>
              <w:right w:w="57" w:type="dxa"/>
            </w:tcMar>
            <w:vAlign w:val="center"/>
          </w:tcPr>
          <w:p w14:paraId="6FF7EF91">
            <w:pPr>
              <w:kinsoku w:val="0"/>
              <w:wordWrap w:val="0"/>
              <w:autoSpaceDE w:val="0"/>
              <w:autoSpaceDN w:val="0"/>
              <w:adjustRightInd w:val="0"/>
              <w:snapToGrid w:val="0"/>
              <w:jc w:val="left"/>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snapToGrid w:val="0"/>
                <w:color w:val="000000" w:themeColor="text1"/>
                <w:kern w:val="0"/>
                <w:szCs w:val="21"/>
                <w:highlight w:val="none"/>
                <w:lang w:val="zh-CN" w:bidi="zh-CN"/>
                <w14:textFill>
                  <w14:solidFill>
                    <w14:schemeClr w14:val="tx1"/>
                  </w14:solidFill>
                </w14:textFill>
              </w:rPr>
              <w:t>三、其它</w:t>
            </w:r>
          </w:p>
        </w:tc>
      </w:tr>
      <w:tr w14:paraId="44D8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675" w:type="pct"/>
            <w:gridSpan w:val="2"/>
            <w:tcMar>
              <w:top w:w="13" w:type="dxa"/>
              <w:left w:w="57" w:type="dxa"/>
              <w:bottom w:w="0" w:type="dxa"/>
              <w:right w:w="57" w:type="dxa"/>
            </w:tcMar>
            <w:vAlign w:val="center"/>
          </w:tcPr>
          <w:p w14:paraId="48EB8A48">
            <w:pPr>
              <w:kinsoku w:val="0"/>
              <w:wordWrap w:val="0"/>
              <w:autoSpaceDE w:val="0"/>
              <w:autoSpaceDN w:val="0"/>
              <w:adjustRightInd w:val="0"/>
              <w:snapToGrid w:val="0"/>
              <w:jc w:val="center"/>
              <w:rPr>
                <w:rFonts w:hint="eastAsia" w:ascii="宋体" w:hAnsi="宋体" w:cs="宋体"/>
                <w:b/>
                <w:bCs/>
                <w:snapToGrid w:val="0"/>
                <w:color w:val="000000" w:themeColor="text1"/>
                <w:kern w:val="0"/>
                <w:szCs w:val="21"/>
                <w:highlight w:val="none"/>
                <w:lang w:bidi="zh-CN"/>
                <w14:textFill>
                  <w14:solidFill>
                    <w14:schemeClr w14:val="tx1"/>
                  </w14:solidFill>
                </w14:textFill>
              </w:rPr>
            </w:pPr>
            <w:r>
              <w:rPr>
                <w:rFonts w:hint="eastAsia" w:ascii="宋体" w:hAnsi="宋体" w:cs="宋体"/>
                <w:b/>
                <w:bCs/>
                <w:snapToGrid w:val="0"/>
                <w:color w:val="000000" w:themeColor="text1"/>
                <w:kern w:val="0"/>
                <w:szCs w:val="21"/>
                <w:highlight w:val="none"/>
                <w:lang w:bidi="zh-CN"/>
                <w14:textFill>
                  <w14:solidFill>
                    <w14:schemeClr w14:val="tx1"/>
                  </w14:solidFill>
                </w14:textFill>
              </w:rPr>
              <w:t>演示要求</w:t>
            </w:r>
          </w:p>
        </w:tc>
        <w:tc>
          <w:tcPr>
            <w:tcW w:w="4324" w:type="pct"/>
            <w:gridSpan w:val="4"/>
            <w:tcMar>
              <w:top w:w="13" w:type="dxa"/>
              <w:left w:w="57" w:type="dxa"/>
              <w:bottom w:w="0" w:type="dxa"/>
              <w:right w:w="57" w:type="dxa"/>
            </w:tcMar>
            <w:vAlign w:val="center"/>
          </w:tcPr>
          <w:p w14:paraId="29891C7B">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kern w:val="0"/>
                <w:szCs w:val="21"/>
                <w:highlight w:val="none"/>
                <w:lang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针对以上第1-</w:t>
            </w:r>
            <w:r>
              <w:rPr>
                <w:rFonts w:hint="eastAsia" w:ascii="宋体" w:hAnsi="宋体" w:cs="宋体"/>
                <w:snapToGrid w:val="0"/>
                <w:color w:val="000000" w:themeColor="text1"/>
                <w:kern w:val="0"/>
                <w:szCs w:val="21"/>
                <w:highlight w:val="none"/>
                <w:lang w:bidi="zh-CN"/>
                <w14:textFill>
                  <w14:solidFill>
                    <w14:schemeClr w14:val="tx1"/>
                  </w14:solidFill>
                </w14:textFill>
              </w:rPr>
              <w:t>7</w:t>
            </w:r>
            <w:r>
              <w:rPr>
                <w:rFonts w:hint="eastAsia" w:ascii="宋体" w:hAnsi="宋体" w:cs="宋体"/>
                <w:snapToGrid w:val="0"/>
                <w:color w:val="000000" w:themeColor="text1"/>
                <w:kern w:val="0"/>
                <w:szCs w:val="21"/>
                <w:highlight w:val="none"/>
                <w:lang w:val="zh-CN" w:bidi="zh-CN"/>
                <w14:textFill>
                  <w14:solidFill>
                    <w14:schemeClr w14:val="tx1"/>
                  </w14:solidFill>
                </w14:textFill>
              </w:rPr>
              <w:t>项需求内容中标记“</w:t>
            </w:r>
            <w:r>
              <w:rPr>
                <w:rFonts w:hint="eastAsia" w:ascii="宋体" w:hAnsi="宋体" w:cs="宋体"/>
                <w:snapToGrid w:val="0"/>
                <w:color w:val="000000" w:themeColor="text1"/>
                <w:kern w:val="0"/>
                <w:szCs w:val="21"/>
                <w:highlight w:val="none"/>
                <w:lang w:val="zh-CN" w:bidi="ar"/>
                <w14:textFill>
                  <w14:solidFill>
                    <w14:schemeClr w14:val="tx1"/>
                  </w14:solidFill>
                </w14:textFill>
              </w:rPr>
              <w:t>●</w:t>
            </w:r>
            <w:r>
              <w:rPr>
                <w:rFonts w:hint="eastAsia" w:ascii="宋体" w:hAnsi="宋体" w:cs="宋体"/>
                <w:snapToGrid w:val="0"/>
                <w:color w:val="000000" w:themeColor="text1"/>
                <w:kern w:val="0"/>
                <w:szCs w:val="21"/>
                <w:highlight w:val="none"/>
                <w:lang w:val="zh-CN" w:bidi="zh-CN"/>
                <w14:textFill>
                  <w14:solidFill>
                    <w14:schemeClr w14:val="tx1"/>
                  </w14:solidFill>
                </w14:textFill>
              </w:rPr>
              <w:t>”的参数项进行相关平台功能具体演示，要求如下：供应商基于真实平台（不接受PPT、Demo、视频等演示形式）进行</w:t>
            </w:r>
            <w:r>
              <w:rPr>
                <w:rFonts w:hint="eastAsia" w:ascii="宋体" w:hAnsi="宋体" w:cs="宋体"/>
                <w:snapToGrid w:val="0"/>
                <w:color w:val="000000" w:themeColor="text1"/>
                <w:kern w:val="0"/>
                <w:szCs w:val="21"/>
                <w:highlight w:val="none"/>
                <w:lang w:bidi="zh-CN"/>
                <w14:textFill>
                  <w14:solidFill>
                    <w14:schemeClr w14:val="tx1"/>
                  </w14:solidFill>
                </w14:textFill>
              </w:rPr>
              <w:t>线上</w:t>
            </w:r>
            <w:r>
              <w:rPr>
                <w:rFonts w:hint="eastAsia" w:ascii="宋体" w:hAnsi="宋体" w:cs="宋体"/>
                <w:snapToGrid w:val="0"/>
                <w:color w:val="000000" w:themeColor="text1"/>
                <w:kern w:val="0"/>
                <w:szCs w:val="21"/>
                <w:highlight w:val="none"/>
                <w:lang w:val="zh-CN" w:bidi="zh-CN"/>
                <w14:textFill>
                  <w14:solidFill>
                    <w14:schemeClr w14:val="tx1"/>
                  </w14:solidFill>
                </w14:textFill>
              </w:rPr>
              <w:t>演示，展示参数功能，每项演示必须展示前后页面跳转，演示功能不全或未演示的不得分，</w:t>
            </w:r>
            <w:r>
              <w:rPr>
                <w:rFonts w:hint="eastAsia" w:ascii="宋体" w:hAnsi="宋体" w:cs="宋体"/>
                <w:snapToGrid w:val="0"/>
                <w:color w:val="000000" w:themeColor="text1"/>
                <w:kern w:val="0"/>
                <w:szCs w:val="21"/>
                <w:highlight w:val="none"/>
                <w:lang w:bidi="zh-CN"/>
                <w14:textFill>
                  <w14:solidFill>
                    <w14:schemeClr w14:val="tx1"/>
                  </w14:solidFill>
                </w14:textFill>
              </w:rPr>
              <w:t>演示时长不超过25分钟。</w:t>
            </w:r>
            <w:r>
              <w:rPr>
                <w:rFonts w:hint="eastAsia" w:ascii="宋体" w:hAnsi="宋体" w:cs="宋体"/>
                <w:color w:val="000000" w:themeColor="text1"/>
                <w:szCs w:val="21"/>
                <w:highlight w:val="none"/>
                <w14:textFill>
                  <w14:solidFill>
                    <w14:schemeClr w14:val="tx1"/>
                  </w14:solidFill>
                </w14:textFill>
              </w:rPr>
              <w:t>演示地点：广西政府采购云平台（https://www.gcy.zfcg.gxzf.gov.cn/）。供应商应确保用于演示的电脑具备摄像头及语音功能，当采购组织机构在平台发起视频演示时，及时进入评审室，选择共享屏幕的方式进行演示。供应商可根据评分办法与自身情况选择是否进行功能演示。</w:t>
            </w:r>
          </w:p>
        </w:tc>
      </w:tr>
      <w:tr w14:paraId="065E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675" w:type="pct"/>
            <w:gridSpan w:val="2"/>
            <w:tcMar>
              <w:top w:w="13" w:type="dxa"/>
              <w:left w:w="57" w:type="dxa"/>
              <w:bottom w:w="0" w:type="dxa"/>
              <w:right w:w="57" w:type="dxa"/>
            </w:tcMar>
            <w:vAlign w:val="center"/>
          </w:tcPr>
          <w:p w14:paraId="6B4210EF">
            <w:pPr>
              <w:kinsoku w:val="0"/>
              <w:wordWrap w:val="0"/>
              <w:autoSpaceDE w:val="0"/>
              <w:autoSpaceDN w:val="0"/>
              <w:adjustRightInd w:val="0"/>
              <w:snapToGrid w:val="0"/>
              <w:jc w:val="center"/>
              <w:rPr>
                <w:rFonts w:hint="default" w:ascii="宋体" w:hAnsi="宋体" w:cs="宋体"/>
                <w:b/>
                <w:bCs/>
                <w:snapToGrid w:val="0"/>
                <w:color w:val="000000" w:themeColor="text1"/>
                <w:kern w:val="0"/>
                <w:szCs w:val="21"/>
                <w:highlight w:val="none"/>
                <w:lang w:val="en-US" w:bidi="zh-CN"/>
                <w14:textFill>
                  <w14:solidFill>
                    <w14:schemeClr w14:val="tx1"/>
                  </w14:solidFill>
                </w14:textFill>
              </w:rPr>
            </w:pPr>
            <w:r>
              <w:rPr>
                <w:rFonts w:hint="eastAsia" w:ascii="宋体" w:hAnsi="宋体" w:cs="宋体"/>
                <w:b/>
                <w:bCs/>
                <w:snapToGrid w:val="0"/>
                <w:color w:val="000000" w:themeColor="text1"/>
                <w:kern w:val="0"/>
                <w:szCs w:val="21"/>
                <w:highlight w:val="none"/>
                <w:lang w:val="en-US" w:bidi="zh-CN"/>
                <w14:textFill>
                  <w14:solidFill>
                    <w14:schemeClr w14:val="tx1"/>
                  </w14:solidFill>
                </w14:textFill>
              </w:rPr>
              <w:t>履约保证金</w:t>
            </w:r>
          </w:p>
        </w:tc>
        <w:tc>
          <w:tcPr>
            <w:tcW w:w="4324" w:type="pct"/>
            <w:gridSpan w:val="4"/>
            <w:tcMar>
              <w:top w:w="13" w:type="dxa"/>
              <w:left w:w="57" w:type="dxa"/>
              <w:bottom w:w="0" w:type="dxa"/>
              <w:right w:w="57" w:type="dxa"/>
            </w:tcMar>
            <w:vAlign w:val="center"/>
          </w:tcPr>
          <w:p w14:paraId="6D4ABCBF">
            <w:pPr>
              <w:widowControl/>
              <w:kinsoku w:val="0"/>
              <w:wordWrap w:val="0"/>
              <w:autoSpaceDE w:val="0"/>
              <w:autoSpaceDN w:val="0"/>
              <w:adjustRightInd w:val="0"/>
              <w:snapToGrid w:val="0"/>
              <w:spacing w:line="360" w:lineRule="auto"/>
              <w:jc w:val="left"/>
              <w:textAlignment w:val="center"/>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履约保证金金额（人民币）：按中标金额的5%，中小企业按中标金额的2%。履约保证金递交方式：以转账或电汇等非现金形式在领取中标通知书前从</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基本账户交至以下账户：开户名称：桂林医科大学。开户银行：中国建设银行股份有限公司桂林致和路支行。账号：4500 1635 4130 5050 0589。本项目履约保证金，项目验收合格后</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如无违约行为，</w:t>
            </w:r>
            <w:r>
              <w:rPr>
                <w:rFonts w:hint="eastAsia" w:ascii="宋体" w:hAnsi="宋体" w:cs="宋体"/>
                <w:snapToGrid w:val="0"/>
                <w:color w:val="000000" w:themeColor="text1"/>
                <w:kern w:val="0"/>
                <w:szCs w:val="21"/>
                <w:highlight w:val="none"/>
                <w:lang w:val="en-US" w:bidi="zh-CN"/>
                <w14:textFill>
                  <w14:solidFill>
                    <w14:schemeClr w14:val="tx1"/>
                  </w14:solidFill>
                </w14:textFill>
              </w:rPr>
              <w:t>采购人</w:t>
            </w:r>
            <w:r>
              <w:rPr>
                <w:rFonts w:hint="eastAsia" w:ascii="宋体" w:hAnsi="宋体" w:cs="宋体"/>
                <w:snapToGrid w:val="0"/>
                <w:color w:val="000000" w:themeColor="text1"/>
                <w:kern w:val="0"/>
                <w:szCs w:val="21"/>
                <w:highlight w:val="none"/>
                <w:lang w:val="zh-CN" w:bidi="zh-CN"/>
                <w14:textFill>
                  <w14:solidFill>
                    <w14:schemeClr w14:val="tx1"/>
                  </w14:solidFill>
                </w14:textFill>
              </w:rPr>
              <w:t>收到</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提交退还履约保证金申请书后20个工作日内将履约保证金无息退回</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w:t>
            </w:r>
          </w:p>
        </w:tc>
      </w:tr>
      <w:bookmarkEnd w:id="22"/>
    </w:tbl>
    <w:p w14:paraId="76559A18">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br w:type="page"/>
      </w:r>
    </w:p>
    <w:p w14:paraId="01DC9DCB">
      <w:pPr>
        <w:spacing w:line="528" w:lineRule="exact"/>
        <w:ind w:firstLine="281" w:firstLineChars="100"/>
        <w:jc w:val="center"/>
        <w:rPr>
          <w:rFonts w:hint="eastAsia" w:ascii="黑体" w:hAnsi="黑体" w:eastAsia="黑体" w:cs="Arial"/>
          <w:b/>
          <w:color w:val="000000" w:themeColor="text1"/>
          <w:kern w:val="0"/>
          <w:sz w:val="28"/>
          <w:szCs w:val="28"/>
          <w:highlight w:val="none"/>
          <w14:textFill>
            <w14:solidFill>
              <w14:schemeClr w14:val="tx1"/>
            </w14:solidFill>
          </w14:textFill>
        </w:rPr>
      </w:pPr>
      <w:r>
        <w:rPr>
          <w:rFonts w:hint="eastAsia" w:ascii="黑体" w:hAnsi="黑体" w:eastAsia="黑体" w:cs="Arial"/>
          <w:b/>
          <w:color w:val="000000" w:themeColor="text1"/>
          <w:kern w:val="0"/>
          <w:sz w:val="28"/>
          <w:szCs w:val="28"/>
          <w:highlight w:val="none"/>
          <w14:textFill>
            <w14:solidFill>
              <w14:schemeClr w14:val="tx1"/>
            </w14:solidFill>
          </w14:textFill>
        </w:rPr>
        <w:t>桂林医科大学2026年智慧课程建设项目-B分标</w:t>
      </w:r>
    </w:p>
    <w:p w14:paraId="6C07388C">
      <w:pPr>
        <w:spacing w:line="360" w:lineRule="auto"/>
        <w:rPr>
          <w:rFonts w:hint="eastAsia" w:ascii="黑体" w:hAnsi="黑体" w:eastAsia="黑体" w:cs="Arial"/>
          <w:b/>
          <w:color w:val="000000" w:themeColor="text1"/>
          <w:kern w:val="0"/>
          <w:sz w:val="28"/>
          <w:szCs w:val="28"/>
          <w:highlight w:val="none"/>
          <w14:textFill>
            <w14:solidFill>
              <w14:schemeClr w14:val="tx1"/>
            </w14:solidFill>
          </w14:textFill>
        </w:rPr>
      </w:pPr>
      <w:r>
        <w:rPr>
          <w:rFonts w:ascii="黑体" w:hAnsi="黑体" w:eastAsia="黑体" w:cs="Arial"/>
          <w:b/>
          <w:color w:val="000000" w:themeColor="text1"/>
          <w:kern w:val="0"/>
          <w:sz w:val="28"/>
          <w:szCs w:val="28"/>
          <w:highlight w:val="none"/>
          <w14:textFill>
            <w14:solidFill>
              <w14:schemeClr w14:val="tx1"/>
            </w14:solidFill>
          </w14:textFill>
        </w:rPr>
        <w:t>一、</w:t>
      </w:r>
      <w:r>
        <w:rPr>
          <w:rFonts w:hint="eastAsia" w:ascii="黑体" w:hAnsi="黑体" w:eastAsia="黑体" w:cs="Arial"/>
          <w:b/>
          <w:color w:val="000000" w:themeColor="text1"/>
          <w:kern w:val="0"/>
          <w:sz w:val="28"/>
          <w:szCs w:val="28"/>
          <w:highlight w:val="none"/>
          <w14:textFill>
            <w14:solidFill>
              <w14:schemeClr w14:val="tx1"/>
            </w14:solidFill>
          </w14:textFill>
        </w:rPr>
        <w:t>总体</w:t>
      </w:r>
      <w:r>
        <w:rPr>
          <w:rFonts w:ascii="黑体" w:hAnsi="黑体" w:eastAsia="黑体" w:cs="Arial"/>
          <w:b/>
          <w:color w:val="000000" w:themeColor="text1"/>
          <w:kern w:val="0"/>
          <w:sz w:val="28"/>
          <w:szCs w:val="28"/>
          <w:highlight w:val="none"/>
          <w14:textFill>
            <w14:solidFill>
              <w14:schemeClr w14:val="tx1"/>
            </w14:solidFill>
          </w14:textFill>
        </w:rPr>
        <w:t>要求</w:t>
      </w:r>
    </w:p>
    <w:p w14:paraId="35848F0C">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.政府采购政策的应用</w:t>
      </w:r>
    </w:p>
    <w:p w14:paraId="05E602AF">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详见招标文件“评审方法及标准</w:t>
      </w:r>
      <w:r>
        <w:rPr>
          <w:color w:val="000000" w:themeColor="text1"/>
          <w:szCs w:val="21"/>
          <w:highlight w:val="none"/>
          <w14:textFill>
            <w14:solidFill>
              <w14:schemeClr w14:val="tx1"/>
            </w14:solidFill>
          </w14:textFill>
        </w:rPr>
        <w:t>/政府采购政策应用说明”。</w:t>
      </w:r>
    </w:p>
    <w:p w14:paraId="4A13E5FB">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.采购需求要求未尽事宜</w:t>
      </w:r>
      <w:r>
        <w:rPr>
          <w:color w:val="000000" w:themeColor="text1"/>
          <w:szCs w:val="21"/>
          <w:highlight w:val="none"/>
          <w14:textFill>
            <w14:solidFill>
              <w14:schemeClr w14:val="tx1"/>
            </w14:solidFill>
          </w14:textFill>
        </w:rPr>
        <w:t>由</w:t>
      </w:r>
      <w:r>
        <w:rPr>
          <w:rFonts w:hint="eastAsia"/>
          <w:color w:val="000000" w:themeColor="text1"/>
          <w:szCs w:val="21"/>
          <w:highlight w:val="none"/>
          <w14:textFill>
            <w14:solidFill>
              <w14:schemeClr w14:val="tx1"/>
            </w14:solidFill>
          </w14:textFill>
        </w:rPr>
        <w:t>采购人与中标供应商</w:t>
      </w:r>
      <w:r>
        <w:rPr>
          <w:color w:val="000000" w:themeColor="text1"/>
          <w:szCs w:val="21"/>
          <w:highlight w:val="none"/>
          <w14:textFill>
            <w14:solidFill>
              <w14:schemeClr w14:val="tx1"/>
            </w14:solidFill>
          </w14:textFill>
        </w:rPr>
        <w:t>在采购合同中约定。</w:t>
      </w:r>
    </w:p>
    <w:p w14:paraId="61275154">
      <w:pPr>
        <w:spacing w:line="360" w:lineRule="auto"/>
        <w:rPr>
          <w:rFonts w:hint="eastAsia" w:ascii="黑体" w:hAnsi="黑体" w:eastAsia="黑体" w:cs="Arial"/>
          <w:b/>
          <w:bCs/>
          <w:color w:val="000000" w:themeColor="text1"/>
          <w:kern w:val="0"/>
          <w:sz w:val="28"/>
          <w:szCs w:val="28"/>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3.标注“▲”的条款或要求系指实质性条款或实质性要求，必须满足，如存在负偏离将导致投标无效</w:t>
      </w:r>
      <w:r>
        <w:rPr>
          <w:rFonts w:hint="eastAsia" w:ascii="宋体" w:hAnsi="宋体" w:cs="宋体"/>
          <w:b/>
          <w:bCs/>
          <w:color w:val="000000" w:themeColor="text1"/>
          <w:szCs w:val="21"/>
          <w:highlight w:val="none"/>
          <w14:textFill>
            <w14:solidFill>
              <w14:schemeClr w14:val="tx1"/>
            </w14:solidFill>
          </w14:textFill>
        </w:rPr>
        <w:t>。标注“●”的条款作为加分项评标依据，详见评标办法，无标识则表示一般指标项。</w:t>
      </w:r>
    </w:p>
    <w:p w14:paraId="5D02B840">
      <w:pPr>
        <w:spacing w:line="360" w:lineRule="auto"/>
        <w:rPr>
          <w:rFonts w:hint="eastAsia" w:ascii="黑体" w:hAnsi="黑体" w:eastAsia="黑体" w:cs="Arial"/>
          <w:b/>
          <w:color w:val="000000" w:themeColor="text1"/>
          <w:kern w:val="0"/>
          <w:sz w:val="28"/>
          <w:szCs w:val="28"/>
          <w:highlight w:val="none"/>
          <w14:textFill>
            <w14:solidFill>
              <w14:schemeClr w14:val="tx1"/>
            </w14:solidFill>
          </w14:textFill>
        </w:rPr>
      </w:pPr>
      <w:r>
        <w:rPr>
          <w:rFonts w:hint="eastAsia" w:ascii="黑体" w:hAnsi="黑体" w:eastAsia="黑体" w:cs="Arial"/>
          <w:b/>
          <w:color w:val="000000" w:themeColor="text1"/>
          <w:kern w:val="0"/>
          <w:sz w:val="28"/>
          <w:szCs w:val="28"/>
          <w:highlight w:val="none"/>
          <w14:textFill>
            <w14:solidFill>
              <w14:schemeClr w14:val="tx1"/>
            </w14:solidFill>
          </w14:textFill>
        </w:rPr>
        <w:t>二、技术要求</w:t>
      </w:r>
    </w:p>
    <w:p w14:paraId="73FBEB9E">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1.需实现的功能、目标及应用场景</w:t>
      </w:r>
    </w:p>
    <w:p w14:paraId="287DF680">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满足招标文件要求，验收达到合格标准。</w:t>
      </w:r>
    </w:p>
    <w:p w14:paraId="23883695">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需执行的国家相关标准、行业标准、地方标准或者其他标准、规范</w:t>
      </w:r>
    </w:p>
    <w:p w14:paraId="168E7FA3">
      <w:pPr>
        <w:spacing w:line="360" w:lineRule="auto"/>
        <w:rPr>
          <w:i/>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本项目应执行的国家相关标准、行业标准、地方标准或者其他标准、规范为：</w:t>
      </w:r>
      <w:r>
        <w:rPr>
          <w:rFonts w:hint="eastAsia"/>
          <w:color w:val="000000" w:themeColor="text1"/>
          <w:szCs w:val="21"/>
          <w:highlight w:val="none"/>
          <w:u w:val="single"/>
          <w14:textFill>
            <w14:solidFill>
              <w14:schemeClr w14:val="tx1"/>
            </w14:solidFill>
          </w14:textFill>
        </w:rPr>
        <w:t xml:space="preserve"> </w:t>
      </w:r>
      <w:r>
        <w:rPr>
          <w:rFonts w:hint="eastAsia"/>
          <w:i/>
          <w:color w:val="000000" w:themeColor="text1"/>
          <w:szCs w:val="21"/>
          <w:highlight w:val="none"/>
          <w:u w:val="single"/>
          <w14:textFill>
            <w14:solidFill>
              <w14:schemeClr w14:val="tx1"/>
            </w14:solidFill>
          </w14:textFill>
        </w:rPr>
        <w:t>详见技术指标要求.</w:t>
      </w:r>
    </w:p>
    <w:p w14:paraId="03872613">
      <w:pPr>
        <w:spacing w:line="360" w:lineRule="auto"/>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【备注：查询网址：国标</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"https://openstd.samr.gov.cn/bzgk/gb/index" </w:instrText>
      </w:r>
      <w:r>
        <w:rPr>
          <w:color w:val="000000" w:themeColor="text1"/>
          <w:highlight w:val="none"/>
          <w14:textFill>
            <w14:solidFill>
              <w14:schemeClr w14:val="tx1"/>
            </w14:solidFill>
          </w14:textFill>
        </w:rPr>
        <w:fldChar w:fldCharType="separate"/>
      </w:r>
      <w:r>
        <w:rPr>
          <w:rStyle w:val="57"/>
          <w:color w:val="000000" w:themeColor="text1"/>
          <w:szCs w:val="21"/>
          <w:highlight w:val="none"/>
          <w14:textFill>
            <w14:solidFill>
              <w14:schemeClr w14:val="tx1"/>
            </w14:solidFill>
          </w14:textFill>
        </w:rPr>
        <w:t>https://openstd.samr.gov.cn/bzgk/gb/index</w:t>
      </w:r>
      <w:r>
        <w:rPr>
          <w:rStyle w:val="57"/>
          <w:color w:val="000000" w:themeColor="text1"/>
          <w:szCs w:val="21"/>
          <w:highlight w:val="none"/>
          <w14:textFill>
            <w14:solidFill>
              <w14:schemeClr w14:val="tx1"/>
            </w14:solidFill>
          </w14:textFill>
        </w:rPr>
        <w:fldChar w:fldCharType="end"/>
      </w:r>
      <w:r>
        <w:rPr>
          <w:rFonts w:hint="eastAsia"/>
          <w:color w:val="000000" w:themeColor="text1"/>
          <w:szCs w:val="21"/>
          <w:highlight w:val="none"/>
          <w14:textFill>
            <w14:solidFill>
              <w14:schemeClr w14:val="tx1"/>
            </w14:solidFill>
          </w14:textFill>
        </w:rPr>
        <w:t>，行标</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"https://hbba.sacinfo.org.cn/" </w:instrText>
      </w:r>
      <w:r>
        <w:rPr>
          <w:color w:val="000000" w:themeColor="text1"/>
          <w:highlight w:val="none"/>
          <w14:textFill>
            <w14:solidFill>
              <w14:schemeClr w14:val="tx1"/>
            </w14:solidFill>
          </w14:textFill>
        </w:rPr>
        <w:fldChar w:fldCharType="separate"/>
      </w:r>
      <w:r>
        <w:rPr>
          <w:rStyle w:val="57"/>
          <w:color w:val="000000" w:themeColor="text1"/>
          <w:szCs w:val="21"/>
          <w:highlight w:val="none"/>
          <w14:textFill>
            <w14:solidFill>
              <w14:schemeClr w14:val="tx1"/>
            </w14:solidFill>
          </w14:textFill>
        </w:rPr>
        <w:t>https://hbba.sacinfo.org.cn/</w:t>
      </w:r>
      <w:r>
        <w:rPr>
          <w:rStyle w:val="57"/>
          <w:color w:val="000000" w:themeColor="text1"/>
          <w:szCs w:val="21"/>
          <w:highlight w:val="none"/>
          <w14:textFill>
            <w14:solidFill>
              <w14:schemeClr w14:val="tx1"/>
            </w14:solidFill>
          </w14:textFill>
        </w:rPr>
        <w:fldChar w:fldCharType="end"/>
      </w:r>
      <w:r>
        <w:rPr>
          <w:rStyle w:val="57"/>
          <w:rFonts w:hint="eastAsia"/>
          <w:color w:val="000000" w:themeColor="text1"/>
          <w:szCs w:val="21"/>
          <w:highlight w:val="none"/>
          <w14:textFill>
            <w14:solidFill>
              <w14:schemeClr w14:val="tx1"/>
            </w14:solidFill>
          </w14:textFill>
        </w:rPr>
        <w:t>】</w:t>
      </w:r>
    </w:p>
    <w:p w14:paraId="7631B34C">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3.标的所属行业：</w:t>
      </w:r>
      <w:r>
        <w:rPr>
          <w:rFonts w:hint="eastAsia" w:ascii="宋体" w:hAnsi="宋体" w:cs="宋体"/>
          <w:b/>
          <w:bCs/>
          <w:color w:val="000000" w:themeColor="text1"/>
          <w:szCs w:val="21"/>
          <w:highlight w:val="none"/>
          <w14:textFill>
            <w14:solidFill>
              <w14:schemeClr w14:val="tx1"/>
            </w14:solidFill>
          </w14:textFill>
        </w:rPr>
        <w:t>软件和信息技术服务业</w:t>
      </w:r>
    </w:p>
    <w:p w14:paraId="2FB1393C">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【备注：所属行业根据《关于印发中小企业划型标准规定的通知》（工信部联企业〔2011〕300号）</w:t>
      </w:r>
    </w:p>
    <w:p w14:paraId="51C94510">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以及《金融业企业划型标准规定》（银发〔2015〕309号）认定】</w:t>
      </w:r>
    </w:p>
    <w:p w14:paraId="33CA951A">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5.核心产品</w:t>
      </w:r>
    </w:p>
    <w:p w14:paraId="6FFC87F6">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本项目为服务项目，不适用核心产品规定。</w:t>
      </w:r>
    </w:p>
    <w:p w14:paraId="4ADC3FE5">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6.服务内容和标准</w:t>
      </w:r>
    </w:p>
    <w:tbl>
      <w:tblPr>
        <w:tblStyle w:val="51"/>
        <w:tblW w:w="9746" w:type="dxa"/>
        <w:tblInd w:w="93" w:type="dxa"/>
        <w:tblLayout w:type="fixed"/>
        <w:tblCellMar>
          <w:top w:w="0" w:type="dxa"/>
          <w:left w:w="108" w:type="dxa"/>
          <w:bottom w:w="0" w:type="dxa"/>
          <w:right w:w="108" w:type="dxa"/>
        </w:tblCellMar>
      </w:tblPr>
      <w:tblGrid>
        <w:gridCol w:w="479"/>
        <w:gridCol w:w="1005"/>
        <w:gridCol w:w="291"/>
        <w:gridCol w:w="5405"/>
        <w:gridCol w:w="966"/>
        <w:gridCol w:w="950"/>
        <w:gridCol w:w="650"/>
      </w:tblGrid>
      <w:tr w14:paraId="3C7D880E">
        <w:tblPrEx>
          <w:tblCellMar>
            <w:top w:w="0" w:type="dxa"/>
            <w:left w:w="108" w:type="dxa"/>
            <w:bottom w:w="0" w:type="dxa"/>
            <w:right w:w="108" w:type="dxa"/>
          </w:tblCellMar>
        </w:tblPrEx>
        <w:trPr>
          <w:trHeight w:val="60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12B51A1C">
            <w:pPr>
              <w:jc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序号</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7ABB8B2A">
            <w:pPr>
              <w:jc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采购内容</w:t>
            </w:r>
          </w:p>
        </w:tc>
        <w:tc>
          <w:tcPr>
            <w:tcW w:w="5405" w:type="dxa"/>
            <w:tcBorders>
              <w:top w:val="single" w:color="000000" w:sz="4" w:space="0"/>
              <w:left w:val="single" w:color="000000" w:sz="4" w:space="0"/>
              <w:bottom w:val="single" w:color="000000" w:sz="4" w:space="0"/>
              <w:right w:val="single" w:color="000000" w:sz="4" w:space="0"/>
            </w:tcBorders>
            <w:vAlign w:val="center"/>
          </w:tcPr>
          <w:p w14:paraId="4F0C4B87">
            <w:pPr>
              <w:jc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服务要求</w:t>
            </w:r>
          </w:p>
        </w:tc>
        <w:tc>
          <w:tcPr>
            <w:tcW w:w="966" w:type="dxa"/>
            <w:tcBorders>
              <w:top w:val="single" w:color="000000" w:sz="4" w:space="0"/>
              <w:left w:val="single" w:color="000000" w:sz="4" w:space="0"/>
              <w:bottom w:val="single" w:color="000000" w:sz="4" w:space="0"/>
              <w:right w:val="single" w:color="000000" w:sz="4" w:space="0"/>
            </w:tcBorders>
            <w:vAlign w:val="center"/>
          </w:tcPr>
          <w:p w14:paraId="5E4031B9">
            <w:pPr>
              <w:jc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计量</w:t>
            </w:r>
          </w:p>
          <w:p w14:paraId="28AD5FBA">
            <w:pPr>
              <w:jc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单位</w:t>
            </w:r>
          </w:p>
        </w:tc>
        <w:tc>
          <w:tcPr>
            <w:tcW w:w="950" w:type="dxa"/>
            <w:tcBorders>
              <w:top w:val="single" w:color="000000" w:sz="4" w:space="0"/>
              <w:left w:val="single" w:color="000000" w:sz="4" w:space="0"/>
              <w:bottom w:val="single" w:color="000000" w:sz="4" w:space="0"/>
              <w:right w:val="single" w:color="000000" w:sz="4" w:space="0"/>
            </w:tcBorders>
            <w:vAlign w:val="center"/>
          </w:tcPr>
          <w:p w14:paraId="5CBB2AA8">
            <w:pPr>
              <w:jc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数量</w:t>
            </w:r>
          </w:p>
        </w:tc>
        <w:tc>
          <w:tcPr>
            <w:tcW w:w="650" w:type="dxa"/>
            <w:vMerge w:val="restart"/>
            <w:tcBorders>
              <w:top w:val="single" w:color="000000" w:sz="4" w:space="0"/>
              <w:left w:val="single" w:color="000000" w:sz="4" w:space="0"/>
              <w:right w:val="single" w:color="000000" w:sz="4" w:space="0"/>
            </w:tcBorders>
            <w:vAlign w:val="center"/>
          </w:tcPr>
          <w:p w14:paraId="7021FA69">
            <w:pPr>
              <w:jc w:val="center"/>
              <w:rPr>
                <w:rFonts w:hint="eastAsia" w:ascii="宋体" w:hAnsi="宋体" w:cs="宋体"/>
                <w:b/>
                <w:bCs/>
                <w:color w:val="000000" w:themeColor="text1"/>
                <w:sz w:val="20"/>
                <w:szCs w:val="20"/>
                <w:highlight w:val="none"/>
                <w14:textFill>
                  <w14:solidFill>
                    <w14:schemeClr w14:val="tx1"/>
                  </w14:solidFill>
                </w14:textFill>
              </w:rPr>
            </w:pPr>
          </w:p>
        </w:tc>
      </w:tr>
      <w:tr w14:paraId="3C9229B0">
        <w:tblPrEx>
          <w:tblCellMar>
            <w:top w:w="0" w:type="dxa"/>
            <w:left w:w="108" w:type="dxa"/>
            <w:bottom w:w="0" w:type="dxa"/>
            <w:right w:w="108" w:type="dxa"/>
          </w:tblCellMar>
        </w:tblPrEx>
        <w:trPr>
          <w:trHeight w:val="282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12D20A51">
            <w:pPr>
              <w:widowControl/>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1</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609A2AB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检验与生物技术学院2026年智慧课程建设服务项目</w:t>
            </w:r>
          </w:p>
          <w:p w14:paraId="1090E3E4">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c>
          <w:tcPr>
            <w:tcW w:w="5405" w:type="dxa"/>
            <w:tcBorders>
              <w:top w:val="single" w:color="000000" w:sz="4" w:space="0"/>
              <w:left w:val="single" w:color="000000" w:sz="4" w:space="0"/>
              <w:bottom w:val="single" w:color="000000" w:sz="4" w:space="0"/>
              <w:right w:val="single" w:color="000000" w:sz="4" w:space="0"/>
            </w:tcBorders>
            <w:vAlign w:val="center"/>
          </w:tcPr>
          <w:p w14:paraId="08F384D2">
            <w:pPr>
              <w:widowControl/>
              <w:numPr>
                <w:ilvl w:val="0"/>
                <w:numId w:val="9"/>
              </w:numPr>
              <w:jc w:val="left"/>
              <w:textAlignment w:val="center"/>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面向全校提供AI教学平台服务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1.1AI课程模型建设服务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1.1.1知识模型建设服务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1)支持新建课程知识图谱；支持通过表格方式进行知识点导入，根据模板填写完成后点击上传；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2)支持通过本地教材或知识库教材通过人工智能对教材进行碎片化处理及知识点归纳总结，直接生成课程知识图谱；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3)支持基于课程资源，通过人工智能对资源进行碎片化处理及知识点归纳总结，直接生成课程知识图谱，极大地提升教学资源的可视化和结构化程度；支持课程资源更新的同时知识图谱自动更新；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4)支持直接新建专业或课程群知识图谱，也支持通过关联其他已建设的课程知识图谱直接建设课程群知识图谱或专业知识图谱；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6)支持知识图谱自定义视图，通过教师自己拖拽知识点，保存为自定义视图，支持自定义视图中替换视图背景，支持教师统一知识点大小和隐藏根节点；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7)支持自定义视图下，教师自定义节点及其全部子节点的颜色；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8)支持自动生成的知识图谱是可编辑的，教师可以在已生成的知识图谱上进行二次编辑和调整；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9)支持知识图谱查看与编辑页面，首次进入知识图谱默认查看页面；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11)支持选择某节点后，可展开所有下级节点或收起所有下级节点，可调整页面呈现的节点内容和数量；支持根据知识图谱中的知识点层级快捷设置展开层级；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14)支持通过人工智能生成知识点说明，支持人工编辑，至少支持添加图片、表格、代码、公式块、行内公式；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15)支持图谱下载，可按节点层级导出excel文件；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17)支持自定义设置知识点属性：在知识图谱中，允许教师自定义设置知识点的难度系数、知识分类和认知维度等属性；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18)支持从预览模式进入在线编辑模式。支持一位用户在线编辑图谱，不支持多账号同时编辑，图谱显示当前编辑账号头像和姓名；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19)支持知识图谱树状结构、网状结构、环状结构、自定义结构进行编辑；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20)支持知识图谱查看时可进行放大缩小，可以查看知识图谱全景；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21)支持添加多个根节点；支持选择某节点后，可添加同级节点；支持删除知识点，支持知识点跨课程关联；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22)支持选择某节点后，可添加子节点，至少添加十级子节点；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23)导入模板至少包含：节点名称、知识说明、知识分类、认知维度、难度系数、节点关系；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24)支持知识点与课程资源进行关联，支持知识点关联本地资源、知识库资源等，支持“图文”“视频”“讨论”等学习单元，支持对学习单元进行检索；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25)支持已关联的课程资源，可查看此资源的详情内容；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26)支持知识点与课程习题进行关联，可关联课程资源下已建设的资源习题，点击可查看习题详情及答案解析；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27)支持编辑知识点详情，可自定义设置节点名称、知识说明、知识分类、认知维度、难度系数、节点关系；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28)支持知识点添加思政设计，包含思政元素和设计方式；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29)支持根据节点关系生成知识点学习路径；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▲30)支持已经建设的知识图谱发布到教学班中；</w:t>
            </w:r>
            <w:r>
              <w:rPr>
                <w:rFonts w:hint="eastAsia" w:ascii="宋体" w:hAnsi="宋体" w:cs="宋体"/>
                <w:b/>
                <w:bCs/>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31)支持教师可以选择是否开放给学生，选择开放给学生，学生在自己的教学班中就可以查看到对应的知识图谱；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32)支持教师选择是否将发布的教学内容通过人工智能自动匹配知识图谱中的知识点；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33)支持教师查看单个知识点的学习情况，包括：该节点关联课程资源和习题的情况：总数和已发布数量；已完成、进行中、未完成的学生比例；学生的平均掌握度。支持统计单个知识点下每个学生的完成度和掌握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34)支持教师查看班级平均掌握度，按照比例区间展示整个班级的学习进度和平均掌握度，同时给出建议关注知识点。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1.1.2能力模型建设服务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1)支持建设能力模型，包括能力点名称、能力标签、能力描述、关联知识点、对应学习内容，能力标签支持自定义；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3)支持展示单个能力点的标签、能力描述、关联知识点和知识点学习内容；支持跳转到关联的知识点详情界面；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4)支持展示能力点下知识点关联关系；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5)支持通过模板导入能力模型，支持能力模型导出表格；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6)支持能力图谱至少包含树状视图、思维导图、自定义视图；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7)支持自定义视图设置卡片或文字样式，支持设置文字颜色、文字字号，支持设置背景图，支持一键还原系统设置。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1.1.3问答模型建设服务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1)支持建设问题模型，包括问题类型、问题描述、答案描述、关联知识点、对应学习内容；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2)支持跳转到各个问题下关联的知识点详情界面；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3)支持教师将问答反馈意见纳入答案库，进行修改编辑。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1.1.4素质模型建设服务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1)支持手动新建或选择现有模板新建素质图谱；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2)支持建设素质图谱，包括素质点名称、素质描述、关联知识点、对应学习内容；支持跳转到各个素质点下关联的知识点详情界面；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3)支持通过模板导入素质图谱，支持素质图谱导出；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4)支持素质图谱包含不同展现样式。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1.1.5自定义模型建设服务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1)支持建设自定义模型，设置模型名称，设置模型展示方式至少包括：网状、环状、树状、圆环、框架、素质树、思维导图形式。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2)支持通过模板导入自定义图谱，支持自定义图谱导出；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3)支持设置节点名称、标签、自定义节点分类、节点描述以及关联的知识点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1.1.6增强模型建设服务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1.1.6.1课程图片库建设服务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1)支持建设课程图片库，支持对图片进行分类，支持自定义分类；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2)支持对图片进行知识点标记；支持对图片添加文字说明；支持标记图片来源。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1.1.6.2课程公式库建设服务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1)支持建设课程公式库，支持对公式类型进行分类管理，支持自定义分类；同时需对公式进行知识点标记；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2)支持对公式添加文字说明，支持添加公式块或行内公式；支持标记公式来源。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1.1.6.3课程表格库建设服务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1)支持建设课程表格库，支持对表格进行标签分类，支持自定义分类；同时需对表格进行知识点标记；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2)支持表格内上传图片或添加公式，支持对表格添加文字说明；支持标记表格来源。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1.1.6.4课程代码库建设服务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1)支持建设课程代码库，保留代码格式，支持对代码进行分类，同时需对代码进行知识点标记；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2)支持对代码添加代码注释，支持对代码添加流程图或实现效果图；支持标记代码来源。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1.1.6.5课程视频库建设服务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1)支持建设课程视频库，支持对视频进行分类管理，支持对整个视频进行知识点标记；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2)支持对课堂回放视频自动添加课堂回顾标签，支持自定义分类标签；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3)通过人工智能，支持根据视频内容进行分段归纳总结，形成知识导引，同时文字与视频进度一一对应，点击可以进行快速定位；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4)支持对形成的导引进行分类管理，支持对同一视频中的不同导引进行知识点标记；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5)通过人工智能形成课程讲稿，按照时间轴排序，点击讲稿同时对应跳转到视频指定位置；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6)支持修改人工智能生成的视频导引和讲稿。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1.1.6.6课程习题库建设服务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1)支持建设课程习题库，支持对习题进行分类，支持自定义分类标签，同时需对习题进行知识点标记；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2)支持题型至少包括单选题、多选题、判断题、投票题、填空题、主观题等，支持添加答案解析，支持设置习题难度系数；支持编辑、移动、删除题库习题；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3)添加习题支持对题干及选项字体格式进行修改，支持多图上传，支持插入公式，支持编辑包括Python、Java、C++、Php、Vb、ActionScript3等的不少于20门常用代码语言，支持插入音频及附件文件；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4)支持选择是否将题目设为自测题，学生在学习相应知识点内容时可进行习题自测。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1.1.6.7课程专有名词库建设服务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1)支持通过人工智能匹配课程专业或学科属性，自动生成专有名词库，支持对专有名词增加图片或文字解释说明。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1.2AI个性化指令建设服务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1)支持根据课程专业或学科属性，建设课程个性化指令库。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1.3智能体建设服务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1)根据课程专业或学科属性，建设课程个性化智能体。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1.4AI课程数字人建设服务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1)数字人形象根据教师形象进行定制化制作；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2)数字人形象需具备高逼真度，面部表情、动作自然流畅，无明显违和感；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3)支持调整数字人的动作，可选取部分数字人的训练素材对应生成有动作或没有动作的数字人视频；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4)支持实时语音识别与语音合成，实现数字人语音交互功能；至少支持中文、英文两种语言切换；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5)生成数字人语音播报时，支持设置讲稿的语速；设置专有文字内容连读；支持插入停顿，可设置停顿的时间；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6)支持通过上传教师录制的音频来直接生成数字人视频，并实现对口型播报；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7)根据教师提供的课程大纲，进行数字人AI课程内容的设计与制作；根据课程内容需要建设包括但不限于课件、习题、互动环节等；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8)支持将数字人与其讲解的课件内容合成新的课程讲解视频，并支持选择是否显示字幕、数字人讲解倍速、设置视频背景色、数字人的显示比例等。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1.5AI教学应用场景建设服务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1)需支持知识库管理功能，支持上传pdf格式的教学资源，上传的资源可进行切片处理，同时需提供开关控制功能，教师能够决定每个文档是否启用切片解析功能，支持上传失败的文件重试解析；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2)支持按照电子教材、讲义课件、相关论文、习题试卷、往年作业、相关案例、其他资料等分类上传资源；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3)支持上传视频、音频、文档（包括PPT、PDF、DOC、TXT、PNG等）等教学资源；视频支持上传MP4、MKV、MOV、AVI、WMV等通用格式视频，上传后自动转码，支持在线预览；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4)支持自定义文件分类，支持二级文件分类，支持删除、移动与重命名文件分类；支持每一个分类下可以查看已处理的资源数量、上传资源数量、最近更新时间；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5)支持知识库查看文件数量、图片提取数量、音视频时长、解析字符总数；支持查看总体知识切片数量，公式数量、图片数量、表格数量；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6)支持上传的资源可以查看文件名称、处理状态、字符数、文件大小、上传时间；支持上传的资源可以选择是否启用；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7)支持对上传的资源进行删除、重命名和移动所在分类；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8)支持关联已有的课程资源，包括已建设的课程资源和教学班发布的教学内容；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9)支持教师从个人云盘中一键导入教学资源，支持批量选择一个或多个文件导入知识库中。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1.5.2智能学伴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1)基于课程模型进行知识答疑，满足学生在任何时间的学习需求，无论是基础知识还是拓展知识，学生随时都可以向系统提问，获得及时的解答；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2)支持智能学伴的个性化配置，包括学伴名称、头像、性格特点、说话风格等角色特点；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3)支持教师设置智能学伴开场白，方便学生能快速理解学伴功能；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4)支持教师设置智能学伴推荐问题，方便学生快速选择常见问题；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5)支持教师端进行智能学伴问答，支持教师根据智能学伴回答的问题进行反馈，持续优化智能学伴回答问题的准确度；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6)支持教师填写智能学伴回答反馈意见，至少包括具体问题及正确回答，同时支持设置是否将反馈回答加入答案库，用于后续相同问题的答案；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7)支持教师提交反馈意见后进行修改，修改后可再次提交，支持教师删除反馈意见；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8)支持开展多个会话，保留历史会话，同时也可进行历史会话删除；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9)支持学生发送语音与智能学伴对话；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10)支持学生与智能学伴对话上传文件(至少10个，每个文件大小不低于 15MB)，支持 pdf、doc、docx、xlsx、ppt、txt、md、csv、py、图片等；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11)支持智能学伴语音回答问题，支持教师设置语音播报音色，系统内置音色或定制专属音色；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▲12)支持教师设置智能学伴虚拟形象，支持动画虚拟形象或定制专属形象；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13)支持在智能学伴中进行指令管理，包括移动或删除指令，创建新的指令分组；支持拖拽调整指令顺序；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14)支持AI绘图，通过描述生成图片；支持代码绘图，通过Python代码绘制曲线；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15)支持联网检索，支持回答问题的同时联网检索资源进行补充回答；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16)支持图片检索，在图片检索中，根据学伴提问，精准匹配图片；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17)支持多轮对话，有上下文记忆功能，用于测试知识点学习、问卷调查、医患问诊等场景，根据学生问题或选择进行持续对话；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18)支持智能学伴回答完毕后，给用户展示至少3个推荐问题，让用户能够继续提问。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19)支持智能学伴回答完毕后，展示增强模型的知识碎片。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1.5.3智能批改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1)至少内置两个智能批改评分标准，包括评分项目、详细指标、指标权重；支持教师将系统内置模板复制到教师本人的批改规则下并调整修改；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2)需支持智能批改，支持教师设置多个批改规则，包含评分项目，详细指标，指标权重从而计算出评价分数，同时支持是否开启智能点评，教师可设置点评方向和点评风格；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3)支持教师设置智能批改评分标准后进行测试，包括设置分值、题目、参考答案或通过人工智能生成参考答案、最后填写作答内容进行批改测试，通过智能批改的测试查看是否需要调整评分标准；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4)支持教师可以通过批改测试选择不同的批改规则进行调试智能批改效果；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5)支持教师发布主观题到教学班，支持教师进入教学班中选择是否进行智能批改，包括选择智能批改的评分标准、是为当前学生进行智能批改或全班学生进行批改；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6)支持教师选择批注的身份，包括智能批注助手或当前教师本人；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7)支持教师选择智能批改完成后是否需要经过教师审核，如不需审核，将直接生成批注和评语发送给学生，学生分数仅供参考，实际分数需要教师手动打分；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选择不同的智能批改规则，对学生的作业进行在线智能批改，生成评分与评语；支持选中部分的作业文本逐条展示对应的AI详细批注、改进建议等，支持根据教师设定的智能批改规则显示每项细则的详细评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9)支持教师对智能批改不满意后选择重新批改；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10)支持保留教师多次批改记录，教师可查看历史批改效果；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11)支持AI课程组教师使用自己的智能批改规则或将规则共享到课程组，支持教师查看全部智能批改规则、分别查看我的和其他教师共享的规则，支持查看每个智能批改规则的创建人和最近编辑人；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12)新建批改规则，支持至少建设文章批改、通用批改、编程批改三类规则，根据批改分类不同，使其更适用于当前批改场景；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13)编程类型批改至少支持5种常见编程语言，包括但不限于Python、JavaScript、C、C++、Java；支持教师自定义编辑编程批改规则，包括评分项目、详细指标、权重；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14)●支持教师编辑大模型的输出要求，调试智能批改规则效果的时候，支持预览实际给到大模型的提示词，支持查看大模型返回的未经处理的原格式内容，以便于教师修改智能批改规则；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15)支持对学生上传的pdf、word、图片文件进行智能批改；支持批量下载教师智能批改后带批注的文件，展示按照智能批改规则批改的详细批注、改进建议等。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1.5.4智能备课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1)支持教师在网页端进行在线文档备课，支持创建多个在线文档，在线文档自动保存，支持插入图片、代码、链接、表格等多种格式内容；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2)支持教师查看在线文档大纲；支持向备课助手发送文字和图片、文件（包括pdf、doc、docx、xlsx、ppt、txt、md、csv、py等）；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3)支持备课助手将生成的内容一键插入到在线文档中，无需复制粘贴；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4)支持教师填写备课助手反馈意见，包括不满意的原因、具体描述或更好的回答；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5)支持教师查看与备课助手的历史对话或开展新对话；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6)支持智能备课助手生成在线文档后，支持导出为本地word文档；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7)●支持教师将在线备课文档编辑完成后，直接发布到教学班；支持教师设置发布时间、是否计入考核、考核截止时间、是否允许评论、是否微信消息提醒；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需支持在PPT插件中，根据选中文字，AI生成案例，生成的案例可以一键插入PPT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需支持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需支持在PPT插件中，选中需要翻译的文字翻译，同时翻译后的内容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11)支持在PPT插件中选择AI课程建设的增强模型的知识片段资源，支持按照课程和知识点进行筛选，支持预览图文结合的知识点片段并一键插入到PPT中；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▲12)支持在PPT插件中选择AI课程建设的增强模型中的视频资源，，支持按照课程和知识点进行筛选，支持预览视频并一键插入到PPT中；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13)支持在PPT插件中选择AI课程建设的增强模型的题目资源，支持按照课程和知识点进行筛选，支持预览题目内容和答案解析并一键插入到PPT中，支持放映PPT时，将题目发送给学生进行作答。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14)支持在PPT插件中选择AI课程建设的增强模型中的论文资源，支持按照课程和知识点进行筛选，支持预览论文片段并一键插入到PPT中；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在PPT插件中选择出题规则，支持根据知识点进行出题，或根据自定义要求进行出题，至少包括设置题型、设置题目数量、设置题目难度、设置知识点，设置多个出题要求，AI生成的题目教师可以选择插入题库或直接插入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1)支持在教师备课时，在PPT中插入课堂AI互动设计，包括在固定PPT页面加入召唤智能体，设置在放映PPT中需要召唤可对话的智能体；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2)支持在教师备课时，在PPT中插入课堂AI互动设计，包括在固定PPT页面加入发送智能体，设置在放映PPT中需要发送预置智能体给学生，学生进行对话；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3)支持在教师备课时，在PPT中插入课堂AI互动设计，包括在固定PPT页面加入智能汇报，包括设置汇报的主题，汇报的时长、智能点评的规则。</w:t>
            </w:r>
          </w:p>
          <w:p w14:paraId="68F8124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1.5.5智能课堂助手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1)支持在授课过程中，通过PPT唤起智能课堂助手，支持语音控制唤起智能课堂助手；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2)支持通过智能课堂助手进行AI对话，支持语音对话，支持将智能课堂助手生成的内容直接发送给学生；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3)支持教师设置智能课堂助手常用指令，可以快速通过调用指令进行快捷提问；支持教师在课堂中快速调起智能体进行对话；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4)支持通过语音控制智能课堂助手开启弹幕和随机点名，支持语音控制关闭弹幕和停止随机点名；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▲5)授课放映PPT过程中，支持截图PPT部分内容与智能课堂助手互动，实现知识讲解、自由对话等能力，教师可将智能课堂助手的回答内容一键发送给学生；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7)●支持教师实时查看所有发布的AI对话任务的发布时间、累计用时、启动人数、未开始人数；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8)支持智能课堂助手实时记录教师授课内容；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9)支持课上实时显示教师讲稿内容，供学生课上回顾；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10)●支持教师课上发起分组讨论活动，支持系统自动分组和学生自由分组；学生分组讨论完成后AI自动总结分组讨论的内容，并分析分组讨论中的学生参与情况，包括分析积极发言的学生、有效参与讨论的学生；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支持在管理后台设置点评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12)支持查看已汇报的学生列表，包括汇报人姓名、用时、AI点评内容；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14)支持导出AI生成的课堂思维导图；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15)支持教师编辑AI生成的讲稿；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16)●支持教师在后台配置智能课堂助手相关信息，内置至少3种角色可供切换选择，同时支持教师自定义配置，包括角色形象、性别、回答语言、输出声音音频、人物特点、回答风格等，支持预览查看配置效果；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智能课堂助手支持至少15种回答语言切换，包括但不限于中文、英文、粤语、日语、印尼语、马来语等，支持在课堂授课过程中，教师可以通过多语言与智能课堂助手进行语音对话，至少包含中文、英文、中英文混合、粤语、日语五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18)支持设置智能课堂助手截图与AI对话的快捷指令，如知识点讲解、案例生成、讨论话题生成等；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19)●支持对授课过程中发送给学生的题目进行作答情况和结果分析，包括作答人次、正确/错误人次、选项作答情况等，分析每个选项以及整个题目的错误原因，帮助教师提供教学改进建议。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1.5.6智能出题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1)支持根据知识点出题，教师可设置知识点、难度系数、题目数量、题目类型和具体出题要求，支持设置多个出题要求；</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2)支持手动输入或筛选已有的知识点进行出题；支持选择多个知识点进行出题；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3)支持教师设置至少包含判断题、填空题、主观题、单选题、多选题。其中单选题和多选题支持设置选项数量；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4)支持生成的题目至少包含题干、答案、解析；支持生成的每个题目直接加入教师题库；支持将当前生成的题目批量加入题库；支持一键前往教师题库；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5)支持将AI生成的题目加入教师题库时，可以选择关联知识点；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6)支持生成的题目可直接进行编辑，包括题干、选项、答案、解析，可新增选项；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7)●支持教师根据AI出的每道题目分别进行意见反馈，支持AI根据教师反馈意见进行持续优化，支持查看历史出题记录；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8)支持教师自定义出题要求和模板，支持教师设置多个出题模板；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9)支持根据视频内容，智能出题，同时将题目一键插入到对应的知识点，同时支持教师修改题干、选项、答案、解析；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10)教师可设置学生答对题目才能继续观看视频，学生观看视频时，根据教师的设置答题后可继续观看视频；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11)●支持AI根据课件内容，智能出题，AI可推荐各题目插入的课件位置，支持将单个题目和所有题目一键插入到对应课件位置，支持教师在课件中修改题干、选项、答案、解析。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1.5.7智能资源推荐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1)支持根据学生提问的知识点或者材料要求，智能进行资源推荐；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2)支持资源智能推荐时，可推荐清华大学等双一流高校以及国外的优质的MOOC视频，免费内置不少于5000门完整慕课课程视频、200000条视频文件，每条视频时长5-15分钟；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3)支持联网检索相关学习资源，包括视频、论文等；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4)支持教师设置知识库中的资源是否被推荐，包含关联资源、电子教材、讲义课件、相关论文、相关案例或其他资料；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5)支持教师设置资源推荐开放的应用，开放后，学生在使用时可以进行资源推荐；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6)支持教师可在工作台进行资源推荐与检索，方便教师进行备课资源收集；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7)支持教师设置指定网站进行资源检索和推荐；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8)支持资源检索和推荐中通过教师的历史搜索，推荐联想的搜索，方便教师进行快速定位；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9)支持结果按照视频、论文、教材、案例、论坛进行分类筛选；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10)支持智能分析检索的问题，整理搜索结果，生成智能回答。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1.5.8.1自定义智能体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1)支持创建角色扮演类型智能体；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2)支持设置智能体基本信息，包含智能体标题、自定义智能体头像、添加智能体说明；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3)支持设置智能体使用场景，包括对话场景、场景描述。AI角色、使用者角色及AI人设信息；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4)支持设置不同智能体的语音输入和语音输出，支持设置输出语言，至少支持中文和英文，支持设置输出语言的音色并支持试听；</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5)支持为每个智能体单独配置基座大模型；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根据智能体设置的个性化需求，设置智能体对话框的颜色效果，如红色、蓝色、绿色等；支持选择不同的背景图样式，支持自定义上传背景图并调整显示位置；支持智能体对话框颜色和背景图设置效果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7)支持智能体对话设置，支持设置开场白；设置智能体推荐问题，推荐问题可以直接进行交互；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8)支持单独设置智能体的专属知识库，加强智能体的角色信息和角色资料；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9)支持设置智能体对话结束判断，使用者触发结束判断后，自动结束对话，支持设置多个对话结束判断，支持拖拽调整结束判断；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10)●支持智能体对话评价设置，支持添加多个考核项并设置各考核项分值，支持设置评价内容的输出格式，智能体将在对话结束后按照评价格式和考核项进行评价；</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11)支持智能体效果测试，教师可以通过配置的过程直接进行测试；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12)支持设置智能体共享到AI课程，支持将智能体发布到教学班，学生在教学班与智能体进行对话；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13)支持教师分享智能体的链接，允许校内学生或校外用户通过链接使用该智能体；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14)支持设置智能体权限，支持智能体共享到课程中时，可以选择共享人员及共享权限，包括可编辑、可管理、可调试；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15)支持设置智能体分组，支持设置自定义分组；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1.5.8.2第三方智能体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将设置好的第三方智能体添加进AI课程，支持教师在AI课程中自定义该第三方智能体的头像、名称、显示logo；支持语音输入和语音输出；支持将第三方智能体发布到教学班，师生可在各场景中使用第三方智能体并记录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1.5.8.3AI讨论智能体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讨论智能体，支持配置智能体专属知识库，设置智能体知识库配置，包括相似度，召回碎片数量、增强检索方式；配置智能体回复范围至少包括：教师发帖、学生发帖、教师评论及回复、学生评论及回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1.5.8.4AI陪练智能体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设置AI陪练智能体，可设置在学习空间选择AI出题、自测题、混合出题给学生进行陪练；支持设置难度顺序为随机或自测题按难度从低到高出现，低难度题目做对会进入下一难度题目，做错进入同难度题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2)支持AI陪练设置先修知识点校验，自定义作答次数后视为完成；支持设置根据学生学习过程数据进行个性化推荐；支持针对不同的题型设置作答次数和是否显示答案解析；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1.5.8.5AI考官智能体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考官智能体，用于学生知识点测评和输出评价报告，包括设置智能体头像、开场白，至少支持中英文两种语言切换，支持配置智能体专属知识库，设置智能体知识库配置，包括相似度，召回碎片数量、增强检索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2)支持自行选择知识点进行练习，支持多次会话练习，完成答题后，自动生成总结报告，包括作答题目数、正确率，不同难度等级题目正确率，薄弱点、优势及学习建议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 “自测题与 AI 出题混合模式”，且策略优先级配置为 “自测题优先”；同时需支持 “只使用自测题”“只使用 AI 出题” 两种备选策略。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4)至少支持两种级别知识点推题，支持按 3 级知识点进行精细化推题或按 2 级知识点推题。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5)至少具备两种自适应难度升级机制，答对题目后自动升级难度直至答错；或保持难度不变至所有题目做完。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6)至少具备两种自适应难度降级机制，答错题目后自动降低难度直至答对；或保持难度不变至所有题目做完。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7)支持教师按照学生下载答题数据，包括课程下多个班级的学生答题数据，每个学生的最后答题时间、知识点、题目数量及其正确率。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1.5.9AI作业</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1)支持在作业中设置作业要求，配置智能体，学生通过与智能体对话进行作业作答，通过智能体评价作为AI作业得分；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学生在AI作业作答中，查看智能体场景信息，包括智能体角色，学生本次作业角色，支持学生多次与智能体进行对话和上传附件，支持提交智能体对话的内容作为作业作答，提交后智能体进行评价，显示本次作业得分，对话轮次，并根据智能体评价方向进行点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1.5.10教学工具箱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▲3)支持课程建设教学工具箱，且提供多种教学工具，至少包括基础医学、预防医学、临床医学、药学、护理学养老服务管理、智能医学工程专业的相关的HTLM课件；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4)支持教师上传自己的教学工具，可共享到AI课程中，供教师团队使用。支持设置工具头像、工具名称、工具介绍、上传HTML文件。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1.5.11教学运行数据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1.5.11.1知识图谱数据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1)支持查看知识图谱建设与发布情况，包含自测习题数量、自测题知识点覆盖率、学习单元数量、学习单元知识点覆盖率；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2)支持查看知识图谱资源发布与未发布对比图，包括视频、图文、讨论、作业、考试、课件、自测题；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3)支持查看知识图谱中总知识点数量、发布内容的知识点数量、学生学习知识点数量漏斗图；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4)支持查看本周学习人数及对比上周学习人数上升下降百分比；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5)支持查看本周学习知识点数及对比上周学习知识点数量上升下降百分比；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6)支持查看班级知识点完成概况，已完成占比、未开始占比、进行中占比；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7)支持查看完成知识点的学习类型分布，将按照学习单元的类型分别统计每个类型的占比；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8)支持查看知识点完成情况分析，按照100%、80%、60%、0%进行筛选；同时不同百分比通过不同颜色标识；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9)支持查看学生未开始的知识点；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按照知识点查看学生的掌握度、对应的教学内容、未开始学生人数、进行中学生人数、已完成学生人数、完成率、自测题数量、未作答学生人数、已作答学生人数、自测题完成率、自测题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11)支持按照学生查看学生姓名、学号、知识点掌握率、知识点学习内容未开始数量、进行中数量、完成数量、知识点完成率、自测题作答情况、正确数量、正确率；支持导出表格；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12)支持统一导出每个学生在每个知识点下的完成率、习题正确率、掌握率明细数据。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1.5.11.2AI使用数据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智能学伴使用明细数据，包括提问者姓名、教学班名称、问答内容、提问入口、提问时间；支持按照时间周期、班级学期、班级名称、提问角色、问题属性、反馈情况进行筛选；支持按照提问者姓名或提问内容进行搜索；支持导出智能学伴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1)支持以学生维度汇总查看智能学伴使用详情，包括学生姓名、学号、所在班级名称、学伴提问次数、使用时长，支持以学生维度查看学伴互动明细；支持导出以学生维度汇总的数据；支持删除学生提问数据。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智能体使用明细数据，包括提问者姓名、班级名称、问答内容、提问入口、提问时间；支持按照时间周期、班级学期、班级名称、提问角色、智能体标题进行筛选；支持按照提问者姓名或提问内容进行搜索；支持导出智能体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3)支持查看智能备课助手明细数据，包括教师姓名、问答内容、提问入口、提问时间；支持按照时间周期筛选；支持按照教师姓名或问答内容进行检索；支持导出智能备课助手使用明细；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教师在课堂授课过程中和智能课堂助手的问答明细，包括授课教师姓名、班级名称、课堂名称、问答内容、课堂提问时间；支持按照时间周期、班级学期、班级名称进行筛选；支持按照课堂名称、授课教师姓名或问答内容进行检索；支持导出智能课堂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AI应用使用数据的统一查看管理界面，支持切换查看各AI应用的使用数据明细记录，包括智能学伴、智能备课助手、智能课堂助手、智能体、知识图谱等，支持按照使用时间、班级、互动者姓名、互动关键词等维度进行筛选或搜索，支持查看每条记录的AI互动详情；</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6)支持智能学伴应用洞察，包括按照班级所属学期、教学班名称进行筛选；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7)支持查看智能学伴师生使用概况，包括使用总次数、覆盖班级数、教师数、使用学生数、选课学生数、学生使用率、学生使用次数、学生平均使用次数、学生使用时长、学生平均使用时长等数据；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8)支持查看智能学伴高频问题，可按照问题类型进行筛选，支持查看不同问题类型的提问次数与百分比；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9)支持指令分析，包含指令条数、学生使用指令条数、指令详情、学生使用次数等；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10)支持查看常问教学活动、对应活动提问次数、学生提问入口、占比与次数可视化展示；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11)支持查看智能学伴学生使用趋势，可视化展示使用日期、提问次数、使用时长等数据信息；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12)支持可视化展示智能学伴学生使用时间统计热力图；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13)支持展示智能学伴学生反馈情况，包括学生使用次数、未反馈、满意、不满意次数与百分比；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14)支持展示智能学伴学生使用排名，包括学生姓名、所属学院、行政班、提问次数、使用时长等信息；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15)支持统一导出每个学生的学习过程数据，包括日常学习数据与AI使用数据。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1.5.11.3AI教学分析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1)支持AI分析教学数据，支持快捷展示需教师关注的重点学生，包括缺勤学生、薄弱学生、进度滞后学生等；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2)支持AI快捷分析课程进展，给出动态教学建议；支持教师快捷前往班级教学活动详情界面；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3)支持教师与AI教学分析助手对话，为教师提供教学优化建议；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4)●支持AI根据教师能力图谱与班级学习内容，自动生成学生能力评估模型，根据各能力的权重、评估方式、关联的知识点、关联的学习内容数量与占比，AI自动生成教学改进建议；支持统计班级能力整体达成度；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5)支持教师快捷查看班级教学明细，包括学习单元的发布情况、学生完成情况统计与详情查看；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6)支持统计各个能力的达成度并以雷达图展示，支持AI自动生成教学实施分析建议；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7)支持统计综合能力的发展趋势，AI自动生成每周对比分析；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8)支持AI生成单项能力的分析，包括各项能力的达成度、权重与计算方式，支持AI自动生成单项能力达成度的每周变化趋势与对比分析；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9)支持散点图形式可视化展示学生能力分布，AI自动生成学生表现及建议，支持统计学生能力排名。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10)支持教师手动修改评估模型，包括评估能力权重、评估方式及其占比，新增评估方式，评估方式关联的学习内容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1.5.11.4学生画像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1)支持查看学生综合画像，支持统计班级活跃学生数量与占比、使用AI学生数量与占比、人均使用AI次数、参与学习活动学生数量与占比、人均完成学习活动个数及完成率等数据；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2)支持以雷达图形式统计班级学生整体和学生个人的学习表现情况，包括AI使用情况、学习成绩、能力发展、教学互动、学习完成进度等学习表现，AI根据学习表现情况进行分析与建议；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3)支持以散点图或柱状图形式查看学生成绩分布、学习活动完成率分布、使用AI次数分布情况；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4)支持AI统计分析学生AI使用情况与成绩的关联关系，支持AI分析热门知识点与薄弱知识点，辅助教师调整教学策略；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5)支持按时间查看活跃学生数量的变化趋势，包括使用AI人数、参与学习活动人数；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6)新增学生学情预警独立展示页面，承载学生综合预警、分项预警全维度数据与配置功能；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7)支持展示学生学情预警，至少将学生分为三类：表现突出、表现中等、重点关注学生，支持查看学生人数和占比。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8)支持至少按照成绩、考勤、学习进度、学习互动、习题检测、AI互动六种类型查看需重点关注学生和表现突出学生。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9)支持学生综合预警指标自定义配置，可设置各分项指标的数值范围（可界定指标判定标准）；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预警标签配置项与学生画像标签联动，配置结果同步管控学生学情预警页面、学生综合画像、学生个人画像的标签展示：未勾选的预警分项指标，在所有画像标签中同步隐藏，且画像标签与预警页面共用同一套指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11)支持向学生发送预警提醒，支持设置自动提醒，教师手动选择学生进行消息提醒，支持系统每月初自动根据不同类型需重点关注的学生发送消息提醒。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12)支持展示需教师重点关注学生列表，包括未使用过AI、成绩落后、频繁缺勤的学生等，支持查看需重点关注学生的所有学习记录及个人画像；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14)支持按学期、班级、学习标签、学生姓名、学号筛选或搜索相应学生的学习数据记录，支持按照筛选或搜索结果导出相应数据；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15)支持查看学生个人画像，包括学生姓名、学号、班级、学院、入学年份、学习标签、班级成绩排名、整体学习表现、学习数据、AI使用情况统计与分析、学习动态、知识点完成情况、学习趋势等；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16)支持查看单个学生与AI互动情况的统计分析，包括AI使用次数、AI使用时长、与AI互动的高频词汇等，支持查看该学生的所有AI互动明细记录；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17)支持查看单个学生的学习动态，包括作业、视频、讨论等学习活动的完成和未完成情况及完成率；支持按时间查看该学生的学习趋势，包括使用AI次数和和完成学习活动次数。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1.5.12指令库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1)需支持指令库管理，教师可以设置多种指令卡片，同时支持设置指令分组，可以支持添加分组和管理分组，拖动不同分组位置，筛选查看不同分组的指令；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2)支持教师自定义创建指令，包括指令标题、详细指令内容和短指令，学生端仅展示短指令；支持调试指令效果时查看短指令展示效果；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3)支持指令创建的同时可以进行指令测试方便教师调整指令效果；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4)支持教师设置指令的应用场景，设置后仅在该场景可查看指令，其他场景无法查看该指令；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5)支持设置特殊指令，包含AI绘图、代码绘图、联网检索、图片检索；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1.6AI课程管理建设服务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1)需支持将AI能力应用到教学班，在应用时可以浏览不同学期的教学班，根据教师进行教学班筛选，需支持每个AI功能分别应用到不同的教学班，满足教学设计需要；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2)●支持教师分享智能学伴和智能体的使用链接或二维码，支持教师设置扫码时自动推送的欢迎语文案，学生通过链接或二维码可访问智能学伴和智能体并进行对话；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3)支持教师在AI工作台查看AI课程列表，搜索和切换AI课程，方便进行课程的快速管理；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4)需支持一门课程通过功能开关控制知识库是否启用；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5)支持教师通过工作台进入AI课程门户展示页面及编辑页面，支持教师复制门户链接进行分享；</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6)支持设置课程评审专家角色，支持专家免登录即可查看课程工作台。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7)支持AI课程语言切换，至少支持中文和英文两种语言。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8)支持AI课程成员管理，支持添加与删除成员、修改成员的角色权限，支持查看所有成员列表；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每门AI课程单独配置课程的成员权限，内置至少3种成员角色权限；支持设置不同角色的角色名称与AI功能权限范围；支持自定义添加角色并配置AI功能权限；AI功能支持设置至少二级菜单的查看、管理及下载权限，包括但不限于课程模型、课程知识库、AI应用、数据中心、成员管理等，并提供权限范围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1.7学生端AI学习空间建设服务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1)支持课程学习语言切换，至少支持中文和英文两种语言。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2)支持教学班中包含智能学伴，学生进入班级中，无需点击学习单元即可与学伴展开对话；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3)支持智能学伴宽屏显示，支持学生通过教学内容，智能分析教学内容对应的知识点，与智能学伴进行互动交流；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4)支持学生在学习空间与教师发布的智能体进行对话，支持语音输入和输出；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5)支持学生根据老师设定好的指令，通过更改提示语进行快速提问；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6)支持学生在预习教师发布的PPT课件和观看课堂回放时，对当前PPT课件内容不懂，可一键将该课件内容反馈至智能学伴，AI将实时针对当前PPT课件页内容进行智能答疑；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7)在教师授课过程中，学生移动端实时查看教师放映完成及正在放映的PPT课件，针对每一页的课件页内容不懂，可一键将当前课件页发送给AI，AI将实时针对当前PPT课件页进行内容解析并智能答疑；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8)支持学生移动端查看课堂总结报告，至少包括课堂数据分析报告、人工智能生成的课堂思维导图、知识导引、教师讲稿；支持搜索讲稿内容；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9)支持在知识图谱中通过知识点关键词搜索，搜索结果高亮显示；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10)支持学生选择知识点，展示该知识点上的学习内容和知识点详情，包括知识说明、知识分类、认知维度、难度系数；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11)支持学生查看知识点目录，点击快速跳转到其他知识点进行学习；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12)支持学生通过点击某一知识点查看知识点学习路径；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13)支持根据学生的学习进度，知识点有不同的展示效果，帮助学生快速对知识点进行定位；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14)支持学生通过知识图谱进行学习，点击知识点进入AI学习空间，同时展示学习内容与智能学伴，方便学生在学习过程中进行知识点互动问答；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15)支持学生在学习空间观看数字人教师进行课件内容讲解；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16)支持学生手机扫码，快速打开移动端进行知识点学习；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17)●支持学生观看视频学习内容时，对当前视频播放内容不懂，可一键将当前视频帧发送至AI，AI将实时针对当前视频帧进行内容解析并智能答疑；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18)支持学生查看人工智能通过视频内容生成的知识导引，进行知识点总结归纳，形成知识点标题，方便学生通过导引快速定位视频；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19)支持学生查看人工智能通过视频内容生成的教师讲稿，按时间轴排序，支持通过知识导引快速定位到教师讲稿，支持讲稿快速定位到视频内容；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20)支持学生查看教师在知识点下的相关教材，预览当前教材内容；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21)支持学生在AI学习空间观看教学活动的任务中，无需学生输入问题，根据教师的教学设计，在不同的时间智能体能自动与学生交互，至少包括推送知识点相关资源，自动为学生出题进行知识点自测；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22)支持学生在学习空间中，遇到不懂的内容，可直接划选文字一键唤起智能学伴进行智能答疑；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23)支持学生提交自测练习题、作业和考试后，对当前题目不懂，可一键将该题目反馈至智能学伴，AI将实时针对当前题目进行智能答疑；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24)支持学生选择知识点进行自测题作答练习时，系统可校验是否答过先修知识点，支持跳转至先修知识点进行答题；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学生选择知识点进行自测题作答练习时，支持AI根据当前知识点、当前学生的成绩等学习过程数据进行个性化智能推题，不限制AI推题数量，支持AI随机推题或按照由易到难的顺序推题；支持AI根据当前知识点推荐其他知识点让学生继续进行自测题练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26)支持根据本次学生自测题作答记录输出AI学习报告；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27)支持学生在AI学习空间中通过智能学伴进行资源智能检索，主要为课程相关的网络教学资源，进行课外教学资源补充学习，资源类型包括知乎、视频等多种途径；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28)支持学生查看自己的知识点完成情况，包括所有知识点的完成情况、单个知识点的完成情况、累计学习时长、习题正确率、题目作答数量；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29)支持在班级讨论区中智能答疑，AI自动回复讨论区问题。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30)支持学生课查看学生个人画像，学生个人的学习表现情况，包括AI使用情况、学习成绩、能力发展、教学互动、学习完成进度等学习表现，AI根据学习表现情况进行分析与建议；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31)支持移动端查看知识图谱，查看知识点的完成情况、学习时长、自测题正确率和作答数量，支持查看知识点关联关系。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32)支持AI空间学习小助手，包括电脑端和移动端，支持学生在AI空间与所有AI课程的学伴和智能体进行对话，支持查看或设置课程通知是否屏蔽，支持查看当前课程的学习进度和待办学习内容，一键跳转学习。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1.8AI课程门户设计服务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1.8.1门户管理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1)门户主题色支持配置，支持至少6种主题色选择；</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2)支持设置门户风格布局，支持至少四种布局切换；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3)支持门户展示语言切换，至少支持中文、英文两种模式切换。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4)支持上传学校logo,支持选择logo配置位置；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5)支持设置主图样式，至少包括模型展示及自定义图片；支持背景图片设置显示位置；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6)支持设置课程标签、设置课程教师，至少包括教师姓名和头像，支持设置多个教师；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7)支持设置导航颜色为白色或者根据主题色自动适配；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8)支持导航自定义学校logo和课程英文名称；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9)支持设置导航显示模块，包括课程概述、知识模型、能力模型、问题模型、素质模型、AI应用、资源地图，支持修改模块名称，支持拖拽调整模块顺序；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10)支持门户设置数字人展示，支持自定义数字人位置，支持添加至少两个数字人形象进行展示，支持设置数字人教师语音内容，支持设置是否重复播放；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11)支持门户首页配置至少三个页面导航、支持导航名称进行自定义；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12)支持设置导航结构；支持自定义设置首页背景图；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13)支持将增强知识库进行展示，支持设置来自增强知识库分类，支持配置分类名称、自定义封面、自定义跳转链接；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14)支持展示优质知识片段，支持单个添加、删除和批量管理，支持调整知识片段顺序；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15)支持设置是否展示知识图谱、问题图谱、能力图谱；支持设置展示知识体系结构，至少两种展示样式；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16)支持设置知识图谱展示形式，包括展开层级、视图形式；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17)支持设置热门知识点，知识点来源于知识图谱，通过点击热门知识点可直接进入学习空间；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18)支持设置AI指令分组，支持设置分组名称、分组图片。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19)支持门户快速进入工作台和学习空间。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1.8.2课程概述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1)支持设置课程建设成果展示，至少包含资源地图、课程模型、课程荣誉，支持自定义课程成果展示模块；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2)支持设置课程介绍展示页面，至少包括课程背景、课程定位，支持自定义课程介绍展示模块；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3)支持设置教师团队展示模块，支持自定义教师团队展示模块；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4)支持自定义新的课程展示模块，包括模块分组及详细的模块内容。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1.8.2.1建设成果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1.8.2.1.1资源地图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1)支持展示课程资源地图，包括教材、讲义、论文、习题、作业、试卷、视频等类型资源的数量统计；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2)支持资源地图展示视频时长、知识片段数量、课程资源总字数；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1.8.2.1.2课程模型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1)支持展示课程知识模型、问题模型、能力模型、素质模型金字塔；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2)支持展示能力模型的能力点数量、覆盖知识点；支持展示问题模型的问题数量、问答对数量、覆盖知识点数量；支持展示知识模型的知识点数量、学习资源数量、习题数量；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3)支持课程模型展示页面自定义背景图片，包括背景图片显示位置。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1.8.2.1.3课程荣誉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1)支持课程设置荣誉列表，新增课程荣誉；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2)支持至少三种课程荣誉展示图标，支持设置课程荣誉日期、设置相关描述、支持设置课程荣誉图片，支持点击查看大图；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3)支持课程荣誉展示页面自定义背景图片，包括背景图片显示位置。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1.8.2.2课程介绍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1.8.2.2.1课程背景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1)支持课程背景展示页面自定义背景图片，包括背景图片显示位置；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2)支持设置课程背景布局，至少包含图文布局及是否包含底板边框；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3)支持设置课程背景介绍正文及自定义图片。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1.8.2.2.2课程定位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1)支持课程定位展示页面自定义背景图片，包括背景图片显示位置；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2)支持设置课程定位布局，至少包含图文布局及是否包含底板边框；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3)支持设置课程的先修课程、后修课程及课程定位详细介绍；支持设置多个课程标签。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1.8.2.3教师团队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1)支持教师团队展示页面自定义背景图片，包括背景图片显示位置；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2)支持添加课程教师团队成员，包括教师姓名、头像、院系、职称、介绍。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1.8.3知识模型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3)支持选择某节点后，可展开所有下级节点或收起所有下级节点，可调整页面呈现的节点内容和数量；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7)支持知识图谱查看时可根据进行放大缩小，可以查看知识图谱全景；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8)支持知识点已关联的课程视频资源，可查看此资源的详情内容；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9)支持展示AI学习空间，支持知识点生成二维码，扫码可进入手机端AI学习空间；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10)支持在学习空间中与数字人教师进行互动；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11)支持在学习空间观看数字人教师进行PPT讲解；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12)支持在观看教学活动的任务中，学伴自动推送相关知识点内容、知识点习题、关联知识点；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13)支持在门户展示知识点学习数据，包括每一个知识点的学习视频人次和习题作答人次。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1.8.4能力模型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2)支持展示单个能力点的标签、能力描述、知识点数量、学习内容数量；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3)支持展示能力点详细内容，包括能力点的标签、能力描述、知识点名称、知识点关联学习内容；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4)支持能力模型切换不同展现样式查看。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1.8.5问题模型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1)支持展示问题模型，包括问题类型、问题类型描述、问题类型数量及问题关联关系；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2)支持展示单个问题的问题及对应答案，支持展示与其他问题的关联问题，支持展示问题关联的知识点及对应的学习内容。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1.8.6素质模型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1)支持展示素质模型，包括素质点名称、素质点描述、关联的知识点及对应的学习内容；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2)支持素质模型切换不同展现样式查看。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1.8.7AI应用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1)支持展示AI课程应用中心，设置多个应用使用场景，支持每个场景可以设置分组，支持移动调整分组顺序；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2)支持设置AI应用展示页面布局，至少支持瀑布流及宫格展示形式；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3)支持设置每个使用场景初始化时可以直接选择已有指令作为场景展示案例，同时支持自定义增加展示案例；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4)支持场景案例添加案例标题、简短描述、设置案例分组，同时支持设置案例图标，系统需提供内置图标；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5)支持编辑案例内容，包括插入图片、表格、超链接、代码块、公式。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1.8.8资源地图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1)支持展示资源地图，支持知识点旭日图展示包括资源总数，知识片段数量、视频数量、视频导引数量、视频时长、习题数量、覆盖知识点、知识点覆盖率；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2)支持展示热门知识点，至少展示10个热门知识点；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3)支持资源地图按照热门分类、资源类型进行筛选；支持搜索知识片段；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4)支持每一个知识片段展示知识点名称、资源类型、资源分类、片段详细内容，至少包含正文、图片、视频、公式、表格、代码。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1.8.9智能助理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1)支持智能助理，可通过与智能助理对话了解课程建设的内容及课程答疑；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2)支持编辑智能助理，包括修改智能助理名称、设置智能助理开场白，设置智能助理常见问题；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3)支持智能助理设置问答对，智能助理回答问题优先参考标准答案。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1.9AI课程建设实施服务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1)需辅助教师明确AI课程建设目标，根据教师反馈，梳理建课思路；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2)需辅助教师课程素材收集整理，提供教师各种素材的具体格式及注意事项，教师可根据要求上传课程资料；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3)可根据教师提供的相关素材建立课程知识库，基于课程知识库进行增强检索生成、垂直调优；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4)支持提供AI工作台，通过问答评测开展模型评估和调优，优化提示词及提升回复质量，同时后台完整记录反馈数据，持续更新迭代；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5)需记录老师教学过程中的问题，根据问题进一步完善增强模型；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6)需输出AI课程学期使用报告；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7)辅助教师建设AI课程示范案例，进行宣传推广。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1.10系统对接服务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 为方便校内学生进行AI课程学习，需要对接学校统一身份认证系统/教务系统，师生必须将校内工号/学号与平台账号相关联，以确认师生身份；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 需要对接教务系统，并将已确认的开选课信息一次性导入AI课程，并进行定期维护和更新，以保证学生的选课信息准确无误；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 导入的课程会在平台展示页面中有独特标识，并且导入的课程可在数据中心中查看多维度数据统计结果；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 为学习者提供优质的云端网络环境。</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二、面向不同课程个性服务：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明确智慧课程建设目标：沟通需求，深入了解授课教师在教学中的需求痛点及学科和课程特点；目标确立，结合学科定位与课程特点，清晰界定人工智能赋能教育教学的课程升级目标、学科建设整体目标，完成整体建设框架设计；服务配置，根据授课教师反馈，梳理课程建设及学科建设思路，根据教师需求确定后续服务模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2.课程素材收集整理：提供各种素材的具体格式及注意事项；教师根据要求上传课程资料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3建立课程增强模型：根据教师提供的相关素材建立课程知识库；根据课程类型或学科特点建设包括但不限于图片库、公式库、表格库、视频库等类型增强知识库。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4数字人构建：每门课程定制一位教师数字人形象，用于知识点讲解，为学生提供不超过60个精选知识点进行讲解。整个讲解系列将控制在200分钟以内，确保内容精炼且高效。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5个性指令构建：根据课程专业属性，建设课程个性化指令库。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 智能体构建：根据课程专业属性，每门定制不少于三个专属课程智能体；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7知识图谱：课程知识图谱、问题图谱、能力图谱搭建服务，知识图谱层级不超过6级，不超过500个知识点。学科知识图谱搭建服务。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 HTML交互式课件：根据课程专业属性，每门定制不少于五个HTML交互式课件。</w:t>
            </w:r>
          </w:p>
        </w:tc>
        <w:tc>
          <w:tcPr>
            <w:tcW w:w="966" w:type="dxa"/>
            <w:tcBorders>
              <w:top w:val="single" w:color="000000" w:sz="4" w:space="0"/>
              <w:left w:val="single" w:color="000000" w:sz="4" w:space="0"/>
              <w:bottom w:val="single" w:color="000000" w:sz="4" w:space="0"/>
              <w:right w:val="single" w:color="000000" w:sz="4" w:space="0"/>
            </w:tcBorders>
            <w:vAlign w:val="center"/>
          </w:tcPr>
          <w:p w14:paraId="6578322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门</w:t>
            </w:r>
          </w:p>
        </w:tc>
        <w:tc>
          <w:tcPr>
            <w:tcW w:w="950" w:type="dxa"/>
            <w:tcBorders>
              <w:top w:val="single" w:color="000000" w:sz="4" w:space="0"/>
              <w:left w:val="single" w:color="000000" w:sz="4" w:space="0"/>
              <w:bottom w:val="single" w:color="000000" w:sz="4" w:space="0"/>
              <w:right w:val="single" w:color="000000" w:sz="4" w:space="0"/>
            </w:tcBorders>
            <w:vAlign w:val="center"/>
          </w:tcPr>
          <w:p w14:paraId="5828778F">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5</w:t>
            </w:r>
          </w:p>
        </w:tc>
        <w:tc>
          <w:tcPr>
            <w:tcW w:w="650" w:type="dxa"/>
            <w:vMerge w:val="continue"/>
            <w:tcBorders>
              <w:left w:val="single" w:color="000000" w:sz="4" w:space="0"/>
              <w:bottom w:val="single" w:color="000000" w:sz="4" w:space="0"/>
              <w:right w:val="single" w:color="000000" w:sz="4" w:space="0"/>
            </w:tcBorders>
            <w:noWrap/>
            <w:vAlign w:val="center"/>
          </w:tcPr>
          <w:p w14:paraId="6FD2941B">
            <w:pPr>
              <w:rPr>
                <w:rFonts w:hint="eastAsia" w:ascii="宋体" w:hAnsi="宋体" w:cs="宋体"/>
                <w:color w:val="000000" w:themeColor="text1"/>
                <w:szCs w:val="21"/>
                <w:highlight w:val="none"/>
                <w14:textFill>
                  <w14:solidFill>
                    <w14:schemeClr w14:val="tx1"/>
                  </w14:solidFill>
                </w14:textFill>
              </w:rPr>
            </w:pPr>
          </w:p>
        </w:tc>
      </w:tr>
      <w:tr w14:paraId="5126719F">
        <w:tblPrEx>
          <w:tblCellMar>
            <w:top w:w="0" w:type="dxa"/>
            <w:left w:w="108" w:type="dxa"/>
            <w:bottom w:w="0" w:type="dxa"/>
            <w:right w:w="108" w:type="dxa"/>
          </w:tblCellMar>
        </w:tblPrEx>
        <w:trPr>
          <w:trHeight w:val="208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73A06202">
            <w:pPr>
              <w:widowControl/>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 xml:space="preserve">  2</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0F5E94C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口腔医学院2026年智慧课程建设服务项目</w:t>
            </w:r>
          </w:p>
        </w:tc>
        <w:tc>
          <w:tcPr>
            <w:tcW w:w="5405" w:type="dxa"/>
            <w:tcBorders>
              <w:top w:val="single" w:color="000000" w:sz="4" w:space="0"/>
              <w:left w:val="single" w:color="000000" w:sz="4" w:space="0"/>
              <w:bottom w:val="single" w:color="000000" w:sz="4" w:space="0"/>
              <w:right w:val="single" w:color="000000" w:sz="4" w:space="0"/>
            </w:tcBorders>
            <w:vAlign w:val="center"/>
          </w:tcPr>
          <w:p w14:paraId="7056A2EA">
            <w:pPr>
              <w:widowControl/>
              <w:numPr>
                <w:ilvl w:val="0"/>
                <w:numId w:val="10"/>
              </w:numPr>
              <w:jc w:val="left"/>
              <w:textAlignment w:val="center"/>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面向全校提供AI教学平台服务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1.1AI课程模型建设服务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1.1.1知识模型建设服务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1)支持新建课程知识图谱；支持通过表格方式进行知识点导入，根据模板填写完成后点击上传；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2)支持通过本地教材或知识库教材通过人工智能对教材进行碎片化处理及知识点归纳总结，直接生成课程知识图谱；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3)支持基于课程资源，通过人工智能对资源进行碎片化处理及知识点归纳总结，直接生成课程知识图谱，极大地提升教学资源的可视化和结构化程度；支持课程资源更新的同时知识图谱自动更新；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4)支持直接新建专业或课程群知识图谱，也支持通过关联其他已建设的课程知识图谱直接建设课程群知识图谱或专业知识图谱；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6)支持知识图谱自定义视图，通过教师自己拖拽知识点，保存为自定义视图，支持自定义视图中替换视图背景，支持教师统一知识点大小和隐藏根节点；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7)支持自定义视图下，教师自定义节点及其全部子节点的颜色；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8)支持自动生成的知识图谱是可编辑的，教师可以在已生成的知识图谱上进行二次编辑和调整；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9)支持知识图谱查看与编辑页面，首次进入知识图谱默认查看页面；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11)支持选择某节点后，可展开所有下级节点或收起所有下级节点，可调整页面呈现的节点内容和数量；支持根据知识图谱中的知识点层级快捷设置展开层级；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14)支持通过人工智能生成知识点说明，支持人工编辑，至少支持添加图片、表格、代码、公式块、行内公式；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15)支持图谱下载，可按节点层级导出excel文件；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17)支持自定义设置知识点属性：在知识图谱中，允许教师自定义设置知识点的难度系数、知识分类和认知维度等属性；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18)支持从预览模式进入在线编辑模式。支持一位用户在线编辑图谱，不支持多账号同时编辑，图谱显示当前编辑账号头像和姓名；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19)支持知识图谱树状结构、网状结构、环状结构、自定义结构进行编辑；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20)支持知识图谱查看时可进行放大缩小，可以查看知识图谱全景；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21)支持添加多个根节点；支持选择某节点后，可添加同级节点；支持删除知识点，支持知识点跨课程关联；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22)支持选择某节点后，可添加子节点，至少添加十级子节点；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23)导入模板至少包含：节点名称、知识说明、知识分类、认知维度、难度系数、节点关系；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24)支持知识点与课程资源进行关联，支持知识点关联本地资源、知识库资源等，支持“图文”“视频”“讨论”等学习单元，支持对学习单元进行检索；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25)支持已关联的课程资源，可查看此资源的详情内容；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26)支持知识点与课程习题进行关联，可关联课程资源下已建设的资源习题，点击可查看习题详情及答案解析；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27)支持编辑知识点详情，可自定义设置节点名称、知识说明、知识分类、认知维度、难度系数、节点关系；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28)支持知识点添加思政设计，包含思政元素和设计方式；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29)支持根据节点关系生成知识点学习路径；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▲30)支持已经建设的知识图谱发布到教学班中；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31)支持教师可以选择是否开放给学生，选择开放给学生，学生在自己的教学班中就可以查看到对应的知识图谱；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32)支持教师选择是否将发布的教学内容通过人工智能自动匹配知识图谱中的知识点；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33)支持教师查看单个知识点的学习情况，包括：该节点关联课程资源和习题的情况：总数和已发布数量；已完成、进行中、未完成的学生比例；学生的平均掌握度。支持统计单个知识点下每个学生的完成度和掌握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34)支持教师查看班级平均掌握度，按照比例区间展示整个班级的学习进度和平均掌握度，同时给出建议关注知识点。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1.1.2能力模型建设服务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1)支持建设能力模型，包括能力点名称、能力标签、能力描述、关联知识点、对应学习内容，能力标签支持自定义；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3)支持展示单个能力点的标签、能力描述、关联知识点和知识点学习内容；支持跳转到关联的知识点详情界面；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4)支持展示能力点下知识点关联关系；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5)支持通过模板导入能力模型，支持能力模型导出表格；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6)支持能力图谱至少包含树状视图、思维导图、自定义视图；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7)支持自定义视图设置卡片或文字样式，支持设置文字颜色、文字字号，支持设置背景图，支持一键还原系统设置。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1.1.3问答模型建设服务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1)支持建设问题模型，包括问题类型、问题描述、答案描述、关联知识点、对应学习内容；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2)支持跳转到各个问题下关联的知识点详情界面；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3)支持教师将问答反馈意见纳入答案库，进行修改编辑。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1.1.4素质模型建设服务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1)支持手动新建或选择现有模板新建素质图谱；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2)支持建设素质图谱，包括素质点名称、素质描述、关联知识点、对应学习内容；支持跳转到各个素质点下关联的知识点详情界面；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3)支持通过模板导入素质图谱，支持素质图谱导出；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4)支持素质图谱包含不同展现样式。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1.1.5自定义模型建设服务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1)支持建设自定义模型，设置模型名称，设置模型展示方式至少包括：网状、环状、树状、圆环、框架、素质树、思维导图形式。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2)支持通过模板导入自定义图谱，支持自定义图谱导出；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3)支持设置节点名称、标签、自定义节点分类、节点描述以及关联的知识点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1.1.6增强模型建设服务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1.1.6.1课程图片库建设服务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1)支持建设课程图片库，支持对图片进行分类，支持自定义分类；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2)支持对图片进行知识点标记；支持对图片添加文字说明；支持标记图片来源。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1.1.6.2课程公式库建设服务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1)支持建设课程公式库，支持对公式类型进行分类管理，支持自定义分类；同时需对公式进行知识点标记；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2)支持对公式添加文字说明，支持添加公式块或行内公式；支持标记公式来源。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1.1.6.3课程表格库建设服务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1)支持建设课程表格库，支持对表格进行标签分类，支持自定义分类；同时需对表格进行知识点标记；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2)支持表格内上传图片或添加公式，支持对表格添加文字说明；支持标记表格来源。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1.1.6.4课程代码库建设服务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1)支持建设课程代码库，保留代码格式，支持对代码进行分类，同时需对代码进行知识点标记；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2)支持对代码添加代码注释，支持对代码添加流程图或实现效果图；支持标记代码来源。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1.1.6.5课程视频库建设服务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1)支持建设课程视频库，支持对视频进行分类管理，支持对整个视频进行知识点标记；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2)支持对课堂回放视频自动添加课堂回顾标签，支持自定义分类标签；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3)通过人工智能，支持根据视频内容进行分段归纳总结，形成知识导引，同时文字与视频进度一一对应，点击可以进行快速定位；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4)支持对形成的导引进行分类管理，支持对同一视频中的不同导引进行知识点标记；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5)通过人工智能形成课程讲稿，按照时间轴排序，点击讲稿同时对应跳转到视频指定位置；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6)支持修改人工智能生成的视频导引和讲稿。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1.1.6.6课程习题库建设服务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1)支持建设课程习题库，支持对习题进行分类，支持自定义分类标签，同时需对习题进行知识点标记；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2)支持题型至少包括单选题、多选题、判断题、投票题、填空题、主观题等，支持添加答案解析，支持设置习题难度系数；支持编辑、移动、删除题库习题；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3)添加习题支持对题干及选项字体格式进行修改，支持多图上传，支持插入公式，支持编辑包括Python、Java、C++、Php、Vb、ActionScript3等的不少于20门常用代码语言，支持插入音频及附件文件；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4)支持选择是否将题目设为自测题，学生在学习相应知识点内容时可进行习题自测。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1.1.6.7课程专有名词库建设服务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1)支持通过人工智能匹配课程专业或学科属性，自动生成专有名词库，支持对专有名词增加图片或文字解释说明。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1.2AI个性化指令建设服务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1)支持根据课程专业或学科属性，建设课程个性化指令库。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1.3智能体建设服务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1)根据课程专业或学科属性，建设课程个性化智能体。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1.4AI课程数字人建设服务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1)数字人形象根据教师形象进行定制化制作；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2)数字人形象需具备高逼真度，面部表情、动作自然流畅，无明显违和感；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3)支持调整数字人的动作，可选取部分数字人的训练素材对应生成有动作或没有动作的数字人视频；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4)支持实时语音识别与语音合成，实现数字人语音交互功能；至少支持中文、英文两种语言切换；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5)生成数字人语音播报时，支持设置讲稿的语速；设置专有文字内容连读；支持插入停顿，可设置停顿的时间；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6)支持通过上传教师录制的音频来直接生成数字人视频，并实现对口型播报；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7)根据教师提供的课程大纲，进行数字人AI课程内容的设计与制作；根据课程内容需要建设包括但不限于课件、习题、互动环节等；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8)支持将数字人与其讲解的课件内容合成新的课程讲解视频，并支持选择是否显示字幕、数字人讲解倍速、设置视频背景色、数字人的显示比例等。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1.5AI教学应用场景建设服务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1)需支持知识库管理功能，支持上传pdf格式的教学资源，上传的资源可进行切片处理，同时需提供开关控制功能，教师能够决定每个文档是否启用切片解析功能，支持上传失败的文件重试解析；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2)支持按照电子教材、讲义课件、相关论文、习题试卷、往年作业、相关案例、其他资料等分类上传资源；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3)支持上传视频、音频、文档（包括PPT、PDF、DOC、TXT、PNG等）等教学资源；视频支持上传MP4、MKV、MOV、AVI、WMV等通用格式视频，上传后自动转码，支持在线预览；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4)支持自定义文件分类，支持二级文件分类，支持删除、移动与重命名文件分类；支持每一个分类下可以查看已处理的资源数量、上传资源数量、最近更新时间；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5)支持知识库查看文件数量、图片提取数量、音视频时长、解析字符总数；支持查看总体知识切片数量，公式数量、图片数量、表格数量；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6)支持上传的资源可以查看文件名称、处理状态、字符数、文件大小、上传时间；支持上传的资源可以选择是否启用；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7)支持对上传的资源进行删除、重命名和移动所在分类；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8)支持关联已有的课程资源，包括已建设的课程资源和教学班发布的教学内容；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9)支持教师从个人云盘中一键导入教学资源，支持批量选择一个或多个文件导入知识库中。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1.5.2智能学伴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1)基于课程模型进行知识答疑，满足学生在任何时间的学习需求，无论是基础知识还是拓展知识，学生随时都可以向系统提问，获得及时的解答；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2)支持智能学伴的个性化配置，包括学伴名称、头像、性格特点、说话风格等角色特点；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3)支持教师设置智能学伴开场白，方便学生能快速理解学伴功能；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4)支持教师设置智能学伴推荐问题，方便学生快速选择常见问题；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5)支持教师端进行智能学伴问答，支持教师根据智能学伴回答的问题进行反馈，持续优化智能学伴回答问题的准确度；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6)支持教师填写智能学伴回答反馈意见，至少包括具体问题及正确回答，同时支持设置是否将反馈回答加入答案库，用于后续相同问题的答案；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7)支持教师提交反馈意见后进行修改，修改后可再次提交，支持教师删除反馈意见；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8)支持开展多个会话，保留历史会话，同时也可进行历史会话删除；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9)支持学生发送语音与智能学伴对话；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10)支持学生与智能学伴对话上传文件(至少10个，每个文件大小不低于 15MB)，支持 pdf、doc、docx、xlsx、ppt、txt、md、csv、py、图片等；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11)支持智能学伴语音回答问题，支持教师设置语音播报音色，系统内置音色或定制专属音色；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▲12)支持教师设置智能学伴虚拟形象，支持动画虚拟形象或定制专属形象；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13)支持在智能学伴中进行指令管理，包括移动或删除指令，创建新的指令分组；支持拖拽调整指令顺序；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14)支持AI绘图，通过描述生成图片；支持代码绘图，通过Python代码绘制曲线；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15)支持联网检索，支持回答问题的同时联网检索资源进行补充回答；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16)支持图片检索，在图片检索中，根据学伴提问，精准匹配图片；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17)支持多轮对话，有上下文记忆功能，用于测试知识点学习、问卷调查、医患问诊等场景，根据学生问题或选择进行持续对话；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18)支持智能学伴回答完毕后，给用户展示至少3个推荐问题，让用户能够继续提问。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19)支持智能学伴回答完毕后，展示增强模型的知识碎片。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1.5.3智能批改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1)至少内置两个智能批改评分标准，包括评分项目、详细指标、指标权重；支持教师将系统内置模板复制到教师本人的批改规则下并调整修改；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2)需支持智能批改，支持教师设置多个批改规则，包含评分项目，详细指标，指标权重从而计算出评价分数，同时支持是否开启智能点评，教师可设置点评方向和点评风格；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3)支持教师设置智能批改评分标准后进行测试，包括设置分值、题目、参考答案或通过人工智能生成参考答案、最后填写作答内容进行批改测试，通过智能批改的测试查看是否需要调整评分标准；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4)支持教师可以通过批改测试选择不同的批改规则进行调试智能批改效果；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5)支持教师发布主观题到教学班，支持教师进入教学班中选择是否进行智能批改，包括选择智能批改的评分标准、是为当前学生进行智能批改或全班学生进行批改；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6)支持教师选择批注的身份，包括智能批注助手或当前教师本人；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7)支持教师选择智能批改完成后是否需要经过教师审核，如不需审核，将直接生成批注和评语发送给学生，学生分数仅供参考，实际分数需要教师手动打分；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选择不同的智能批改规则，对学生的作业进行在线智能批改，生成评分与评语；支持选中部分的作业文本逐条展示对应的AI详细批注、改进建议等，支持根据教师设定的智能批改规则显示每项细则的详细评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9)支持教师对智能批改不满意后选择重新批改；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10)支持保留教师多次批改记录，教师可查看历史批改效果；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11)●支持AI课程组教师使用自己的智能批改规则或将规则共享到课程组，支持教师查看全部智能批改规则、分别查看我的和其他教师共享的规则，支持查看每个智能批改规则的创建人和最近编辑人；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12)新建批改规则，支持至少建设文章批改、通用批改、编程批改三类规则，根据批改分类不同，使其更适用于当前批改场景；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13)编程类型批改至少支持5种常见编程语言，包括但不限于Python、JavaScript、C、C++、Java；支持教师自定义编辑编程批改规则，包括评分项目、详细指标、权重；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14)支持教师编辑大模型的输出要求，调试智能批改规则效果的时候，支持预览实际给到大模型的提示词，支持查看大模型返回的未经处理的原格式内容，以便于教师修改智能批改规则；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15)支持对学生上传的pdf、word、图片文件进行智能批改；支持批量下载教师智能批改后带批注的文件，展示按照智能批改规则批改的详细批注、改进建议等。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1.5.4智能备课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1)支持教师在网页端进行在线文档备课，支持创建多个在线文档，在线文档自动保存，支持插入图片、代码、链接、表格等多种格式内容；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2)支持教师查看在线文档大纲；支持向备课助手发送文字和图片、文件（包括pdf、doc、docx、xlsx、ppt、txt、md、csv、py等）；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3)支持备课助手将生成的内容一键插入到在线文档中，无需复制粘贴；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4)支持教师填写备课助手反馈意见，包括不满意的原因、具体描述或更好的回答；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5)支持教师查看与备课助手的历史对话或开展新对话；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6)支持智能备课助手生成在线文档后，支持导出为本地word文档；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7)支持教师将在线备课文档编辑完成后，直接发布到教学班；支持教师设置发布时间、是否计入考核、考核截止时间、是否允许评论、是否微信消息提醒；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需支持在PPT插件中，根据选中文字，AI生成案例，生成的案例可以一键插入PPT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需支持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需支持在PPT插件中，选中需要翻译的文字翻译，同时翻译后的内容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11)支持在PPT插件中选择AI课程建设的增强模型的知识片段资源，支持按照课程和知识点进行筛选，支持预览图文结合的知识点片段并一键插入到PPT中；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▲12)支持在PPT插件中选择AI课程建设的增强模型中的视频资源，，支持按照课程和知识点进行筛选，支持预览视频并一键插入到PPT中；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13)支持在PPT插件中选择AI课程建设的增强模型的题目资源，支持按照课程和知识点进行筛选，支持预览题目内容和答案解析并一键插入到PPT中，支持放映PPT时，将题目发送给学生进行作答。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14)支持在PPT插件中选择AI课程建设的增强模型中的论文资源，支持按照课程和知识点进行筛选，支持预览论文片段并一键插入到PPT中；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在PPT插件中选择出题规则，支持根据知识点进行出题，或根据自定义要求进行出题，至少包括设置题型、设置题目数量、设置题目难度、设置知识点，设置多个出题要求，AI生成的题目教师可以选择插入题库或直接插入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1)支持在教师备课时，在PPT中插入课堂AI互动设计，包括在固定PPT页面加入召唤智能体，设置在放映PPT中需要召唤可对话的智能体；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2)支持在教师备课时，在PPT中插入课堂AI互动设计，包括在固定PPT页面加入发送智能体，设置在放映PPT中需要发送预置智能体给学生，学生进行对话；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3)支持在教师备课时，在PPT中插入课堂AI互动设计，包括在固定PPT页面加入智能汇报，包括设置汇报的主题，汇报的时长、智能点评的规则。</w:t>
            </w:r>
          </w:p>
          <w:p w14:paraId="48DB22A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1.5.5智能课堂助手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1)支持在授课过程中，通过PPT唤起智能课堂助手，支持语音控制唤起智能课堂助手；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2)支持通过智能课堂助手进行AI对话，支持语音对话，支持将智能课堂助手生成的内容直接发送给学生；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3)支持教师设置智能课堂助手常用指令，可以快速通过调用指令进行快捷提问；支持教师在课堂中快速调起智能体进行对话；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4)支持通过语音控制智能课堂助手开启弹幕和随机点名，支持语音控制关闭弹幕和停止随机点名；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5)授课放映PPT过程中，支持截图PPT部分内容与智能课堂助手互动，实现知识讲解、自由对话等能力，教师可将智能课堂助手的回答内容一键发送给学生；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7)支持教师实时查看所有发布的AI对话任务的发布时间、累计用时、启动人数、未开始人数；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8)支持智能课堂助手实时记录教师授课内容；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9)支持课上实时显示教师讲稿内容，供学生课上回顾；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10)支持教师课上发起分组讨论活动，支持系统自动分组和学生自由分组；学生分组讨论完成后AI自动总结分组讨论的内容，并分析分组讨论中的学生参与情况，包括分析积极发言的学生、有效参与讨论的学生；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支持在管理后台设置点评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12)支持查看已汇报的学生列表，包括汇报人姓名、用时、AI点评内容；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14)支持导出AI生成的课堂思维导图；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15)支持教师编辑AI生成的讲稿；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16)支持教师在后台配置智能课堂助手相关信息，内置至少3种角色可供切换选择，同时支持教师自定义配置，包括角色形象、性别、回答语言、输出声音音频、人物特点、回答风格等，支持预览查看配置效果；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智能课堂助手支持至少15种回答语言切换，包括但不限于中文、英文、粤语、日语、印尼语、马来语等，支持在课堂授课过程中，教师可以通过多语言与智能课堂助手进行语音对话，至少包含中文、英文、中英文混合、粤语、日语五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18)支持设置智能课堂助手截图与AI对话的快捷指令，如知识点讲解、案例生成、讨论话题生成等；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19)支持对授课过程中发送给学生的题目进行作答情况和结果分析，包括作答人次、正确/错误人次、选项作答情况等，分析每个选项以及整个题目的错误原因，帮助教师提供教学改进建议。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1.5.6智能出题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1)支持根据知识点出题，教师可设置知识点、难度系数、题目数量、题目类型和具体出题要求，支持设置多个出题要求；</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2)支持手动输入或筛选已有的知识点进行出题；支持选择多个知识点进行出题；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3)支持教师设置至少包含判断题、填空题、主观题、单选题、多选题。其中单选题和多选题支持设置选项数量；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4)支持生成的题目至少包含题干、答案、解析；支持生成的每个题目直接加入教师题库；支持将当前生成的题目批量加入题库；支持一键前往教师题库；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5)支持将AI生成的题目加入教师题库时，可以选择关联知识点；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6)支持生成的题目可直接进行编辑，包括题干、选项、答案、解析，可新增选项；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7)支持教师根据AI出的每道题目分别进行意见反馈，支持AI根据教师反馈意见进行持续优化，支持查看历史出题记录；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8)支持教师自定义出题要求和模板，支持教师设置多个出题模板；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9)支持根据视频内容，智能出题，同时将题目一键插入到对应的知识点，同时支持教师修改题干、选项、答案、解析；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10)教师可设置学生答对题目才能继续观看视频，学生观看视频时，根据教师的设置答题后可继续观看视频；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11)●支持AI根据课件内容，智能出题，AI可推荐各题目插入的课件位置，支持将单个题目和所有题目一键插入到对应课件位置，支持教师在课件中修改题干、选项、答案、解析。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1.5.7智能资源推荐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1)支持根据学生提问的知识点或者材料要求，智能进行资源推荐；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2)支持资源智能推荐时，可推荐清华大学等双一流高校以及国外的优质的MOOC视频，免费内置不少于5000门完整慕课课程视频、200000条视频文件，每条视频时长5-15分钟；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3)支持联网检索相关学习资源，包括视频、论文等；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4)支持教师设置知识库中的资源是否被推荐，包含关联资源、电子教材、讲义课件、相关论文、相关案例或其他资料；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5)支持教师设置资源推荐开放的应用，开放后，学生在使用时可以进行资源推荐；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6)支持教师可在工作台进行资源推荐与检索，方便教师进行备课资源收集；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7)支持教师设置指定网站进行资源检索和推荐；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8)支持资源检索和推荐中通过教师的历史搜索，推荐联想的搜索，方便教师进行快速定位；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9)支持结果按照视频、论文、教材、案例、论坛进行分类筛选；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10)支持智能分析检索的问题，整理搜索结果，生成智能回答。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1.5.8.1自定义智能体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1)支持创建角色扮演类型智能体；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2)支持设置智能体基本信息，包含智能体标题、自定义智能体头像、添加智能体说明；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3)支持设置智能体使用场景，包括对话场景、场景描述。AI角色、使用者角色及AI人设信息；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4)支持设置不同智能体的语音输入和语音输出，支持设置输出语言，至少支持中文和英文，支持设置输出语言的音色并支持试听；</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5)支持为每个智能体单独配置基座大模型；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根据智能体设置的个性化需求，设置智能体对话框的颜色效果，如红色、蓝色、绿色等；支持选择不同的背景图样式，支持自定义上传背景图并调整显示位置；支持智能体对话框颜色和背景图设置效果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7)支持智能体对话设置，支持设置开场白；设置智能体推荐问题，推荐问题可以直接进行交互；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8)支持单独设置智能体的专属知识库，加强智能体的角色信息和角色资料；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9)支持设置智能体对话结束判断，使用者触发结束判断后，自动结束对话，支持设置多个对话结束判断，支持拖拽调整结束判断；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10)支持智能体对话评价设置，支持添加多个考核项并设置各考核项分值，支持设置评价内容的输出格式，智能体将在对话结束后按照评价格式和考核项进行评价；</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11)支持智能体效果测试，教师可以通过配置的过程直接进行测试；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12)支持设置智能体共享到AI课程，支持将智能体发布到教学班，学生在教学班与智能体进行对话；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13)支持教师分享智能体的链接，允许校内学生或校外用户通过链接使用该智能体；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14)支持设置智能体权限，支持智能体共享到课程中时，可以选择共享人员及共享权限，包括可编辑、可管理、可调试；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15)支持设置智能体分组，支持设置自定义分组；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1.5.8.2第三方智能体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将设置好的第三方智能体添加进AI课程，支持教师在AI课程中自定义该第三方智能体的头像、名称、显示logo；支持语音输入和语音输出；支持将第三方智能体发布到教学班，师生可在各场景中使用第三方智能体并记录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1.5.8.3AI讨论智能体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讨论智能体，支持配置智能体专属知识库，设置智能体知识库配置，包括相似度，召回碎片数量、增强检索方式；配置智能体回复范围至少包括：教师发帖、学生发帖、教师评论及回复、学生评论及回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1.5.8.4AI陪练智能体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设置AI陪练智能体，可设置在学习空间选择AI出题、自测题、混合出题给学生进行陪练；支持设置难度顺序为随机或自测题按难度从低到高出现，低难度题目做对会进入下一难度题目，做错进入同难度题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2)支持AI陪练设置先修知识点校验，自定义作答次数后视为完成；支持设置根据学生学习过程数据进行个性化推荐；支持针对不同的题型设置作答次数和是否显示答案解析；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1.5.8.5AI考官智能体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考官智能体，用于学生知识点测评和输出评价报告，包括设置智能体头像、开场白，至少支持中英文两种语言切换，支持配置智能体专属知识库，设置智能体知识库配置，包括相似度，召回碎片数量、增强检索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2)支持自行选择知识点进行练习，支持多次会话练习，完成答题后，自动生成总结报告，包括作答题目数、正确率，不同难度等级题目正确率，薄弱点、优势及学习建议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 “自测题与 AI 出题混合模式”，且策略优先级配置为 “自测题优先”；同时需支持 “只使用自测题”“只使用 AI 出题” 两种备选策略。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4)至少支持两种级别知识点推题，支持按 3 级知识点进行精细化推题或按 2 级知识点推题。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5)至少具备两种自适应难度升级机制，答对题目后自动升级难度直至答错；或保持难度不变至所有题目做完。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6)至少具备两种自适应难度降级机制，答错题目后自动降低难度直至答对；或保持难度不变至所有题目做完。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7)支持教师按照学生下载答题数据，包括课程下多个班级的学生答题数据，每个学生的最后答题时间、知识点、题目数量及其正确率。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1.5.9AI作业</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1)支持在作业中设置作业要求，配置智能体，学生通过与智能体对话进行作业作答，通过智能体评价作为AI作业得分；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学生在AI作业作答中，查看智能体场景信息，包括智能体角色，学生本次作业角色，支持学生多次与智能体进行对话和上传附件，支持提交智能体对话的内容作为作业作答，提交后智能体进行评价，显示本次作业得分，对话轮次，并根据智能体评价方向进行点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1.5.10教学工具箱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3)支持课程建设教学工具箱，且提供多种教学工具，至少包括基础医学、预防医学、临床医学、药学、护理学养老服务管理、智能医学工程专业的相关的HTLM课件；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4)支持教师上传自己的教学工具，可共享到AI课程中，供教师团队使用。支持设置工具头像、工具名称、工具介绍、上传HTML文件。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1.5.11教学运行数据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1.5.11.1知识图谱数据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1)支持查看知识图谱建设与发布情况，包含自测习题数量、自测题知识点覆盖率、学习单元数量、学习单元知识点覆盖率；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2)支持查看知识图谱资源发布与未发布对比图，包括视频、图文、讨论、作业、考试、课件、自测题；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3)支持查看知识图谱中总知识点数量、发布内容的知识点数量、学生学习知识点数量漏斗图；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4)支持查看本周学习人数及对比上周学习人数上升下降百分比；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5)支持查看本周学习知识点数及对比上周学习知识点数量上升下降百分比；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6)支持查看班级知识点完成概况，已完成占比、未开始占比、进行中占比；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7)支持查看完成知识点的学习类型分布，将按照学习单元的类型分别统计每个类型的占比；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8)支持查看知识点完成情况分析，按照100%、80%、60%、0%进行筛选；同时不同百分比通过不同颜色标识；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9)支持查看学生未开始的知识点；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按照知识点查看学生的掌握度、对应的教学内容、未开始学生人数、进行中学生人数、已完成学生人数、完成率、自测题数量、未作答学生人数、已作答学生人数、自测题完成率、自测题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11)支持按照学生查看学生姓名、学号、知识点掌握率、知识点学习内容未开始数量、进行中数量、完成数量、知识点完成率、自测题作答情况、正确数量、正确率；支持导出表格；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12)支持统一导出每个学生在每个知识点下的完成率、习题正确率、掌握率明细数据。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1.5.11.2AI使用数据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智能学伴使用明细数据，包括提问者姓名、教学班名称、问答内容、提问入口、提问时间；支持按照时间周期、班级学期、班级名称、提问角色、问题属性、反馈情况进行筛选；支持按照提问者姓名或提问内容进行搜索；支持导出智能学伴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1)支持以学生维度汇总查看智能学伴使用详情，包括学生姓名、学号、所在班级名称、学伴提问次数、使用时长，支持以学生维度查看学伴互动明细；支持导出以学生维度汇总的数据；支持删除学生提问数据。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智能体使用明细数据，包括提问者姓名、班级名称、问答内容、提问入口、提问时间；支持按照时间周期、班级学期、班级名称、提问角色、智能体标题进行筛选；支持按照提问者姓名或提问内容进行搜索；支持导出智能体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3)支持查看智能备课助手明细数据，包括教师姓名、问答内容、提问入口、提问时间；支持按照时间周期筛选；支持按照教师姓名或问答内容进行检索；支持导出智能备课助手使用明细；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教师在课堂授课过程中和智能课堂助手的问答明细，包括授课教师姓名、班级名称、课堂名称、问答内容、课堂提问时间；支持按照时间周期、班级学期、班级名称进行筛选；支持按照课堂名称、授课教师姓名或问答内容进行检索；支持导出智能课堂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AI应用使用数据的统一查看管理界面，支持切换查看各AI应用的使用数据明细记录，包括智能学伴、智能备课助手、智能课堂助手、智能体、知识图谱等，支持按照使用时间、班级、互动者姓名、互动关键词等维度进行筛选或搜索，支持查看每条记录的AI互动详情；</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6)支持智能学伴应用洞察，包括按照班级所属学期、教学班名称进行筛选；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7)支持查看智能学伴师生使用概况，包括使用总次数、覆盖班级数、教师数、使用学生数、选课学生数、学生使用率、学生使用次数、学生平均使用次数、学生使用时长、学生平均使用时长等数据；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8)支持查看智能学伴高频问题，可按照问题类型进行筛选，支持查看不同问题类型的提问次数与百分比；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9)支持指令分析，包含指令条数、学生使用指令条数、指令详情、学生使用次数等；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10)支持查看常问教学活动、对应活动提问次数、学生提问入口、占比与次数可视化展示；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11)支持查看智能学伴学生使用趋势，可视化展示使用日期、提问次数、使用时长等数据信息；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12)支持可视化展示智能学伴学生使用时间统计热力图；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13)支持展示智能学伴学生反馈情况，包括学生使用次数、未反馈、满意、不满意次数与百分比；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14)支持展示智能学伴学生使用排名，包括学生姓名、所属学院、行政班、提问次数、使用时长等信息；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15)支持统一导出每个学生的学习过程数据，包括日常学习数据与AI使用数据。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1.5.11.3AI教学分析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1)支持AI分析教学数据，支持快捷展示需教师关注的重点学生，包括缺勤学生、薄弱学生、进度滞后学生等；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2)支持AI快捷分析课程进展，给出动态教学建议；支持教师快捷前往班级教学活动详情界面；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3)支持教师与AI教学分析助手对话，为教师提供教学优化建议；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4)支持AI根据教师能力图谱与班级学习内容，自动生成学生能力评估模型，根据各能力的权重、评估方式、关联的知识点、关联的学习内容数量与占比，AI自动生成教学改进建议；支持统计班级能力整体达成度；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5)支持教师快捷查看班级教学明细，包括学习单元的发布情况、学生完成情况统计与详情查看；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6)支持统计各个能力的达成度并以雷达图展示，支持AI自动生成教学实施分析建议；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7)支持统计综合能力的发展趋势，AI自动生成每周对比分析；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8)支持AI生成单项能力的分析，包括各项能力的达成度、权重与计算方式，支持AI自动生成单项能力达成度的每周变化趋势与对比分析；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9)支持散点图形式可视化展示学生能力分布，AI自动生成学生表现及建议，支持统计学生能力排名。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10)支持教师手动修改评估模型，包括评估能力权重、评估方式及其占比，新增评估方式，评估方式关联的学习内容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1.5.11.4学生画像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1)支持查看学生综合画像，支持统计班级活跃学生数量与占比、使用AI学生数量与占比、人均使用AI次数、参与学习活动学生数量与占比、人均完成学习活动个数及完成率等数据；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2)支持以雷达图形式统计班级学生整体和学生个人的学习表现情况，包括AI使用情况、学习成绩、能力发展、教学互动、学习完成进度等学习表现，AI根据学习表现情况进行分析与建议；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3)支持以散点图或柱状图形式查看学生成绩分布、学习活动完成率分布、使用AI次数分布情况；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4)支持AI统计分析学生AI使用情况与成绩的关联关系，支持AI分析热门知识点与薄弱知识点，辅助教师调整教学策略；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5)支持按时间查看活跃学生数量的变化趋势，包括使用AI人数、参与学习活动人数；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6)新增学生学情预警独立展示页面，承载学生综合预警、分项预警全维度数据与配置功能；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7)支持展示学生学情预警，至少将学生分为三类：表现突出、表现中等、重点关注学生，支持查看学生人数和占比。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8)支持至少按照成绩、考勤、学习进度、学习互动、习题检测、AI互动六种类型查看需重点关注学生和表现突出学生。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9)支持学生综合预警指标自定义配置，可设置各分项指标的数值范围（可界定指标判定标准）；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预警标签配置项与学生画像标签联动，配置结果同步管控学生学情预警页面、学生综合画像、学生个人画像的标签展示：未勾选的预警分项指标，在所有画像标签中同步隐藏，且画像标签与预警页面共用同一套指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11)支持向学生发送预警提醒，支持设置自动提醒，教师手动选择学生进行消息提醒，支持系统每月初自动根据不同类型需重点关注的学生发送消息提醒。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12)支持展示需教师重点关注学生列表，包括未使用过AI、成绩落后、频繁缺勤的学生等，支持查看需重点关注学生的所有学习记录及个人画像；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14)支持按学期、班级、学习标签、学生姓名、学号筛选或搜索相应学生的学习数据记录，支持按照筛选或搜索结果导出相应数据；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15)支持查看学生个人画像，包括学生姓名、学号、班级、学院、入学年份、学习标签、班级成绩排名、整体学习表现、学习数据、AI使用情况统计与分析、学习动态、知识点完成情况、学习趋势等；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16)支持查看单个学生与AI互动情况的统计分析，包括AI使用次数、AI使用时长、与AI互动的高频词汇等，支持查看该学生的所有AI互动明细记录；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17)支持查看单个学生的学习动态，包括作业、视频、讨论等学习活动的完成和未完成情况及完成率；支持按时间查看该学生的学习趋势，包括使用AI次数和和完成学习活动次数。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1.5.12指令库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1)需支持指令库管理，教师可以设置多种指令卡片，同时支持设置指令分组，可以支持添加分组和管理分组，拖动不同分组位置，筛选查看不同分组的指令；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2)支持教师自定义创建指令，包括指令标题、详细指令内容和短指令，学生端仅展示短指令；支持调试指令效果时查看短指令展示效果；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3)支持指令创建的同时可以进行指令测试方便教师调整指令效果；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4)支持教师设置指令的应用场景，设置后仅在该场景可查看指令，其他场景无法查看该指令；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5)支持设置特殊指令，包含AI绘图、代码绘图、联网检索、图片检索；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1.6AI课程管理建设服务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1)需支持将AI能力应用到教学班，在应用时可以浏览不同学期的教学班，根据教师进行教学班筛选，需支持每个AI功能分别应用到不同的教学班，满足教学设计需要；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2)支持教师分享智能学伴和智能体的使用链接或二维码，支持教师设置扫码时自动推送的欢迎语文案，学生通过链接或二维码可访问智能学伴和智能体并进行对话；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3)支持教师在AI工作台查看AI课程列表，搜索和切换AI课程，方便进行课程的快速管理；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4)需支持一门课程通过功能开关控制知识库是否启用；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5)支持教师通过工作台进入AI课程门户展示页面及编辑页面，支持教师复制门户链接进行分享；</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6)支持设置课程评审专家角色，支持专家免登录即可查看课程工作台。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7)支持AI课程语言切换，至少支持中文和英文两种语言。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8)支持AI课程成员管理，支持添加与删除成员、修改成员的角色权限，支持查看所有成员列表；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每门AI课程单独配置课程的成员权限，内置至少3种成员角色权限；支持设置不同角色的角色名称与AI功能权限范围；支持自定义添加角色并配置AI功能权限；AI功能支持设置至少二级菜单的查看、管理及下载权限，包括但不限于课程模型、课程知识库、AI应用、数据中心、成员管理等，并提供权限范围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1.7学生端AI学习空间建设服务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1)支持课程学习语言切换，至少支持中文和英文两种语言。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2)支持教学班中包含智能学伴，学生进入班级中，无需点击学习单元即可与学伴展开对话；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3)支持智能学伴宽屏显示，支持学生通过教学内容，智能分析教学内容对应的知识点，与智能学伴进行互动交流；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4)支持学生在学习空间与教师发布的智能体进行对话，支持语音输入和输出；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5)支持学生根据老师设定好的指令，通过更改提示语进行快速提问；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6)支持学生在预习教师发布的PPT课件和观看课堂回放时，对当前PPT课件内容不懂，可一键将该课件内容反馈至智能学伴，AI将实时针对当前PPT课件页内容进行智能答疑；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7)在教师授课过程中，学生移动端实时查看教师放映完成及正在放映的PPT课件，针对每一页的课件页内容不懂，可一键将当前课件页发送给AI，AI将实时针对当前PPT课件页进行内容解析并智能答疑；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8)支持学生移动端查看课堂总结报告，至少包括课堂数据分析报告、人工智能生成的课堂思维导图、知识导引、教师讲稿；支持搜索讲稿内容；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9)支持在知识图谱中通过知识点关键词搜索，搜索结果高亮显示；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10)支持学生选择知识点，展示该知识点上的学习内容和知识点详情，包括知识说明、知识分类、认知维度、难度系数；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11)支持学生查看知识点目录，点击快速跳转到其他知识点进行学习；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12)支持学生通过点击某一知识点查看知识点学习路径；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13)支持根据学生的学习进度，知识点有不同的展示效果，帮助学生快速对知识点进行定位；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14)支持学生通过知识图谱进行学习，点击知识点进入AI学习空间，同时展示学习内容与智能学伴，方便学生在学习过程中进行知识点互动问答；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15)支持学生在学习空间观看数字人教师进行课件内容讲解；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16)支持学生手机扫码，快速打开移动端进行知识点学习；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17)支持学生观看视频学习内容时，对当前视频播放内容不懂，可一键将当前视频帧发送至AI，AI将实时针对当前视频帧进行内容解析并智能答疑；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18)支持学生查看人工智能通过视频内容生成的知识导引，进行知识点总结归纳，形成知识点标题，方便学生通过导引快速定位视频；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19)支持学生查看人工智能通过视频内容生成的教师讲稿，按时间轴排序，支持通过知识导引快速定位到教师讲稿，支持讲稿快速定位到视频内容；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20)支持学生查看教师在知识点下的相关教材，预览当前教材内容；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21)支持学生在AI学习空间观看教学活动的任务中，无需学生输入问题，根据教师的教学设计，在不同的时间智能体能自动与学生交互，至少包括推送知识点相关资源，自动为学生出题进行知识点自测；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22)支持学生在学习空间中，遇到不懂的内容，可直接划选文字一键唤起智能学伴进行智能答疑；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23)支持学生提交自测练习题、作业和考试后，对当前题目不懂，可一键将该题目反馈至智能学伴，AI将实时针对当前题目进行智能答疑；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24)支持学生选择知识点进行自测题作答练习时，系统可校验是否答过先修知识点，支持跳转至先修知识点进行答题；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学生选择知识点进行自测题作答练习时，支持AI根据当前知识点、当前学生的成绩等学习过程数据进行个性化智能推题，不限制AI推题数量，支持AI随机推题或按照由易到难的顺序推题；支持AI根据当前知识点推荐其他知识点让学生继续进行自测题练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26)支持根据本次学生自测题作答记录输出AI学习报告；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27)支持学生在AI学习空间中通过智能学伴进行资源智能检索，主要为课程相关的网络教学资源，进行课外教学资源补充学习，资源类型包括知乎、视频等多种途径；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28)支持学生查看自己的知识点完成情况，包括所有知识点的完成情况、单个知识点的完成情况、累计学习时长、习题正确率、题目作答数量；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29)支持在班级讨论区中智能答疑，AI自动回复讨论区问题。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30)支持学生课查看学生个人画像，学生个人的学习表现情况，包括AI使用情况、学习成绩、能力发展、教学互动、学习完成进度等学习表现，AI根据学习表现情况进行分析与建议；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31)支持移动端查看知识图谱，查看知识点的完成情况、学习时长、自测题正确率和作答数量，支持查看知识点关联关系。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32)支持AI空间学习小助手，包括电脑端和移动端，支持学生在AI空间与所有AI课程的学伴和智能体进行对话，支持查看或设置课程通知是否屏蔽，支持查看当前课程的学习进度和待办学习内容，一键跳转学习。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1.8AI课程门户设计服务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1.8.1门户管理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1)门户主题色支持配置，支持至少6种主题色选择；</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2)支持设置门户风格布局，支持至少四种布局切换；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3)支持门户展示语言切换，至少支持中文、英文两种模式切换。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4)支持上传学校logo,支持选择logo配置位置；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5)支持设置主图样式，至少包括模型展示及自定义图片；支持背景图片设置显示位置；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6)支持设置课程标签、设置课程教师，至少包括教师姓名和头像，支持设置多个教师；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7)支持设置导航颜色为白色或者根据主题色自动适配；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8)支持导航自定义学校logo和课程英文名称；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9)支持设置导航显示模块，包括课程概述、知识模型、能力模型、问题模型、素质模型、AI应用、资源地图，支持修改模块名称，支持拖拽调整模块顺序；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10)支持门户设置数字人展示，支持自定义数字人位置，支持添加至少两个数字人形象进行展示，支持设置数字人教师语音内容，支持设置是否重复播放；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11)支持门户首页配置至少三个页面导航、支持导航名称进行自定义；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12)支持设置导航结构；支持自定义设置首页背景图；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13)支持将增强知识库进行展示，支持设置来自增强知识库分类，支持配置分类名称、自定义封面、自定义跳转链接；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14)支持展示优质知识片段，支持单个添加、删除和批量管理，支持调整知识片段顺序；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15)支持设置是否展示知识图谱、问题图谱、能力图谱；支持设置展示知识体系结构，至少两种展示样式；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16)支持设置知识图谱展示形式，包括展开层级、视图形式；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17)支持设置热门知识点，知识点来源于知识图谱，通过点击热门知识点可直接进入学习空间；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18)支持设置AI指令分组，支持设置分组名称、分组图片。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19)支持门户快速进入工作台和学习空间。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1.8.2课程概述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1)支持设置课程建设成果展示，至少包含资源地图、课程模型、课程荣誉，支持自定义课程成果展示模块；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2)支持设置课程介绍展示页面，至少包括课程背景、课程定位，支持自定义课程介绍展示模块；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3)支持设置教师团队展示模块，支持自定义教师团队展示模块；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4)支持自定义新的课程展示模块，包括模块分组及详细的模块内容。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1.8.2.1建设成果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1.8.2.1.1资源地图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1)支持展示课程资源地图，包括教材、讲义、论文、习题、作业、试卷、视频等类型资源的数量统计；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2)支持资源地图展示视频时长、知识片段数量、课程资源总字数；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1.8.2.1.2课程模型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1)支持展示课程知识模型、问题模型、能力模型、素质模型金字塔；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2)支持展示能力模型的能力点数量、覆盖知识点；支持展示问题模型的问题数量、问答对数量、覆盖知识点数量；支持展示知识模型的知识点数量、学习资源数量、习题数量；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3)支持课程模型展示页面自定义背景图片，包括背景图片显示位置。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1.8.2.1.3课程荣誉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1)支持课程设置荣誉列表，新增课程荣誉；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2)支持至少三种课程荣誉展示图标，支持设置课程荣誉日期、设置相关描述、支持设置课程荣誉图片，支持点击查看大图；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3)支持课程荣誉展示页面自定义背景图片，包括背景图片显示位置。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1.8.2.2课程介绍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1.8.2.2.1课程背景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1)支持课程背景展示页面自定义背景图片，包括背景图片显示位置；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2)支持设置课程背景布局，至少包含图文布局及是否包含底板边框；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3)支持设置课程背景介绍正文及自定义图片。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1.8.2.2.2课程定位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1)支持课程定位展示页面自定义背景图片，包括背景图片显示位置；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2)支持设置课程定位布局，至少包含图文布局及是否包含底板边框；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3)支持设置课程的先修课程、后修课程及课程定位详细介绍；支持设置多个课程标签。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1.8.2.3教师团队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1)支持教师团队展示页面自定义背景图片，包括背景图片显示位置；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2)支持添加课程教师团队成员，包括教师姓名、头像、院系、职称、介绍。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1.8.3知识模型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3)支持选择某节点后，可展开所有下级节点或收起所有下级节点，可调整页面呈现的节点内容和数量；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7)支持知识图谱查看时可根据进行放大缩小，可以查看知识图谱全景；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8)支持知识点已关联的课程视频资源，可查看此资源的详情内容；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9)支持展示AI学习空间，支持知识点生成二维码，扫码可进入手机端AI学习空间；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10)支持在学习空间中与数字人教师进行互动；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11)支持在学习空间观看数字人教师进行PPT讲解；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12)支持在观看教学活动的任务中，学伴自动推送相关知识点内容、知识点习题、关联知识点；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13)支持在门户展示知识点学习数据，包括每一个知识点的学习视频人次和习题作答人次。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1.8.4能力模型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2)支持展示单个能力点的标签、能力描述、知识点数量、学习内容数量；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3)支持展示能力点详细内容，包括能力点的标签、能力描述、知识点名称、知识点关联学习内容；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4)支持能力模型切换不同展现样式查看。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1.8.5问题模型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1)支持展示问题模型，包括问题类型、问题类型描述、问题类型数量及问题关联关系；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2)支持展示单个问题的问题及对应答案，支持展示与其他问题的关联问题，支持展示问题关联的知识点及对应的学习内容。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1.8.6素质模型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1)支持展示素质模型，包括素质点名称、素质点描述、关联的知识点及对应的学习内容；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2)支持素质模型切换不同展现样式查看。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1.8.7AI应用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1)支持展示AI课程应用中心，设置多个应用使用场景，支持每个场景可以设置分组，支持移动调整分组顺序；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2)支持设置AI应用展示页面布局，至少支持瀑布流及宫格展示形式；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3)支持设置每个使用场景初始化时可以直接选择已有指令作为场景展示案例，同时支持自定义增加展示案例；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4)支持场景案例添加案例标题、简短描述、设置案例分组，同时支持设置案例图标，系统需提供内置图标；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5)支持编辑案例内容，包括插入图片、表格、超链接、代码块、公式。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1.8.8资源地图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1)支持展示资源地图，支持知识点旭日图展示包括资源总数，知识片段数量、视频数量、视频导引数量、视频时长、习题数量、覆盖知识点、知识点覆盖率；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2)支持展示热门知识点，至少展示10个热门知识点；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3)支持资源地图按照热门分类、资源类型进行筛选；支持搜索知识片段；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4)支持每一个知识片段展示知识点名称、资源类型、资源分类、片段详细内容，至少包含正文、图片、视频、公式、表格、代码。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1.8.9智能助理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1)支持智能助理，可通过与智能助理对话了解课程建设的内容及课程答疑；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2)支持编辑智能助理，包括修改智能助理名称、设置智能助理开场白，设置智能助理常见问题；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3)支持智能助理设置问答对，智能助理回答问题优先参考标准答案。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1.9AI课程建设实施服务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1)需辅助教师明确AI课程建设目标，根据教师反馈，梳理建课思路；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2)需辅助教师课程素材收集整理，提供教师各种素材的具体格式及注意事项，教师可根据要求上传课程资料；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3)可根据教师提供的相关素材建立课程知识库，基于课程知识库进行增强检索生成、垂直调优；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4)支持提供AI工作台，通过问答评测开展模型评估和调优，优化提示词及提升回复质量，同时后台完整记录反馈数据，持续更新迭代；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5)需记录老师教学过程中的问题，根据问题进一步完善增强模型；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6)需输出AI课程学期使用报告；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7)辅助教师建设AI课程示范案例，进行宣传推广。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1.10系统对接服务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 为方便校内学生进行AI课程学习，需要对接学校统一身份认证系统/教务系统，师生必须将校内工号/学号与平台账号相关联，以确认师生身份；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 需要对接教务系统，并将已确认的开选课信息一次性导入AI课程，并进行定期维护和更新，以保证学生的选课信息准确无误；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 导入的课程会在平台展示页面中有独特标识，并且导入的课程可在数据中心中查看多维度数据统计结果；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 为学习者提供优质的云端网络环境。</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二、面向不同课程个性服务：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明确智慧课程建设目标：沟通需求，深入了解授课教师在教学中的需求痛点及学科和课程特点；目标确立，结合学科定位与课程特点，清晰界定人工智能赋能教育教学的课程升级目标、学科建设整体目标，完成整体建设框架设计；服务配置，根据授课教师反馈，梳理课程建设及学科建设思路，根据教师需求确定后续服务模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2.课程素材收集整理：提供各种素材的具体格式及注意事项；教师根据要求上传课程资料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3建立课程增强模型：根据教师提供的相关素材建立课程知识库；根据课程类型或学科特点建设包括但不限于图片库、公式库、表格库、视频库等类型增强知识库。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4数字人构建：每门课程定制一位教师数字人形象，用于知识点讲解，为学生提供不超过60个精选知识点进行讲解。整个讲解系列将控制在200分钟以内，确保内容精炼且高效。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5个性指令构建：根据课程专业属性，建设课程个性化指令库。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 智能体构建：根据课程专业属性，每门定制不少于三个专属课程智能体；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7知识图谱：课程知识图谱、问题图谱、能力图谱搭建服务，知识图谱层级不超过6级，不超过500个知识点。学科知识图谱搭建服务。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 HTML交互式课件：根据课程专业属性，每门定制不少于五个HTML交互式课件。</w:t>
            </w:r>
          </w:p>
        </w:tc>
        <w:tc>
          <w:tcPr>
            <w:tcW w:w="966" w:type="dxa"/>
            <w:tcBorders>
              <w:top w:val="single" w:color="000000" w:sz="4" w:space="0"/>
              <w:left w:val="single" w:color="000000" w:sz="4" w:space="0"/>
              <w:bottom w:val="single" w:color="000000" w:sz="4" w:space="0"/>
              <w:right w:val="single" w:color="000000" w:sz="4" w:space="0"/>
            </w:tcBorders>
            <w:vAlign w:val="center"/>
          </w:tcPr>
          <w:p w14:paraId="2C3D6FC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门</w:t>
            </w:r>
          </w:p>
        </w:tc>
        <w:tc>
          <w:tcPr>
            <w:tcW w:w="950" w:type="dxa"/>
            <w:tcBorders>
              <w:top w:val="single" w:color="000000" w:sz="4" w:space="0"/>
              <w:left w:val="single" w:color="000000" w:sz="4" w:space="0"/>
              <w:bottom w:val="single" w:color="000000" w:sz="4" w:space="0"/>
              <w:right w:val="single" w:color="000000" w:sz="4" w:space="0"/>
            </w:tcBorders>
            <w:vAlign w:val="center"/>
          </w:tcPr>
          <w:p w14:paraId="2463BB36">
            <w:pPr>
              <w:widowControl/>
              <w:jc w:val="righ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3</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50F32E05">
            <w:pPr>
              <w:rPr>
                <w:rFonts w:hint="eastAsia" w:ascii="宋体" w:hAnsi="宋体" w:cs="宋体"/>
                <w:color w:val="000000" w:themeColor="text1"/>
                <w:szCs w:val="21"/>
                <w:highlight w:val="none"/>
                <w14:textFill>
                  <w14:solidFill>
                    <w14:schemeClr w14:val="tx1"/>
                  </w14:solidFill>
                </w14:textFill>
              </w:rPr>
            </w:pPr>
          </w:p>
        </w:tc>
      </w:tr>
      <w:tr w14:paraId="25702B02">
        <w:tblPrEx>
          <w:tblCellMar>
            <w:top w:w="0" w:type="dxa"/>
            <w:left w:w="108" w:type="dxa"/>
            <w:bottom w:w="0" w:type="dxa"/>
            <w:right w:w="108" w:type="dxa"/>
          </w:tblCellMar>
        </w:tblPrEx>
        <w:trPr>
          <w:trHeight w:val="208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28C309DF">
            <w:pPr>
              <w:widowControl/>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3</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52CB362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药学院2026年智慧课程建设服务项目</w:t>
            </w:r>
          </w:p>
        </w:tc>
        <w:tc>
          <w:tcPr>
            <w:tcW w:w="5405" w:type="dxa"/>
            <w:tcBorders>
              <w:top w:val="single" w:color="000000" w:sz="4" w:space="0"/>
              <w:left w:val="single" w:color="000000" w:sz="4" w:space="0"/>
              <w:bottom w:val="single" w:color="000000" w:sz="4" w:space="0"/>
              <w:right w:val="single" w:color="000000" w:sz="4" w:space="0"/>
            </w:tcBorders>
            <w:vAlign w:val="center"/>
          </w:tcPr>
          <w:p w14:paraId="18899777">
            <w:pPr>
              <w:widowControl/>
              <w:numPr>
                <w:ilvl w:val="0"/>
                <w:numId w:val="11"/>
              </w:numPr>
              <w:jc w:val="left"/>
              <w:textAlignment w:val="center"/>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面向全校提供AI教学平台服务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1.1AI课程模型建设服务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1.1.1知识模型建设服务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1)支持新建课程知识图谱；支持通过表格方式进行知识点导入，根据模板填写完成后点击上传；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2)支持通过本地教材或知识库教材通过人工智能对教材进行碎片化处理及知识点归纳总结，直接生成课程知识图谱；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3)支持基于课程资源，通过人工智能对资源进行碎片化处理及知识点归纳总结，直接生成课程知识图谱，极大地提升教学资源的可视化和结构化程度；支持课程资源更新的同时知识图谱自动更新；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4)支持直接新建专业或课程群知识图谱，也支持通过关联其他已建设的课程知识图谱直接建设课程群知识图谱或专业知识图谱；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6)支持知识图谱自定义视图，通过教师自己拖拽知识点，保存为自定义视图，支持自定义视图中替换视图背景，支持教师统一知识点大小和隐藏根节点；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7)支持自定义视图下，教师自定义节点及其全部子节点的颜色；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8)支持自动生成的知识图谱是可编辑的，教师可以在已生成的知识图谱上进行二次编辑和调整；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9)支持知识图谱查看与编辑页面，首次进入知识图谱默认查看页面；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11)支持选择某节点后，可展开所有下级节点或收起所有下级节点，可调整页面呈现的节点内容和数量；支持根据知识图谱中的知识点层级快捷设置展开层级；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14)支持通过人工智能生成知识点说明，支持人工编辑，至少支持添加图片、表格、代码、公式块、行内公式；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15)支持图谱下载，可按节点层级导出excel文件；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17)支持自定义设置知识点属性：在知识图谱中，允许教师自定义设置知识点的难度系数、知识分类和认知维度等属性；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18)支持从预览模式进入在线编辑模式。支持一位用户在线编辑图谱，不支持多账号同时编辑，图谱显示当前编辑账号头像和姓名；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19)支持知识图谱树状结构、网状结构、环状结构、自定义结构进行编辑；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20)支持知识图谱查看时可进行放大缩小，可以查看知识图谱全景；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21)支持添加多个根节点；支持选择某节点后，可添加同级节点；支持删除知识点，支持知识点跨课程关联；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22)支持选择某节点后，可添加子节点，至少添加十级子节点；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23)导入模板至少包含：节点名称、知识说明、知识分类、认知维度、难度系数、节点关系；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24)支持知识点与课程资源进行关联，支持知识点关联本地资源、知识库资源等，支持“图文”“视频”“讨论”等学习单元，支持对学习单元进行检索；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25)支持已关联的课程资源，可查看此资源的详情内容；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26)支持知识点与课程习题进行关联，可关联课程资源下已建设的资源习题，点击可查看习题详情及答案解析；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27)支持编辑知识点详情，可自定义设置节点名称、知识说明、知识分类、认知维度、难度系数、节点关系；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28)支持知识点添加思政设计，包含思政元素和设计方式；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29)支持根据节点关系生成知识点学习路径；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▲30)支持已经建设的知识图谱发布到教学班中；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31)支持教师可以选择是否开放给学生，选择开放给学生，学生在自己的教学班中就可以查看到对应的知识图谱；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32)支持教师选择是否将发布的教学内容通过人工智能自动匹配知识图谱中的知识点；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33)支持教师查看单个知识点的学习情况，包括：该节点关联课程资源和习题的情况：总数和已发布数量；已完成、进行中、未完成的学生比例；学生的平均掌握度。支持统计单个知识点下每个学生的完成度和掌握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34)支持教师查看班级平均掌握度，按照比例区间展示整个班级的学习进度和平均掌握度，同时给出建议关注知识点。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1.1.2能力模型建设服务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1)支持建设能力模型，包括能力点名称、能力标签、能力描述、关联知识点、对应学习内容，能力标签支持自定义；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3)支持展示单个能力点的标签、能力描述、关联知识点和知识点学习内容；支持跳转到关联的知识点详情界面；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4)支持展示能力点下知识点关联关系；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5)支持通过模板导入能力模型，支持能力模型导出表格；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6)支持能力图谱至少包含树状视图、思维导图、自定义视图；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7)支持自定义视图设置卡片或文字样式，支持设置文字颜色、文字字号，支持设置背景图，支持一键还原系统设置。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1.1.3问答模型建设服务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1)支持建设问题模型，包括问题类型、问题描述、答案描述、关联知识点、对应学习内容；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2)支持跳转到各个问题下关联的知识点详情界面；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3)支持教师将问答反馈意见纳入答案库，进行修改编辑。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1.1.4素质模型建设服务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1)支持手动新建或选择现有模板新建素质图谱；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2)支持建设素质图谱，包括素质点名称、素质描述、关联知识点、对应学习内容；支持跳转到各个素质点下关联的知识点详情界面；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3)支持通过模板导入素质图谱，支持素质图谱导出；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4)支持素质图谱包含不同展现样式。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1.1.5自定义模型建设服务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1)支持建设自定义模型，设置模型名称，设置模型展示方式至少包括：网状、环状、树状、圆环、框架、素质树、思维导图形式。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2)支持通过模板导入自定义图谱，支持自定义图谱导出；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3)支持设置节点名称、标签、自定义节点分类、节点描述以及关联的知识点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1.1.6增强模型建设服务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1.1.6.1课程图片库建设服务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1)支持建设课程图片库，支持对图片进行分类，支持自定义分类；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2)支持对图片进行知识点标记；支持对图片添加文字说明；支持标记图片来源。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1.1.6.2课程公式库建设服务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1)支持建设课程公式库，支持对公式类型进行分类管理，支持自定义分类；同时需对公式进行知识点标记；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2)支持对公式添加文字说明，支持添加公式块或行内公式；支持标记公式来源。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1.1.6.3课程表格库建设服务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1)支持建设课程表格库，支持对表格进行标签分类，支持自定义分类；同时需对表格进行知识点标记；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2)支持表格内上传图片或添加公式，支持对表格添加文字说明；支持标记表格来源。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1.1.6.4课程代码库建设服务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1)支持建设课程代码库，保留代码格式，支持对代码进行分类，同时需对代码进行知识点标记；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2)支持对代码添加代码注释，支持对代码添加流程图或实现效果图；支持标记代码来源。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1.1.6.5课程视频库建设服务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1)支持建设课程视频库，支持对视频进行分类管理，支持对整个视频进行知识点标记；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2)支持对课堂回放视频自动添加课堂回顾标签，支持自定义分类标签；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3)通过人工智能，支持根据视频内容进行分段归纳总结，形成知识导引，同时文字与视频进度一一对应，点击可以进行快速定位；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4)支持对形成的导引进行分类管理，支持对同一视频中的不同导引进行知识点标记；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5)通过人工智能形成课程讲稿，按照时间轴排序，点击讲稿同时对应跳转到视频指定位置；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6)支持修改人工智能生成的视频导引和讲稿。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1.1.6.6课程习题库建设服务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1)支持建设课程习题库，支持对习题进行分类，支持自定义分类标签，同时需对习题进行知识点标记；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2)支持题型至少包括单选题、多选题、判断题、投票题、填空题、主观题等，支持添加答案解析，支持设置习题难度系数；支持编辑、移动、删除题库习题；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3)添加习题支持对题干及选项字体格式进行修改，支持多图上传，支持插入公式，支持编辑包括Python、Java、C++、Php、Vb、ActionScript3等的不少于20门常用代码语言，支持插入音频及附件文件；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4)支持选择是否将题目设为自测题，学生在学习相应知识点内容时可进行习题自测。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1.1.6.7课程专有名词库建设服务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1)支持通过人工智能匹配课程专业或学科属性，自动生成专有名词库，支持对专有名词增加图片或文字解释说明。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1.2AI个性化指令建设服务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1)支持根据课程专业或学科属性，建设课程个性化指令库。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1.3智能体建设服务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1)根据课程专业或学科属性，建设课程个性化智能体。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1.4AI课程数字人建设服务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1)数字人形象根据教师形象进行定制化制作；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2)数字人形象需具备高逼真度，面部表情、动作自然流畅，无明显违和感；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3)支持调整数字人的动作，可选取部分数字人的训练素材对应生成有动作或没有动作的数字人视频；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4)支持实时语音识别与语音合成，实现数字人语音交互功能；至少支持中文、英文两种语言切换；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5)生成数字人语音播报时，支持设置讲稿的语速；设置专有文字内容连读；支持插入停顿，可设置停顿的时间；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6)支持通过上传教师录制的音频来直接生成数字人视频，并实现对口型播报；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7)根据教师提供的课程大纲，进行数字人AI课程内容的设计与制作；根据课程内容需要建设包括但不限于课件、习题、互动环节等；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8)支持将数字人与其讲解的课件内容合成新的课程讲解视频，并支持选择是否显示字幕、数字人讲解倍速、设置视频背景色、数字人的显示比例等。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1.5AI教学应用场景建设服务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1)需支持知识库管理功能，支持上传pdf格式的教学资源，上传的资源可进行切片处理，同时需提供开关控制功能，教师能够决定每个文档是否启用切片解析功能，支持上传失败的文件重试解析；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2)支持按照电子教材、讲义课件、相关论文、习题试卷、往年作业、相关案例、其他资料等分类上传资源；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3)支持上传视频、音频、文档（包括PPT、PDF、DOC、TXT、PNG等）等教学资源；视频支持上传MP4、MKV、MOV、AVI、WMV等通用格式视频，上传后自动转码，支持在线预览；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4)支持自定义文件分类，支持二级文件分类，支持删除、移动与重命名文件分类；支持每一个分类下可以查看已处理的资源数量、上传资源数量、最近更新时间；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5)支持知识库查看文件数量、图片提取数量、音视频时长、解析字符总数；支持查看总体知识切片数量，公式数量、图片数量、表格数量；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6)支持上传的资源可以查看文件名称、处理状态、字符数、文件大小、上传时间；支持上传的资源可以选择是否启用；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7)支持对上传的资源进行删除、重命名和移动所在分类；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8)支持关联已有的课程资源，包括已建设的课程资源和教学班发布的教学内容；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9)支持教师从个人云盘中一键导入教学资源，支持批量选择一个或多个文件导入知识库中。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1.5.2智能学伴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1)基于课程模型进行知识答疑，满足学生在任何时间的学习需求，无论是基础知识还是拓展知识，学生随时都可以向系统提问，获得及时的解答；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2)支持智能学伴的个性化配置，包括学伴名称、头像、性格特点、说话风格等角色特点；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3)支持教师设置智能学伴开场白，方便学生能快速理解学伴功能；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4)支持教师设置智能学伴推荐问题，方便学生快速选择常见问题；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5)支持教师端进行智能学伴问答，支持教师根据智能学伴回答的问题进行反馈，持续优化智能学伴回答问题的准确度；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6)支持教师填写智能学伴回答反馈意见，至少包括具体问题及正确回答，同时支持设置是否将反馈回答加入答案库，用于后续相同问题的答案；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7)支持教师提交反馈意见后进行修改，修改后可再次提交，支持教师删除反馈意见；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8)支持开展多个会话，保留历史会话，同时也可进行历史会话删除；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9)支持学生发送语音与智能学伴对话；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10)支持学生与智能学伴对话上传文件(至少10个，每个文件大小不低于 15MB)，支持 pdf、doc、docx、xlsx、ppt、txt、md、csv、py、图片等；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11)支持智能学伴语音回答问题，支持教师设置语音播报音色，系统内置音色或定制专属音色；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▲12)支持教师设置智能学伴虚拟形象，支持动画虚拟形象或定制专属形象；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13)支持在智能学伴中进行指令管理，包括移动或删除指令，创建新的指令分组；支持拖拽调整指令顺序；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14)支持AI绘图，通过描述生成图片；支持代码绘图，通过Python代码绘制曲线；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15)支持联网检索，支持回答问题的同时联网检索资源进行补充回答；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16)支持图片检索，在图片检索中，根据学伴提问，精准匹配图片；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17)支持多轮对话，有上下文记忆功能，用于测试知识点学习、问卷调查、医患问诊等场景，根据学生问题或选择进行持续对话；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18)支持智能学伴回答完毕后，给用户展示至少3个推荐问题，让用户能够继续提问。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19)支持智能学伴回答完毕后，展示增强模型的知识碎片。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1.5.3智能批改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1)至少内置两个智能批改评分标准，包括评分项目、详细指标、指标权重；支持教师将系统内置模板复制到教师本人的批改规则下并调整修改；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2)需支持智能批改，支持教师设置多个批改规则，包含评分项目，详细指标，指标权重从而计算出评价分数，同时支持是否开启智能点评，教师可设置点评方向和点评风格；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3)支持教师设置智能批改评分标准后进行测试，包括设置分值、题目、参考答案或通过人工智能生成参考答案、最后填写作答内容进行批改测试，通过智能批改的测试查看是否需要调整评分标准；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4)支持教师可以通过批改测试选择不同的批改规则进行调试智能批改效果；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5)支持教师发布主观题到教学班，支持教师进入教学班中选择是否进行智能批改，包括选择智能批改的评分标准、是为当前学生进行智能批改或全班学生进行批改；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6)支持教师选择批注的身份，包括智能批注助手或当前教师本人；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7)支持教师选择智能批改完成后是否需要经过教师审核，如不需审核，将直接生成批注和评语发送给学生，学生分数仅供参考，实际分数需要教师手动打分；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选择不同的智能批改规则，对学生的作业进行在线智能批改，生成评分与评语；支持选中部分的作业文本逐条展示对应的AI详细批注、改进建议等，支持根据教师设定的智能批改规则显示每项细则的详细评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9)支持教师对智能批改不满意后选择重新批改；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10)支持保留教师多次批改记录，教师可查看历史批改效果；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11)支持AI课程组教师使用自己的智能批改规则或将规则共享到课程组，支持教师查看全部智能批改规则、分别查看我的和其他教师共享的规则，支持查看每个智能批改规则的创建人和最近编辑人；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12)新建批改规则，支持至少建设文章批改、通用批改、编程批改三类规则，根据批改分类不同，使其更适用于当前批改场景；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13)编程类型批改至少支持5种常见编程语言，包括但不限于Python、JavaScript、C、C++、Java；支持教师自定义编辑编程批改规则，包括评分项目、详细指标、权重；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14)支持教师编辑大模型的输出要求，调试智能批改规则效果的时候，支持预览实际给到大模型的提示词，支持查看大模型返回的未经处理的原格式内容，以便于教师修改智能批改规则；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15)支持对学生上传的pdf、word、图片文件进行智能批改；支持批量下载教师智能批改后带批注的文件，展示按照智能批改规则批改的详细批注、改进建议等。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1.5.4智能备课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1)支持教师在网页端进行在线文档备课，支持创建多个在线文档，在线文档自动保存，支持插入图片、代码、链接、表格等多种格式内容；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2)支持教师查看在线文档大纲；支持向备课助手发送文字和图片、文件（包括pdf、doc、docx、xlsx、ppt、txt、md、csv、py等）；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3)支持备课助手将生成的内容一键插入到在线文档中，无需复制粘贴；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4)支持教师填写备课助手反馈意见，包括不满意的原因、具体描述或更好的回答；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5)支持教师查看与备课助手的历史对话或开展新对话；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6)支持智能备课助手生成在线文档后，支持导出为本地word文档；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7)支持教师将在线备课文档编辑完成后，直接发布到教学班；支持教师设置发布时间、是否计入考核、考核截止时间、是否允许评论、是否微信消息提醒；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需支持在PPT插件中，根据选中文字，AI生成案例，生成的案例可以一键插入PPT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需支持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需支持在PPT插件中，选中需要翻译的文字翻译，同时翻译后的内容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11)支持在PPT插件中选择AI课程建设的增强模型的知识片段资源，支持按照课程和知识点进行筛选，支持预览图文结合的知识点片段并一键插入到PPT中；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▲12)支持在PPT插件中选择AI课程建设的增强模型中的视频资源，，支持按照课程和知识点进行筛选，支持预览视频并一键插入到PPT中；</w:t>
            </w:r>
            <w:r>
              <w:rPr>
                <w:rFonts w:hint="eastAsia" w:ascii="宋体" w:hAnsi="宋体" w:cs="宋体"/>
                <w:b/>
                <w:bCs/>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13)支持在PPT插件中选择AI课程建设的增强模型的题目资源，支持按照课程和知识点进行筛选，支持预览题目内容和答案解析并一键插入到PPT中，支持放映PPT时，将题目发送给学生进行作答。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14)支持在PPT插件中选择AI课程建设的增强模型中的论文资源，支持按照课程和知识点进行筛选，支持预览论文片段并一键插入到PPT中；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在PPT插件中选择出题规则，支持根据知识点进行出题，或根据自定义要求进行出题，至少包括设置题型、设置题目数量、设置题目难度、设置知识点，设置多个出题要求，AI生成的题目教师可以选择插入题库或直接插入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1)支持在教师备课时，在PPT中插入课堂AI互动设计，包括在固定PPT页面加入召唤智能体，设置在放映PPT中需要召唤可对话的智能体；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2)支持在教师备课时，在PPT中插入课堂AI互动设计，包括在固定PPT页面加入发送智能体，设置在放映PPT中需要发送预置智能体给学生，学生进行对话；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3)支持在教师备课时，在PPT中插入课堂AI互动设计，包括在固定PPT页面加入智能汇报，包括设置汇报的主题，汇报的时长、智能点评的规则。</w:t>
            </w:r>
          </w:p>
          <w:p w14:paraId="237065E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1.5.5智能课堂助手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1)支持在授课过程中，通过PPT唤起智能课堂助手，支持语音控制唤起智能课堂助手；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2)支持通过智能课堂助手进行AI对话，支持语音对话，支持将智能课堂助手生成的内容直接发送给学生；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3)支持教师设置智能课堂助手常用指令，可以快速通过调用指令进行快捷提问；支持教师在课堂中快速调起智能体进行对话；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4)支持通过语音控制智能课堂助手开启弹幕和随机点名，支持语音控制关闭弹幕和停止随机点名；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5)授课放映PPT过程中，支持截图PPT部分内容与智能课堂助手互动，实现知识讲解、自由对话等能力，教师可将智能课堂助手的回答内容一键发送给学生；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7)支持教师实时查看所有发布的AI对话任务的发布时间、累计用时、启动人数、未开始人数；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8)支持智能课堂助手实时记录教师授课内容；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9)支持课上实时显示教师讲稿内容，供学生课上回顾；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10)支持教师课上发起分组讨论活动，支持系统自动分组和学生自由分组；学生分组讨论完成后AI自动总结分组讨论的内容，并分析分组讨论中的学生参与情况，包括分析积极发言的学生、有效参与讨论的学生；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支持在管理后台设置点评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12)支持查看已汇报的学生列表，包括汇报人姓名、用时、AI点评内容；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14)支持导出AI生成的课堂思维导图；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15)支持教师编辑AI生成的讲稿；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16)支持教师在后台配置智能课堂助手相关信息，内置至少3种角色可供切换选择，同时支持教师自定义配置，包括角色形象、性别、回答语言、输出声音音频、人物特点、回答风格等，支持预览查看配置效果；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智能课堂助手支持至少15种回答语言切换，包括但不限于中文、英文、粤语、日语、印尼语、马来语等，支持在课堂授课过程中，教师可以通过多语言与智能课堂助手进行语音对话，至少包含中文、英文、中英文混合、粤语、日语五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18)支持设置智能课堂助手截图与AI对话的快捷指令，如知识点讲解、案例生成、讨论话题生成等；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19)支持对授课过程中发送给学生的题目进行作答情况和结果分析，包括作答人次、正确/错误人次、选项作答情况等，分析每个选项以及整个题目的错误原因，帮助教师提供教学改进建议。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1.5.6智能出题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1)支持根据知识点出题，教师可设置知识点、难度系数、题目数量、题目类型和具体出题要求，支持设置多个出题要求；</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2)支持手动输入或筛选已有的知识点进行出题；支持选择多个知识点进行出题；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3)支持教师设置至少包含判断题、填空题、主观题、单选题、多选题。其中单选题和多选题支持设置选项数量；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4)支持生成的题目至少包含题干、答案、解析；支持生成的每个题目直接加入教师题库；支持将当前生成的题目批量加入题库；支持一键前往教师题库；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5)支持将AI生成的题目加入教师题库时，可以选择关联知识点；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6)支持生成的题目可直接进行编辑，包括题干、选项、答案、解析，可新增选项；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7)支持教师根据AI出的每道题目分别进行意见反馈，支持AI根据教师反馈意见进行持续优化，支持查看历史出题记录；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8)支持教师自定义出题要求和模板，支持教师设置多个出题模板；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9)支持根据视频内容，智能出题，同时将题目一键插入到对应的知识点，同时支持教师修改题干、选项、答案、解析；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10)教师可设置学生答对题目才能继续观看视频，学生观看视频时，根据教师的设置答题后可继续观看视频；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11)支持AI根据课件内容，智能出题，AI可推荐各题目插入的课件位置，支持将单个题目和所有题目一键插入到对应课件位置，支持教师在课件中修改题干、选项、答案、解析。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1.5.7智能资源推荐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1)支持根据学生提问的知识点或者材料要求，智能进行资源推荐；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2)支持资源智能推荐时，可推荐清华大学等双一流高校以及国外的优质的MOOC视频，免费内置不少于5000门完整慕课课程视频、200000条视频文件，每条视频时长5-15分钟；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3)支持联网检索相关学习资源，包括视频、论文等；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4)支持教师设置知识库中的资源是否被推荐，包含关联资源、电子教材、讲义课件、相关论文、相关案例或其他资料；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5)支持教师设置资源推荐开放的应用，开放后，学生在使用时可以进行资源推荐；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6)支持教师可在工作台进行资源推荐与检索，方便教师进行备课资源收集；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7)支持教师设置指定网站进行资源检索和推荐；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8)支持资源检索和推荐中通过教师的历史搜索，推荐联想的搜索，方便教师进行快速定位；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9)支持结果按照视频、论文、教材、案例、论坛进行分类筛选；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10)支持智能分析检索的问题，整理搜索结果，生成智能回答。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1.5.8.1自定义智能体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1)支持创建角色扮演类型智能体；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2)支持设置智能体基本信息，包含智能体标题、自定义智能体头像、添加智能体说明；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3)支持设置智能体使用场景，包括对话场景、场景描述。AI角色、使用者角色及AI人设信息；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4)支持设置不同智能体的语音输入和语音输出，支持设置输出语言，至少支持中文和英文，支持设置输出语言的音色并支持试听；</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5)支持为每个智能体单独配置基座大模型；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根据智能体设置的个性化需求，设置智能体对话框的颜色效果，如红色、蓝色、绿色等；支持选择不同的背景图样式，支持自定义上传背景图并调整显示位置；支持智能体对话框颜色和背景图设置效果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7)支持智能体对话设置，支持设置开场白；设置智能体推荐问题，推荐问题可以直接进行交互；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8)支持单独设置智能体的专属知识库，加强智能体的角色信息和角色资料；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9)支持设置智能体对话结束判断，使用者触发结束判断后，自动结束对话，支持设置多个对话结束判断，支持拖拽调整结束判断；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10)支持智能体对话评价设置，支持添加多个考核项并设置各考核项分值，支持设置评价内容的输出格式，智能体将在对话结束后按照评价格式和考核项进行评价；</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11)支持智能体效果测试，教师可以通过配置的过程直接进行测试；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12)支持设置智能体共享到AI课程，支持将智能体发布到教学班，学生在教学班与智能体进行对话；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13)支持教师分享智能体的链接，允许校内学生或校外用户通过链接使用该智能体；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14)支持设置智能体权限，支持智能体共享到课程中时，可以选择共享人员及共享权限，包括可编辑、可管理、可调试；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15)支持设置智能体分组，支持设置自定义分组；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1.5.8.2第三方智能体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将设置好的第三方智能体添加进AI课程，支持教师在AI课程中自定义该第三方智能体的头像、名称、显示logo；支持语音输入和语音输出；支持将第三方智能体发布到教学班，师生可在各场景中使用第三方智能体并记录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1.5.8.3AI讨论智能体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讨论智能体，支持配置智能体专属知识库，设置智能体知识库配置，包括相似度，召回碎片数量、增强检索方式；配置智能体回复范围至少包括：教师发帖、学生发帖、教师评论及回复、学生评论及回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1.5.8.4AI陪练智能体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设置AI陪练智能体，可设置在学习空间选择AI出题、自测题、混合出题给学生进行陪练；支持设置难度顺序为随机或自测题按难度从低到高出现，低难度题目做对会进入下一难度题目，做错进入同难度题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2)支持AI陪练设置先修知识点校验，自定义作答次数后视为完成；支持设置根据学生学习过程数据进行个性化推荐；支持针对不同的题型设置作答次数和是否显示答案解析；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1.5.8.5AI考官智能体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考官智能体，用于学生知识点测评和输出评价报告，包括设置智能体头像、开场白，至少支持中英文两种语言切换，支持配置智能体专属知识库，设置智能体知识库配置，包括相似度，召回碎片数量、增强检索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2)支持自行选择知识点进行练习，支持多次会话练习，完成答题后，自动生成总结报告，包括作答题目数、正确率，不同难度等级题目正确率，薄弱点、优势及学习建议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 “自测题与 AI 出题混合模式”，且策略优先级配置为 “自测题优先”；同时需支持 “只使用自测题”“只使用 AI 出题” 两种备选策略。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4)至少支持两种级别知识点推题，支持按 3 级知识点进行精细化推题或按 2 级知识点推题。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5)至少具备两种自适应难度升级机制，答对题目后自动升级难度直至答错；或保持难度不变至所有题目做完。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6)至少具备两种自适应难度降级机制，答错题目后自动降低难度直至答对；或保持难度不变至所有题目做完。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7)支持教师按照学生下载答题数据，包括课程下多个班级的学生答题数据，每个学生的最后答题时间、知识点、题目数量及其正确率。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1.5.9AI作业</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1)支持在作业中设置作业要求，配置智能体，学生通过与智能体对话进行作业作答，通过智能体评价作为AI作业得分；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学生在AI作业作答中，查看智能体场景信息，包括智能体角色，学生本次作业角色，支持学生多次与智能体进行对话和上传附件，支持提交智能体对话的内容作为作业作答，提交后智能体进行评价，显示本次作业得分，对话轮次，并根据智能体评价方向进行点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1.5.10教学工具箱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3)支持课程建设教学工具箱，且提供多种教学工具，至少包括基础医学、预防医学、临床医学、药学、护理学养老服务管理、智能医学工程专业的相关的HTLM课件；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4)支持教师上传自己的教学工具，可共享到AI课程中，供教师团队使用。支持设置工具头像、工具名称、工具介绍、上传HTML文件。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1.5.11教学运行数据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1.5.11.1知识图谱数据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1)支持查看知识图谱建设与发布情况，包含自测习题数量、自测题知识点覆盖率、学习单元数量、学习单元知识点覆盖率；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2)支持查看知识图谱资源发布与未发布对比图，包括视频、图文、讨论、作业、考试、课件、自测题；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3)支持查看知识图谱中总知识点数量、发布内容的知识点数量、学生学习知识点数量漏斗图；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4)支持查看本周学习人数及对比上周学习人数上升下降百分比；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5)支持查看本周学习知识点数及对比上周学习知识点数量上升下降百分比；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6)支持查看班级知识点完成概况，已完成占比、未开始占比、进行中占比；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7)支持查看完成知识点的学习类型分布，将按照学习单元的类型分别统计每个类型的占比；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8)支持查看知识点完成情况分析，按照100%、80%、60%、0%进行筛选；同时不同百分比通过不同颜色标识；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9)支持查看学生未开始的知识点；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按照知识点查看学生的掌握度、对应的教学内容、未开始学生人数、进行中学生人数、已完成学生人数、完成率、自测题数量、未作答学生人数、已作答学生人数、自测题完成率、自测题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11)支持按照学生查看学生姓名、学号、知识点掌握率、知识点学习内容未开始数量、进行中数量、完成数量、知识点完成率、自测题作答情况、正确数量、正确率；支持导出表格；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12)支持统一导出每个学生在每个知识点下的完成率、习题正确率、掌握率明细数据。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1.5.11.2AI使用数据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智能学伴使用明细数据，包括提问者姓名、教学班名称、问答内容、提问入口、提问时间；支持按照时间周期、班级学期、班级名称、提问角色、问题属性、反馈情况进行筛选；支持按照提问者姓名或提问内容进行搜索；支持导出智能学伴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1)支持以学生维度汇总查看智能学伴使用详情，包括学生姓名、学号、所在班级名称、学伴提问次数、使用时长，支持以学生维度查看学伴互动明细；支持导出以学生维度汇总的数据；支持删除学生提问数据。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智能体使用明细数据，包括提问者姓名、班级名称、问答内容、提问入口、提问时间；支持按照时间周期、班级学期、班级名称、提问角色、智能体标题进行筛选；支持按照提问者姓名或提问内容进行搜索；支持导出智能体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3)支持查看智能备课助手明细数据，包括教师姓名、问答内容、提问入口、提问时间；支持按照时间周期筛选；支持按照教师姓名或问答内容进行检索；支持导出智能备课助手使用明细；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教师在课堂授课过程中和智能课堂助手的问答明细，包括授课教师姓名、班级名称、课堂名称、问答内容、课堂提问时间；支持按照时间周期、班级学期、班级名称进行筛选；支持按照课堂名称、授课教师姓名或问答内容进行检索；支持导出智能课堂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AI应用使用数据的统一查看管理界面，支持切换查看各AI应用的使用数据明细记录，包括智能学伴、智能备课助手、智能课堂助手、智能体、知识图谱等，支持按照使用时间、班级、互动者姓名、互动关键词等维度进行筛选或搜索，支持查看每条记录的AI互动详情；</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6)支持智能学伴应用洞察，包括按照班级所属学期、教学班名称进行筛选；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7)支持查看智能学伴师生使用概况，包括使用总次数、覆盖班级数、教师数、使用学生数、选课学生数、学生使用率、学生使用次数、学生平均使用次数、学生使用时长、学生平均使用时长等数据；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8)支持查看智能学伴高频问题，可按照问题类型进行筛选，支持查看不同问题类型的提问次数与百分比；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9)支持指令分析，包含指令条数、学生使用指令条数、指令详情、学生使用次数等；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10)支持查看常问教学活动、对应活动提问次数、学生提问入口、占比与次数可视化展示；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11)支持查看智能学伴学生使用趋势，可视化展示使用日期、提问次数、使用时长等数据信息；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12)支持可视化展示智能学伴学生使用时间统计热力图；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13)支持展示智能学伴学生反馈情况，包括学生使用次数、未反馈、满意、不满意次数与百分比；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14)支持展示智能学伴学生使用排名，包括学生姓名、所属学院、行政班、提问次数、使用时长等信息；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15)支持统一导出每个学生的学习过程数据，包括日常学习数据与AI使用数据。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1.5.11.3AI教学分析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1)支持AI分析教学数据，支持快捷展示需教师关注的重点学生，包括缺勤学生、薄弱学生、进度滞后学生等；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2)支持AI快捷分析课程进展，给出动态教学建议；支持教师快捷前往班级教学活动详情界面；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3)支持教师与AI教学分析助手对话，为教师提供教学优化建议；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4)支持AI根据教师能力图谱与班级学习内容，自动生成学生能力评估模型，根据各能力的权重、评估方式、关联的知识点、关联的学习内容数量与占比，AI自动生成教学改进建议；支持统计班级能力整体达成度；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5)支持教师快捷查看班级教学明细，包括学习单元的发布情况、学生完成情况统计与详情查看；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6)支持统计各个能力的达成度并以雷达图展示，支持AI自动生成教学实施分析建议；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7)支持统计综合能力的发展趋势，AI自动生成每周对比分析；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8)支持AI生成单项能力的分析，包括各项能力的达成度、权重与计算方式，支持AI自动生成单项能力达成度的每周变化趋势与对比分析；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9)支持散点图形式可视化展示学生能力分布，AI自动生成学生表现及建议，支持统计学生能力排名。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10)支持教师手动修改评估模型，包括评估能力权重、评估方式及其占比，新增评估方式，评估方式关联的学习内容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1.5.11.4学生画像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1)支持查看学生综合画像，支持统计班级活跃学生数量与占比、使用AI学生数量与占比、人均使用AI次数、参与学习活动学生数量与占比、人均完成学习活动个数及完成率等数据；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2)支持以雷达图形式统计班级学生整体和学生个人的学习表现情况，包括AI使用情况、学习成绩、能力发展、教学互动、学习完成进度等学习表现，AI根据学习表现情况进行分析与建议；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3)支持以散点图或柱状图形式查看学生成绩分布、学习活动完成率分布、使用AI次数分布情况；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4)支持AI统计分析学生AI使用情况与成绩的关联关系，支持AI分析热门知识点与薄弱知识点，辅助教师调整教学策略；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5)支持按时间查看活跃学生数量的变化趋势，包括使用AI人数、参与学习活动人数；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6)新增学生学情预警独立展示页面，承载学生综合预警、分项预警全维度数据与配置功能；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7)支持展示学生学情预警，至少将学生分为三类：表现突出、表现中等、重点关注学生，支持查看学生人数和占比。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8)支持至少按照成绩、考勤、学习进度、学习互动、习题检测、AI互动六种类型查看需重点关注学生和表现突出学生。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9)支持学生综合预警指标自定义配置，可设置各分项指标的数值范围（可界定指标判定标准）；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预警标签配置项与学生画像标签联动，配置结果同步管控学生学情预警页面、学生综合画像、学生个人画像的标签展示：未勾选的预警分项指标，在所有画像标签中同步隐藏，且画像标签与预警页面共用同一套指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11)支持向学生发送预警提醒，支持设置自动提醒，教师手动选择学生进行消息提醒，支持系统每月初自动根据不同类型需重点关注的学生发送消息提醒。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12)支持展示需教师重点关注学生列表，包括未使用过AI、成绩落后、频繁缺勤的学生等，支持查看需重点关注学生的所有学习记录及个人画像；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14)支持按学期、班级、学习标签、学生姓名、学号筛选或搜索相应学生的学习数据记录，支持按照筛选或搜索结果导出相应数据；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15)支持查看学生个人画像，包括学生姓名、学号、班级、学院、入学年份、学习标签、班级成绩排名、整体学习表现、学习数据、AI使用情况统计与分析、学习动态、知识点完成情况、学习趋势等；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16)支持查看单个学生与AI互动情况的统计分析，包括AI使用次数、AI使用时长、与AI互动的高频词汇等，支持查看该学生的所有AI互动明细记录；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17)支持查看单个学生的学习动态，包括作业、视频、讨论等学习活动的完成和未完成情况及完成率；支持按时间查看该学生的学习趋势，包括使用AI次数和和完成学习活动次数。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1.5.12指令库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1)需支持指令库管理，教师可以设置多种指令卡片，同时支持设置指令分组，可以支持添加分组和管理分组，拖动不同分组位置，筛选查看不同分组的指令；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2)支持教师自定义创建指令，包括指令标题、详细指令内容和短指令，学生端仅展示短指令；支持调试指令效果时查看短指令展示效果；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3)支持指令创建的同时可以进行指令测试方便教师调整指令效果；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4)支持教师设置指令的应用场景，设置后仅在该场景可查看指令，其他场景无法查看该指令；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5)支持设置特殊指令，包含AI绘图、代码绘图、联网检索、图片检索；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1.6AI课程管理建设服务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1)需支持将AI能力应用到教学班，在应用时可以浏览不同学期的教学班，根据教师进行教学班筛选，需支持每个AI功能分别应用到不同的教学班，满足教学设计需要；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2)支持教师分享智能学伴和智能体的使用链接或二维码，支持教师设置扫码时自动推送的欢迎语文案，学生通过链接或二维码可访问智能学伴和智能体并进行对话；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3)支持教师在AI工作台查看AI课程列表，搜索和切换AI课程，方便进行课程的快速管理；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4)需支持一门课程通过功能开关控制知识库是否启用；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5)支持教师通过工作台进入AI课程门户展示页面及编辑页面，支持教师复制门户链接进行分享；</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6)支持设置课程评审专家角色，支持专家免登录即可查看课程工作台。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7)支持AI课程语言切换，至少支持中文和英文两种语言。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8)支持AI课程成员管理，支持添加与删除成员、修改成员的角色权限，支持查看所有成员列表；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每门AI课程单独配置课程的成员权限，内置至少3种成员角色权限；支持设置不同角色的角色名称与AI功能权限范围；支持自定义添加角色并配置AI功能权限；AI功能支持设置至少二级菜单的查看、管理及下载权限，包括但不限于课程模型、课程知识库、AI应用、数据中心、成员管理等，并提供权限范围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1.7学生端AI学习空间建设服务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1)支持课程学习语言切换，至少支持中文和英文两种语言。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2)支持教学班中包含智能学伴，学生进入班级中，无需点击学习单元即可与学伴展开对话；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3)支持智能学伴宽屏显示，支持学生通过教学内容，智能分析教学内容对应的知识点，与智能学伴进行互动交流；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4)支持学生在学习空间与教师发布的智能体进行对话，支持语音输入和输出；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5)支持学生根据老师设定好的指令，通过更改提示语进行快速提问；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6)支持学生在预习教师发布的PPT课件和观看课堂回放时，对当前PPT课件内容不懂，可一键将该课件内容反馈至智能学伴，AI将实时针对当前PPT课件页内容进行智能答疑；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7)在教师授课过程中，学生移动端实时查看教师放映完成及正在放映的PPT课件，针对每一页的课件页内容不懂，可一键将当前课件页发送给AI，AI将实时针对当前PPT课件页进行内容解析并智能答疑；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8)支持学生移动端查看课堂总结报告，至少包括课堂数据分析报告、人工智能生成的课堂思维导图、知识导引、教师讲稿；支持搜索讲稿内容；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9)支持在知识图谱中通过知识点关键词搜索，搜索结果高亮显示；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10)支持学生选择知识点，展示该知识点上的学习内容和知识点详情，包括知识说明、知识分类、认知维度、难度系数；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11)支持学生查看知识点目录，点击快速跳转到其他知识点进行学习；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12)支持学生通过点击某一知识点查看知识点学习路径；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13)支持根据学生的学习进度，知识点有不同的展示效果，帮助学生快速对知识点进行定位；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14)支持学生通过知识图谱进行学习，点击知识点进入AI学习空间，同时展示学习内容与智能学伴，方便学生在学习过程中进行知识点互动问答；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15)支持学生在学习空间观看数字人教师进行课件内容讲解；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16)支持学生手机扫码，快速打开移动端进行知识点学习；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17)支持学生观看视频学习内容时，对当前视频播放内容不懂，可一键将当前视频帧发送至AI，AI将实时针对当前视频帧进行内容解析并智能答疑；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18)支持学生查看人工智能通过视频内容生成的知识导引，进行知识点总结归纳，形成知识点标题，方便学生通过导引快速定位视频；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19)支持学生查看人工智能通过视频内容生成的教师讲稿，按时间轴排序，支持通过知识导引快速定位到教师讲稿，支持讲稿快速定位到视频内容；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20)支持学生查看教师在知识点下的相关教材，预览当前教材内容；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21)支持学生在AI学习空间观看教学活动的任务中，无需学生输入问题，根据教师的教学设计，在不同的时间智能体能自动与学生交互，至少包括推送知识点相关资源，自动为学生出题进行知识点自测；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22)支持学生在学习空间中，遇到不懂的内容，可直接划选文字一键唤起智能学伴进行智能答疑；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23)支持学生提交自测练习题、作业和考试后，对当前题目不懂，可一键将该题目反馈至智能学伴，AI将实时针对当前题目进行智能答疑；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24)支持学生选择知识点进行自测题作答练习时，系统可校验是否答过先修知识点，支持跳转至先修知识点进行答题；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学生选择知识点进行自测题作答练习时，支持AI根据当前知识点、当前学生的成绩等学习过程数据进行个性化智能推题，不限制AI推题数量，支持AI随机推题或按照由易到难的顺序推题；支持AI根据当前知识点推荐其他知识点让学生继续进行自测题练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26)支持根据本次学生自测题作答记录输出AI学习报告；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27)支持学生在AI学习空间中通过智能学伴进行资源智能检索，主要为课程相关的网络教学资源，进行课外教学资源补充学习，资源类型包括知乎、视频等多种途径；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28)支持学生查看自己的知识点完成情况，包括所有知识点的完成情况、单个知识点的完成情况、累计学习时长、习题正确率、题目作答数量；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29)支持在班级讨论区中智能答疑，AI自动回复讨论区问题。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30)支持学生课查看学生个人画像，学生个人的学习表现情况，包括AI使用情况、学习成绩、能力发展、教学互动、学习完成进度等学习表现，AI根据学习表现情况进行分析与建议；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31)支持移动端查看知识图谱，查看知识点的完成情况、学习时长、自测题正确率和作答数量，支持查看知识点关联关系。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32)支持AI空间学习小助手，包括电脑端和移动端，支持学生在AI空间与所有AI课程的学伴和智能体进行对话，支持查看或设置课程通知是否屏蔽，支持查看当前课程的学习进度和待办学习内容，一键跳转学习。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1.8AI课程门户设计服务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1.8.1门户管理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1)门户主题色支持配置，支持至少6种主题色选择；</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2)支持设置门户风格布局，支持至少四种布局切换；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3)支持门户展示语言切换，至少支持中文、英文两种模式切换。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4)支持上传学校logo,支持选择logo配置位置；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5)支持设置主图样式，至少包括模型展示及自定义图片；支持背景图片设置显示位置；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6)支持设置课程标签、设置课程教师，至少包括教师姓名和头像，支持设置多个教师；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7)支持设置导航颜色为白色或者根据主题色自动适配；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8)支持导航自定义学校logo和课程英文名称；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9)支持设置导航显示模块，包括课程概述、知识模型、能力模型、问题模型、素质模型、AI应用、资源地图，支持修改模块名称，支持拖拽调整模块顺序；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10)支持门户设置数字人展示，支持自定义数字人位置，支持添加至少两个数字人形象进行展示，支持设置数字人教师语音内容，支持设置是否重复播放；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11)支持门户首页配置至少三个页面导航、支持导航名称进行自定义；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12)支持设置导航结构；支持自定义设置首页背景图；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13)支持将增强知识库进行展示，支持设置来自增强知识库分类，支持配置分类名称、自定义封面、自定义跳转链接；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14)支持展示优质知识片段，支持单个添加、删除和批量管理，支持调整知识片段顺序；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15)支持设置是否展示知识图谱、问题图谱、能力图谱；支持设置展示知识体系结构，至少两种展示样式；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16)支持设置知识图谱展示形式，包括展开层级、视图形式；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17)支持设置热门知识点，知识点来源于知识图谱，通过点击热门知识点可直接进入学习空间；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18)支持设置AI指令分组，支持设置分组名称、分组图片。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19)支持门户快速进入工作台和学习空间。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1.8.2课程概述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1)支持设置课程建设成果展示，至少包含资源地图、课程模型、课程荣誉，支持自定义课程成果展示模块；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2)支持设置课程介绍展示页面，至少包括课程背景、课程定位，支持自定义课程介绍展示模块；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3)支持设置教师团队展示模块，支持自定义教师团队展示模块；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4)支持自定义新的课程展示模块，包括模块分组及详细的模块内容。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1.8.2.1建设成果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1.8.2.1.1资源地图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1)支持展示课程资源地图，包括教材、讲义、论文、习题、作业、试卷、视频等类型资源的数量统计；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2)支持资源地图展示视频时长、知识片段数量、课程资源总字数；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1.8.2.1.2课程模型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1)支持展示课程知识模型、问题模型、能力模型、素质模型金字塔；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2)支持展示能力模型的能力点数量、覆盖知识点；支持展示问题模型的问题数量、问答对数量、覆盖知识点数量；支持展示知识模型的知识点数量、学习资源数量、习题数量；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3)支持课程模型展示页面自定义背景图片，包括背景图片显示位置。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1.8.2.1.3课程荣誉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1)支持课程设置荣誉列表，新增课程荣誉；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2)支持至少三种课程荣誉展示图标，支持设置课程荣誉日期、设置相关描述、支持设置课程荣誉图片，支持点击查看大图；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3)支持课程荣誉展示页面自定义背景图片，包括背景图片显示位置。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1.8.2.2课程介绍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1.8.2.2.1课程背景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1)支持课程背景展示页面自定义背景图片，包括背景图片显示位置；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2)支持设置课程背景布局，至少包含图文布局及是否包含底板边框；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3)支持设置课程背景介绍正文及自定义图片。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1.8.2.2.2课程定位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1)支持课程定位展示页面自定义背景图片，包括背景图片显示位置；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2)支持设置课程定位布局，至少包含图文布局及是否包含底板边框；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3)支持设置课程的先修课程、后修课程及课程定位详细介绍；支持设置多个课程标签。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1.8.2.3教师团队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1)支持教师团队展示页面自定义背景图片，包括背景图片显示位置；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2)支持添加课程教师团队成员，包括教师姓名、头像、院系、职称、介绍。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1.8.3知识模型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3)支持选择某节点后，可展开所有下级节点或收起所有下级节点，可调整页面呈现的节点内容和数量；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7)支持知识图谱查看时可根据进行放大缩小，可以查看知识图谱全景；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8)支持知识点已关联的课程视频资源，可查看此资源的详情内容；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9)支持展示AI学习空间，支持知识点生成二维码，扫码可进入手机端AI学习空间；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10)支持在学习空间中与数字人教师进行互动；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11)支持在学习空间观看数字人教师进行PPT讲解；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12)支持在观看教学活动的任务中，学伴自动推送相关知识点内容、知识点习题、关联知识点；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13)支持在门户展示知识点学习数据，包括每一个知识点的学习视频人次和习题作答人次。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1.8.4能力模型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2)支持展示单个能力点的标签、能力描述、知识点数量、学习内容数量；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3)支持展示能力点详细内容，包括能力点的标签、能力描述、知识点名称、知识点关联学习内容；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4)支持能力模型切换不同展现样式查看。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1.8.5问题模型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1)支持展示问题模型，包括问题类型、问题类型描述、问题类型数量及问题关联关系；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2)支持展示单个问题的问题及对应答案，支持展示与其他问题的关联问题，支持展示问题关联的知识点及对应的学习内容。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1.8.6素质模型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1)支持展示素质模型，包括素质点名称、素质点描述、关联的知识点及对应的学习内容；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2)支持素质模型切换不同展现样式查看。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1.8.7AI应用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1)支持展示AI课程应用中心，设置多个应用使用场景，支持每个场景可以设置分组，支持移动调整分组顺序；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2)支持设置AI应用展示页面布局，至少支持瀑布流及宫格展示形式；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3)支持设置每个使用场景初始化时可以直接选择已有指令作为场景展示案例，同时支持自定义增加展示案例；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4)支持场景案例添加案例标题、简短描述、设置案例分组，同时支持设置案例图标，系统需提供内置图标；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5)支持编辑案例内容，包括插入图片、表格、超链接、代码块、公式。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1.8.8资源地图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1)支持展示资源地图，支持知识点旭日图展示包括资源总数，知识片段数量、视频数量、视频导引数量、视频时长、习题数量、覆盖知识点、知识点覆盖率；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2)支持展示热门知识点，至少展示10个热门知识点；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3)支持资源地图按照热门分类、资源类型进行筛选；支持搜索知识片段；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4)支持每一个知识片段展示知识点名称、资源类型、资源分类、片段详细内容，至少包含正文、图片、视频、公式、表格、代码。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1.8.9智能助理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1)支持智能助理，可通过与智能助理对话了解课程建设的内容及课程答疑；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2)支持编辑智能助理，包括修改智能助理名称、设置智能助理开场白，设置智能助理常见问题；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3)支持智能助理设置问答对，智能助理回答问题优先参考标准答案。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1.9AI课程建设实施服务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1)需辅助教师明确AI课程建设目标，根据教师反馈，梳理建课思路；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2)需辅助教师课程素材收集整理，提供教师各种素材的具体格式及注意事项，教师可根据要求上传课程资料；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3)可根据教师提供的相关素材建立课程知识库，基于课程知识库进行增强检索生成、垂直调优；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4)支持提供AI工作台，通过问答评测开展模型评估和调优，优化提示词及提升回复质量，同时后台完整记录反馈数据，持续更新迭代；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5)需记录老师教学过程中的问题，根据问题进一步完善增强模型；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6)需输出AI课程学期使用报告；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7)辅助教师建设AI课程示范案例，进行宣传推广。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1.10系统对接服务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 为方便校内学生进行AI课程学习，需要对接学校统一身份认证系统/教务系统，师生必须将校内工号/学号与平台账号相关联，以确认师生身份；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 需要对接教务系统，并将已确认的开选课信息一次性导入AI课程，并进行定期维护和更新，以保证学生的选课信息准确无误；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 导入的课程会在平台展示页面中有独特标识，并且导入的课程可在数据中心中查看多维度数据统计结果；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 为学习者提供优质的云端网络环境。</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二、面向不同课程个性服务：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明确智慧课程建设目标：沟通需求，深入了解授课教师在教学中的需求痛点及学科和课程特点；目标确立，结合学科定位与课程特点，清晰界定人工智能赋能教育教学的课程升级目标、学科建设整体目标，完成整体建设框架设计；服务配置，根据授课教师反馈，梳理课程建设及学科建设思路，根据教师需求确定后续服务模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2.课程素材收集整理：提供各种素材的具体格式及注意事项；教师根据要求上传课程资料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3建立课程增强模型：根据教师提供的相关素材建立课程知识库；根据课程类型或学科特点建设包括但不限于图片库、公式库、表格库、视频库等类型增强知识库。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4数字人构建：每门课程定制一位教师数字人形象，用于知识点讲解，为学生提供不超过60个精选知识点进行讲解。整个讲解系列将控制在200分钟以内，确保内容精炼且高效。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5个性指令构建：根据课程专业属性，建设课程个性化指令库。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 智能体构建：根据课程专业属性，每门定制不少于三个专属课程智能体；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7知识图谱：课程知识图谱、问题图谱、能力图谱搭建服务，知识图谱层级不超过6级，不超过500个知识点。学科知识图谱搭建服务。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 HTML交互式课件：根据课程专业属性，每门定制不少于五个HTML交互式课件。</w:t>
            </w:r>
          </w:p>
        </w:tc>
        <w:tc>
          <w:tcPr>
            <w:tcW w:w="966" w:type="dxa"/>
            <w:tcBorders>
              <w:top w:val="single" w:color="000000" w:sz="4" w:space="0"/>
              <w:left w:val="single" w:color="000000" w:sz="4" w:space="0"/>
              <w:bottom w:val="single" w:color="000000" w:sz="4" w:space="0"/>
              <w:right w:val="single" w:color="000000" w:sz="4" w:space="0"/>
            </w:tcBorders>
            <w:vAlign w:val="center"/>
          </w:tcPr>
          <w:p w14:paraId="52C67990">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门</w:t>
            </w:r>
          </w:p>
        </w:tc>
        <w:tc>
          <w:tcPr>
            <w:tcW w:w="950" w:type="dxa"/>
            <w:tcBorders>
              <w:top w:val="single" w:color="000000" w:sz="4" w:space="0"/>
              <w:left w:val="single" w:color="000000" w:sz="4" w:space="0"/>
              <w:bottom w:val="single" w:color="000000" w:sz="4" w:space="0"/>
              <w:right w:val="single" w:color="000000" w:sz="4" w:space="0"/>
            </w:tcBorders>
            <w:vAlign w:val="center"/>
          </w:tcPr>
          <w:p w14:paraId="7358103D">
            <w:pPr>
              <w:widowControl/>
              <w:jc w:val="righ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12</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53A9AC1E">
            <w:pPr>
              <w:rPr>
                <w:rFonts w:hint="eastAsia" w:ascii="宋体" w:hAnsi="宋体" w:cs="宋体"/>
                <w:color w:val="000000" w:themeColor="text1"/>
                <w:szCs w:val="21"/>
                <w:highlight w:val="none"/>
                <w14:textFill>
                  <w14:solidFill>
                    <w14:schemeClr w14:val="tx1"/>
                  </w14:solidFill>
                </w14:textFill>
              </w:rPr>
            </w:pPr>
          </w:p>
        </w:tc>
      </w:tr>
      <w:tr w14:paraId="1F68F252">
        <w:tblPrEx>
          <w:tblCellMar>
            <w:top w:w="0" w:type="dxa"/>
            <w:left w:w="108" w:type="dxa"/>
            <w:bottom w:w="0" w:type="dxa"/>
            <w:right w:w="108" w:type="dxa"/>
          </w:tblCellMar>
        </w:tblPrEx>
        <w:trPr>
          <w:trHeight w:val="208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6B01FC29">
            <w:pPr>
              <w:widowControl/>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4</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5C1967F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康复医学系2026年智慧课程建设服务项目</w:t>
            </w:r>
          </w:p>
          <w:p w14:paraId="52DC3AE6">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c>
          <w:tcPr>
            <w:tcW w:w="5405" w:type="dxa"/>
            <w:tcBorders>
              <w:top w:val="single" w:color="000000" w:sz="4" w:space="0"/>
              <w:left w:val="single" w:color="000000" w:sz="4" w:space="0"/>
              <w:bottom w:val="single" w:color="000000" w:sz="4" w:space="0"/>
              <w:right w:val="single" w:color="000000" w:sz="4" w:space="0"/>
            </w:tcBorders>
            <w:vAlign w:val="center"/>
          </w:tcPr>
          <w:p w14:paraId="6A903384">
            <w:pPr>
              <w:widowControl/>
              <w:numPr>
                <w:ilvl w:val="0"/>
                <w:numId w:val="12"/>
              </w:numPr>
              <w:jc w:val="left"/>
              <w:textAlignment w:val="center"/>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面向全校提供AI教学平台服务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1.1AI课程模型建设服务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1.1.1知识模型建设服务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1)支持新建课程知识图谱；支持通过表格方式进行知识点导入，根据模板填写完成后点击上传；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2)支持通过本地教材或知识库教材通过人工智能对教材进行碎片化处理及知识点归纳总结，直接生成课程知识图谱；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3)支持基于课程资源，通过人工智能对资源进行碎片化处理及知识点归纳总结，直接生成课程知识图谱，极大地提升教学资源的可视化和结构化程度；支持课程资源更新的同时知识图谱自动更新；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4)支持直接新建专业或课程群知识图谱，也支持通过关联其他已建设的课程知识图谱直接建设课程群知识图谱或专业知识图谱；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6)支持知识图谱自定义视图，通过教师自己拖拽知识点，保存为自定义视图，支持自定义视图中替换视图背景，支持教师统一知识点大小和隐藏根节点；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7)支持自定义视图下，教师自定义节点及其全部子节点的颜色；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8)支持自动生成的知识图谱是可编辑的，教师可以在已生成的知识图谱上进行二次编辑和调整；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9)支持知识图谱查看与编辑页面，首次进入知识图谱默认查看页面；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11)支持选择某节点后，可展开所有下级节点或收起所有下级节点，可调整页面呈现的节点内容和数量；支持根据知识图谱中的知识点层级快捷设置展开层级；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14)支持通过人工智能生成知识点说明，支持人工编辑，至少支持添加图片、表格、代码、公式块、行内公式；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15)支持图谱下载，可按节点层级导出excel文件；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17)支持自定义设置知识点属性：在知识图谱中，允许教师自定义设置知识点的难度系数、知识分类和认知维度等属性；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18)支持从预览模式进入在线编辑模式。支持一位用户在线编辑图谱，不支持多账号同时编辑，图谱显示当前编辑账号头像和姓名；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19)支持知识图谱树状结构、网状结构、环状结构、自定义结构进行编辑；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20)支持知识图谱查看时可进行放大缩小，可以查看知识图谱全景；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21)支持添加多个根节点；支持选择某节点后，可添加同级节点；支持删除知识点，支持知识点跨课程关联；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22)支持选择某节点后，可添加子节点，至少添加十级子节点；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23)导入模板至少包含：节点名称、知识说明、知识分类、认知维度、难度系数、节点关系；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24)支持知识点与课程资源进行关联，支持知识点关联本地资源、知识库资源等，支持“图文”“视频”“讨论”等学习单元，支持对学习单元进行检索；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25)支持已关联的课程资源，可查看此资源的详情内容；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26)支持知识点与课程习题进行关联，可关联课程资源下已建设的资源习题，点击可查看习题详情及答案解析；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27)支持编辑知识点详情，可自定义设置节点名称、知识说明、知识分类、认知维度、难度系数、节点关系；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28)支持知识点添加思政设计，包含思政元素和设计方式；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29)支持根据节点关系生成知识点学习路径；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▲30)支持已经建设的知识图谱发布到教学班中；</w:t>
            </w:r>
            <w:r>
              <w:rPr>
                <w:rFonts w:hint="eastAsia" w:ascii="宋体" w:hAnsi="宋体" w:cs="宋体"/>
                <w:b/>
                <w:bCs/>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31)支持教师可以选择是否开放给学生，选择开放给学生，学生在自己的教学班中就可以查看到对应的知识图谱；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32)支持教师选择是否将发布的教学内容通过人工智能自动匹配知识图谱中的知识点；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33)支持教师查看单个知识点的学习情况，包括：该节点关联课程资源和习题的情况：总数和已发布数量；已完成、进行中、未完成的学生比例；学生的平均掌握度。支持统计单个知识点下每个学生的完成度和掌握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34)支持教师查看班级平均掌握度，按照比例区间展示整个班级的学习进度和平均掌握度，同时给出建议关注知识点。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1.1.2能力模型建设服务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1)支持建设能力模型，包括能力点名称、能力标签、能力描述、关联知识点、对应学习内容，能力标签支持自定义；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3)支持展示单个能力点的标签、能力描述、关联知识点和知识点学习内容；支持跳转到关联的知识点详情界面；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4)支持展示能力点下知识点关联关系；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5)支持通过模板导入能力模型，支持能力模型导出表格；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6)支持能力图谱至少包含树状视图、思维导图、自定义视图；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7)支持自定义视图设置卡片或文字样式，支持设置文字颜色、文字字号，支持设置背景图，支持一键还原系统设置。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1.1.3问答模型建设服务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1)支持建设问题模型，包括问题类型、问题描述、答案描述、关联知识点、对应学习内容；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2)支持跳转到各个问题下关联的知识点详情界面；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3)支持教师将问答反馈意见纳入答案库，进行修改编辑。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1.1.4素质模型建设服务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1)支持手动新建或选择现有模板新建素质图谱；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2)支持建设素质图谱，包括素质点名称、素质描述、关联知识点、对应学习内容；支持跳转到各个素质点下关联的知识点详情界面；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3)支持通过模板导入素质图谱，支持素质图谱导出；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4)支持素质图谱包含不同展现样式。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1.1.5自定义模型建设服务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1)支持建设自定义模型，设置模型名称，设置模型展示方式至少包括：网状、环状、树状、圆环、框架、素质树、思维导图形式。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2)支持通过模板导入自定义图谱，支持自定义图谱导出；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3)支持设置节点名称、标签、自定义节点分类、节点描述以及关联的知识点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1.1.6增强模型建设服务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1.1.6.1课程图片库建设服务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1)支持建设课程图片库，支持对图片进行分类，支持自定义分类；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2)支持对图片进行知识点标记；支持对图片添加文字说明；支持标记图片来源。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1.1.6.2课程公式库建设服务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1)支持建设课程公式库，支持对公式类型进行分类管理，支持自定义分类；同时需对公式进行知识点标记；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2)支持对公式添加文字说明，支持添加公式块或行内公式；支持标记公式来源。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1.1.6.3课程表格库建设服务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1)支持建设课程表格库，支持对表格进行标签分类，支持自定义分类；同时需对表格进行知识点标记；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2)支持表格内上传图片或添加公式，支持对表格添加文字说明；支持标记表格来源。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1.1.6.4课程代码库建设服务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1)支持建设课程代码库，保留代码格式，支持对代码进行分类，同时需对代码进行知识点标记；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2)支持对代码添加代码注释，支持对代码添加流程图或实现效果图；支持标记代码来源。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1.1.6.5课程视频库建设服务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1)支持建设课程视频库，支持对视频进行分类管理，支持对整个视频进行知识点标记；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2)支持对课堂回放视频自动添加课堂回顾标签，支持自定义分类标签；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3)通过人工智能，支持根据视频内容进行分段归纳总结，形成知识导引，同时文字与视频进度一一对应，点击可以进行快速定位；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4)支持对形成的导引进行分类管理，支持对同一视频中的不同导引进行知识点标记；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5)通过人工智能形成课程讲稿，按照时间轴排序，点击讲稿同时对应跳转到视频指定位置；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6)支持修改人工智能生成的视频导引和讲稿。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1.1.6.6课程习题库建设服务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1)支持建设课程习题库，支持对习题进行分类，支持自定义分类标签，同时需对习题进行知识点标记；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2)支持题型至少包括单选题、多选题、判断题、投票题、填空题、主观题等，支持添加答案解析，支持设置习题难度系数；支持编辑、移动、删除题库习题；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3)添加习题支持对题干及选项字体格式进行修改，支持多图上传，支持插入公式，支持编辑包括Python、Java、C++、Php、Vb、ActionScript3等的不少于20门常用代码语言，支持插入音频及附件文件；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4)支持选择是否将题目设为自测题，学生在学习相应知识点内容时可进行习题自测。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1.1.6.7课程专有名词库建设服务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1)支持通过人工智能匹配课程专业或学科属性，自动生成专有名词库，支持对专有名词增加图片或文字解释说明。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1.2AI个性化指令建设服务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1)支持根据课程专业或学科属性，建设课程个性化指令库。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1.3智能体建设服务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1)根据课程专业或学科属性，建设课程个性化智能体。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1.4AI课程数字人建设服务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1)数字人形象根据教师形象进行定制化制作；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2)数字人形象需具备高逼真度，面部表情、动作自然流畅，无明显违和感；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3)支持调整数字人的动作，可选取部分数字人的训练素材对应生成有动作或没有动作的数字人视频；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4)支持实时语音识别与语音合成，实现数字人语音交互功能；至少支持中文、英文两种语言切换；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5)生成数字人语音播报时，支持设置讲稿的语速；设置专有文字内容连读；支持插入停顿，可设置停顿的时间；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6)支持通过上传教师录制的音频来直接生成数字人视频，并实现对口型播报；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7)根据教师提供的课程大纲，进行数字人AI课程内容的设计与制作；根据课程内容需要建设包括但不限于课件、习题、互动环节等；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8)支持将数字人与其讲解的课件内容合成新的课程讲解视频，并支持选择是否显示字幕、数字人讲解倍速、设置视频背景色、数字人的显示比例等。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1.5AI教学应用场景建设服务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1)需支持知识库管理功能，支持上传pdf格式的教学资源，上传的资源可进行切片处理，同时需提供开关控制功能，教师能够决定每个文档是否启用切片解析功能，支持上传失败的文件重试解析；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2)支持按照电子教材、讲义课件、相关论文、习题试卷、往年作业、相关案例、其他资料等分类上传资源；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3)支持上传视频、音频、文档（包括PPT、PDF、DOC、TXT、PNG等）等教学资源；视频支持上传MP4、MKV、MOV、AVI、WMV等通用格式视频，上传后自动转码，支持在线预览；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4)支持自定义文件分类，支持二级文件分类，支持删除、移动与重命名文件分类；支持每一个分类下可以查看已处理的资源数量、上传资源数量、最近更新时间；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5)支持知识库查看文件数量、图片提取数量、音视频时长、解析字符总数；支持查看总体知识切片数量，公式数量、图片数量、表格数量；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6)支持上传的资源可以查看文件名称、处理状态、字符数、文件大小、上传时间；支持上传的资源可以选择是否启用；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7)支持对上传的资源进行删除、重命名和移动所在分类；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8)支持关联已有的课程资源，包括已建设的课程资源和教学班发布的教学内容；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9)支持教师从个人云盘中一键导入教学资源，支持批量选择一个或多个文件导入知识库中。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1.5.2智能学伴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1)基于课程模型进行知识答疑，满足学生在任何时间的学习需求，无论是基础知识还是拓展知识，学生随时都可以向系统提问，获得及时的解答；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2)支持智能学伴的个性化配置，包括学伴名称、头像、性格特点、说话风格等角色特点；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3)支持教师设置智能学伴开场白，方便学生能快速理解学伴功能；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4)支持教师设置智能学伴推荐问题，方便学生快速选择常见问题；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5)支持教师端进行智能学伴问答，支持教师根据智能学伴回答的问题进行反馈，持续优化智能学伴回答问题的准确度；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6)支持教师填写智能学伴回答反馈意见，至少包括具体问题及正确回答，同时支持设置是否将反馈回答加入答案库，用于后续相同问题的答案；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7)支持教师提交反馈意见后进行修改，修改后可再次提交，支持教师删除反馈意见；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8)支持开展多个会话，保留历史会话，同时也可进行历史会话删除；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9)支持学生发送语音与智能学伴对话；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10)支持学生与智能学伴对话上传文件(至少10个，每个文件大小不低于 15MB)，支持 pdf、doc、docx、xlsx、ppt、txt、md、csv、py、图片等；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11)支持智能学伴语音回答问题，支持教师设置语音播报音色，系统内置音色或定制专属音色；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▲12)支持教师设置智能学伴虚拟形象，支持动画虚拟形象或定制专属形象；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13)支持在智能学伴中进行指令管理，包括移动或删除指令，创建新的指令分组；支持拖拽调整指令顺序；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14)支持AI绘图，通过描述生成图片；支持代码绘图，通过Python代码绘制曲线；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15)支持联网检索，支持回答问题的同时联网检索资源进行补充回答；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16)支持图片检索，在图片检索中，根据学伴提问，精准匹配图片；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17)支持多轮对话，有上下文记忆功能，用于测试知识点学习、问卷调查、医患问诊等场景，根据学生问题或选择进行持续对话；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18)支持智能学伴回答完毕后，给用户展示至少3个推荐问题，让用户能够继续提问。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19)支持智能学伴回答完毕后，展示增强模型的知识碎片。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1.5.3智能批改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1)至少内置两个智能批改评分标准，包括评分项目、详细指标、指标权重；支持教师将系统内置模板复制到教师本人的批改规则下并调整修改；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2)需支持智能批改，支持教师设置多个批改规则，包含评分项目，详细指标，指标权重从而计算出评价分数，同时支持是否开启智能点评，教师可设置点评方向和点评风格；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3)支持教师设置智能批改评分标准后进行测试，包括设置分值、题目、参考答案或通过人工智能生成参考答案、最后填写作答内容进行批改测试，通过智能批改的测试查看是否需要调整评分标准；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4)支持教师可以通过批改测试选择不同的批改规则进行调试智能批改效果；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5)支持教师发布主观题到教学班，支持教师进入教学班中选择是否进行智能批改，包括选择智能批改的评分标准、是为当前学生进行智能批改或全班学生进行批改；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6)支持教师选择批注的身份，包括智能批注助手或当前教师本人；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7)支持教师选择智能批改完成后是否需要经过教师审核，如不需审核，将直接生成批注和评语发送给学生，学生分数仅供参考，实际分数需要教师手动打分；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选择不同的智能批改规则，对学生的作业进行在线智能批改，生成评分与评语；支持选中部分的作业文本逐条展示对应的AI详细批注、改进建议等，支持根据教师设定的智能批改规则显示每项细则的详细评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9)支持教师对智能批改不满意后选择重新批改；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10)支持保留教师多次批改记录，教师可查看历史批改效果；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11)支持AI课程组教师使用自己的智能批改规则或将规则共享到课程组，支持教师查看全部智能批改规则、分别查看我的和其他教师共享的规则，支持查看每个智能批改规则的创建人和最近编辑人；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12)新建批改规则，支持至少建设文章批改、通用批改、编程批改三类规则，根据批改分类不同，使其更适用于当前批改场景；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13)编程类型批改至少支持5种常见编程语言，包括但不限于Python、JavaScript、C、C++、Java；支持教师自定义编辑编程批改规则，包括评分项目、详细指标、权重；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14)支持教师编辑大模型的输出要求，调试智能批改规则效果的时候，支持预览实际给到大模型的提示词，支持查看大模型返回的未经处理的原格式内容，以便于教师修改智能批改规则；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15)支持对学生上传的pdf、word、图片文件进行智能批改；支持批量下载教师智能批改后带批注的文件，展示按照智能批改规则批改的详细批注、改进建议等。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1.5.4智能备课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1)支持教师在网页端进行在线文档备课，支持创建多个在线文档，在线文档自动保存，支持插入图片、代码、链接、表格等多种格式内容；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2)支持教师查看在线文档大纲；支持向备课助手发送文字和图片、文件（包括pdf、doc、docx、xlsx、ppt、txt、md、csv、py等）；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3)支持备课助手将生成的内容一键插入到在线文档中，无需复制粘贴；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4)支持教师填写备课助手反馈意见，包括不满意的原因、具体描述或更好的回答；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5)支持教师查看与备课助手的历史对话或开展新对话；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6)支持智能备课助手生成在线文档后，支持导出为本地word文档；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7)支持教师将在线备课文档编辑完成后，直接发布到教学班；支持教师设置发布时间、是否计入考核、考核截止时间、是否允许评论、是否微信消息提醒；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需支持在PPT插件中，根据选中文字，AI生成案例，生成的案例可以一键插入PPT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需支持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需支持在PPT插件中，选中需要翻译的文字翻译，同时翻译后的内容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11)支持在PPT插件中选择AI课程建设的增强模型的知识片段资源，支持按照课程和知识点进行筛选，支持预览图文结合的知识点片段并一键插入到PPT中；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▲12)支持在PPT插件中选择AI课程建设的增强模型中的视频资源，，支持按照课程和知识点进行筛选，支持预览视频并一键插入到PPT中；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13)支持在PPT插件中选择AI课程建设的增强模型的题目资源，支持按照课程和知识点进行筛选，支持预览题目内容和答案解析并一键插入到PPT中，支持放映PPT时，将题目发送给学生进行作答。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14)支持在PPT插件中选择AI课程建设的增强模型中的论文资源，支持按照课程和知识点进行筛选，支持预览论文片段并一键插入到PPT中；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在PPT插件中选择出题规则，支持根据知识点进行出题，或根据自定义要求进行出题，至少包括设置题型、设置题目数量、设置题目难度、设置知识点，设置多个出题要求，AI生成的题目教师可以选择插入题库或直接插入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1)支持在教师备课时，在PPT中插入课堂AI互动设计，包括在固定PPT页面加入召唤智能体，设置在放映PPT中需要召唤可对话的智能体；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2)支持在教师备课时，在PPT中插入课堂AI互动设计，包括在固定PPT页面加入发送智能体，设置在放映PPT中需要发送预置智能体给学生，学生进行对话；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3)支持在教师备课时，在PPT中插入课堂AI互动设计，包括在固定PPT页面加入智能汇报，包括设置汇报的主题，汇报的时长、智能点评的规则。</w:t>
            </w:r>
          </w:p>
          <w:p w14:paraId="05E1511C">
            <w:pPr>
              <w:widowControl/>
              <w:numPr>
                <w:ilvl w:val="0"/>
                <w:numId w:val="12"/>
              </w:numPr>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1.5.5智能课堂助手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1)支持在授课过程中，通过PPT唤起智能课堂助手，支持语音控制唤起智能课堂助手；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2)支持通过智能课堂助手进行AI对话，支持语音对话，支持将智能课堂助手生成的内容直接发送给学生；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3)支持教师设置智能课堂助手常用指令，可以快速通过调用指令进行快捷提问；支持教师在课堂中快速调起智能体进行对话；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4)支持通过语音控制智能课堂助手开启弹幕和随机点名，支持语音控制关闭弹幕和停止随机点名；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5)授课放映PPT过程中，支持截图PPT部分内容与智能课堂助手互动，实现知识讲解、自由对话等能力，教师可将智能课堂助手的回答内容一键发送给学生；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7)支持教师实时查看所有发布的AI对话任务的发布时间、累计用时、启动人数、未开始人数；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8)支持智能课堂助手实时记录教师授课内容；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9)支持课上实时显示教师讲稿内容，供学生课上回顾；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10)支持教师课上发起分组讨论活动，支持系统自动分组和学生自由分组；学生分组讨论完成后AI自动总结分组讨论的内容，并分析分组讨论中的学生参与情况，包括分析积极发言的学生、有效参与讨论的学生；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支持在管理后台设置点评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12)支持查看已汇报的学生列表，包括汇报人姓名、用时、AI点评内容；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14)支持导出AI生成的课堂思维导图；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15)支持教师编辑AI生成的讲稿；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16)支持教师在后台配置智能课堂助手相关信息，内置至少3种角色可供切换选择，同时支持教师自定义配置，包括角色形象、性别、回答语言、输出声音音频、人物特点、回答风格等，支持预览查看配置效果；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智能课堂助手支持至少15种回答语言切换，包括但不限于中文、英文、粤语、日语、印尼语、马来语等，支持在课堂授课过程中，教师可以通过多语言与智能课堂助手进行语音对话，至少包含中文、英文、中英文混合、粤语、日语五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18)支持设置智能课堂助手截图与AI对话的快捷指令，如知识点讲解、案例生成、讨论话题生成等；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19)支持对授课过程中发送给学生的题目进行作答情况和结果分析，包括作答人次、正确/错误人次、选项作答情况等，分析每个选项以及整个题目的错误原因，帮助教师提供教学改进建议。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1.5.6智能出题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1)支持根据知识点出题，教师可设置知识点、难度系数、题目数量、题目类型和具体出题要求，支持设置多个出题要求；</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2)支持手动输入或筛选已有的知识点进行出题；支持选择多个知识点进行出题；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3)支持教师设置至少包含判断题、填空题、主观题、单选题、多选题。其中单选题和多选题支持设置选项数量；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4)支持生成的题目至少包含题干、答案、解析；支持生成的每个题目直接加入教师题库；支持将当前生成的题目批量加入题库；支持一键前往教师题库；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5)支持将AI生成的题目加入教师题库时，可以选择关联知识点；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6)支持生成的题目可直接进行编辑，包括题干、选项、答案、解析，可新增选项；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7)支持教师根据AI出的每道题目分别进行意见反馈，支持AI根据教师反馈意见进行持续优化，支持查看历史出题记录；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8)支持教师自定义出题要求和模板，支持教师设置多个出题模板；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9)支持根据视频内容，智能出题，同时将题目一键插入到对应的知识点，同时支持教师修改题干、选项、答案、解析；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10)教师可设置学生答对题目才能继续观看视频，学生观看视频时，根据教师的设置答题后可继续观看视频；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11)支持AI根据课件内容，智能出题，AI可推荐各题目插入的课件位置，支持将单个题目和所有题目一键插入到对应课件位置，支持教师在课件中修改题干、选项、答案、解析。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1.5.7智能资源推荐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1)支持根据学生提问的知识点或者材料要求，智能进行资源推荐；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2)支持资源智能推荐时，可推荐清华大学等双一流高校以及国外的优质的MOOC视频，免费内置不少于5000门完整慕课课程视频、200000条视频文件，每条视频时长5-15分钟；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3)支持联网检索相关学习资源，包括视频、论文等；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4)支持教师设置知识库中的资源是否被推荐，包含关联资源、电子教材、讲义课件、相关论文、相关案例或其他资料；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5)支持教师设置资源推荐开放的应用，开放后，学生在使用时可以进行资源推荐；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6)支持教师可在工作台进行资源推荐与检索，方便教师进行备课资源收集；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7)支持教师设置指定网站进行资源检索和推荐；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8)支持资源检索和推荐中通过教师的历史搜索，推荐联想的搜索，方便教师进行快速定位；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9)支持结果按照视频、论文、教材、案例、论坛进行分类筛选；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10)支持智能分析检索的问题，整理搜索结果，生成智能回答。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1.5.8.1自定义智能体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1)支持创建角色扮演类型智能体；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2)支持设置智能体基本信息，包含智能体标题、自定义智能体头像、添加智能体说明；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3)支持设置智能体使用场景，包括对话场景、场景描述。AI角色、使用者角色及AI人设信息；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4)支持设置不同智能体的语音输入和语音输出，支持设置输出语言，至少支持中文和英文，支持设置输出语言的音色并支持试听；</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5)支持为每个智能体单独配置基座大模型；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根据智能体设置的个性化需求，设置智能体对话框的颜色效果，如红色、蓝色、绿色等；支持选择不同的背景图样式，支持自定义上传背景图并调整显示位置；支持智能体对话框颜色和背景图设置效果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7)支持智能体对话设置，支持设置开场白；设置智能体推荐问题，推荐问题可以直接进行交互；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8)支持单独设置智能体的专属知识库，加强智能体的角色信息和角色资料；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9)支持设置智能体对话结束判断，使用者触发结束判断后，自动结束对话，支持设置多个对话结束判断，支持拖拽调整结束判断；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10)支持智能体对话评价设置，支持添加多个考核项并设置各考核项分值，支持设置评价内容的输出格式，智能体将在对话结束后按照评价格式和考核项进行评价；</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11)支持智能体效果测试，教师可以通过配置的过程直接进行测试；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12)支持设置智能体共享到AI课程，支持将智能体发布到教学班，学生在教学班与智能体进行对话；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13)支持教师分享智能体的链接，允许校内学生或校外用户通过链接使用该智能体；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14)支持设置智能体权限，支持智能体共享到课程中时，可以选择共享人员及共享权限，包括可编辑、可管理、可调试；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15)支持设置智能体分组，支持设置自定义分组；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1.5.8.2第三方智能体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将设置好的第三方智能体添加进AI课程，支持教师在AI课程中自定义该第三方智能体的头像、名称、显示logo；支持语音输入和语音输出；支持将第三方智能体发布到教学班，师生可在各场景中使用第三方智能体并记录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1.5.8.3AI讨论智能体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讨论智能体，支持配置智能体专属知识库，设置智能体知识库配置，包括相似度，召回碎片数量、增强检索方式；配置智能体回复范围至少包括：教师发帖、学生发帖、教师评论及回复、学生评论及回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1.5.8.4AI陪练智能体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设置AI陪练智能体，可设置在学习空间选择AI出题、自测题、混合出题给学生进行陪练；支持设置难度顺序为随机或自测题按难度从低到高出现，低难度题目做对会进入下一难度题目，做错进入同难度题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2)支持AI陪练设置先修知识点校验，自定义作答次数后视为完成；支持设置根据学生学习过程数据进行个性化推荐；支持针对不同的题型设置作答次数和是否显示答案解析；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1.5.8.5AI考官智能体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考官智能体，用于学生知识点测评和输出评价报告，包括设置智能体头像、开场白，至少支持中英文两种语言切换，支持配置智能体专属知识库，设置智能体知识库配置，包括相似度，召回碎片数量、增强检索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2)支持自行选择知识点进行练习，支持多次会话练习，完成答题后，自动生成总结报告，包括作答题目数、正确率，不同难度等级题目正确率，薄弱点、优势及学习建议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 “自测题与 AI 出题混合模式”，且策略优先级配置为 “自测题优先”；同时需支持 “只使用自测题”“只使用 AI 出题” 两种备选策略。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4)至少支持两种级别知识点推题，支持按 3 级知识点进行精细化推题或按 2 级知识点推题。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5)至少具备两种自适应难度升级机制，答对题目后自动升级难度直至答错；或保持难度不变至所有题目做完。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6)至少具备两种自适应难度降级机制，答错题目后自动降低难度直至答对；或保持难度不变至所有题目做完。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7)支持教师按照学生下载答题数据，包括课程下多个班级的学生答题数据，每个学生的最后答题时间、知识点、题目数量及其正确率。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1.5.9AI作业</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1)支持在作业中设置作业要求，配置智能体，学生通过与智能体对话进行作业作答，通过智能体评价作为AI作业得分；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学生在AI作业作答中，查看智能体场景信息，包括智能体角色，学生本次作业角色，支持学生多次与智能体进行对话和上传附件，支持提交智能体对话的内容作为作业作答，提交后智能体进行评价，显示本次作业得分，对话轮次，并根据智能体评价方向进行点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1.5.10教学工具箱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3)支持课程建设教学工具箱，且提供多种教学工具，至少包括基础医学、预防医学、临床医学、药学、护理学养老服务管理、智能医学工程专业的相关的HTLM课件；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4)支持教师上传自己的教学工具，可共享到AI课程中，供教师团队使用。支持设置工具头像、工具名称、工具介绍、上传HTML文件。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1.5.11教学运行数据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1.5.11.1知识图谱数据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1)支持查看知识图谱建设与发布情况，包含自测习题数量、自测题知识点覆盖率、学习单元数量、学习单元知识点覆盖率；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2)支持查看知识图谱资源发布与未发布对比图，包括视频、图文、讨论、作业、考试、课件、自测题；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3)支持查看知识图谱中总知识点数量、发布内容的知识点数量、学生学习知识点数量漏斗图；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4)支持查看本周学习人数及对比上周学习人数上升下降百分比；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5)支持查看本周学习知识点数及对比上周学习知识点数量上升下降百分比；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6)支持查看班级知识点完成概况，已完成占比、未开始占比、进行中占比；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7)支持查看完成知识点的学习类型分布，将按照学习单元的类型分别统计每个类型的占比；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8)支持查看知识点完成情况分析，按照100%、80%、60%、0%进行筛选；同时不同百分比通过不同颜色标识；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9)支持查看学生未开始的知识点；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按照知识点查看学生的掌握度、对应的教学内容、未开始学生人数、进行中学生人数、已完成学生人数、完成率、自测题数量、未作答学生人数、已作答学生人数、自测题完成率、自测题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11)支持按照学生查看学生姓名、学号、知识点掌握率、知识点学习内容未开始数量、进行中数量、完成数量、知识点完成率、自测题作答情况、正确数量、正确率；支持导出表格；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12)支持统一导出每个学生在每个知识点下的完成率、习题正确率、掌握率明细数据。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1.5.11.2AI使用数据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智能学伴使用明细数据，包括提问者姓名、教学班名称、问答内容、提问入口、提问时间；支持按照时间周期、班级学期、班级名称、提问角色、问题属性、反馈情况进行筛选；支持按照提问者姓名或提问内容进行搜索；支持导出智能学伴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1)支持以学生维度汇总查看智能学伴使用详情，包括学生姓名、学号、所在班级名称、学伴提问次数、使用时长，支持以学生维度查看学伴互动明细；支持导出以学生维度汇总的数据；支持删除学生提问数据。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智能体使用明细数据，包括提问者姓名、班级名称、问答内容、提问入口、提问时间；支持按照时间周期、班级学期、班级名称、提问角色、智能体标题进行筛选；支持按照提问者姓名或提问内容进行搜索；支持导出智能体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3)支持查看智能备课助手明细数据，包括教师姓名、问答内容、提问入口、提问时间；支持按照时间周期筛选；支持按照教师姓名或问答内容进行检索；支持导出智能备课助手使用明细；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教师在课堂授课过程中和智能课堂助手的问答明细，包括授课教师姓名、班级名称、课堂名称、问答内容、课堂提问时间；支持按照时间周期、班级学期、班级名称进行筛选；支持按照课堂名称、授课教师姓名或问答内容进行检索；支持导出智能课堂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AI应用使用数据的统一查看管理界面，支持切换查看各AI应用的使用数据明细记录，包括智能学伴、智能备课助手、智能课堂助手、智能体、知识图谱等，支持按照使用时间、班级、互动者姓名、互动关键词等维度进行筛选或搜索，支持查看每条记录的AI互动详情；</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6)支持智能学伴应用洞察，包括按照班级所属学期、教学班名称进行筛选；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7)支持查看智能学伴师生使用概况，包括使用总次数、覆盖班级数、教师数、使用学生数、选课学生数、学生使用率、学生使用次数、学生平均使用次数、学生使用时长、学生平均使用时长等数据；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8)支持查看智能学伴高频问题，可按照问题类型进行筛选，支持查看不同问题类型的提问次数与百分比；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9)支持指令分析，包含指令条数、学生使用指令条数、指令详情、学生使用次数等；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10)支持查看常问教学活动、对应活动提问次数、学生提问入口、占比与次数可视化展示；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11)支持查看智能学伴学生使用趋势，可视化展示使用日期、提问次数、使用时长等数据信息；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12)支持可视化展示智能学伴学生使用时间统计热力图；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13)支持展示智能学伴学生反馈情况，包括学生使用次数、未反馈、满意、不满意次数与百分比；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14)支持展示智能学伴学生使用排名，包括学生姓名、所属学院、行政班、提问次数、使用时长等信息；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15)支持统一导出每个学生的学习过程数据，包括日常学习数据与AI使用数据。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1.5.11.3AI教学分析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1)支持AI分析教学数据，支持快捷展示需教师关注的重点学生，包括缺勤学生、薄弱学生、进度滞后学生等；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2)支持AI快捷分析课程进展，给出动态教学建议；支持教师快捷前往班级教学活动详情界面；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3)支持教师与AI教学分析助手对话，为教师提供教学优化建议；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4)支持AI根据教师能力图谱与班级学习内容，自动生成学生能力评估模型，根据各能力的权重、评估方式、关联的知识点、关联的学习内容数量与占比，AI自动生成教学改进建议；支持统计班级能力整体达成度；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5)支持教师快捷查看班级教学明细，包括学习单元的发布情况、学生完成情况统计与详情查看；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6)支持统计各个能力的达成度并以雷达图展示，支持AI自动生成教学实施分析建议；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7)支持统计综合能力的发展趋势，AI自动生成每周对比分析；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8)支持AI生成单项能力的分析，包括各项能力的达成度、权重与计算方式，支持AI自动生成单项能力达成度的每周变化趋势与对比分析；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9)支持散点图形式可视化展示学生能力分布，AI自动生成学生表现及建议，支持统计学生能力排名。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10)支持教师手动修改评估模型，包括评估能力权重、评估方式及其占比，新增评估方式，评估方式关联的学习内容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1.5.11.4学生画像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1)支持查看学生综合画像，支持统计班级活跃学生数量与占比、使用AI学生数量与占比、人均使用AI次数、参与学习活动学生数量与占比、人均完成学习活动个数及完成率等数据；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2)支持以雷达图形式统计班级学生整体和学生个人的学习表现情况，包括AI使用情况、学习成绩、能力发展、教学互动、学习完成进度等学习表现，AI根据学习表现情况进行分析与建议；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3)支持以散点图或柱状图形式查看学生成绩分布、学习活动完成率分布、使用AI次数分布情况；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4)支持AI统计分析学生AI使用情况与成绩的关联关系，支持AI分析热门知识点与薄弱知识点，辅助教师调整教学策略；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5)支持按时间查看活跃学生数量的变化趋势，包括使用AI人数、参与学习活动人数；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6)新增学生学情预警独立展示页面，承载学生综合预警、分项预警全维度数据与配置功能；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7)支持展示学生学情预警，至少将学生分为三类：表现突出、表现中等、重点关注学生，支持查看学生人数和占比。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8)支持至少按照成绩、考勤、学习进度、学习互动、习题检测、AI互动六种类型查看需重点关注学生和表现突出学生。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9)支持学生综合预警指标自定义配置，可设置各分项指标的数值范围（可界定指标判定标准）；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预警标签配置项与学生画像标签联动，配置结果同步管控学生学情预警页面、学生综合画像、学生个人画像的标签展示：未勾选的预警分项指标，在所有画像标签中同步隐藏，且画像标签与预警页面共用同一套指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11)支持向学生发送预警提醒，支持设置自动提醒，教师手动选择学生进行消息提醒，支持系统每月初自动根据不同类型需重点关注的学生发送消息提醒。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12)支持展示需教师重点关注学生列表，包括未使用过AI、成绩落后、频繁缺勤的学生等，支持查看需重点关注学生的所有学习记录及个人画像；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14)支持按学期、班级、学习标签、学生姓名、学号筛选或搜索相应学生的学习数据记录，支持按照筛选或搜索结果导出相应数据；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15)支持查看学生个人画像，包括学生姓名、学号、班级、学院、入学年份、学习标签、班级成绩排名、整体学习表现、学习数据、AI使用情况统计与分析、学习动态、知识点完成情况、学习趋势等；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16)支持查看单个学生与AI互动情况的统计分析，包括AI使用次数、AI使用时长、与AI互动的高频词汇等，支持查看该学生的所有AI互动明细记录；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17)支持查看单个学生的学习动态，包括作业、视频、讨论等学习活动的完成和未完成情况及完成率；支持按时间查看该学生的学习趋势，包括使用AI次数和和完成学习活动次数。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1.5.12指令库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1)需支持指令库管理，教师可以设置多种指令卡片，同时支持设置指令分组，可以支持添加分组和管理分组，拖动不同分组位置，筛选查看不同分组的指令；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2)支持教师自定义创建指令，包括指令标题、详细指令内容和短指令，学生端仅展示短指令；支持调试指令效果时查看短指令展示效果；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3)支持指令创建的同时可以进行指令测试方便教师调整指令效果；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4)支持教师设置指令的应用场景，设置后仅在该场景可查看指令，其他场景无法查看该指令；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5)支持设置特殊指令，包含AI绘图、代码绘图、联网检索、图片检索；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1.6AI课程管理建设服务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1)需支持将AI能力应用到教学班，在应用时可以浏览不同学期的教学班，根据教师进行教学班筛选，需支持每个AI功能分别应用到不同的教学班，满足教学设计需要；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2)支持教师分享智能学伴和智能体的使用链接或二维码，支持教师设置扫码时自动推送的欢迎语文案，学生通过链接或二维码可访问智能学伴和智能体并进行对话；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3)支持教师在AI工作台查看AI课程列表，搜索和切换AI课程，方便进行课程的快速管理；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4)需支持一门课程通过功能开关控制知识库是否启用；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5)支持教师通过工作台进入AI课程门户展示页面及编辑页面，支持教师复制门户链接进行分享；</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6)支持设置课程评审专家角色，支持专家免登录即可查看课程工作台。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7)支持AI课程语言切换，至少支持中文和英文两种语言。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8)支持AI课程成员管理，支持添加与删除成员、修改成员的角色权限，支持查看所有成员列表；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每门AI课程单独配置课程的成员权限，内置至少3种成员角色权限；支持设置不同角色的角色名称与AI功能权限范围；支持自定义添加角色并配置AI功能权限；AI功能支持设置至少二级菜单的查看、管理及下载权限，包括但不限于课程模型、课程知识库、AI应用、数据中心、成员管理等，并提供权限范围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1.7学生端AI学习空间建设服务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1)支持课程学习语言切换，至少支持中文和英文两种语言。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2)支持教学班中包含智能学伴，学生进入班级中，无需点击学习单元即可与学伴展开对话；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3)支持智能学伴宽屏显示，支持学生通过教学内容，智能分析教学内容对应的知识点，与智能学伴进行互动交流；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4)支持学生在学习空间与教师发布的智能体进行对话，支持语音输入和输出；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5)支持学生根据老师设定好的指令，通过更改提示语进行快速提问；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6)支持学生在预习教师发布的PPT课件和观看课堂回放时，对当前PPT课件内容不懂，可一键将该课件内容反馈至智能学伴，AI将实时针对当前PPT课件页内容进行智能答疑；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7)在教师授课过程中，学生移动端实时查看教师放映完成及正在放映的PPT课件，针对每一页的课件页内容不懂，可一键将当前课件页发送给AI，AI将实时针对当前PPT课件页进行内容解析并智能答疑；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8)支持学生移动端查看课堂总结报告，至少包括课堂数据分析报告、人工智能生成的课堂思维导图、知识导引、教师讲稿；支持搜索讲稿内容；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9)支持在知识图谱中通过知识点关键词搜索，搜索结果高亮显示；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10)支持学生选择知识点，展示该知识点上的学习内容和知识点详情，包括知识说明、知识分类、认知维度、难度系数；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11)支持学生查看知识点目录，点击快速跳转到其他知识点进行学习；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12)支持学生通过点击某一知识点查看知识点学习路径；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13)支持根据学生的学习进度，知识点有不同的展示效果，帮助学生快速对知识点进行定位；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14)支持学生通过知识图谱进行学习，点击知识点进入AI学习空间，同时展示学习内容与智能学伴，方便学生在学习过程中进行知识点互动问答；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15)支持学生在学习空间观看数字人教师进行课件内容讲解；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16)支持学生手机扫码，快速打开移动端进行知识点学习；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17)支持学生观看视频学习内容时，对当前视频播放内容不懂，可一键将当前视频帧发送至AI，AI将实时针对当前视频帧进行内容解析并智能答疑；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18)支持学生查看人工智能通过视频内容生成的知识导引，进行知识点总结归纳，形成知识点标题，方便学生通过导引快速定位视频；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19)支持学生查看人工智能通过视频内容生成的教师讲稿，按时间轴排序，支持通过知识导引快速定位到教师讲稿，支持讲稿快速定位到视频内容；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20)支持学生查看教师在知识点下的相关教材，预览当前教材内容；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21)支持学生在AI学习空间观看教学活动的任务中，无需学生输入问题，根据教师的教学设计，在不同的时间智能体能自动与学生交互，至少包括推送知识点相关资源，自动为学生出题进行知识点自测；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22)支持学生在学习空间中，遇到不懂的内容，可直接划选文字一键唤起智能学伴进行智能答疑；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23)支持学生提交自测练习题、作业和考试后，对当前题目不懂，可一键将该题目反馈至智能学伴，AI将实时针对当前题目进行智能答疑；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24)支持学生选择知识点进行自测题作答练习时，系统可校验是否答过先修知识点，支持跳转至先修知识点进行答题；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学生选择知识点进行自测题作答练习时，支持AI根据当前知识点、当前学生的成绩等学习过程数据进行个性化智能推题，不限制AI推题数量，支持AI随机推题或按照由易到难的顺序推题；支持AI根据当前知识点推荐其他知识点让学生继续进行自测题练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26)支持根据本次学生自测题作答记录输出AI学习报告；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27)支持学生在AI学习空间中通过智能学伴进行资源智能检索，主要为课程相关的网络教学资源，进行课外教学资源补充学习，资源类型包括知乎、视频等多种途径；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28)支持学生查看自己的知识点完成情况，包括所有知识点的完成情况、单个知识点的完成情况、累计学习时长、习题正确率、题目作答数量；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29)支持在班级讨论区中智能答疑，AI自动回复讨论区问题。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30)支持学生课查看学生个人画像，学生个人的学习表现情况，包括AI使用情况、学习成绩、能力发展、教学互动、学习完成进度等学习表现，AI根据学习表现情况进行分析与建议；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31)支持移动端查看知识图谱，查看知识点的完成情况、学习时长、自测题正确率和作答数量，支持查看知识点关联关系。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32)支持AI空间学习小助手，包括电脑端和移动端，支持学生在AI空间与所有AI课程的学伴和智能体进行对话，支持查看或设置课程通知是否屏蔽，支持查看当前课程的学习进度和待办学习内容，一键跳转学习。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1.8AI课程门户设计服务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1.8.1门户管理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1)门户主题色支持配置，支持至少6种主题色选择；</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2)支持设置门户风格布局，支持至少四种布局切换；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3)支持门户展示语言切换，至少支持中文、英文两种模式切换。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4)支持上传学校logo,支持选择logo配置位置；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5)支持设置主图样式，至少包括模型展示及自定义图片；支持背景图片设置显示位置；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6)支持设置课程标签、设置课程教师，至少包括教师姓名和头像，支持设置多个教师；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7)支持设置导航颜色为白色或者根据主题色自动适配；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8)支持导航自定义学校logo和课程英文名称；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9)支持设置导航显示模块，包括课程概述、知识模型、能力模型、问题模型、素质模型、AI应用、资源地图，支持修改模块名称，支持拖拽调整模块顺序；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10)支持门户设置数字人展示，支持自定义数字人位置，支持添加至少两个数字人形象进行展示，支持设置数字人教师语音内容，支持设置是否重复播放；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11)支持门户首页配置至少三个页面导航、支持导航名称进行自定义；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12)支持设置导航结构；支持自定义设置首页背景图；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13)支持将增强知识库进行展示，支持设置来自增强知识库分类，支持配置分类名称、自定义封面、自定义跳转链接；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14)支持展示优质知识片段，支持单个添加、删除和批量管理，支持调整知识片段顺序；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15)支持设置是否展示知识图谱、问题图谱、能力图谱；支持设置展示知识体系结构，至少两种展示样式；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16)支持设置知识图谱展示形式，包括展开层级、视图形式；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17)支持设置热门知识点，知识点来源于知识图谱，通过点击热门知识点可直接进入学习空间；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18)支持设置AI指令分组，支持设置分组名称、分组图片。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19)支持门户快速进入工作台和学习空间。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1.8.2课程概述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1)支持设置课程建设成果展示，至少包含资源地图、课程模型、课程荣誉，支持自定义课程成果展示模块；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2)支持设置课程介绍展示页面，至少包括课程背景、课程定位，支持自定义课程介绍展示模块；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3)支持设置教师团队展示模块，支持自定义教师团队展示模块；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4)支持自定义新的课程展示模块，包括模块分组及详细的模块内容。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1.8.2.1建设成果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1.8.2.1.1资源地图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1)支持展示课程资源地图，包括教材、讲义、论文、习题、作业、试卷、视频等类型资源的数量统计；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2)支持资源地图展示视频时长、知识片段数量、课程资源总字数；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1.8.2.1.2课程模型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1)支持展示课程知识模型、问题模型、能力模型、素质模型金字塔；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2)支持展示能力模型的能力点数量、覆盖知识点；支持展示问题模型的问题数量、问答对数量、覆盖知识点数量；支持展示知识模型的知识点数量、学习资源数量、习题数量；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3)支持课程模型展示页面自定义背景图片，包括背景图片显示位置。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1.8.2.1.3课程荣誉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1)支持课程设置荣誉列表，新增课程荣誉；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2)支持至少三种课程荣誉展示图标，支持设置课程荣誉日期、设置相关描述、支持设置课程荣誉图片，支持点击查看大图；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3)支持课程荣誉展示页面自定义背景图片，包括背景图片显示位置。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1.8.2.2课程介绍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1.8.2.2.1课程背景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1)支持课程背景展示页面自定义背景图片，包括背景图片显示位置；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2)支持设置课程背景布局，至少包含图文布局及是否包含底板边框；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3)支持设置课程背景介绍正文及自定义图片。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1.8.2.2.2课程定位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1)支持课程定位展示页面自定义背景图片，包括背景图片显示位置；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2)支持设置课程定位布局，至少包含图文布局及是否包含底板边框；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3)支持设置课程的先修课程、后修课程及课程定位详细介绍；支持设置多个课程标签。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1.8.2.3教师团队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1)支持教师团队展示页面自定义背景图片，包括背景图片显示位置；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2)支持添加课程教师团队成员，包括教师姓名、头像、院系、职称、介绍。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1.8.3知识模型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3)支持选择某节点后，可展开所有下级节点或收起所有下级节点，可调整页面呈现的节点内容和数量；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7)支持知识图谱查看时可根据进行放大缩小，可以查看知识图谱全景；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8)支持知识点已关联的课程视频资源，可查看此资源的详情内容；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9)支持展示AI学习空间，支持知识点生成二维码，扫码可进入手机端AI学习空间；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10)支持在学习空间中与数字人教师进行互动；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11)支持在学习空间观看数字人教师进行PPT讲解；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12)支持在观看教学活动的任务中，学伴自动推送相关知识点内容、知识点习题、关联知识点；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13)支持在门户展示知识点学习数据，包括每一个知识点的学习视频人次和习题作答人次。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1.8.4能力模型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2)支持展示单个能力点的标签、能力描述、知识点数量、学习内容数量；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3)支持展示能力点详细内容，包括能力点的标签、能力描述、知识点名称、知识点关联学习内容；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4)支持能力模型切换不同展现样式查看。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1.8.5问题模型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1)支持展示问题模型，包括问题类型、问题类型描述、问题类型数量及问题关联关系；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2)支持展示单个问题的问题及对应答案，支持展示与其他问题的关联问题，支持展示问题关联的知识点及对应的学习内容。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1.8.6素质模型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1)支持展示素质模型，包括素质点名称、素质点描述、关联的知识点及对应的学习内容；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2)支持素质模型切换不同展现样式查看。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1.8.7AI应用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1)支持展示AI课程应用中心，设置多个应用使用场景，支持每个场景可以设置分组，支持移动调整分组顺序；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2)支持设置AI应用展示页面布局，至少支持瀑布流及宫格展示形式；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3)支持设置每个使用场景初始化时可以直接选择已有指令作为场景展示案例，同时支持自定义增加展示案例；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4)支持场景案例添加案例标题、简短描述、设置案例分组，同时支持设置案例图标，系统需提供内置图标；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5)支持编辑案例内容，包括插入图片、表格、超链接、代码块、公式。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1.8.8资源地图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1)支持展示资源地图，支持知识点旭日图展示包括资源总数，知识片段数量、视频数量、视频导引数量、视频时长、习题数量、覆盖知识点、知识点覆盖率；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2)支持展示热门知识点，至少展示10个热门知识点；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3)支持资源地图按照热门分类、资源类型进行筛选；支持搜索知识片段；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4)支持每一个知识片段展示知识点名称、资源类型、资源分类、片段详细内容，至少包含正文、图片、视频、公式、表格、代码。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1.8.9智能助理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1)支持智能助理，可通过与智能助理对话了解课程建设的内容及课程答疑；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2)支持编辑智能助理，包括修改智能助理名称、设置智能助理开场白，设置智能助理常见问题；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3)支持智能助理设置问答对，智能助理回答问题优先参考标准答案。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1.9AI课程建设实施服务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1)需辅助教师明确AI课程建设目标，根据教师反馈，梳理建课思路；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2)需辅助教师课程素材收集整理，提供教师各种素材的具体格式及注意事项，教师可根据要求上传课程资料；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3)可根据教师提供的相关素材建立课程知识库，基于课程知识库进行增强检索生成、垂直调优；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4)支持提供AI工作台，通过问答评测开展模型评估和调优，优化提示词及提升回复质量，同时后台完整记录反馈数据，持续更新迭代；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5)需记录老师教学过程中的问题，根据问题进一步完善增强模型；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6)需输出AI课程学期使用报告；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7)辅助教师建设AI课程示范案例，进行宣传推广。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1.10系统对接服务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 为方便校内学生进行AI课程学习，需要对接学校统一身份认证系统/教务系统，师生必须将校内工号/学号与平台账号相关联，以确认师生身份；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 需要对接教务系统，并将已确认的开选课信息一次性导入AI课程，并进行定期维护和更新，以保证学生的选课信息准确无误；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 导入的课程会在平台展示页面中有独特标识，并且导入的课程可在数据中心中查看多维度数据统计结果；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 为学习者提供优质的云端网络环境。</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二、面向不同课程个性服务：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明确智慧课程建设目标：沟通需求，深入了解授课教师在教学中的需求痛点及学科和课程特点；目标确立，结合学科定位与课程特点，清晰界定人工智能赋能教育教学的课程升级目标、学科建设整体目标，完成整体建设框架设计；服务配置，根据授课教师反馈，梳理课程建设及学科建设思路，根据教师需求确定后续服务模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2.课程素材收集整理：提供各种素材的具体格式及注意事项；教师根据要求上传课程资料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3建立课程增强模型：根据教师提供的相关素材建立课程知识库；根据课程类型或学科特点建设包括但不限于图片库、公式库、表格库、视频库等类型增强知识库。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4数字人构建：每门课程定制一位教师数字人形象，用于知识点讲解，为学生提供不超过60个精选知识点进行讲解。整个讲解系列将控制在200分钟以内，确保内容精炼且高效。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5个性指令构建：根据课程专业属性，建设课程个性化指令库。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 智能体构建：根据课程专业属性，每门定制不少于三个专属课程智能体；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7知识图谱：课程知识图谱、问题图谱、能力图谱搭建服务，知识图谱层级不超过6级，不超过500个知识点。学科知识图谱搭建服务。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 HTML交互式课件：根据课程专业属性，每门定制不少于五个HTML交互式课件。</w:t>
            </w:r>
          </w:p>
        </w:tc>
        <w:tc>
          <w:tcPr>
            <w:tcW w:w="966" w:type="dxa"/>
            <w:tcBorders>
              <w:top w:val="single" w:color="000000" w:sz="4" w:space="0"/>
              <w:left w:val="single" w:color="000000" w:sz="4" w:space="0"/>
              <w:bottom w:val="single" w:color="000000" w:sz="4" w:space="0"/>
              <w:right w:val="single" w:color="000000" w:sz="4" w:space="0"/>
            </w:tcBorders>
            <w:vAlign w:val="center"/>
          </w:tcPr>
          <w:p w14:paraId="51ED7B3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门</w:t>
            </w:r>
          </w:p>
        </w:tc>
        <w:tc>
          <w:tcPr>
            <w:tcW w:w="950" w:type="dxa"/>
            <w:tcBorders>
              <w:top w:val="single" w:color="000000" w:sz="4" w:space="0"/>
              <w:left w:val="single" w:color="000000" w:sz="4" w:space="0"/>
              <w:bottom w:val="single" w:color="000000" w:sz="4" w:space="0"/>
              <w:right w:val="single" w:color="000000" w:sz="4" w:space="0"/>
            </w:tcBorders>
            <w:vAlign w:val="center"/>
          </w:tcPr>
          <w:p w14:paraId="3AFDD431">
            <w:pPr>
              <w:widowControl/>
              <w:jc w:val="righ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1</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468D27EF">
            <w:pPr>
              <w:rPr>
                <w:rFonts w:hint="eastAsia" w:ascii="宋体" w:hAnsi="宋体" w:cs="宋体"/>
                <w:color w:val="000000" w:themeColor="text1"/>
                <w:szCs w:val="21"/>
                <w:highlight w:val="none"/>
                <w14:textFill>
                  <w14:solidFill>
                    <w14:schemeClr w14:val="tx1"/>
                  </w14:solidFill>
                </w14:textFill>
              </w:rPr>
            </w:pPr>
          </w:p>
        </w:tc>
      </w:tr>
      <w:tr w14:paraId="2514EF07">
        <w:tblPrEx>
          <w:tblCellMar>
            <w:top w:w="0" w:type="dxa"/>
            <w:left w:w="108" w:type="dxa"/>
            <w:bottom w:w="0" w:type="dxa"/>
            <w:right w:w="108" w:type="dxa"/>
          </w:tblCellMar>
        </w:tblPrEx>
        <w:trPr>
          <w:trHeight w:val="208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080F8830">
            <w:pPr>
              <w:widowControl/>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5</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51788A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人文与管理学院2026年智慧课程建设服务项目</w:t>
            </w:r>
          </w:p>
        </w:tc>
        <w:tc>
          <w:tcPr>
            <w:tcW w:w="5405" w:type="dxa"/>
            <w:tcBorders>
              <w:top w:val="single" w:color="000000" w:sz="4" w:space="0"/>
              <w:left w:val="single" w:color="000000" w:sz="4" w:space="0"/>
              <w:bottom w:val="single" w:color="000000" w:sz="4" w:space="0"/>
              <w:right w:val="single" w:color="000000" w:sz="4" w:space="0"/>
            </w:tcBorders>
            <w:vAlign w:val="center"/>
          </w:tcPr>
          <w:p w14:paraId="70138681">
            <w:pPr>
              <w:widowControl/>
              <w:numPr>
                <w:ilvl w:val="0"/>
                <w:numId w:val="13"/>
              </w:numPr>
              <w:jc w:val="left"/>
              <w:textAlignment w:val="center"/>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面向全校提供AI教学平台服务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1.1AI课程模型建设服务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1.1.1知识模型建设服务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1)支持新建课程知识图谱；支持通过表格方式进行知识点导入，根据模板填写完成后点击上传；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2)支持通过本地教材或知识库教材通过人工智能对教材进行碎片化处理及知识点归纳总结，直接生成课程知识图谱；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3)支持基于课程资源，通过人工智能对资源进行碎片化处理及知识点归纳总结，直接生成课程知识图谱，极大地提升教学资源的可视化和结构化程度；支持课程资源更新的同时知识图谱自动更新；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4)支持直接新建专业或课程群知识图谱，也支持通过关联其他已建设的课程知识图谱直接建设课程群知识图谱或专业知识图谱；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6)支持知识图谱自定义视图，通过教师自己拖拽知识点，保存为自定义视图，支持自定义视图中替换视图背景，支持教师统一知识点大小和隐藏根节点；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7)支持自定义视图下，教师自定义节点及其全部子节点的颜色；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8)支持自动生成的知识图谱是可编辑的，教师可以在已生成的知识图谱上进行二次编辑和调整；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9)支持知识图谱查看与编辑页面，首次进入知识图谱默认查看页面；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11)支持选择某节点后，可展开所有下级节点或收起所有下级节点，可调整页面呈现的节点内容和数量；支持根据知识图谱中的知识点层级快捷设置展开层级；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14)支持通过人工智能生成知识点说明，支持人工编辑，至少支持添加图片、表格、代码、公式块、行内公式；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15)支持图谱下载，可按节点层级导出excel文件；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17)支持自定义设置知识点属性：在知识图谱中，允许教师自定义设置知识点的难度系数、知识分类和认知维度等属性；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18)支持从预览模式进入在线编辑模式。支持一位用户在线编辑图谱，不支持多账号同时编辑，图谱显示当前编辑账号头像和姓名；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19)支持知识图谱树状结构、网状结构、环状结构、自定义结构进行编辑；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20)支持知识图谱查看时可进行放大缩小，可以查看知识图谱全景；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21)支持添加多个根节点；支持选择某节点后，可添加同级节点；支持删除知识点，支持知识点跨课程关联；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22)支持选择某节点后，可添加子节点，至少添加十级子节点；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23)导入模板至少包含：节点名称、知识说明、知识分类、认知维度、难度系数、节点关系；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24)支持知识点与课程资源进行关联，支持知识点关联本地资源、知识库资源等，支持“图文”“视频”“讨论”等学习单元，支持对学习单元进行检索；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25)支持已关联的课程资源，可查看此资源的详情内容；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26)支持知识点与课程习题进行关联，可关联课程资源下已建设的资源习题，点击可查看习题详情及答案解析；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27)支持编辑知识点详情，可自定义设置节点名称、知识说明、知识分类、认知维度、难度系数、节点关系；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28)支持知识点添加思政设计，包含思政元素和设计方式；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29)支持根据节点关系生成知识点学习路径；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▲30)支持已经建设的知识图谱发布到教学班中；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31)支持教师可以选择是否开放给学生，选择开放给学生，学生在自己的教学班中就可以查看到对应的知识图谱；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32)支持教师选择是否将发布的教学内容通过人工智能自动匹配知识图谱中的知识点；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33)支持教师查看单个知识点的学习情况，包括：该节点关联课程资源和习题的情况：总数和已发布数量；已完成、进行中、未完成的学生比例；学生的平均掌握度。支持统计单个知识点下每个学生的完成度和掌握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34)支持教师查看班级平均掌握度，按照比例区间展示整个班级的学习进度和平均掌握度，同时给出建议关注知识点。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1.1.2能力模型建设服务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1)支持建设能力模型，包括能力点名称、能力标签、能力描述、关联知识点、对应学习内容，能力标签支持自定义；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3)支持展示单个能力点的标签、能力描述、关联知识点和知识点学习内容；支持跳转到关联的知识点详情界面；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4)支持展示能力点下知识点关联关系；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5)支持通过模板导入能力模型，支持能力模型导出表格；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6)支持能力图谱至少包含树状视图、思维导图、自定义视图；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7)支持自定义视图设置卡片或文字样式，支持设置文字颜色、文字字号，支持设置背景图，支持一键还原系统设置。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1.1.3问答模型建设服务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1)支持建设问题模型，包括问题类型、问题描述、答案描述、关联知识点、对应学习内容；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2)支持跳转到各个问题下关联的知识点详情界面；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3)支持教师将问答反馈意见纳入答案库，进行修改编辑。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1.1.4素质模型建设服务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1)支持手动新建或选择现有模板新建素质图谱；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2)支持建设素质图谱，包括素质点名称、素质描述、关联知识点、对应学习内容；支持跳转到各个素质点下关联的知识点详情界面；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3)支持通过模板导入素质图谱，支持素质图谱导出；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4)支持素质图谱包含不同展现样式。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1.1.5自定义模型建设服务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1)支持建设自定义模型，设置模型名称，设置模型展示方式至少包括：网状、环状、树状、圆环、框架、素质树、思维导图形式。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2)支持通过模板导入自定义图谱，支持自定义图谱导出；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3)支持设置节点名称、标签、自定义节点分类、节点描述以及关联的知识点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1.1.6增强模型建设服务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1.1.6.1课程图片库建设服务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1)支持建设课程图片库，支持对图片进行分类，支持自定义分类；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2)支持对图片进行知识点标记；支持对图片添加文字说明；支持标记图片来源。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1.1.6.2课程公式库建设服务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1)支持建设课程公式库，支持对公式类型进行分类管理，支持自定义分类；同时需对公式进行知识点标记；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2)支持对公式添加文字说明，支持添加公式块或行内公式；支持标记公式来源。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1.1.6.3课程表格库建设服务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1)支持建设课程表格库，支持对表格进行标签分类，支持自定义分类；同时需对表格进行知识点标记；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2)支持表格内上传图片或添加公式，支持对表格添加文字说明；支持标记表格来源。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1.1.6.4课程代码库建设服务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1)支持建设课程代码库，保留代码格式，支持对代码进行分类，同时需对代码进行知识点标记；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2)支持对代码添加代码注释，支持对代码添加流程图或实现效果图；支持标记代码来源。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1.1.6.5课程视频库建设服务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1)支持建设课程视频库，支持对视频进行分类管理，支持对整个视频进行知识点标记；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2)支持对课堂回放视频自动添加课堂回顾标签，支持自定义分类标签；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3)通过人工智能，支持根据视频内容进行分段归纳总结，形成知识导引，同时文字与视频进度一一对应，点击可以进行快速定位；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4)支持对形成的导引进行分类管理，支持对同一视频中的不同导引进行知识点标记；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5)通过人工智能形成课程讲稿，按照时间轴排序，点击讲稿同时对应跳转到视频指定位置；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6)支持修改人工智能生成的视频导引和讲稿。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1.1.6.6课程习题库建设服务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1)支持建设课程习题库，支持对习题进行分类，支持自定义分类标签，同时需对习题进行知识点标记；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2)支持题型至少包括单选题、多选题、判断题、投票题、填空题、主观题等，支持添加答案解析，支持设置习题难度系数；支持编辑、移动、删除题库习题；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3)添加习题支持对题干及选项字体格式进行修改，支持多图上传，支持插入公式，支持编辑包括Python、Java、C++、Php、Vb、ActionScript3等的不少于20门常用代码语言，支持插入音频及附件文件；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4)支持选择是否将题目设为自测题，学生在学习相应知识点内容时可进行习题自测。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1.1.6.7课程专有名词库建设服务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1)支持通过人工智能匹配课程专业或学科属性，自动生成专有名词库，支持对专有名词增加图片或文字解释说明。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1.2AI个性化指令建设服务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1)支持根据课程专业或学科属性，建设课程个性化指令库。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1.3智能体建设服务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1)根据课程专业或学科属性，建设课程个性化智能体。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1.4AI课程数字人建设服务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1)数字人形象根据教师形象进行定制化制作；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2)数字人形象需具备高逼真度，面部表情、动作自然流畅，无明显违和感；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3)支持调整数字人的动作，可选取部分数字人的训练素材对应生成有动作或没有动作的数字人视频；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4)支持实时语音识别与语音合成，实现数字人语音交互功能；至少支持中文、英文两种语言切换；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5)生成数字人语音播报时，支持设置讲稿的语速；设置专有文字内容连读；支持插入停顿，可设置停顿的时间；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6)支持通过上传教师录制的音频来直接生成数字人视频，并实现对口型播报；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7)根据教师提供的课程大纲，进行数字人AI课程内容的设计与制作；根据课程内容需要建设包括但不限于课件、习题、互动环节等；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8)支持将数字人与其讲解的课件内容合成新的课程讲解视频，并支持选择是否显示字幕、数字人讲解倍速、设置视频背景色、数字人的显示比例等。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1.5AI教学应用场景建设服务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1)需支持知识库管理功能，支持上传pdf格式的教学资源，上传的资源可进行切片处理，同时需提供开关控制功能，教师能够决定每个文档是否启用切片解析功能，支持上传失败的文件重试解析；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2)支持按照电子教材、讲义课件、相关论文、习题试卷、往年作业、相关案例、其他资料等分类上传资源；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3)支持上传视频、音频、文档（包括PPT、PDF、DOC、TXT、PNG等）等教学资源；视频支持上传MP4、MKV、MOV、AVI、WMV等通用格式视频，上传后自动转码，支持在线预览；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4)支持自定义文件分类，支持二级文件分类，支持删除、移动与重命名文件分类；支持每一个分类下可以查看已处理的资源数量、上传资源数量、最近更新时间；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5)支持知识库查看文件数量、图片提取数量、音视频时长、解析字符总数；支持查看总体知识切片数量，公式数量、图片数量、表格数量；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6)支持上传的资源可以查看文件名称、处理状态、字符数、文件大小、上传时间；支持上传的资源可以选择是否启用；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7)支持对上传的资源进行删除、重命名和移动所在分类；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8)支持关联已有的课程资源，包括已建设的课程资源和教学班发布的教学内容；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9)支持教师从个人云盘中一键导入教学资源，支持批量选择一个或多个文件导入知识库中。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1.5.2智能学伴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1)基于课程模型进行知识答疑，满足学生在任何时间的学习需求，无论是基础知识还是拓展知识，学生随时都可以向系统提问，获得及时的解答；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2)支持智能学伴的个性化配置，包括学伴名称、头像、性格特点、说话风格等角色特点；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3)支持教师设置智能学伴开场白，方便学生能快速理解学伴功能；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4)支持教师设置智能学伴推荐问题，方便学生快速选择常见问题；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5)支持教师端进行智能学伴问答，支持教师根据智能学伴回答的问题进行反馈，持续优化智能学伴回答问题的准确度；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6)支持教师填写智能学伴回答反馈意见，至少包括具体问题及正确回答，同时支持设置是否将反馈回答加入答案库，用于后续相同问题的答案；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7)支持教师提交反馈意见后进行修改，修改后可再次提交，支持教师删除反馈意见；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8)支持开展多个会话，保留历史会话，同时也可进行历史会话删除；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9)支持学生发送语音与智能学伴对话；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10)支持学生与智能学伴对话上传文件(至少10个，每个文件大小不低于 15MB)，支持 pdf、doc、docx、xlsx、ppt、txt、md、csv、py、图片等；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11)支持智能学伴语音回答问题，支持教师设置语音播报音色，系统内置音色或定制专属音色；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▲12)支持教师设置智能学伴虚拟形象，支持动画虚拟形象或定制专属形象；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13)支持在智能学伴中进行指令管理，包括移动或删除指令，创建新的指令分组；支持拖拽调整指令顺序；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14)支持AI绘图，通过描述生成图片；支持代码绘图，通过Python代码绘制曲线；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15)支持联网检索，支持回答问题的同时联网检索资源进行补充回答；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16)支持图片检索，在图片检索中，根据学伴提问，精准匹配图片；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17)支持多轮对话，有上下文记忆功能，用于测试知识点学习、问卷调查、医患问诊等场景，根据学生问题或选择进行持续对话；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18)支持智能学伴回答完毕后，给用户展示至少3个推荐问题，让用户能够继续提问。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19)支持智能学伴回答完毕后，展示增强模型的知识碎片。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1.5.3智能批改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1)至少内置两个智能批改评分标准，包括评分项目、详细指标、指标权重；支持教师将系统内置模板复制到教师本人的批改规则下并调整修改；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2)需支持智能批改，支持教师设置多个批改规则，包含评分项目，详细指标，指标权重从而计算出评价分数，同时支持是否开启智能点评，教师可设置点评方向和点评风格；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3)支持教师设置智能批改评分标准后进行测试，包括设置分值、题目、参考答案或通过人工智能生成参考答案、最后填写作答内容进行批改测试，通过智能批改的测试查看是否需要调整评分标准；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4)支持教师可以通过批改测试选择不同的批改规则进行调试智能批改效果；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5)支持教师发布主观题到教学班，支持教师进入教学班中选择是否进行智能批改，包括选择智能批改的评分标准、是为当前学生进行智能批改或全班学生进行批改；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6)支持教师选择批注的身份，包括智能批注助手或当前教师本人；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7)支持教师选择智能批改完成后是否需要经过教师审核，如不需审核，将直接生成批注和评语发送给学生，学生分数仅供参考，实际分数需要教师手动打分；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选择不同的智能批改规则，对学生的作业进行在线智能批改，生成评分与评语；支持选中部分的作业文本逐条展示对应的AI详细批注、改进建议等，支持根据教师设定的智能批改规则显示每项细则的详细评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9)支持教师对智能批改不满意后选择重新批改；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10)支持保留教师多次批改记录，教师可查看历史批改效果；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11)支持AI课程组教师使用自己的智能批改规则或将规则共享到课程组，支持教师查看全部智能批改规则、分别查看我的和其他教师共享的规则，支持查看每个智能批改规则的创建人和最近编辑人；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12)新建批改规则，支持至少建设文章批改、通用批改、编程批改三类规则，根据批改分类不同，使其更适用于当前批改场景；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13)编程类型批改至少支持5种常见编程语言，包括但不限于Python、JavaScript、C、C++、Java；支持教师自定义编辑编程批改规则，包括评分项目、详细指标、权重；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14)支持教师编辑大模型的输出要求，调试智能批改规则效果的时候，支持预览实际给到大模型的提示词，支持查看大模型返回的未经处理的原格式内容，以便于教师修改智能批改规则；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15)支持对学生上传的pdf、word、图片文件进行智能批改；支持批量下载教师智能批改后带批注的文件，展示按照智能批改规则批改的详细批注、改进建议等。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1.5.4智能备课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1)支持教师在网页端进行在线文档备课，支持创建多个在线文档，在线文档自动保存，支持插入图片、代码、链接、表格等多种格式内容；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2)支持教师查看在线文档大纲；支持向备课助手发送文字和图片、文件（包括pdf、doc、docx、xlsx、ppt、txt、md、csv、py等）；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3)支持备课助手将生成的内容一键插入到在线文档中，无需复制粘贴；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4)支持教师填写备课助手反馈意见，包括不满意的原因、具体描述或更好的回答；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5)支持教师查看与备课助手的历史对话或开展新对话；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6)支持智能备课助手生成在线文档后，支持导出为本地word文档；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7)支持教师将在线备课文档编辑完成后，直接发布到教学班；支持教师设置发布时间、是否计入考核、考核截止时间、是否允许评论、是否微信消息提醒；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需支持在PPT插件中，根据选中文字，AI生成案例，生成的案例可以一键插入PPT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需支持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需支持在PPT插件中，选中需要翻译的文字翻译，同时翻译后的内容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11)支持在PPT插件中选择AI课程建设的增强模型的知识片段资源，支持按照课程和知识点进行筛选，支持预览图文结合的知识点片段并一键插入到PPT中；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▲12)支持在PPT插件中选择AI课程建设的增强模型中的视频资源，，支持按照课程和知识点进行筛选，支持预览视频并一键插入到PPT中；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13)支持在PPT插件中选择AI课程建设的增强模型的题目资源，支持按照课程和知识点进行筛选，支持预览题目内容和答案解析并一键插入到PPT中，支持放映PPT时，将题目发送给学生进行作答。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14)支持在PPT插件中选择AI课程建设的增强模型中的论文资源，支持按照课程和知识点进行筛选，支持预览论文片段并一键插入到PPT中；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在PPT插件中选择出题规则，支持根据知识点进行出题，或根据自定义要求进行出题，至少包括设置题型、设置题目数量、设置题目难度、设置知识点，设置多个出题要求，AI生成的题目教师可以选择插入题库或直接插入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1)支持在教师备课时，在PPT中插入课堂AI互动设计，包括在固定PPT页面加入召唤智能体，设置在放映PPT中需要召唤可对话的智能体；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2)支持在教师备课时，在PPT中插入课堂AI互动设计，包括在固定PPT页面加入发送智能体，设置在放映PPT中需要发送预置智能体给学生，学生进行对话；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3)支持在教师备课时，在PPT中插入课堂AI互动设计，包括在固定PPT页面加入智能汇报，包括设置汇报的主题，汇报的时长、智能点评的规则。</w:t>
            </w:r>
          </w:p>
          <w:p w14:paraId="1814D63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1.5.5智能课堂助手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1)支持在授课过程中，通过PPT唤起智能课堂助手，支持语音控制唤起智能课堂助手；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2)支持通过智能课堂助手进行AI对话，支持语音对话，支持将智能课堂助手生成的内容直接发送给学生；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3)支持教师设置智能课堂助手常用指令，可以快速通过调用指令进行快捷提问；支持教师在课堂中快速调起智能体进行对话；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4)支持通过语音控制智能课堂助手开启弹幕和随机点名，支持语音控制关闭弹幕和停止随机点名；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5)授课放映PPT过程中，支持截图PPT部分内容与智能课堂助手互动，实现知识讲解、自由对话等能力，教师可将智能课堂助手的回答内容一键发送给学生；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7)支持教师实时查看所有发布的AI对话任务的发布时间、累计用时、启动人数、未开始人数；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8)支持智能课堂助手实时记录教师授课内容；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9)支持课上实时显示教师讲稿内容，供学生课上回顾；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10)支持教师课上发起分组讨论活动，支持系统自动分组和学生自由分组；学生分组讨论完成后AI自动总结分组讨论的内容，并分析分组讨论中的学生参与情况，包括分析积极发言的学生、有效参与讨论的学生；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支持在管理后台设置点评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12)支持查看已汇报的学生列表，包括汇报人姓名、用时、AI点评内容；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14)支持导出AI生成的课堂思维导图；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15)支持教师编辑AI生成的讲稿；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16)支持教师在后台配置智能课堂助手相关信息，内置至少3种角色可供切换选择，同时支持教师自定义配置，包括角色形象、性别、回答语言、输出声音音频、人物特点、回答风格等，支持预览查看配置效果；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智能课堂助手支持至少15种回答语言切换，包括但不限于中文、英文、粤语、日语、印尼语、马来语等，支持在课堂授课过程中，教师可以通过多语言与智能课堂助手进行语音对话，至少包含中文、英文、中英文混合、粤语、日语五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18)支持设置智能课堂助手截图与AI对话的快捷指令，如知识点讲解、案例生成、讨论话题生成等；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19)支持对授课过程中发送给学生的题目进行作答情况和结果分析，包括作答人次、正确/错误人次、选项作答情况等，分析每个选项以及整个题目的错误原因，帮助教师提供教学改进建议。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1.5.6智能出题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1)支持根据知识点出题，教师可设置知识点、难度系数、题目数量、题目类型和具体出题要求，支持设置多个出题要求；</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2)支持手动输入或筛选已有的知识点进行出题；支持选择多个知识点进行出题；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3)支持教师设置至少包含判断题、填空题、主观题、单选题、多选题。其中单选题和多选题支持设置选项数量；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4)支持生成的题目至少包含题干、答案、解析；支持生成的每个题目直接加入教师题库；支持将当前生成的题目批量加入题库；支持一键前往教师题库；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5)支持将AI生成的题目加入教师题库时，可以选择关联知识点；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6)支持生成的题目可直接进行编辑，包括题干、选项、答案、解析，可新增选项；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7)支持教师根据AI出的每道题目分别进行意见反馈，支持AI根据教师反馈意见进行持续优化，支持查看历史出题记录；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8)支持教师自定义出题要求和模板，支持教师设置多个出题模板；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9)支持根据视频内容，智能出题，同时将题目一键插入到对应的知识点，同时支持教师修改题干、选项、答案、解析；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10)教师可设置学生答对题目才能继续观看视频，学生观看视频时，根据教师的设置答题后可继续观看视频；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11)支持AI根据课件内容，智能出题，AI可推荐各题目插入的课件位置，支持将单个题目和所有题目一键插入到对应课件位置，支持教师在课件中修改题干、选项、答案、解析。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1.5.7智能资源推荐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1)支持根据学生提问的知识点或者材料要求，智能进行资源推荐；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2)支持资源智能推荐时，可推荐清华大学等双一流高校以及国外的优质的MOOC视频，免费内置不少于5000门完整慕课课程视频、200000条视频文件，每条视频时长5-15分钟；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3)支持联网检索相关学习资源，包括视频、论文等；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4)支持教师设置知识库中的资源是否被推荐，包含关联资源、电子教材、讲义课件、相关论文、相关案例或其他资料；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5)支持教师设置资源推荐开放的应用，开放后，学生在使用时可以进行资源推荐；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6)支持教师可在工作台进行资源推荐与检索，方便教师进行备课资源收集；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7)支持教师设置指定网站进行资源检索和推荐；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8)支持资源检索和推荐中通过教师的历史搜索，推荐联想的搜索，方便教师进行快速定位；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9)支持结果按照视频、论文、教材、案例、论坛进行分类筛选；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10)支持智能分析检索的问题，整理搜索结果，生成智能回答。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1.5.8.1自定义智能体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1)支持创建角色扮演类型智能体；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2)支持设置智能体基本信息，包含智能体标题、自定义智能体头像、添加智能体说明；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3)支持设置智能体使用场景，包括对话场景、场景描述。AI角色、使用者角色及AI人设信息；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4)支持设置不同智能体的语音输入和语音输出，支持设置输出语言，至少支持中文和英文，支持设置输出语言的音色并支持试听；</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5)支持为每个智能体单独配置基座大模型；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根据智能体设置的个性化需求，设置智能体对话框的颜色效果，如红色、蓝色、绿色等；支持选择不同的背景图样式，支持自定义上传背景图并调整显示位置；支持智能体对话框颜色和背景图设置效果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7)支持智能体对话设置，支持设置开场白；设置智能体推荐问题，推荐问题可以直接进行交互；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8)支持单独设置智能体的专属知识库，加强智能体的角色信息和角色资料；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9)支持设置智能体对话结束判断，使用者触发结束判断后，自动结束对话，支持设置多个对话结束判断，支持拖拽调整结束判断；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10)支持智能体对话评价设置，支持添加多个考核项并设置各考核项分值，支持设置评价内容的输出格式，智能体将在对话结束后按照评价格式和考核项进行评价；</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11)支持智能体效果测试，教师可以通过配置的过程直接进行测试；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12)支持设置智能体共享到AI课程，支持将智能体发布到教学班，学生在教学班与智能体进行对话；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13)支持教师分享智能体的链接，允许校内学生或校外用户通过链接使用该智能体；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14)支持设置智能体权限，支持智能体共享到课程中时，可以选择共享人员及共享权限，包括可编辑、可管理、可调试；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15)支持设置智能体分组，支持设置自定义分组；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1.5.8.2第三方智能体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将设置好的第三方智能体添加进AI课程，支持教师在AI课程中自定义该第三方智能体的头像、名称、显示logo；支持语音输入和语音输出；支持将第三方智能体发布到教学班，师生可在各场景中使用第三方智能体并记录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1.5.8.3AI讨论智能体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讨论智能体，支持配置智能体专属知识库，设置智能体知识库配置，包括相似度，召回碎片数量、增强检索方式；配置智能体回复范围至少包括：教师发帖、学生发帖、教师评论及回复、学生评论及回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1.5.8.4AI陪练智能体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设置AI陪练智能体，可设置在学习空间选择AI出题、自测题、混合出题给学生进行陪练；支持设置难度顺序为随机或自测题按难度从低到高出现，低难度题目做对会进入下一难度题目，做错进入同难度题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2)支持AI陪练设置先修知识点校验，自定义作答次数后视为完成；支持设置根据学生学习过程数据进行个性化推荐；支持针对不同的题型设置作答次数和是否显示答案解析；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1.5.8.5AI考官智能体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考官智能体，用于学生知识点测评和输出评价报告，包括设置智能体头像、开场白，至少支持中英文两种语言切换，支持配置智能体专属知识库，设置智能体知识库配置，包括相似度，召回碎片数量、增强检索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2)支持自行选择知识点进行练习，支持多次会话练习，完成答题后，自动生成总结报告，包括作答题目数、正确率，不同难度等级题目正确率，薄弱点、优势及学习建议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 “自测题与 AI 出题混合模式”，且策略优先级配置为 “自测题优先”；同时需支持 “只使用自测题”“只使用 AI 出题” 两种备选策略。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4)至少支持两种级别知识点推题，支持按 3 级知识点进行精细化推题或按 2 级知识点推题。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5)至少具备两种自适应难度升级机制，答对题目后自动升级难度直至答错；或保持难度不变至所有题目做完。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6)至少具备两种自适应难度降级机制，答错题目后自动降低难度直至答对；或保持难度不变至所有题目做完。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7)支持教师按照学生下载答题数据，包括课程下多个班级的学生答题数据，每个学生的最后答题时间、知识点、题目数量及其正确率。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1.5.9AI作业</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1)支持在作业中设置作业要求，配置智能体，学生通过与智能体对话进行作业作答，通过智能体评价作为AI作业得分；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学生在AI作业作答中，查看智能体场景信息，包括智能体角色，学生本次作业角色，支持学生多次与智能体进行对话和上传附件，支持提交智能体对话的内容作为作业作答，提交后智能体进行评价，显示本次作业得分，对话轮次，并根据智能体评价方向进行点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1.5.10教学工具箱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3)支持课程建设教学工具箱，且提供多种教学工具，至少包括基础医学、预防医学、临床医学、药学、护理学养老服务管理、智能医学工程专业的相关的HTLM课件；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4)支持教师上传自己的教学工具，可共享到AI课程中，供教师团队使用。支持设置工具头像、工具名称、工具介绍、上传HTML文件。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1.5.11教学运行数据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1.5.11.1知识图谱数据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1)支持查看知识图谱建设与发布情况，包含自测习题数量、自测题知识点覆盖率、学习单元数量、学习单元知识点覆盖率；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2)支持查看知识图谱资源发布与未发布对比图，包括视频、图文、讨论、作业、考试、课件、自测题；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3)支持查看知识图谱中总知识点数量、发布内容的知识点数量、学生学习知识点数量漏斗图；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4)支持查看本周学习人数及对比上周学习人数上升下降百分比；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5)支持查看本周学习知识点数及对比上周学习知识点数量上升下降百分比；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6)支持查看班级知识点完成概况，已完成占比、未开始占比、进行中占比；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7)支持查看完成知识点的学习类型分布，将按照学习单元的类型分别统计每个类型的占比；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8)支持查看知识点完成情况分析，按照100%、80%、60%、0%进行筛选；同时不同百分比通过不同颜色标识；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9)支持查看学生未开始的知识点；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按照知识点查看学生的掌握度、对应的教学内容、未开始学生人数、进行中学生人数、已完成学生人数、完成率、自测题数量、未作答学生人数、已作答学生人数、自测题完成率、自测题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11)支持按照学生查看学生姓名、学号、知识点掌握率、知识点学习内容未开始数量、进行中数量、完成数量、知识点完成率、自测题作答情况、正确数量、正确率；支持导出表格；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12)支持统一导出每个学生在每个知识点下的完成率、习题正确率、掌握率明细数据。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1.5.11.2AI使用数据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智能学伴使用明细数据，包括提问者姓名、教学班名称、问答内容、提问入口、提问时间；支持按照时间周期、班级学期、班级名称、提问角色、问题属性、反馈情况进行筛选；支持按照提问者姓名或提问内容进行搜索；支持导出智能学伴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1)支持以学生维度汇总查看智能学伴使用详情，包括学生姓名、学号、所在班级名称、学伴提问次数、使用时长，支持以学生维度查看学伴互动明细；支持导出以学生维度汇总的数据；支持删除学生提问数据。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智能体使用明细数据，包括提问者姓名、班级名称、问答内容、提问入口、提问时间；支持按照时间周期、班级学期、班级名称、提问角色、智能体标题进行筛选；支持按照提问者姓名或提问内容进行搜索；支持导出智能体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3)支持查看智能备课助手明细数据，包括教师姓名、问答内容、提问入口、提问时间；支持按照时间周期筛选；支持按照教师姓名或问答内容进行检索；支持导出智能备课助手使用明细；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教师在课堂授课过程中和智能课堂助手的问答明细，包括授课教师姓名、班级名称、课堂名称、问答内容、课堂提问时间；支持按照时间周期、班级学期、班级名称进行筛选；支持按照课堂名称、授课教师姓名或问答内容进行检索；支持导出智能课堂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AI应用使用数据的统一查看管理界面，支持切换查看各AI应用的使用数据明细记录，包括智能学伴、智能备课助手、智能课堂助手、智能体、知识图谱等，支持按照使用时间、班级、互动者姓名、互动关键词等维度进行筛选或搜索，支持查看每条记录的AI互动详情；</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6)支持智能学伴应用洞察，包括按照班级所属学期、教学班名称进行筛选；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7)支持查看智能学伴师生使用概况，包括使用总次数、覆盖班级数、教师数、使用学生数、选课学生数、学生使用率、学生使用次数、学生平均使用次数、学生使用时长、学生平均使用时长等数据；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8)支持查看智能学伴高频问题，可按照问题类型进行筛选，支持查看不同问题类型的提问次数与百分比；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9)支持指令分析，包含指令条数、学生使用指令条数、指令详情、学生使用次数等；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10)支持查看常问教学活动、对应活动提问次数、学生提问入口、占比与次数可视化展示；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11)支持查看智能学伴学生使用趋势，可视化展示使用日期、提问次数、使用时长等数据信息；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12)支持可视化展示智能学伴学生使用时间统计热力图；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13)支持展示智能学伴学生反馈情况，包括学生使用次数、未反馈、满意、不满意次数与百分比；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14)支持展示智能学伴学生使用排名，包括学生姓名、所属学院、行政班、提问次数、使用时长等信息；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15)支持统一导出每个学生的学习过程数据，包括日常学习数据与AI使用数据。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1.5.11.3AI教学分析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1)支持AI分析教学数据，支持快捷展示需教师关注的重点学生，包括缺勤学生、薄弱学生、进度滞后学生等；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2)支持AI快捷分析课程进展，给出动态教学建议；支持教师快捷前往班级教学活动详情界面；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3)支持教师与AI教学分析助手对话，为教师提供教学优化建议；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4)支持AI根据教师能力图谱与班级学习内容，自动生成学生能力评估模型，根据各能力的权重、评估方式、关联的知识点、关联的学习内容数量与占比，AI自动生成教学改进建议；支持统计班级能力整体达成度；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5)支持教师快捷查看班级教学明细，包括学习单元的发布情况、学生完成情况统计与详情查看；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6)支持统计各个能力的达成度并以雷达图展示，支持AI自动生成教学实施分析建议；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7)支持统计综合能力的发展趋势，AI自动生成每周对比分析；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8)支持AI生成单项能力的分析，包括各项能力的达成度、权重与计算方式，支持AI自动生成单项能力达成度的每周变化趋势与对比分析；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9)支持散点图形式可视化展示学生能力分布，AI自动生成学生表现及建议，支持统计学生能力排名。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10)支持教师手动修改评估模型，包括评估能力权重、评估方式及其占比，新增评估方式，评估方式关联的学习内容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1.5.11.4学生画像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1)支持查看学生综合画像，支持统计班级活跃学生数量与占比、使用AI学生数量与占比、人均使用AI次数、参与学习活动学生数量与占比、人均完成学习活动个数及完成率等数据；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2)支持以雷达图形式统计班级学生整体和学生个人的学习表现情况，包括AI使用情况、学习成绩、能力发展、教学互动、学习完成进度等学习表现，AI根据学习表现情况进行分析与建议；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3)支持以散点图或柱状图形式查看学生成绩分布、学习活动完成率分布、使用AI次数分布情况；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4)支持AI统计分析学生AI使用情况与成绩的关联关系，支持AI分析热门知识点与薄弱知识点，辅助教师调整教学策略；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5)支持按时间查看活跃学生数量的变化趋势，包括使用AI人数、参与学习活动人数；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6)新增学生学情预警独立展示页面，承载学生综合预警、分项预警全维度数据与配置功能；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7)支持展示学生学情预警，至少将学生分为三类：表现突出、表现中等、重点关注学生，支持查看学生人数和占比。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8)支持至少按照成绩、考勤、学习进度、学习互动、习题检测、AI互动六种类型查看需重点关注学生和表现突出学生。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9)支持学生综合预警指标自定义配置，可设置各分项指标的数值范围（可界定指标判定标准）；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预警标签配置项与学生画像标签联动，配置结果同步管控学生学情预警页面、学生综合画像、学生个人画像的标签展示：未勾选的预警分项指标，在所有画像标签中同步隐藏，且画像标签与预警页面共用同一套指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11)支持向学生发送预警提醒，支持设置自动提醒，教师手动选择学生进行消息提醒，支持系统每月初自动根据不同类型需重点关注的学生发送消息提醒。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12)支持展示需教师重点关注学生列表，包括未使用过AI、成绩落后、频繁缺勤的学生等，支持查看需重点关注学生的所有学习记录及个人画像；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14)支持按学期、班级、学习标签、学生姓名、学号筛选或搜索相应学生的学习数据记录，支持按照筛选或搜索结果导出相应数据；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15)支持查看学生个人画像，包括学生姓名、学号、班级、学院、入学年份、学习标签、班级成绩排名、整体学习表现、学习数据、AI使用情况统计与分析、学习动态、知识点完成情况、学习趋势等；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16)支持查看单个学生与AI互动情况的统计分析，包括AI使用次数、AI使用时长、与AI互动的高频词汇等，支持查看该学生的所有AI互动明细记录；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17)支持查看单个学生的学习动态，包括作业、视频、讨论等学习活动的完成和未完成情况及完成率；支持按时间查看该学生的学习趋势，包括使用AI次数和和完成学习活动次数。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1.5.12指令库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1)需支持指令库管理，教师可以设置多种指令卡片，同时支持设置指令分组，可以支持添加分组和管理分组，拖动不同分组位置，筛选查看不同分组的指令；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2)支持教师自定义创建指令，包括指令标题、详细指令内容和短指令，学生端仅展示短指令；支持调试指令效果时查看短指令展示效果；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3)支持指令创建的同时可以进行指令测试方便教师调整指令效果；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4)支持教师设置指令的应用场景，设置后仅在该场景可查看指令，其他场景无法查看该指令；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5)支持设置特殊指令，包含AI绘图、代码绘图、联网检索、图片检索；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1.6AI课程管理建设服务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1)需支持将AI能力应用到教学班，在应用时可以浏览不同学期的教学班，根据教师进行教学班筛选，需支持每个AI功能分别应用到不同的教学班，满足教学设计需要；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2)支持教师分享智能学伴和智能体的使用链接或二维码，支持教师设置扫码时自动推送的欢迎语文案，学生通过链接或二维码可访问智能学伴和智能体并进行对话；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3)支持教师在AI工作台查看AI课程列表，搜索和切换AI课程，方便进行课程的快速管理；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4)需支持一门课程通过功能开关控制知识库是否启用；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5)支持教师通过工作台进入AI课程门户展示页面及编辑页面，支持教师复制门户链接进行分享；</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6)支持设置课程评审专家角色，支持专家免登录即可查看课程工作台。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7)支持AI课程语言切换，至少支持中文和英文两种语言。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8)支持AI课程成员管理，支持添加与删除成员、修改成员的角色权限，支持查看所有成员列表；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每门AI课程单独配置课程的成员权限，内置至少3种成员角色权限；支持设置不同角色的角色名称与AI功能权限范围；支持自定义添加角色并配置AI功能权限；AI功能支持设置至少二级菜单的查看、管理及下载权限，包括但不限于课程模型、课程知识库、AI应用、数据中心、成员管理等，并提供权限范围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1.7学生端AI学习空间建设服务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1)支持课程学习语言切换，至少支持中文和英文两种语言。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2)支持教学班中包含智能学伴，学生进入班级中，无需点击学习单元即可与学伴展开对话；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3)支持智能学伴宽屏显示，支持学生通过教学内容，智能分析教学内容对应的知识点，与智能学伴进行互动交流；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4)支持学生在学习空间与教师发布的智能体进行对话，支持语音输入和输出；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5)支持学生根据老师设定好的指令，通过更改提示语进行快速提问；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6)支持学生在预习教师发布的PPT课件和观看课堂回放时，对当前PPT课件内容不懂，可一键将该课件内容反馈至智能学伴，AI将实时针对当前PPT课件页内容进行智能答疑；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7)在教师授课过程中，学生移动端实时查看教师放映完成及正在放映的PPT课件，针对每一页的课件页内容不懂，可一键将当前课件页发送给AI，AI将实时针对当前PPT课件页进行内容解析并智能答疑；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8)支持学生移动端查看课堂总结报告，至少包括课堂数据分析报告、人工智能生成的课堂思维导图、知识导引、教师讲稿；支持搜索讲稿内容；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9)支持在知识图谱中通过知识点关键词搜索，搜索结果高亮显示；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10)支持学生选择知识点，展示该知识点上的学习内容和知识点详情，包括知识说明、知识分类、认知维度、难度系数；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11)支持学生查看知识点目录，点击快速跳转到其他知识点进行学习；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12)支持学生通过点击某一知识点查看知识点学习路径；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13)支持根据学生的学习进度，知识点有不同的展示效果，帮助学生快速对知识点进行定位；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14)支持学生通过知识图谱进行学习，点击知识点进入AI学习空间，同时展示学习内容与智能学伴，方便学生在学习过程中进行知识点互动问答；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15)支持学生在学习空间观看数字人教师进行课件内容讲解；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16)支持学生手机扫码，快速打开移动端进行知识点学习；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17)支持学生观看视频学习内容时，对当前视频播放内容不懂，可一键将当前视频帧发送至AI，AI将实时针对当前视频帧进行内容解析并智能答疑；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18)支持学生查看人工智能通过视频内容生成的知识导引，进行知识点总结归纳，形成知识点标题，方便学生通过导引快速定位视频；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19)支持学生查看人工智能通过视频内容生成的教师讲稿，按时间轴排序，支持通过知识导引快速定位到教师讲稿，支持讲稿快速定位到视频内容；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20)支持学生查看教师在知识点下的相关教材，预览当前教材内容；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21)支持学生在AI学习空间观看教学活动的任务中，无需学生输入问题，根据教师的教学设计，在不同的时间智能体能自动与学生交互，至少包括推送知识点相关资源，自动为学生出题进行知识点自测；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22)支持学生在学习空间中，遇到不懂的内容，可直接划选文字一键唤起智能学伴进行智能答疑；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23)支持学生提交自测练习题、作业和考试后，对当前题目不懂，可一键将该题目反馈至智能学伴，AI将实时针对当前题目进行智能答疑；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24)支持学生选择知识点进行自测题作答练习时，系统可校验是否答过先修知识点，支持跳转至先修知识点进行答题；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学生选择知识点进行自测题作答练习时，支持AI根据当前知识点、当前学生的成绩等学习过程数据进行个性化智能推题，不限制AI推题数量，支持AI随机推题或按照由易到难的顺序推题；支持AI根据当前知识点推荐其他知识点让学生继续进行自测题练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26)支持根据本次学生自测题作答记录输出AI学习报告；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27)支持学生在AI学习空间中通过智能学伴进行资源智能检索，主要为课程相关的网络教学资源，进行课外教学资源补充学习，资源类型包括知乎、视频等多种途径；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28)支持学生查看自己的知识点完成情况，包括所有知识点的完成情况、单个知识点的完成情况、累计学习时长、习题正确率、题目作答数量；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29)支持在班级讨论区中智能答疑，AI自动回复讨论区问题。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30)支持学生课查看学生个人画像，学生个人的学习表现情况，包括AI使用情况、学习成绩、能力发展、教学互动、学习完成进度等学习表现，AI根据学习表现情况进行分析与建议；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31)支持移动端查看知识图谱，查看知识点的完成情况、学习时长、自测题正确率和作答数量，支持查看知识点关联关系。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32)支持AI空间学习小助手，包括电脑端和移动端，支持学生在AI空间与所有AI课程的学伴和智能体进行对话，支持查看或设置课程通知是否屏蔽，支持查看当前课程的学习进度和待办学习内容，一键跳转学习。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1.8AI课程门户设计服务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1.8.1门户管理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1)门户主题色支持配置，支持至少6种主题色选择；</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2)支持设置门户风格布局，支持至少四种布局切换；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3)支持门户展示语言切换，至少支持中文、英文两种模式切换。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4)支持上传学校logo,支持选择logo配置位置；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5)支持设置主图样式，至少包括模型展示及自定义图片；支持背景图片设置显示位置；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6)支持设置课程标签、设置课程教师，至少包括教师姓名和头像，支持设置多个教师；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7)支持设置导航颜色为白色或者根据主题色自动适配；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8)支持导航自定义学校logo和课程英文名称；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9)支持设置导航显示模块，包括课程概述、知识模型、能力模型、问题模型、素质模型、AI应用、资源地图，支持修改模块名称，支持拖拽调整模块顺序；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10)支持门户设置数字人展示，支持自定义数字人位置，支持添加至少两个数字人形象进行展示，支持设置数字人教师语音内容，支持设置是否重复播放；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11)支持门户首页配置至少三个页面导航、支持导航名称进行自定义；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12)支持设置导航结构；支持自定义设置首页背景图；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13)支持将增强知识库进行展示，支持设置来自增强知识库分类，支持配置分类名称、自定义封面、自定义跳转链接；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14)支持展示优质知识片段，支持单个添加、删除和批量管理，支持调整知识片段顺序；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15)支持设置是否展示知识图谱、问题图谱、能力图谱；支持设置展示知识体系结构，至少两种展示样式；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16)支持设置知识图谱展示形式，包括展开层级、视图形式；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17)支持设置热门知识点，知识点来源于知识图谱，通过点击热门知识点可直接进入学习空间；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18)支持设置AI指令分组，支持设置分组名称、分组图片。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19)支持门户快速进入工作台和学习空间。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1.8.2课程概述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1)支持设置课程建设成果展示，至少包含资源地图、课程模型、课程荣誉，支持自定义课程成果展示模块；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2)支持设置课程介绍展示页面，至少包括课程背景、课程定位，支持自定义课程介绍展示模块；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3)支持设置教师团队展示模块，支持自定义教师团队展示模块；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4)支持自定义新的课程展示模块，包括模块分组及详细的模块内容。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1.8.2.1建设成果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1.8.2.1.1资源地图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1)支持展示课程资源地图，包括教材、讲义、论文、习题、作业、试卷、视频等类型资源的数量统计；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2)支持资源地图展示视频时长、知识片段数量、课程资源总字数；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1.8.2.1.2课程模型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1)支持展示课程知识模型、问题模型、能力模型、素质模型金字塔；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2)支持展示能力模型的能力点数量、覆盖知识点；支持展示问题模型的问题数量、问答对数量、覆盖知识点数量；支持展示知识模型的知识点数量、学习资源数量、习题数量；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3)支持课程模型展示页面自定义背景图片，包括背景图片显示位置。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1.8.2.1.3课程荣誉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1)支持课程设置荣誉列表，新增课程荣誉；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2)支持至少三种课程荣誉展示图标，支持设置课程荣誉日期、设置相关描述、支持设置课程荣誉图片，支持点击查看大图；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3)支持课程荣誉展示页面自定义背景图片，包括背景图片显示位置。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1.8.2.2课程介绍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1.8.2.2.1课程背景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1)支持课程背景展示页面自定义背景图片，包括背景图片显示位置；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2)支持设置课程背景布局，至少包含图文布局及是否包含底板边框；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3)支持设置课程背景介绍正文及自定义图片。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1.8.2.2.2课程定位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1)支持课程定位展示页面自定义背景图片，包括背景图片显示位置；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2)支持设置课程定位布局，至少包含图文布局及是否包含底板边框；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3)支持设置课程的先修课程、后修课程及课程定位详细介绍；支持设置多个课程标签。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1.8.2.3教师团队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1)支持教师团队展示页面自定义背景图片，包括背景图片显示位置；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2)支持添加课程教师团队成员，包括教师姓名、头像、院系、职称、介绍。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1.8.3知识模型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3)支持选择某节点后，可展开所有下级节点或收起所有下级节点，可调整页面呈现的节点内容和数量；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7)支持知识图谱查看时可根据进行放大缩小，可以查看知识图谱全景；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8)支持知识点已关联的课程视频资源，可查看此资源的详情内容；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9)支持展示AI学习空间，支持知识点生成二维码，扫码可进入手机端AI学习空间；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10)支持在学习空间中与数字人教师进行互动；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11)支持在学习空间观看数字人教师进行PPT讲解；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12)支持在观看教学活动的任务中，学伴自动推送相关知识点内容、知识点习题、关联知识点；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13)支持在门户展示知识点学习数据，包括每一个知识点的学习视频人次和习题作答人次。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1.8.4能力模型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2)支持展示单个能力点的标签、能力描述、知识点数量、学习内容数量；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3)支持展示能力点详细内容，包括能力点的标签、能力描述、知识点名称、知识点关联学习内容；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4)支持能力模型切换不同展现样式查看。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1.8.5问题模型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1)支持展示问题模型，包括问题类型、问题类型描述、问题类型数量及问题关联关系；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2)支持展示单个问题的问题及对应答案，支持展示与其他问题的关联问题，支持展示问题关联的知识点及对应的学习内容。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1.8.6素质模型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1)支持展示素质模型，包括素质点名称、素质点描述、关联的知识点及对应的学习内容；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2)支持素质模型切换不同展现样式查看。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1.8.7AI应用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1)支持展示AI课程应用中心，设置多个应用使用场景，支持每个场景可以设置分组，支持移动调整分组顺序；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2)支持设置AI应用展示页面布局，至少支持瀑布流及宫格展示形式；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3)支持设置每个使用场景初始化时可以直接选择已有指令作为场景展示案例，同时支持自定义增加展示案例；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4)支持场景案例添加案例标题、简短描述、设置案例分组，同时支持设置案例图标，系统需提供内置图标；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5)支持编辑案例内容，包括插入图片、表格、超链接、代码块、公式。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1.8.8资源地图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1)支持展示资源地图，支持知识点旭日图展示包括资源总数，知识片段数量、视频数量、视频导引数量、视频时长、习题数量、覆盖知识点、知识点覆盖率；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2)支持展示热门知识点，至少展示10个热门知识点；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3)支持资源地图按照热门分类、资源类型进行筛选；支持搜索知识片段；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4)支持每一个知识片段展示知识点名称、资源类型、资源分类、片段详细内容，至少包含正文、图片、视频、公式、表格、代码。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1.8.9智能助理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1)支持智能助理，可通过与智能助理对话了解课程建设的内容及课程答疑；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2)支持编辑智能助理，包括修改智能助理名称、设置智能助理开场白，设置智能助理常见问题；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3)支持智能助理设置问答对，智能助理回答问题优先参考标准答案。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1.9AI课程建设实施服务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1)需辅助教师明确AI课程建设目标，根据教师反馈，梳理建课思路；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2)需辅助教师课程素材收集整理，提供教师各种素材的具体格式及注意事项，教师可根据要求上传课程资料；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3)可根据教师提供的相关素材建立课程知识库，基于课程知识库进行增强检索生成、垂直调优；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4)支持提供AI工作台，通过问答评测开展模型评估和调优，优化提示词及提升回复质量，同时后台完整记录反馈数据，持续更新迭代；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5)需记录老师教学过程中的问题，根据问题进一步完善增强模型；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6)需输出AI课程学期使用报告；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7)辅助教师建设AI课程示范案例，进行宣传推广。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1.10系统对接服务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 为方便校内学生进行AI课程学习，需要对接学校统一身份认证系统/教务系统，师生必须将校内工号/学号与平台账号相关联，以确认师生身份；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 需要对接教务系统，并将已确认的开选课信息一次性导入AI课程，并进行定期维护和更新，以保证学生的选课信息准确无误；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 导入的课程会在平台展示页面中有独特标识，并且导入的课程可在数据中心中查看多维度数据统计结果；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 为学习者提供优质的云端网络环境。</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二、面向不同课程个性服务：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明确智慧课程建设目标：沟通需求，深入了解授课教师在教学中的需求痛点及学科和课程特点；目标确立，结合学科定位与课程特点，清晰界定人工智能赋能教育教学的课程升级目标、学科建设整体目标，完成整体建设框架设计；服务配置，根据授课教师反馈，梳理课程建设及学科建设思路，根据教师需求确定后续服务模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2.课程素材收集整理：提供各种素材的具体格式及注意事项；教师根据要求上传课程资料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3建立课程增强模型：根据教师提供的相关素材建立课程知识库；根据课程类型或学科特点建设包括但不限于图片库、公式库、表格库、视频库等类型增强知识库。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4数字人构建：每门课程定制一位教师数字人形象，用于知识点讲解，为学生提供不超过60个精选知识点进行讲解。整个讲解系列将控制在200分钟以内，确保内容精炼且高效。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5个性指令构建：根据课程专业属性，建设课程个性化指令库。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 智能体构建：根据课程专业属性，每门定制不少于三个专属课程智能体；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7知识图谱：课程知识图谱、问题图谱、能力图谱搭建服务，知识图谱层级不超过6级，不超过500个知识点。学科知识图谱搭建服务。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 HTML交互式课件：根据课程专业属性，每门定制不少于五个HTML交互式课件。</w:t>
            </w:r>
          </w:p>
        </w:tc>
        <w:tc>
          <w:tcPr>
            <w:tcW w:w="966" w:type="dxa"/>
            <w:tcBorders>
              <w:top w:val="single" w:color="000000" w:sz="4" w:space="0"/>
              <w:left w:val="single" w:color="000000" w:sz="4" w:space="0"/>
              <w:bottom w:val="single" w:color="000000" w:sz="4" w:space="0"/>
              <w:right w:val="single" w:color="000000" w:sz="4" w:space="0"/>
            </w:tcBorders>
            <w:vAlign w:val="center"/>
          </w:tcPr>
          <w:p w14:paraId="0966F93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门</w:t>
            </w:r>
          </w:p>
        </w:tc>
        <w:tc>
          <w:tcPr>
            <w:tcW w:w="950" w:type="dxa"/>
            <w:tcBorders>
              <w:top w:val="single" w:color="000000" w:sz="4" w:space="0"/>
              <w:left w:val="single" w:color="000000" w:sz="4" w:space="0"/>
              <w:bottom w:val="single" w:color="000000" w:sz="4" w:space="0"/>
              <w:right w:val="single" w:color="000000" w:sz="4" w:space="0"/>
            </w:tcBorders>
            <w:vAlign w:val="center"/>
          </w:tcPr>
          <w:p w14:paraId="1852FA48">
            <w:pPr>
              <w:widowControl/>
              <w:jc w:val="righ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6</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34872F5F">
            <w:pPr>
              <w:rPr>
                <w:rFonts w:hint="eastAsia" w:ascii="宋体" w:hAnsi="宋体" w:cs="宋体"/>
                <w:color w:val="000000" w:themeColor="text1"/>
                <w:szCs w:val="21"/>
                <w:highlight w:val="none"/>
                <w14:textFill>
                  <w14:solidFill>
                    <w14:schemeClr w14:val="tx1"/>
                  </w14:solidFill>
                </w14:textFill>
              </w:rPr>
            </w:pPr>
          </w:p>
        </w:tc>
      </w:tr>
      <w:tr w14:paraId="38F68E81">
        <w:tblPrEx>
          <w:tblCellMar>
            <w:top w:w="0" w:type="dxa"/>
            <w:left w:w="108" w:type="dxa"/>
            <w:bottom w:w="0" w:type="dxa"/>
            <w:right w:w="108" w:type="dxa"/>
          </w:tblCellMar>
        </w:tblPrEx>
        <w:trPr>
          <w:trHeight w:val="208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5C294264">
            <w:pPr>
              <w:widowControl/>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6</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05DE9E8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人工智能医学院2026年智慧课程建设服务项目</w:t>
            </w:r>
          </w:p>
        </w:tc>
        <w:tc>
          <w:tcPr>
            <w:tcW w:w="5405" w:type="dxa"/>
            <w:tcBorders>
              <w:top w:val="single" w:color="000000" w:sz="4" w:space="0"/>
              <w:left w:val="single" w:color="000000" w:sz="4" w:space="0"/>
              <w:bottom w:val="single" w:color="000000" w:sz="4" w:space="0"/>
              <w:right w:val="single" w:color="000000" w:sz="4" w:space="0"/>
            </w:tcBorders>
            <w:vAlign w:val="center"/>
          </w:tcPr>
          <w:p w14:paraId="61F4B3C7">
            <w:pPr>
              <w:widowControl/>
              <w:numPr>
                <w:ilvl w:val="0"/>
                <w:numId w:val="14"/>
              </w:numPr>
              <w:jc w:val="left"/>
              <w:textAlignment w:val="center"/>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面向全校提供AI教学平台服务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1.1AI课程模型建设服务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1.1.1知识模型建设服务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1)支持新建课程知识图谱；支持通过表格方式进行知识点导入，根据模板填写完成后点击上传；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2)支持通过本地教材或知识库教材通过人工智能对教材进行碎片化处理及知识点归纳总结，直接生成课程知识图谱；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3)支持基于课程资源，通过人工智能对资源进行碎片化处理及知识点归纳总结，直接生成课程知识图谱，极大地提升教学资源的可视化和结构化程度；支持课程资源更新的同时知识图谱自动更新；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4)支持直接新建专业或课程群知识图谱，也支持通过关联其他已建设的课程知识图谱直接建设课程群知识图谱或专业知识图谱；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6)支持知识图谱自定义视图，通过教师自己拖拽知识点，保存为自定义视图，支持自定义视图中替换视图背景，支持教师统一知识点大小和隐藏根节点；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7)支持自定义视图下，教师自定义节点及其全部子节点的颜色；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8)支持自动生成的知识图谱是可编辑的，教师可以在已生成的知识图谱上进行二次编辑和调整；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9)支持知识图谱查看与编辑页面，首次进入知识图谱默认查看页面；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11)支持选择某节点后，可展开所有下级节点或收起所有下级节点，可调整页面呈现的节点内容和数量；支持根据知识图谱中的知识点层级快捷设置展开层级；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14)支持通过人工智能生成知识点说明，支持人工编辑，至少支持添加图片、表格、代码、公式块、行内公式；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15)支持图谱下载，可按节点层级导出excel文件；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17)支持自定义设置知识点属性：在知识图谱中，允许教师自定义设置知识点的难度系数、知识分类和认知维度等属性；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18)支持从预览模式进入在线编辑模式。支持一位用户在线编辑图谱，不支持多账号同时编辑，图谱显示当前编辑账号头像和姓名；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19)支持知识图谱树状结构、网状结构、环状结构、自定义结构进行编辑；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20)支持知识图谱查看时可进行放大缩小，可以查看知识图谱全景；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21)支持添加多个根节点；支持选择某节点后，可添加同级节点；支持删除知识点，支持知识点跨课程关联；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22)支持选择某节点后，可添加子节点，至少添加十级子节点；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23)导入模板至少包含：节点名称、知识说明、知识分类、认知维度、难度系数、节点关系；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24)支持知识点与课程资源进行关联，支持知识点关联本地资源、知识库资源等，支持“图文”“视频”“讨论”等学习单元，支持对学习单元进行检索；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25)支持已关联的课程资源，可查看此资源的详情内容；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26)支持知识点与课程习题进行关联，可关联课程资源下已建设的资源习题，点击可查看习题详情及答案解析；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27)支持编辑知识点详情，可自定义设置节点名称、知识说明、知识分类、认知维度、难度系数、节点关系；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28)支持知识点添加思政设计，包含思政元素和设计方式；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29)支持根据节点关系生成知识点学习路径；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▲30)支持已经建设的知识图谱发布到教学班中；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31)支持教师可以选择是否开放给学生，选择开放给学生，学生在自己的教学班中就可以查看到对应的知识图谱；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32)支持教师选择是否将发布的教学内容通过人工智能自动匹配知识图谱中的知识点；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33)支持教师查看单个知识点的学习情况，包括：该节点关联课程资源和习题的情况：总数和已发布数量；已完成、进行中、未完成的学生比例；学生的平均掌握度。支持统计单个知识点下每个学生的完成度和掌握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34)支持教师查看班级平均掌握度，按照比例区间展示整个班级的学习进度和平均掌握度，同时给出建议关注知识点。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1.1.2能力模型建设服务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1)支持建设能力模型，包括能力点名称、能力标签、能力描述、关联知识点、对应学习内容，能力标签支持自定义；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3)支持展示单个能力点的标签、能力描述、关联知识点和知识点学习内容；支持跳转到关联的知识点详情界面；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4)支持展示能力点下知识点关联关系；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5)支持通过模板导入能力模型，支持能力模型导出表格；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6)支持能力图谱至少包含树状视图、思维导图、自定义视图；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7)支持自定义视图设置卡片或文字样式，支持设置文字颜色、文字字号，支持设置背景图，支持一键还原系统设置。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1.1.3问答模型建设服务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1)支持建设问题模型，包括问题类型、问题描述、答案描述、关联知识点、对应学习内容；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2)支持跳转到各个问题下关联的知识点详情界面；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3)支持教师将问答反馈意见纳入答案库，进行修改编辑。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1.1.4素质模型建设服务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1)支持手动新建或选择现有模板新建素质图谱；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2)支持建设素质图谱，包括素质点名称、素质描述、关联知识点、对应学习内容；支持跳转到各个素质点下关联的知识点详情界面；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3)支持通过模板导入素质图谱，支持素质图谱导出；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4)支持素质图谱包含不同展现样式。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1.1.5自定义模型建设服务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1)支持建设自定义模型，设置模型名称，设置模型展示方式至少包括：网状、环状、树状、圆环、框架、素质树、思维导图形式。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2)支持通过模板导入自定义图谱，支持自定义图谱导出；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3)支持设置节点名称、标签、自定义节点分类、节点描述以及关联的知识点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1.1.6增强模型建设服务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1.1.6.1课程图片库建设服务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1)支持建设课程图片库，支持对图片进行分类，支持自定义分类；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2)支持对图片进行知识点标记；支持对图片添加文字说明；支持标记图片来源。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1.1.6.2课程公式库建设服务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1)支持建设课程公式库，支持对公式类型进行分类管理，支持自定义分类；同时需对公式进行知识点标记；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2)支持对公式添加文字说明，支持添加公式块或行内公式；支持标记公式来源。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1.1.6.3课程表格库建设服务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1)支持建设课程表格库，支持对表格进行标签分类，支持自定义分类；同时需对表格进行知识点标记；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2)支持表格内上传图片或添加公式，支持对表格添加文字说明；支持标记表格来源。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1.1.6.4课程代码库建设服务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1)支持建设课程代码库，保留代码格式，支持对代码进行分类，同时需对代码进行知识点标记；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2)支持对代码添加代码注释，支持对代码添加流程图或实现效果图；支持标记代码来源。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1.1.6.5课程视频库建设服务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1)支持建设课程视频库，支持对视频进行分类管理，支持对整个视频进行知识点标记；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2)支持对课堂回放视频自动添加课堂回顾标签，支持自定义分类标签；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3)通过人工智能，支持根据视频内容进行分段归纳总结，形成知识导引，同时文字与视频进度一一对应，点击可以进行快速定位；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4)支持对形成的导引进行分类管理，支持对同一视频中的不同导引进行知识点标记；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5)通过人工智能形成课程讲稿，按照时间轴排序，点击讲稿同时对应跳转到视频指定位置；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6)支持修改人工智能生成的视频导引和讲稿。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1.1.6.6课程习题库建设服务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1)支持建设课程习题库，支持对习题进行分类，支持自定义分类标签，同时需对习题进行知识点标记；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2)支持题型至少包括单选题、多选题、判断题、投票题、填空题、主观题等，支持添加答案解析，支持设置习题难度系数；支持编辑、移动、删除题库习题；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3)添加习题支持对题干及选项字体格式进行修改，支持多图上传，支持插入公式，支持编辑包括Python、Java、C++、Php、Vb、ActionScript3等的不少于20门常用代码语言，支持插入音频及附件文件；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4)支持选择是否将题目设为自测题，学生在学习相应知识点内容时可进行习题自测。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1.1.6.7课程专有名词库建设服务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1)支持通过人工智能匹配课程专业或学科属性，自动生成专有名词库，支持对专有名词增加图片或文字解释说明。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1.2AI个性化指令建设服务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1)支持根据课程专业或学科属性，建设课程个性化指令库。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1.3智能体建设服务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1)根据课程专业或学科属性，建设课程个性化智能体。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1.4AI课程数字人建设服务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1)数字人形象根据教师形象进行定制化制作；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2)数字人形象需具备高逼真度，面部表情、动作自然流畅，无明显违和感；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3)支持调整数字人的动作，可选取部分数字人的训练素材对应生成有动作或没有动作的数字人视频；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4)支持实时语音识别与语音合成，实现数字人语音交互功能；至少支持中文、英文两种语言切换；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5)生成数字人语音播报时，支持设置讲稿的语速；设置专有文字内容连读；支持插入停顿，可设置停顿的时间；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6)支持通过上传教师录制的音频来直接生成数字人视频，并实现对口型播报；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7)根据教师提供的课程大纲，进行数字人AI课程内容的设计与制作；根据课程内容需要建设包括但不限于课件、习题、互动环节等；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8)支持将数字人与其讲解的课件内容合成新的课程讲解视频，并支持选择是否显示字幕、数字人讲解倍速、设置视频背景色、数字人的显示比例等。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1.5AI教学应用场景建设服务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1)需支持知识库管理功能，支持上传pdf格式的教学资源，上传的资源可进行切片处理，同时需提供开关控制功能，教师能够决定每个文档是否启用切片解析功能，支持上传失败的文件重试解析；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2)支持按照电子教材、讲义课件、相关论文、习题试卷、往年作业、相关案例、其他资料等分类上传资源；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3)支持上传视频、音频、文档（包括PPT、PDF、DOC、TXT、PNG等）等教学资源；视频支持上传MP4、MKV、MOV、AVI、WMV等通用格式视频，上传后自动转码，支持在线预览；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4)支持自定义文件分类，支持二级文件分类，支持删除、移动与重命名文件分类；支持每一个分类下可以查看已处理的资源数量、上传资源数量、最近更新时间；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5)支持知识库查看文件数量、图片提取数量、音视频时长、解析字符总数；支持查看总体知识切片数量，公式数量、图片数量、表格数量；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6)支持上传的资源可以查看文件名称、处理状态、字符数、文件大小、上传时间；支持上传的资源可以选择是否启用；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7)支持对上传的资源进行删除、重命名和移动所在分类；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8)支持关联已有的课程资源，包括已建设的课程资源和教学班发布的教学内容；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9)支持教师从个人云盘中一键导入教学资源，支持批量选择一个或多个文件导入知识库中。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1.5.2智能学伴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1)基于课程模型进行知识答疑，满足学生在任何时间的学习需求，无论是基础知识还是拓展知识，学生随时都可以向系统提问，获得及时的解答；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2)支持智能学伴的个性化配置，包括学伴名称、头像、性格特点、说话风格等角色特点；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3)支持教师设置智能学伴开场白，方便学生能快速理解学伴功能；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4)支持教师设置智能学伴推荐问题，方便学生快速选择常见问题；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5)支持教师端进行智能学伴问答，支持教师根据智能学伴回答的问题进行反馈，持续优化智能学伴回答问题的准确度；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6)支持教师填写智能学伴回答反馈意见，至少包括具体问题及正确回答，同时支持设置是否将反馈回答加入答案库，用于后续相同问题的答案；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7)支持教师提交反馈意见后进行修改，修改后可再次提交，支持教师删除反馈意见；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8)支持开展多个会话，保留历史会话，同时也可进行历史会话删除；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9)支持学生发送语音与智能学伴对话；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10)支持学生与智能学伴对话上传文件(至少10个，每个文件大小不低于 15MB)，支持 pdf、doc、docx、xlsx、ppt、txt、md、csv、py、图片等；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11)支持智能学伴语音回答问题，支持教师设置语音播报音色，系统内置音色或定制专属音色；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▲12)支持教师设置智能学伴虚拟形象，支持动画虚拟形象或定制专属形象；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13)支持在智能学伴中进行指令管理，包括移动或删除指令，创建新的指令分组；支持拖拽调整指令顺序；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14)支持AI绘图，通过描述生成图片；支持代码绘图，通过Python代码绘制曲线；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15)支持联网检索，支持回答问题的同时联网检索资源进行补充回答；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16)支持图片检索，在图片检索中，根据学伴提问，精准匹配图片；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17)支持多轮对话，有上下文记忆功能，用于测试知识点学习、问卷调查、医患问诊等场景，根据学生问题或选择进行持续对话；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18)支持智能学伴回答完毕后，给用户展示至少3个推荐问题，让用户能够继续提问。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19)支持智能学伴回答完毕后，展示增强模型的知识碎片。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1.5.3智能批改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1)至少内置两个智能批改评分标准，包括评分项目、详细指标、指标权重；支持教师将系统内置模板复制到教师本人的批改规则下并调整修改；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2)需支持智能批改，支持教师设置多个批改规则，包含评分项目，详细指标，指标权重从而计算出评价分数，同时支持是否开启智能点评，教师可设置点评方向和点评风格；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3)支持教师设置智能批改评分标准后进行测试，包括设置分值、题目、参考答案或通过人工智能生成参考答案、最后填写作答内容进行批改测试，通过智能批改的测试查看是否需要调整评分标准；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4)支持教师可以通过批改测试选择不同的批改规则进行调试智能批改效果；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5)支持教师发布主观题到教学班，支持教师进入教学班中选择是否进行智能批改，包括选择智能批改的评分标准、是为当前学生进行智能批改或全班学生进行批改；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6)支持教师选择批注的身份，包括智能批注助手或当前教师本人；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7)支持教师选择智能批改完成后是否需要经过教师审核，如不需审核，将直接生成批注和评语发送给学生，学生分数仅供参考，实际分数需要教师手动打分；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选择不同的智能批改规则，对学生的作业进行在线智能批改，生成评分与评语；支持选中部分的作业文本逐条展示对应的AI详细批注、改进建议等，支持根据教师设定的智能批改规则显示每项细则的详细评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9)支持教师对智能批改不满意后选择重新批改；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10)支持保留教师多次批改记录，教师可查看历史批改效果；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11)支持AI课程组教师使用自己的智能批改规则或将规则共享到课程组，支持教师查看全部智能批改规则、分别查看我的和其他教师共享的规则，支持查看每个智能批改规则的创建人和最近编辑人；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12)新建批改规则，支持至少建设文章批改、通用批改、编程批改三类规则，根据批改分类不同，使其更适用于当前批改场景；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13)编程类型批改至少支持5种常见编程语言，包括但不限于Python、JavaScript、C、C++、Java；支持教师自定义编辑编程批改规则，包括评分项目、详细指标、权重；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14)支持教师编辑大模型的输出要求，调试智能批改规则效果的时候，支持预览实际给到大模型的提示词，支持查看大模型返回的未经处理的原格式内容，以便于教师修改智能批改规则；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15)支持对学生上传的pdf、word、图片文件进行智能批改；支持批量下载教师智能批改后带批注的文件，展示按照智能批改规则批改的详细批注、改进建议等。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1.5.4智能备课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1)支持教师在网页端进行在线文档备课，支持创建多个在线文档，在线文档自动保存，支持插入图片、代码、链接、表格等多种格式内容；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2)支持教师查看在线文档大纲；支持向备课助手发送文字和图片、文件（包括pdf、doc、docx、xlsx、ppt、txt、md、csv、py等）；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3)支持备课助手将生成的内容一键插入到在线文档中，无需复制粘贴；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4)支持教师填写备课助手反馈意见，包括不满意的原因、具体描述或更好的回答；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5)支持教师查看与备课助手的历史对话或开展新对话；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6)支持智能备课助手生成在线文档后，支持导出为本地word文档；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7)支持教师将在线备课文档编辑完成后，直接发布到教学班；支持教师设置发布时间、是否计入考核、考核截止时间、是否允许评论、是否微信消息提醒；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需支持在PPT插件中，根据选中文字，AI生成案例，生成的案例可以一键插入PPT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需支持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需支持在PPT插件中，选中需要翻译的文字翻译，同时翻译后的内容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11)支持在PPT插件中选择AI课程建设的增强模型的知识片段资源，支持按照课程和知识点进行筛选，支持预览图文结合的知识点片段并一键插入到PPT中；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▲12)支持在PPT插件中选择AI课程建设的增强模型中的视频资源，，支持按照课程和知识点进行筛选，支持预览视频并一键插入到PPT中；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13)支持在PPT插件中选择AI课程建设的增强模型的题目资源，支持按照课程和知识点进行筛选，支持预览题目内容和答案解析并一键插入到PPT中，支持放映PPT时，将题目发送给学生进行作答。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14)支持在PPT插件中选择AI课程建设的增强模型中的论文资源，支持按照课程和知识点进行筛选，支持预览论文片段并一键插入到PPT中；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在PPT插件中选择出题规则，支持根据知识点进行出题，或根据自定义要求进行出题，至少包括设置题型、设置题目数量、设置题目难度、设置知识点，设置多个出题要求，AI生成的题目教师可以选择插入题库或直接插入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1)支持在教师备课时，在PPT中插入课堂AI互动设计，包括在固定PPT页面加入召唤智能体，设置在放映PPT中需要召唤可对话的智能体；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2)支持在教师备课时，在PPT中插入课堂AI互动设计，包括在固定PPT页面加入发送智能体，设置在放映PPT中需要发送预置智能体给学生，学生进行对话；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3)支持在教师备课时，在PPT中插入课堂AI互动设计，包括在固定PPT页面加入智能汇报，包括设置汇报的主题，汇报的时长、智能点评的规则。</w:t>
            </w:r>
          </w:p>
          <w:p w14:paraId="4BEF2D4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1.5.5智能课堂助手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1)支持在授课过程中，通过PPT唤起智能课堂助手，支持语音控制唤起智能课堂助手；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2)支持通过智能课堂助手进行AI对话，支持语音对话，支持将智能课堂助手生成的内容直接发送给学生；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3)支持教师设置智能课堂助手常用指令，可以快速通过调用指令进行快捷提问；支持教师在课堂中快速调起智能体进行对话；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4)支持通过语音控制智能课堂助手开启弹幕和随机点名，支持语音控制关闭弹幕和停止随机点名；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5)授课放映PPT过程中，支持截图PPT部分内容与智能课堂助手互动，实现知识讲解、自由对话等能力，教师可将智能课堂助手的回答内容一键发送给学生；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7)支持教师实时查看所有发布的AI对话任务的发布时间、累计用时、启动人数、未开始人数；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8)支持智能课堂助手实时记录教师授课内容；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9)支持课上实时显示教师讲稿内容，供学生课上回顾；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10)支持教师课上发起分组讨论活动，支持系统自动分组和学生自由分组；学生分组讨论完成后AI自动总结分组讨论的内容，并分析分组讨论中的学生参与情况，包括分析积极发言的学生、有效参与讨论的学生；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支持在管理后台设置点评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12)支持查看已汇报的学生列表，包括汇报人姓名、用时、AI点评内容；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14)支持导出AI生成的课堂思维导图；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15)支持教师编辑AI生成的讲稿；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16)支持教师在后台配置智能课堂助手相关信息，内置至少3种角色可供切换选择，同时支持教师自定义配置，包括角色形象、性别、回答语言、输出声音音频、人物特点、回答风格等，支持预览查看配置效果；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智能课堂助手支持至少15种回答语言切换，包括但不限于中文、英文、粤语、日语、印尼语、马来语等，支持在课堂授课过程中，教师可以通过多语言与智能课堂助手进行语音对话，至少包含中文、英文、中英文混合、粤语、日语五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18)支持设置智能课堂助手截图与AI对话的快捷指令，如知识点讲解、案例生成、讨论话题生成等；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19)支持对授课过程中发送给学生的题目进行作答情况和结果分析，包括作答人次、正确/错误人次、选项作答情况等，分析每个选项以及整个题目的错误原因，帮助教师提供教学改进建议。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1.5.6智能出题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1)支持根据知识点出题，教师可设置知识点、难度系数、题目数量、题目类型和具体出题要求，支持设置多个出题要求；</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2)支持手动输入或筛选已有的知识点进行出题；支持选择多个知识点进行出题；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3)支持教师设置至少包含判断题、填空题、主观题、单选题、多选题。其中单选题和多选题支持设置选项数量；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4)支持生成的题目至少包含题干、答案、解析；支持生成的每个题目直接加入教师题库；支持将当前生成的题目批量加入题库；支持一键前往教师题库；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5)支持将AI生成的题目加入教师题库时，可以选择关联知识点；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6)支持生成的题目可直接进行编辑，包括题干、选项、答案、解析，可新增选项；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7)支持教师根据AI出的每道题目分别进行意见反馈，支持AI根据教师反馈意见进行持续优化，支持查看历史出题记录；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8)支持教师自定义出题要求和模板，支持教师设置多个出题模板；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9)支持根据视频内容，智能出题，同时将题目一键插入到对应的知识点，同时支持教师修改题干、选项、答案、解析；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10)教师可设置学生答对题目才能继续观看视频，学生观看视频时，根据教师的设置答题后可继续观看视频；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11)支持AI根据课件内容，智能出题，AI可推荐各题目插入的课件位置，支持将单个题目和所有题目一键插入到对应课件位置，支持教师在课件中修改题干、选项、答案、解析。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1.5.7智能资源推荐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1)支持根据学生提问的知识点或者材料要求，智能进行资源推荐；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2)支持资源智能推荐时，可推荐清华大学等双一流高校以及国外的优质的MOOC视频，免费内置不少于5000门完整慕课课程视频、200000条视频文件，每条视频时长5-15分钟；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3)支持联网检索相关学习资源，包括视频、论文等；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4)支持教师设置知识库中的资源是否被推荐，包含关联资源、电子教材、讲义课件、相关论文、相关案例或其他资料；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5)支持教师设置资源推荐开放的应用，开放后，学生在使用时可以进行资源推荐；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6)支持教师可在工作台进行资源推荐与检索，方便教师进行备课资源收集；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7)支持教师设置指定网站进行资源检索和推荐；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8)支持资源检索和推荐中通过教师的历史搜索，推荐联想的搜索，方便教师进行快速定位；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9)支持结果按照视频、论文、教材、案例、论坛进行分类筛选；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10)支持智能分析检索的问题，整理搜索结果，生成智能回答。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1.5.8.1自定义智能体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1)支持创建角色扮演类型智能体；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2)支持设置智能体基本信息，包含智能体标题、自定义智能体头像、添加智能体说明；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3)支持设置智能体使用场景，包括对话场景、场景描述。AI角色、使用者角色及AI人设信息；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4)支持设置不同智能体的语音输入和语音输出，支持设置输出语言，至少支持中文和英文，支持设置输出语言的音色并支持试听；</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5)支持为每个智能体单独配置基座大模型；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根据智能体设置的个性化需求，设置智能体对话框的颜色效果，如红色、蓝色、绿色等；支持选择不同的背景图样式，支持自定义上传背景图并调整显示位置；支持智能体对话框颜色和背景图设置效果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7)支持智能体对话设置，支持设置开场白；设置智能体推荐问题，推荐问题可以直接进行交互；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8)支持单独设置智能体的专属知识库，加强智能体的角色信息和角色资料；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9)支持设置智能体对话结束判断，使用者触发结束判断后，自动结束对话，支持设置多个对话结束判断，支持拖拽调整结束判断；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10)支持智能体对话评价设置，支持添加多个考核项并设置各考核项分值，支持设置评价内容的输出格式，智能体将在对话结束后按照评价格式和考核项进行评价；</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11)支持智能体效果测试，教师可以通过配置的过程直接进行测试；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12)支持设置智能体共享到AI课程，支持将智能体发布到教学班，学生在教学班与智能体进行对话；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13)支持教师分享智能体的链接，允许校内学生或校外用户通过链接使用该智能体；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14)支持设置智能体权限，支持智能体共享到课程中时，可以选择共享人员及共享权限，包括可编辑、可管理、可调试；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15)支持设置智能体分组，支持设置自定义分组；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1.5.8.2第三方智能体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将设置好的第三方智能体添加进AI课程，支持教师在AI课程中自定义该第三方智能体的头像、名称、显示logo；支持语音输入和语音输出；支持将第三方智能体发布到教学班，师生可在各场景中使用第三方智能体并记录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1.5.8.3AI讨论智能体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讨论智能体，支持配置智能体专属知识库，设置智能体知识库配置，包括相似度，召回碎片数量、增强检索方式；配置智能体回复范围至少包括：教师发帖、学生发帖、教师评论及回复、学生评论及回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1.5.8.4AI陪练智能体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设置AI陪练智能体，可设置在学习空间选择AI出题、自测题、混合出题给学生进行陪练；支持设置难度顺序为随机或自测题按难度从低到高出现，低难度题目做对会进入下一难度题目，做错进入同难度题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2)支持AI陪练设置先修知识点校验，自定义作答次数后视为完成；支持设置根据学生学习过程数据进行个性化推荐；支持针对不同的题型设置作答次数和是否显示答案解析；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1.5.8.5AI考官智能体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考官智能体，用于学生知识点测评和输出评价报告，包括设置智能体头像、开场白，至少支持中英文两种语言切换，支持配置智能体专属知识库，设置智能体知识库配置，包括相似度，召回碎片数量、增强检索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2)支持自行选择知识点进行练习，支持多次会话练习，完成答题后，自动生成总结报告，包括作答题目数、正确率，不同难度等级题目正确率，薄弱点、优势及学习建议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 “自测题与 AI 出题混合模式”，且策略优先级配置为 “自测题优先”；同时需支持 “只使用自测题”“只使用 AI 出题” 两种备选策略。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4)至少支持两种级别知识点推题，支持按 3 级知识点进行精细化推题或按 2 级知识点推题。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5)至少具备两种自适应难度升级机制，答对题目后自动升级难度直至答错；或保持难度不变至所有题目做完。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6)至少具备两种自适应难度降级机制，答错题目后自动降低难度直至答对；或保持难度不变至所有题目做完。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7)支持教师按照学生下载答题数据，包括课程下多个班级的学生答题数据，每个学生的最后答题时间、知识点、题目数量及其正确率。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1.5.9AI作业</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1)支持在作业中设置作业要求，配置智能体，学生通过与智能体对话进行作业作答，通过智能体评价作为AI作业得分；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学生在AI作业作答中，查看智能体场景信息，包括智能体角色，学生本次作业角色，支持学生多次与智能体进行对话和上传附件，支持提交智能体对话的内容作为作业作答，提交后智能体进行评价，显示本次作业得分，对话轮次，并根据智能体评价方向进行点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1.5.10教学工具箱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3)支持课程建设教学工具箱，且提供多种教学工具，至少包括基础医学、预防医学、临床医学、药学、护理学养老服务管理、智能医学工程专业的相关的HTLM课件；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4)支持教师上传自己的教学工具，可共享到AI课程中，供教师团队使用。支持设置工具头像、工具名称、工具介绍、上传HTML文件。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1.5.11教学运行数据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1.5.11.1知识图谱数据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1)支持查看知识图谱建设与发布情况，包含自测习题数量、自测题知识点覆盖率、学习单元数量、学习单元知识点覆盖率；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2)支持查看知识图谱资源发布与未发布对比图，包括视频、图文、讨论、作业、考试、课件、自测题；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3)支持查看知识图谱中总知识点数量、发布内容的知识点数量、学生学习知识点数量漏斗图；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4)支持查看本周学习人数及对比上周学习人数上升下降百分比；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5)支持查看本周学习知识点数及对比上周学习知识点数量上升下降百分比；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6)支持查看班级知识点完成概况，已完成占比、未开始占比、进行中占比；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7)支持查看完成知识点的学习类型分布，将按照学习单元的类型分别统计每个类型的占比；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8)支持查看知识点完成情况分析，按照100%、80%、60%、0%进行筛选；同时不同百分比通过不同颜色标识；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9)支持查看学生未开始的知识点；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按照知识点查看学生的掌握度、对应的教学内容、未开始学生人数、进行中学生人数、已完成学生人数、完成率、自测题数量、未作答学生人数、已作答学生人数、自测题完成率、自测题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11)支持按照学生查看学生姓名、学号、知识点掌握率、知识点学习内容未开始数量、进行中数量、完成数量、知识点完成率、自测题作答情况、正确数量、正确率；支持导出表格；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12)支持统一导出每个学生在每个知识点下的完成率、习题正确率、掌握率明细数据。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1.5.11.2AI使用数据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智能学伴使用明细数据，包括提问者姓名、教学班名称、问答内容、提问入口、提问时间；支持按照时间周期、班级学期、班级名称、提问角色、问题属性、反馈情况进行筛选；支持按照提问者姓名或提问内容进行搜索；支持导出智能学伴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1)支持以学生维度汇总查看智能学伴使用详情，包括学生姓名、学号、所在班级名称、学伴提问次数、使用时长，支持以学生维度查看学伴互动明细；支持导出以学生维度汇总的数据；支持删除学生提问数据。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智能体使用明细数据，包括提问者姓名、班级名称、问答内容、提问入口、提问时间；支持按照时间周期、班级学期、班级名称、提问角色、智能体标题进行筛选；支持按照提问者姓名或提问内容进行搜索；支持导出智能体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3)支持查看智能备课助手明细数据，包括教师姓名、问答内容、提问入口、提问时间；支持按照时间周期筛选；支持按照教师姓名或问答内容进行检索；支持导出智能备课助手使用明细；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教师在课堂授课过程中和智能课堂助手的问答明细，包括授课教师姓名、班级名称、课堂名称、问答内容、课堂提问时间；支持按照时间周期、班级学期、班级名称进行筛选；支持按照课堂名称、授课教师姓名或问答内容进行检索；支持导出智能课堂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AI应用使用数据的统一查看管理界面，支持切换查看各AI应用的使用数据明细记录，包括智能学伴、智能备课助手、智能课堂助手、智能体、知识图谱等，支持按照使用时间、班级、互动者姓名、互动关键词等维度进行筛选或搜索，支持查看每条记录的AI互动详情；</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6)支持智能学伴应用洞察，包括按照班级所属学期、教学班名称进行筛选；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7)支持查看智能学伴师生使用概况，包括使用总次数、覆盖班级数、教师数、使用学生数、选课学生数、学生使用率、学生使用次数、学生平均使用次数、学生使用时长、学生平均使用时长等数据；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8)支持查看智能学伴高频问题，可按照问题类型进行筛选，支持查看不同问题类型的提问次数与百分比；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9)支持指令分析，包含指令条数、学生使用指令条数、指令详情、学生使用次数等；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10)支持查看常问教学活动、对应活动提问次数、学生提问入口、占比与次数可视化展示；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11)支持查看智能学伴学生使用趋势，可视化展示使用日期、提问次数、使用时长等数据信息；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12)支持可视化展示智能学伴学生使用时间统计热力图；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13)支持展示智能学伴学生反馈情况，包括学生使用次数、未反馈、满意、不满意次数与百分比；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14)支持展示智能学伴学生使用排名，包括学生姓名、所属学院、行政班、提问次数、使用时长等信息；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15)支持统一导出每个学生的学习过程数据，包括日常学习数据与AI使用数据。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1.5.11.3AI教学分析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1)支持AI分析教学数据，支持快捷展示需教师关注的重点学生，包括缺勤学生、薄弱学生、进度滞后学生等；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2)支持AI快捷分析课程进展，给出动态教学建议；支持教师快捷前往班级教学活动详情界面；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3)支持教师与AI教学分析助手对话，为教师提供教学优化建议；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4)支持AI根据教师能力图谱与班级学习内容，自动生成学生能力评估模型，根据各能力的权重、评估方式、关联的知识点、关联的学习内容数量与占比，AI自动生成教学改进建议；支持统计班级能力整体达成度；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5)支持教师快捷查看班级教学明细，包括学习单元的发布情况、学生完成情况统计与详情查看；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6)支持统计各个能力的达成度并以雷达图展示，支持AI自动生成教学实施分析建议；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7)支持统计综合能力的发展趋势，AI自动生成每周对比分析；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8)支持AI生成单项能力的分析，包括各项能力的达成度、权重与计算方式，支持AI自动生成单项能力达成度的每周变化趋势与对比分析；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9)支持散点图形式可视化展示学生能力分布，AI自动生成学生表现及建议，支持统计学生能力排名。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10)支持教师手动修改评估模型，包括评估能力权重、评估方式及其占比，新增评估方式，评估方式关联的学习内容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1.5.11.4学生画像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1)支持查看学生综合画像，支持统计班级活跃学生数量与占比、使用AI学生数量与占比、人均使用AI次数、参与学习活动学生数量与占比、人均完成学习活动个数及完成率等数据；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2)支持以雷达图形式统计班级学生整体和学生个人的学习表现情况，包括AI使用情况、学习成绩、能力发展、教学互动、学习完成进度等学习表现，AI根据学习表现情况进行分析与建议；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3)支持以散点图或柱状图形式查看学生成绩分布、学习活动完成率分布、使用AI次数分布情况；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4)支持AI统计分析学生AI使用情况与成绩的关联关系，支持AI分析热门知识点与薄弱知识点，辅助教师调整教学策略；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5)支持按时间查看活跃学生数量的变化趋势，包括使用AI人数、参与学习活动人数；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6)新增学生学情预警独立展示页面，承载学生综合预警、分项预警全维度数据与配置功能；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7)支持展示学生学情预警，至少将学生分为三类：表现突出、表现中等、重点关注学生，支持查看学生人数和占比。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8)支持至少按照成绩、考勤、学习进度、学习互动、习题检测、AI互动六种类型查看需重点关注学生和表现突出学生。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9)支持学生综合预警指标自定义配置，可设置各分项指标的数值范围（可界定指标判定标准）；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预警标签配置项与学生画像标签联动，配置结果同步管控学生学情预警页面、学生综合画像、学生个人画像的标签展示：未勾选的预警分项指标，在所有画像标签中同步隐藏，且画像标签与预警页面共用同一套指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11)支持向学生发送预警提醒，支持设置自动提醒，教师手动选择学生进行消息提醒，支持系统每月初自动根据不同类型需重点关注的学生发送消息提醒。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12)支持展示需教师重点关注学生列表，包括未使用过AI、成绩落后、频繁缺勤的学生等，支持查看需重点关注学生的所有学习记录及个人画像；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14)支持按学期、班级、学习标签、学生姓名、学号筛选或搜索相应学生的学习数据记录，支持按照筛选或搜索结果导出相应数据；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15)支持查看学生个人画像，包括学生姓名、学号、班级、学院、入学年份、学习标签、班级成绩排名、整体学习表现、学习数据、AI使用情况统计与分析、学习动态、知识点完成情况、学习趋势等；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16)支持查看单个学生与AI互动情况的统计分析，包括AI使用次数、AI使用时长、与AI互动的高频词汇等，支持查看该学生的所有AI互动明细记录；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17)支持查看单个学生的学习动态，包括作业、视频、讨论等学习活动的完成和未完成情况及完成率；支持按时间查看该学生的学习趋势，包括使用AI次数和和完成学习活动次数。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1.5.12指令库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1)需支持指令库管理，教师可以设置多种指令卡片，同时支持设置指令分组，可以支持添加分组和管理分组，拖动不同分组位置，筛选查看不同分组的指令；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2)支持教师自定义创建指令，包括指令标题、详细指令内容和短指令，学生端仅展示短指令；支持调试指令效果时查看短指令展示效果；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3)支持指令创建的同时可以进行指令测试方便教师调整指令效果；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4)支持教师设置指令的应用场景，设置后仅在该场景可查看指令，其他场景无法查看该指令；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5)支持设置特殊指令，包含AI绘图、代码绘图、联网检索、图片检索；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1.6AI课程管理建设服务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1)需支持将AI能力应用到教学班，在应用时可以浏览不同学期的教学班，根据教师进行教学班筛选，需支持每个AI功能分别应用到不同的教学班，满足教学设计需要；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2)支持教师分享智能学伴和智能体的使用链接或二维码，支持教师设置扫码时自动推送的欢迎语文案，学生通过链接或二维码可访问智能学伴和智能体并进行对话；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3)支持教师在AI工作台查看AI课程列表，搜索和切换AI课程，方便进行课程的快速管理；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4)需支持一门课程通过功能开关控制知识库是否启用；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5)支持教师通过工作台进入AI课程门户展示页面及编辑页面，支持教师复制门户链接进行分享；</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6)支持设置课程评审专家角色，支持专家免登录即可查看课程工作台。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7)支持AI课程语言切换，至少支持中文和英文两种语言。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8)支持AI课程成员管理，支持添加与删除成员、修改成员的角色权限，支持查看所有成员列表；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每门AI课程单独配置课程的成员权限，内置至少3种成员角色权限；支持设置不同角色的角色名称与AI功能权限范围；支持自定义添加角色并配置AI功能权限；AI功能支持设置至少二级菜单的查看、管理及下载权限，包括但不限于课程模型、课程知识库、AI应用、数据中心、成员管理等，并提供权限范围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1.7学生端AI学习空间建设服务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1)支持课程学习语言切换，至少支持中文和英文两种语言。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2)支持教学班中包含智能学伴，学生进入班级中，无需点击学习单元即可与学伴展开对话；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3)支持智能学伴宽屏显示，支持学生通过教学内容，智能分析教学内容对应的知识点，与智能学伴进行互动交流；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4)支持学生在学习空间与教师发布的智能体进行对话，支持语音输入和输出；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5)支持学生根据老师设定好的指令，通过更改提示语进行快速提问；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6)支持学生在预习教师发布的PPT课件和观看课堂回放时，对当前PPT课件内容不懂，可一键将该课件内容反馈至智能学伴，AI将实时针对当前PPT课件页内容进行智能答疑；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7)在教师授课过程中，学生移动端实时查看教师放映完成及正在放映的PPT课件，针对每一页的课件页内容不懂，可一键将当前课件页发送给AI，AI将实时针对当前PPT课件页进行内容解析并智能答疑；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8)支持学生移动端查看课堂总结报告，至少包括课堂数据分析报告、人工智能生成的课堂思维导图、知识导引、教师讲稿；支持搜索讲稿内容；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9)支持在知识图谱中通过知识点关键词搜索，搜索结果高亮显示；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10)支持学生选择知识点，展示该知识点上的学习内容和知识点详情，包括知识说明、知识分类、认知维度、难度系数；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11)支持学生查看知识点目录，点击快速跳转到其他知识点进行学习；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12)支持学生通过点击某一知识点查看知识点学习路径；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13)支持根据学生的学习进度，知识点有不同的展示效果，帮助学生快速对知识点进行定位；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14)支持学生通过知识图谱进行学习，点击知识点进入AI学习空间，同时展示学习内容与智能学伴，方便学生在学习过程中进行知识点互动问答；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15)支持学生在学习空间观看数字人教师进行课件内容讲解；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16)支持学生手机扫码，快速打开移动端进行知识点学习；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17)支持学生观看视频学习内容时，对当前视频播放内容不懂，可一键将当前视频帧发送至AI，AI将实时针对当前视频帧进行内容解析并智能答疑；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18)支持学生查看人工智能通过视频内容生成的知识导引，进行知识点总结归纳，形成知识点标题，方便学生通过导引快速定位视频；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19)支持学生查看人工智能通过视频内容生成的教师讲稿，按时间轴排序，支持通过知识导引快速定位到教师讲稿，支持讲稿快速定位到视频内容；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20)支持学生查看教师在知识点下的相关教材，预览当前教材内容；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21)支持学生在AI学习空间观看教学活动的任务中，无需学生输入问题，根据教师的教学设计，在不同的时间智能体能自动与学生交互，至少包括推送知识点相关资源，自动为学生出题进行知识点自测；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22)支持学生在学习空间中，遇到不懂的内容，可直接划选文字一键唤起智能学伴进行智能答疑；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23)支持学生提交自测练习题、作业和考试后，对当前题目不懂，可一键将该题目反馈至智能学伴，AI将实时针对当前题目进行智能答疑；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24)支持学生选择知识点进行自测题作答练习时，系统可校验是否答过先修知识点，支持跳转至先修知识点进行答题；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学生选择知识点进行自测题作答练习时，支持AI根据当前知识点、当前学生的成绩等学习过程数据进行个性化智能推题，不限制AI推题数量，支持AI随机推题或按照由易到难的顺序推题；支持AI根据当前知识点推荐其他知识点让学生继续进行自测题练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26)支持根据本次学生自测题作答记录输出AI学习报告；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27)支持学生在AI学习空间中通过智能学伴进行资源智能检索，主要为课程相关的网络教学资源，进行课外教学资源补充学习，资源类型包括知乎、视频等多种途径；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28)支持学生查看自己的知识点完成情况，包括所有知识点的完成情况、单个知识点的完成情况、累计学习时长、习题正确率、题目作答数量；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29)支持在班级讨论区中智能答疑，AI自动回复讨论区问题。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30)支持学生课查看学生个人画像，学生个人的学习表现情况，包括AI使用情况、学习成绩、能力发展、教学互动、学习完成进度等学习表现，AI根据学习表现情况进行分析与建议；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31)支持移动端查看知识图谱，查看知识点的完成情况、学习时长、自测题正确率和作答数量，支持查看知识点关联关系。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32)支持AI空间学习小助手，包括电脑端和移动端，支持学生在AI空间与所有AI课程的学伴和智能体进行对话，支持查看或设置课程通知是否屏蔽，支持查看当前课程的学习进度和待办学习内容，一键跳转学习。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1.8AI课程门户设计服务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1.8.1门户管理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1)门户主题色支持配置，支持至少6种主题色选择；</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2)支持设置门户风格布局，支持至少四种布局切换；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3)支持门户展示语言切换，至少支持中文、英文两种模式切换。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4)支持上传学校logo,支持选择logo配置位置；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5)支持设置主图样式，至少包括模型展示及自定义图片；支持背景图片设置显示位置；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6)支持设置课程标签、设置课程教师，至少包括教师姓名和头像，支持设置多个教师；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7)支持设置导航颜色为白色或者根据主题色自动适配；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8)支持导航自定义学校logo和课程英文名称；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9)支持设置导航显示模块，包括课程概述、知识模型、能力模型、问题模型、素质模型、AI应用、资源地图，支持修改模块名称，支持拖拽调整模块顺序；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10)支持门户设置数字人展示，支持自定义数字人位置，支持添加至少两个数字人形象进行展示，支持设置数字人教师语音内容，支持设置是否重复播放；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11)支持门户首页配置至少三个页面导航、支持导航名称进行自定义；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12)支持设置导航结构；支持自定义设置首页背景图；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13)支持将增强知识库进行展示，支持设置来自增强知识库分类，支持配置分类名称、自定义封面、自定义跳转链接；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14)支持展示优质知识片段，支持单个添加、删除和批量管理，支持调整知识片段顺序；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15)支持设置是否展示知识图谱、问题图谱、能力图谱；支持设置展示知识体系结构，至少两种展示样式；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16)支持设置知识图谱展示形式，包括展开层级、视图形式；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17)支持设置热门知识点，知识点来源于知识图谱，通过点击热门知识点可直接进入学习空间；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18)支持设置AI指令分组，支持设置分组名称、分组图片。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19)支持门户快速进入工作台和学习空间。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1.8.2课程概述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1)支持设置课程建设成果展示，至少包含资源地图、课程模型、课程荣誉，支持自定义课程成果展示模块；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2)支持设置课程介绍展示页面，至少包括课程背景、课程定位，支持自定义课程介绍展示模块；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3)支持设置教师团队展示模块，支持自定义教师团队展示模块；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4)支持自定义新的课程展示模块，包括模块分组及详细的模块内容。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1.8.2.1建设成果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1.8.2.1.1资源地图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1)支持展示课程资源地图，包括教材、讲义、论文、习题、作业、试卷、视频等类型资源的数量统计；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2)支持资源地图展示视频时长、知识片段数量、课程资源总字数；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1.8.2.1.2课程模型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1)支持展示课程知识模型、问题模型、能力模型、素质模型金字塔；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2)支持展示能力模型的能力点数量、覆盖知识点；支持展示问题模型的问题数量、问答对数量、覆盖知识点数量；支持展示知识模型的知识点数量、学习资源数量、习题数量；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3)支持课程模型展示页面自定义背景图片，包括背景图片显示位置。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1.8.2.1.3课程荣誉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1)支持课程设置荣誉列表，新增课程荣誉；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2)支持至少三种课程荣誉展示图标，支持设置课程荣誉日期、设置相关描述、支持设置课程荣誉图片，支持点击查看大图；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3)支持课程荣誉展示页面自定义背景图片，包括背景图片显示位置。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1.8.2.2课程介绍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1.8.2.2.1课程背景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1)支持课程背景展示页面自定义背景图片，包括背景图片显示位置；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2)支持设置课程背景布局，至少包含图文布局及是否包含底板边框；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3)支持设置课程背景介绍正文及自定义图片。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1.8.2.2.2课程定位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1)支持课程定位展示页面自定义背景图片，包括背景图片显示位置；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2)支持设置课程定位布局，至少包含图文布局及是否包含底板边框；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3)支持设置课程的先修课程、后修课程及课程定位详细介绍；支持设置多个课程标签。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1.8.2.3教师团队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1)支持教师团队展示页面自定义背景图片，包括背景图片显示位置；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2)支持添加课程教师团队成员，包括教师姓名、头像、院系、职称、介绍。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1.8.3知识模型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3)支持选择某节点后，可展开所有下级节点或收起所有下级节点，可调整页面呈现的节点内容和数量；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7)支持知识图谱查看时可根据进行放大缩小，可以查看知识图谱全景；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8)支持知识点已关联的课程视频资源，可查看此资源的详情内容；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9)支持展示AI学习空间，支持知识点生成二维码，扫码可进入手机端AI学习空间；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10)支持在学习空间中与数字人教师进行互动；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11)支持在学习空间观看数字人教师进行PPT讲解；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12)支持在观看教学活动的任务中，学伴自动推送相关知识点内容、知识点习题、关联知识点；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13)支持在门户展示知识点学习数据，包括每一个知识点的学习视频人次和习题作答人次。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1.8.4能力模型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2)支持展示单个能力点的标签、能力描述、知识点数量、学习内容数量；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3)支持展示能力点详细内容，包括能力点的标签、能力描述、知识点名称、知识点关联学习内容；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4)支持能力模型切换不同展现样式查看。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1.8.5问题模型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1)支持展示问题模型，包括问题类型、问题类型描述、问题类型数量及问题关联关系；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2)支持展示单个问题的问题及对应答案，支持展示与其他问题的关联问题，支持展示问题关联的知识点及对应的学习内容。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1.8.6素质模型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1)支持展示素质模型，包括素质点名称、素质点描述、关联的知识点及对应的学习内容；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2)支持素质模型切换不同展现样式查看。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1.8.7AI应用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1)支持展示AI课程应用中心，设置多个应用使用场景，支持每个场景可以设置分组，支持移动调整分组顺序；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2)支持设置AI应用展示页面布局，至少支持瀑布流及宫格展示形式；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3)支持设置每个使用场景初始化时可以直接选择已有指令作为场景展示案例，同时支持自定义增加展示案例；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4)支持场景案例添加案例标题、简短描述、设置案例分组，同时支持设置案例图标，系统需提供内置图标；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5)支持编辑案例内容，包括插入图片、表格、超链接、代码块、公式。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1.8.8资源地图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1)支持展示资源地图，支持知识点旭日图展示包括资源总数，知识片段数量、视频数量、视频导引数量、视频时长、习题数量、覆盖知识点、知识点覆盖率；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2)支持展示热门知识点，至少展示10个热门知识点；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3)支持资源地图按照热门分类、资源类型进行筛选；支持搜索知识片段；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4)支持每一个知识片段展示知识点名称、资源类型、资源分类、片段详细内容，至少包含正文、图片、视频、公式、表格、代码。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1.8.9智能助理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1)支持智能助理，可通过与智能助理对话了解课程建设的内容及课程答疑；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2)支持编辑智能助理，包括修改智能助理名称、设置智能助理开场白，设置智能助理常见问题；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3)支持智能助理设置问答对，智能助理回答问题优先参考标准答案。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1.9AI课程建设实施服务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1)需辅助教师明确AI课程建设目标，根据教师反馈，梳理建课思路；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2)需辅助教师课程素材收集整理，提供教师各种素材的具体格式及注意事项，教师可根据要求上传课程资料；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3)可根据教师提供的相关素材建立课程知识库，基于课程知识库进行增强检索生成、垂直调优；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4)支持提供AI工作台，通过问答评测开展模型评估和调优，优化提示词及提升回复质量，同时后台完整记录反馈数据，持续更新迭代；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5)需记录老师教学过程中的问题，根据问题进一步完善增强模型；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6)需输出AI课程学期使用报告；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7)辅助教师建设AI课程示范案例，进行宣传推广。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1.10系统对接服务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 为方便校内学生进行AI课程学习，需要对接学校统一身份认证系统/教务系统，师生必须将校内工号/学号与平台账号相关联，以确认师生身份；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 需要对接教务系统，并将已确认的开选课信息一次性导入AI课程，并进行定期维护和更新，以保证学生的选课信息准确无误；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 导入的课程会在平台展示页面中有独特标识，并且导入的课程可在数据中心中查看多维度数据统计结果；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 为学习者提供优质的云端网络环境。</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二、面向不同课程个性服务：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明确智慧课程建设目标：沟通需求，深入了解授课教师在教学中的需求痛点及学科和课程特点；目标确立，结合学科定位与课程特点，清晰界定人工智能赋能教育教学的课程升级目标、学科建设整体目标，完成整体建设框架设计；服务配置，根据授课教师反馈，梳理课程建设及学科建设思路，根据教师需求确定后续服务模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2.课程素材收集整理：提供各种素材的具体格式及注意事项；教师根据要求上传课程资料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3建立课程增强模型：根据教师提供的相关素材建立课程知识库；根据课程类型或学科特点建设包括但不限于图片库、公式库、表格库、视频库等类型增强知识库。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4数字人构建：每门课程定制一位教师数字人形象，用于知识点讲解，为学生提供不超过60个精选知识点进行讲解。整个讲解系列将控制在200分钟以内，确保内容精炼且高效。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5个性指令构建：根据课程专业属性，建设课程个性化指令库。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 智能体构建：根据课程专业属性，每门定制不少于三个专属课程智能体；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7知识图谱：课程知识图谱、问题图谱、能力图谱搭建服务，知识图谱层级不超过6级，不超过500个知识点。学科知识图谱搭建服务。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 HTML交互式课件：根据课程专业属性，每门定制不少于五个HTML交互式课件。</w:t>
            </w:r>
          </w:p>
        </w:tc>
        <w:tc>
          <w:tcPr>
            <w:tcW w:w="966" w:type="dxa"/>
            <w:tcBorders>
              <w:top w:val="single" w:color="000000" w:sz="4" w:space="0"/>
              <w:left w:val="single" w:color="000000" w:sz="4" w:space="0"/>
              <w:bottom w:val="single" w:color="000000" w:sz="4" w:space="0"/>
              <w:right w:val="single" w:color="000000" w:sz="4" w:space="0"/>
            </w:tcBorders>
            <w:vAlign w:val="center"/>
          </w:tcPr>
          <w:p w14:paraId="4A1F546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门</w:t>
            </w:r>
          </w:p>
        </w:tc>
        <w:tc>
          <w:tcPr>
            <w:tcW w:w="950" w:type="dxa"/>
            <w:tcBorders>
              <w:top w:val="single" w:color="000000" w:sz="4" w:space="0"/>
              <w:left w:val="single" w:color="000000" w:sz="4" w:space="0"/>
              <w:bottom w:val="single" w:color="000000" w:sz="4" w:space="0"/>
              <w:right w:val="single" w:color="000000" w:sz="4" w:space="0"/>
            </w:tcBorders>
            <w:vAlign w:val="center"/>
          </w:tcPr>
          <w:p w14:paraId="576888B5">
            <w:pPr>
              <w:widowControl/>
              <w:jc w:val="righ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6</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584549DA">
            <w:pPr>
              <w:rPr>
                <w:rFonts w:hint="eastAsia" w:ascii="宋体" w:hAnsi="宋体" w:cs="宋体"/>
                <w:color w:val="000000" w:themeColor="text1"/>
                <w:szCs w:val="21"/>
                <w:highlight w:val="none"/>
                <w14:textFill>
                  <w14:solidFill>
                    <w14:schemeClr w14:val="tx1"/>
                  </w14:solidFill>
                </w14:textFill>
              </w:rPr>
            </w:pPr>
          </w:p>
        </w:tc>
      </w:tr>
      <w:tr w14:paraId="6027AEAA">
        <w:tblPrEx>
          <w:tblCellMar>
            <w:top w:w="0" w:type="dxa"/>
            <w:left w:w="108" w:type="dxa"/>
            <w:bottom w:w="0" w:type="dxa"/>
            <w:right w:w="108" w:type="dxa"/>
          </w:tblCellMar>
        </w:tblPrEx>
        <w:trPr>
          <w:trHeight w:val="1920" w:hRule="atLeast"/>
        </w:trPr>
        <w:tc>
          <w:tcPr>
            <w:tcW w:w="479" w:type="dxa"/>
            <w:tcBorders>
              <w:top w:val="single" w:color="000000" w:sz="4" w:space="0"/>
              <w:left w:val="single" w:color="000000" w:sz="4" w:space="0"/>
              <w:bottom w:val="single" w:color="000000" w:sz="4" w:space="0"/>
              <w:right w:val="single" w:color="000000" w:sz="4" w:space="0"/>
            </w:tcBorders>
            <w:vAlign w:val="center"/>
          </w:tcPr>
          <w:p w14:paraId="69CB6B54">
            <w:pPr>
              <w:widowControl/>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7</w:t>
            </w:r>
          </w:p>
        </w:tc>
        <w:tc>
          <w:tcPr>
            <w:tcW w:w="1296" w:type="dxa"/>
            <w:gridSpan w:val="2"/>
            <w:tcBorders>
              <w:top w:val="single" w:color="000000" w:sz="4" w:space="0"/>
              <w:left w:val="single" w:color="000000" w:sz="4" w:space="0"/>
              <w:bottom w:val="single" w:color="000000" w:sz="4" w:space="0"/>
              <w:right w:val="single" w:color="000000" w:sz="4" w:space="0"/>
            </w:tcBorders>
            <w:vAlign w:val="center"/>
          </w:tcPr>
          <w:p w14:paraId="66ABD15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bidi="ar"/>
                <w14:textFill>
                  <w14:solidFill>
                    <w14:schemeClr w14:val="tx1"/>
                  </w14:solidFill>
                </w14:textFill>
              </w:rPr>
              <w:t>大学外语部2026年智慧课程建设服务项目</w:t>
            </w:r>
          </w:p>
        </w:tc>
        <w:tc>
          <w:tcPr>
            <w:tcW w:w="5405" w:type="dxa"/>
            <w:tcBorders>
              <w:top w:val="single" w:color="000000" w:sz="4" w:space="0"/>
              <w:left w:val="single" w:color="000000" w:sz="4" w:space="0"/>
              <w:bottom w:val="single" w:color="000000" w:sz="4" w:space="0"/>
              <w:right w:val="single" w:color="000000" w:sz="4" w:space="0"/>
            </w:tcBorders>
            <w:vAlign w:val="center"/>
          </w:tcPr>
          <w:p w14:paraId="61B08017">
            <w:pPr>
              <w:widowControl/>
              <w:numPr>
                <w:ilvl w:val="0"/>
                <w:numId w:val="15"/>
              </w:numPr>
              <w:jc w:val="left"/>
              <w:textAlignment w:val="center"/>
              <w:rPr>
                <w:rFonts w:hint="eastAsia" w:ascii="宋体" w:hAnsi="宋体" w:cs="宋体"/>
                <w:snapToGrid w:val="0"/>
                <w:color w:val="000000" w:themeColor="text1"/>
                <w:kern w:val="0"/>
                <w:szCs w:val="21"/>
                <w:highlight w:val="none"/>
                <w:lang w:bidi="ar"/>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面向全校提供AI教学平台服务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1.1AI课程模型建设服务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1.1.1知识模型建设服务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1)支持新建课程知识图谱；支持通过表格方式进行知识点导入，根据模板填写完成后点击上传；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2)支持通过本地教材或知识库教材通过人工智能对教材进行碎片化处理及知识点归纳总结，直接生成课程知识图谱；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3)支持基于课程资源，通过人工智能对资源进行碎片化处理及知识点归纳总结，直接生成课程知识图谱，极大地提升教学资源的可视化和结构化程度；支持课程资源更新的同时知识图谱自动更新；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4)支持直接新建专业或课程群知识图谱，也支持通过关联其他已建设的课程知识图谱直接建设课程群知识图谱或专业知识图谱；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6)支持知识图谱自定义视图，通过教师自己拖拽知识点，保存为自定义视图，支持自定义视图中替换视图背景，支持教师统一知识点大小和隐藏根节点；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7)支持自定义视图下，教师自定义节点及其全部子节点的颜色；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8)支持自动生成的知识图谱是可编辑的，教师可以在已生成的知识图谱上进行二次编辑和调整；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9)支持知识图谱查看与编辑页面，首次进入知识图谱默认查看页面；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11)支持选择某节点后，可展开所有下级节点或收起所有下级节点，可调整页面呈现的节点内容和数量；支持根据知识图谱中的知识点层级快捷设置展开层级；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14)支持通过人工智能生成知识点说明，支持人工编辑，至少支持添加图片、表格、代码、公式块、行内公式；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15)支持图谱下载，可按节点层级导出excel文件；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17)支持自定义设置知识点属性：在知识图谱中，允许教师自定义设置知识点的难度系数、知识分类和认知维度等属性；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18)支持从预览模式进入在线编辑模式。支持一位用户在线编辑图谱，不支持多账号同时编辑，图谱显示当前编辑账号头像和姓名；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19)支持知识图谱树状结构、网状结构、环状结构、自定义结构进行编辑；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20)支持知识图谱查看时可进行放大缩小，可以查看知识图谱全景；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21)支持添加多个根节点；支持选择某节点后，可添加同级节点；支持删除知识点，支持知识点跨课程关联；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22)支持选择某节点后，可添加子节点，至少添加十级子节点；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23)导入模板至少包含：节点名称、知识说明、知识分类、认知维度、难度系数、节点关系；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24)支持知识点与课程资源进行关联，支持知识点关联本地资源、知识库资源等，支持“图文”“视频”“讨论”等学习单元，支持对学习单元进行检索；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25)支持已关联的课程资源，可查看此资源的详情内容；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26)支持知识点与课程习题进行关联，可关联课程资源下已建设的资源习题，点击可查看习题详情及答案解析；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27)支持编辑知识点详情，可自定义设置节点名称、知识说明、知识分类、认知维度、难度系数、节点关系；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28)支持知识点添加思政设计，包含思政元素和设计方式；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29)支持根据节点关系生成知识点学习路径；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30)支持已经建设的知识图谱发布到教学班中；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31)支持教师可以选择是否开放给学生，选择开放给学生，学生在自己的教学班中就可以查看到对应的知识图谱；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32)支持教师选择是否将发布的教学内容通过人工智能自动匹配知识图谱中的知识点；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33)支持教师查看单个知识点的学习情况，包括：该节点关联课程资源和习题的情况：总数和已发布数量；已完成、进行中、未完成的学生比例；学生的平均掌握度。支持统计单个知识点下每个学生的完成度和掌握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34)支持教师查看班级平均掌握度，按照比例区间展示整个班级的学习进度和平均掌握度，同时给出建议关注知识点。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1.1.2能力模型建设服务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1)支持建设能力模型，包括能力点名称、能力标签、能力描述、关联知识点、对应学习内容，能力标签支持自定义；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3)支持展示单个能力点的标签、能力描述、关联知识点和知识点学习内容；支持跳转到关联的知识点详情界面；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4)支持展示能力点下知识点关联关系；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5)支持通过模板导入能力模型，支持能力模型导出表格；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6)支持能力图谱至少包含树状视图、思维导图、自定义视图；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7)支持自定义视图设置卡片或文字样式，支持设置文字颜色、文字字号，支持设置背景图，支持一键还原系统设置。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1.1.3问答模型建设服务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1)支持建设问题模型，包括问题类型、问题描述、答案描述、关联知识点、对应学习内容；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2)支持跳转到各个问题下关联的知识点详情界面；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3)支持教师将问答反馈意见纳入答案库，进行修改编辑。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1.1.4素质模型建设服务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1)支持手动新建或选择现有模板新建素质图谱；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2)支持建设素质图谱，包括素质点名称、素质描述、关联知识点、对应学习内容；支持跳转到各个素质点下关联的知识点详情界面；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3)支持通过模板导入素质图谱，支持素质图谱导出；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4)支持素质图谱包含不同展现样式。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1.1.5自定义模型建设服务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1)支持建设自定义模型，设置模型名称，设置模型展示方式至少包括：网状、环状、树状、圆环、框架、素质树、思维导图形式。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2)支持通过模板导入自定义图谱，支持自定义图谱导出；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3)支持设置节点名称、标签、自定义节点分类、节点描述以及关联的知识点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1.1.6增强模型建设服务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1.1.6.1课程图片库建设服务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1)支持建设课程图片库，支持对图片进行分类，支持自定义分类；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2)支持对图片进行知识点标记；支持对图片添加文字说明；支持标记图片来源。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1.1.6.2课程公式库建设服务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1)支持建设课程公式库，支持对公式类型进行分类管理，支持自定义分类；同时需对公式进行知识点标记；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2)支持对公式添加文字说明，支持添加公式块或行内公式；支持标记公式来源。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1.1.6.3课程表格库建设服务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1)支持建设课程表格库，支持对表格进行标签分类，支持自定义分类；同时需对表格进行知识点标记；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2)支持表格内上传图片或添加公式，支持对表格添加文字说明；支持标记表格来源。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1.1.6.4课程代码库建设服务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1)支持建设课程代码库，保留代码格式，支持对代码进行分类，同时需对代码进行知识点标记；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2)支持对代码添加代码注释，支持对代码添加流程图或实现效果图；支持标记代码来源。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1.1.6.5课程视频库建设服务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1)支持建设课程视频库，支持对视频进行分类管理，支持对整个视频进行知识点标记；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2)支持对课堂回放视频自动添加课堂回顾标签，支持自定义分类标签；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3)通过人工智能，支持根据视频内容进行分段归纳总结，形成知识导引，同时文字与视频进度一一对应，点击可以进行快速定位；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4)支持对形成的导引进行分类管理，支持对同一视频中的不同导引进行知识点标记；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5)通过人工智能形成课程讲稿，按照时间轴排序，点击讲稿同时对应跳转到视频指定位置；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6)支持修改人工智能生成的视频导引和讲稿。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1.1.6.6课程习题库建设服务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1)支持建设课程习题库，支持对习题进行分类，支持自定义分类标签，同时需对习题进行知识点标记；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2)支持题型至少包括单选题、多选题、判断题、投票题、填空题、主观题等，支持添加答案解析，支持设置习题难度系数；支持编辑、移动、删除题库习题；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3)添加习题支持对题干及选项字体格式进行修改，支持多图上传，支持插入公式，支持编辑包括Python、Java、C++、Php、Vb、ActionScript3等的不少于20门常用代码语言，支持插入音频及附件文件；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4)支持选择是否将题目设为自测题，学生在学习相应知识点内容时可进行习题自测。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1.1.6.7课程专有名词库建设服务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1)支持通过人工智能匹配课程专业或学科属性，自动生成专有名词库，支持对专有名词增加图片或文字解释说明。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1.2AI个性化指令建设服务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1)支持根据课程专业或学科属性，建设课程个性化指令库。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1.3智能体建设服务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1)根据课程专业或学科属性，建设课程个性化智能体。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1.4AI课程数字人建设服务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1)数字人形象根据教师形象进行定制化制作；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2)数字人形象需具备高逼真度，面部表情、动作自然流畅，无明显违和感；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3)支持调整数字人的动作，可选取部分数字人的训练素材对应生成有动作或没有动作的数字人视频；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4)支持实时语音识别与语音合成，实现数字人语音交互功能；至少支持中文、英文两种语言切换；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5)生成数字人语音播报时，支持设置讲稿的语速；设置专有文字内容连读；支持插入停顿，可设置停顿的时间；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6)支持通过上传教师录制的音频来直接生成数字人视频，并实现对口型播报；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7)根据教师提供的课程大纲，进行数字人AI课程内容的设计与制作；根据课程内容需要建设包括但不限于课件、习题、互动环节等；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8)支持将数字人与其讲解的课件内容合成新的课程讲解视频，并支持选择是否显示字幕、数字人讲解倍速、设置视频背景色、数字人的显示比例等。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1.5AI教学应用场景建设服务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1)需支持知识库管理功能，支持上传pdf格式的教学资源，上传的资源可进行切片处理，同时需提供开关控制功能，教师能够决定每个文档是否启用切片解析功能，支持上传失败的文件重试解析；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2)支持按照电子教材、讲义课件、相关论文、习题试卷、往年作业、相关案例、其他资料等分类上传资源；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3)支持上传视频、音频、文档（包括PPT、PDF、DOC、TXT、PNG等）等教学资源；视频支持上传MP4、MKV、MOV、AVI、WMV等通用格式视频，上传后自动转码，支持在线预览；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4)支持自定义文件分类，支持二级文件分类，支持删除、移动与重命名文件分类；支持每一个分类下可以查看已处理的资源数量、上传资源数量、最近更新时间；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5)支持知识库查看文件数量、图片提取数量、音视频时长、解析字符总数；支持查看总体知识切片数量，公式数量、图片数量、表格数量；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6)支持上传的资源可以查看文件名称、处理状态、字符数、文件大小、上传时间；支持上传的资源可以选择是否启用；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7)支持对上传的资源进行删除、重命名和移动所在分类；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8)支持关联已有的课程资源，包括已建设的课程资源和教学班发布的教学内容；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9)支持教师从个人云盘中一键导入教学资源，支持批量选择一个或多个文件导入知识库中。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1.5.2智能学伴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1)基于课程模型进行知识答疑，满足学生在任何时间的学习需求，无论是基础知识还是拓展知识，学生随时都可以向系统提问，获得及时的解答；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2)支持智能学伴的个性化配置，包括学伴名称、头像、性格特点、说话风格等角色特点；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3)支持教师设置智能学伴开场白，方便学生能快速理解学伴功能；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4)支持教师设置智能学伴推荐问题，方便学生快速选择常见问题；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5)支持教师端进行智能学伴问答，支持教师根据智能学伴回答的问题进行反馈，持续优化智能学伴回答问题的准确度；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6)支持教师填写智能学伴回答反馈意见，至少包括具体问题及正确回答，同时支持设置是否将反馈回答加入答案库，用于后续相同问题的答案；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7)支持教师提交反馈意见后进行修改，修改后可再次提交，支持教师删除反馈意见；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8)支持开展多个会话，保留历史会话，同时也可进行历史会话删除；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9)支持学生发送语音与智能学伴对话；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10)支持学生与智能学伴对话上传文件(至少10个，每个文件大小不低于 15MB)，支持 pdf、doc、docx、xlsx、ppt、txt、md、csv、py、图片等；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11)支持智能学伴语音回答问题，支持教师设置语音播报音色，系统内置音色或定制专属音色；</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▲12)支持教师设置智能学伴虚拟形象，支持动画虚拟形象或定制专属形象；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13)支持在智能学伴中进行指令管理，包括移动或删除指令，创建新的指令分组；支持拖拽调整指令顺序；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14)支持AI绘图，通过描述生成图片；支持代码绘图，通过Python代码绘制曲线；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15)支持联网检索，支持回答问题的同时联网检索资源进行补充回答；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16)支持图片检索，在图片检索中，根据学伴提问，精准匹配图片；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17)支持多轮对话，有上下文记忆功能，用于测试知识点学习、问卷调查、医患问诊等场景，根据学生问题或选择进行持续对话；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18)支持智能学伴回答完毕后，给用户展示至少3个推荐问题，让用户能够继续提问。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19)支持智能学伴回答完毕后，展示增强模型的知识碎片。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1.5.3智能批改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1)至少内置两个智能批改评分标准，包括评分项目、详细指标、指标权重；支持教师将系统内置模板复制到教师本人的批改规则下并调整修改；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2)需支持智能批改，支持教师设置多个批改规则，包含评分项目，详细指标，指标权重从而计算出评价分数，同时支持是否开启智能点评，教师可设置点评方向和点评风格；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3)支持教师设置智能批改评分标准后进行测试，包括设置分值、题目、参考答案或通过人工智能生成参考答案、最后填写作答内容进行批改测试，通过智能批改的测试查看是否需要调整评分标准；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4)支持教师可以通过批改测试选择不同的批改规则进行调试智能批改效果；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5)支持教师发布主观题到教学班，支持教师进入教学班中选择是否进行智能批改，包括选择智能批改的评分标准、是为当前学生进行智能批改或全班学生进行批改；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6)支持教师选择批注的身份，包括智能批注助手或当前教师本人；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7)支持教师选择智能批改完成后是否需要经过教师审核，如不需审核，将直接生成批注和评语发送给学生，学生分数仅供参考，实际分数需要教师手动打分；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选择不同的智能批改规则，对学生的作业进行在线智能批改，生成评分与评语；支持选中部分的作业文本逐条展示对应的AI详细批注、改进建议等，支持根据教师设定的智能批改规则显示每项细则的详细评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9)支持教师对智能批改不满意后选择重新批改；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10)支持保留教师多次批改记录，教师可查看历史批改效果；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11)支持AI课程组教师使用自己的智能批改规则或将规则共享到课程组，支持教师查看全部智能批改规则、分别查看我的和其他教师共享的规则，支持查看每个智能批改规则的创建人和最近编辑人；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12)新建批改规则，支持至少建设文章批改、通用批改、编程批改三类规则，根据批改分类不同，使其更适用于当前批改场景；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13)编程类型批改至少支持5种常见编程语言，包括但不限于Python、JavaScript、C、C++、Java；支持教师自定义编辑编程批改规则，包括评分项目、详细指标、权重；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14)支持教师编辑大模型的输出要求，调试智能批改规则效果的时候，支持预览实际给到大模型的提示词，支持查看大模型返回的未经处理的原格式内容，以便于教师修改智能批改规则；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15)支持对学生上传的pdf、word、图片文件进行智能批改；支持批量下载教师智能批改后带批注的文件，展示按照智能批改规则批改的详细批注、改进建议等。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1.5.4智能备课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1)支持教师在网页端进行在线文档备课，支持创建多个在线文档，在线文档自动保存，支持插入图片、代码、链接、表格等多种格式内容；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2)支持教师查看在线文档大纲；支持向备课助手发送文字和图片、文件（包括pdf、doc、docx、xlsx、ppt、txt、md、csv、py等）；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3)支持备课助手将生成的内容一键插入到在线文档中，无需复制粘贴；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4)支持教师填写备课助手反馈意见，包括不满意的原因、具体描述或更好的回答；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5)支持教师查看与备课助手的历史对话或开展新对话；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6)支持智能备课助手生成在线文档后，支持导出为本地word文档；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7)支持教师将在线备课文档编辑完成后，直接发布到教学班；支持教师设置发布时间、是否计入考核、考核截止时间、是否允许评论、是否微信消息提醒；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需支持在PPT插件中，根据选中文字，AI生成案例，生成的案例可以一键插入PPT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需支持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需支持在PPT插件中，选中需要翻译的文字翻译，同时翻译后的内容可以一键插入PPT课件指定位置中，不能手动粘贴插入，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11)支持在PPT插件中选择AI课程建设的增强模型的知识片段资源，支持按照课程和知识点进行筛选，支持预览图文结合的知识点片段并一键插入到PPT中；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b/>
                <w:bCs/>
                <w:snapToGrid w:val="0"/>
                <w:color w:val="000000" w:themeColor="text1"/>
                <w:kern w:val="0"/>
                <w:szCs w:val="21"/>
                <w:highlight w:val="none"/>
                <w:lang w:bidi="ar"/>
                <w14:textFill>
                  <w14:solidFill>
                    <w14:schemeClr w14:val="tx1"/>
                  </w14:solidFill>
                </w14:textFill>
              </w:rPr>
              <w:t>▲12)支持在PPT插件中选择AI课程建设的增强模型中的视频资源，，支持按照课程和知识点进行筛选，支持预览视频并一键插入到PPT中；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13)支持在PPT插件中选择AI课程建设的增强模型的题目资源，支持按照课程和知识点进行筛选，支持预览题目内容和答案解析并一键插入到PPT中，支持放映PPT时，将题目发送给学生进行作答。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14)支持在PPT插件中选择AI课程建设的增强模型中的论文资源，支持按照课程和知识点进行筛选，支持预览论文片段并一键插入到PPT中；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在PPT插件中选择出题规则，支持根据知识点进行出题，或根据自定义要求进行出题，至少包括设置题型、设置题目数量、设置题目难度、设置知识点，设置多个出题要求，AI生成的题目教师可以选择插入题库或直接插入PPT中，支持放映PPT时，将题目发送给学生进行作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1)支持在教师备课时，在PPT中插入课堂AI互动设计，包括在固定PPT页面加入召唤智能体，设置在放映PPT中需要召唤可对话的智能体；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2)支持在教师备课时，在PPT中插入课堂AI互动设计，包括在固定PPT页面加入发送智能体，设置在放映PPT中需要发送预置智能体给学生，学生进行对话；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3)支持在教师备课时，在PPT中插入课堂AI互动设计，包括在固定PPT页面加入智能汇报，包括设置汇报的主题，汇报的时长、智能点评的规则。</w:t>
            </w:r>
          </w:p>
          <w:p w14:paraId="4504E9B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4）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1.5.5智能课堂助手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1)支持在授课过程中，通过PPT唤起智能课堂助手，支持语音控制唤起智能课堂助手；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2)支持通过智能课堂助手进行AI对话，支持语音对话，支持将智能课堂助手生成的内容直接发送给学生；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3)支持教师设置智能课堂助手常用指令，可以快速通过调用指令进行快捷提问；支持教师在课堂中快速调起智能体进行对话；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4)支持通过语音控制智能课堂助手开启弹幕和随机点名，支持语音控制关闭弹幕和停止随机点名；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5)授课放映PPT过程中，支持截图PPT部分内容与智能课堂助手互动，实现知识讲解、自由对话等能力，教师可将智能课堂助手的回答内容一键发送给学生；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7)支持教师实时查看所有发布的AI对话任务的发布时间、累计用时、启动人数、未开始人数；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8)支持智能课堂助手实时记录教师授课内容；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9)支持课上实时显示教师讲稿内容，供学生课上回顾；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10)支持教师课上发起分组讨论活动，支持系统自动分组和学生自由分组；学生分组讨论完成后AI自动总结分组讨论的内容，并分析分组讨论中的学生参与情况，包括分析积极发言的学生、有效参与讨论的学生；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支持在管理后台设置点评规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12)支持查看已汇报的学生列表，包括汇报人姓名、用时、AI点评内容；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14)支持导出AI生成的课堂思维导图；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15)支持教师编辑AI生成的讲稿；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16)支持教师在后台配置智能课堂助手相关信息，内置至少3种角色可供切换选择，同时支持教师自定义配置，包括角色形象、性别、回答语言、输出声音音频、人物特点、回答风格等，支持预览查看配置效果；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智能课堂助手支持至少15种回答语言切换，包括但不限于中文、英文、粤语、日语、印尼语、马来语等，支持在课堂授课过程中，教师可以通过多语言与智能课堂助手进行语音对话，至少包含中文、英文、中英文混合、粤语、日语五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18)支持设置智能课堂助手截图与AI对话的快捷指令，如知识点讲解、案例生成、讨论话题生成等；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19)支持对授课过程中发送给学生的题目进行作答情况和结果分析，包括作答人次、正确/错误人次、选项作答情况等，分析每个选项以及整个题目的错误原因，帮助教师提供教学改进建议。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1.5.6智能出题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1)支持根据知识点出题，教师可设置知识点、难度系数、题目数量、题目类型和具体出题要求，支持设置多个出题要求；</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2)支持手动输入或筛选已有的知识点进行出题；支持选择多个知识点进行出题；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3)支持教师设置至少包含判断题、填空题、主观题、单选题、多选题。其中单选题和多选题支持设置选项数量；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4)支持生成的题目至少包含题干、答案、解析；支持生成的每个题目直接加入教师题库；支持将当前生成的题目批量加入题库；支持一键前往教师题库；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5)支持将AI生成的题目加入教师题库时，可以选择关联知识点；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6)支持生成的题目可直接进行编辑，包括题干、选项、答案、解析，可新增选项；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7)支持教师根据AI出的每道题目分别进行意见反馈，支持AI根据教师反馈意见进行持续优化，支持查看历史出题记录；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8)支持教师自定义出题要求和模板，支持教师设置多个出题模板；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9)支持根据视频内容，智能出题，同时将题目一键插入到对应的知识点，同时支持教师修改题干、选项、答案、解析；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10)教师可设置学生答对题目才能继续观看视频，学生观看视频时，根据教师的设置答题后可继续观看视频；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11)支持AI根据课件内容，智能出题，AI可推荐各题目插入的课件位置，支持将单个题目和所有题目一键插入到对应课件位置，支持教师在课件中修改题干、选项、答案、解析。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1.5.7智能资源推荐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1)支持根据学生提问的知识点或者材料要求，智能进行资源推荐；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2)支持资源智能推荐时，可推荐清华大学等双一流高校以及国外的优质的MOOC视频，免费内置不少于5000门完整慕课课程视频、200000条视频文件，每条视频时长5-15分钟；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3)支持联网检索相关学习资源，包括视频、论文等；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4)支持教师设置知识库中的资源是否被推荐，包含关联资源、电子教材、讲义课件、相关论文、相关案例或其他资料；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5)支持教师设置资源推荐开放的应用，开放后，学生在使用时可以进行资源推荐；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6)支持教师可在工作台进行资源推荐与检索，方便教师进行备课资源收集；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7)支持教师设置指定网站进行资源检索和推荐；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8)支持资源检索和推荐中通过教师的历史搜索，推荐联想的搜索，方便教师进行快速定位；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9)支持结果按照视频、论文、教材、案例、论坛进行分类筛选；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10)支持智能分析检索的问题，整理搜索结果，生成智能回答。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1.5.8.1自定义智能体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1)支持创建角色扮演类型智能体；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2)支持设置智能体基本信息，包含智能体标题、自定义智能体头像、添加智能体说明；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3)支持设置智能体使用场景，包括对话场景、场景描述。AI角色、使用者角色及AI人设信息；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4)支持设置不同智能体的语音输入和语音输出，支持设置输出语言，至少支持中文和英文，支持设置输出语言的音色并支持试听；</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5)支持为每个智能体单独配置基座大模型；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根据智能体设置的个性化需求，设置智能体对话框的颜色效果，如红色、蓝色、绿色等；支持选择不同的背景图样式，支持自定义上传背景图并调整显示位置；支持智能体对话框颜色和背景图设置效果预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7)支持智能体对话设置，支持设置开场白；设置智能体推荐问题，推荐问题可以直接进行交互；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8)支持单独设置智能体的专属知识库，加强智能体的角色信息和角色资料；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9)支持设置智能体对话结束判断，使用者触发结束判断后，自动结束对话，支持设置多个对话结束判断，支持拖拽调整结束判断；</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10)支持智能体对话评价设置，支持添加多个考核项并设置各考核项分值，支持设置评价内容的输出格式，智能体将在对话结束后按照评价格式和考核项进行评价；</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11)支持智能体效果测试，教师可以通过配置的过程直接进行测试；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12)支持设置智能体共享到AI课程，支持将智能体发布到教学班，学生在教学班与智能体进行对话；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13)支持教师分享智能体的链接，允许校内学生或校外用户通过链接使用该智能体；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14)支持设置智能体权限，支持智能体共享到课程中时，可以选择共享人员及共享权限，包括可编辑、可管理、可调试；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15)支持设置智能体分组，支持设置自定义分组；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1.5.8.2第三方智能体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将设置好的第三方智能体添加进AI课程，支持教师在AI课程中自定义该第三方智能体的头像、名称、显示logo；支持语音输入和语音输出；支持将第三方智能体发布到教学班，师生可在各场景中使用第三方智能体并记录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1.5.8.3AI讨论智能体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讨论智能体，支持配置智能体专属知识库，设置智能体知识库配置，包括相似度，召回碎片数量、增强检索方式；配置智能体回复范围至少包括：教师发帖、学生发帖、教师评论及回复、学生评论及回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1.5.8.4AI陪练智能体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设置AI陪练智能体，可设置在学习空间选择AI出题、自测题、混合出题给学生进行陪练；支持设置难度顺序为随机或自测题按难度从低到高出现，低难度题目做对会进入下一难度题目，做错进入同难度题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2)支持AI陪练设置先修知识点校验，自定义作答次数后视为完成；支持设置根据学生学习过程数据进行个性化推荐；支持针对不同的题型设置作答次数和是否显示答案解析；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1.5.8.5AI考官智能体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AI考官智能体，用于学生知识点测评和输出评价报告，包括设置智能体头像、开场白，至少支持中英文两种语言切换，支持配置智能体专属知识库，设置智能体知识库配置，包括相似度，召回碎片数量、增强检索方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2)支持自行选择知识点进行练习，支持多次会话练习，完成答题后，自动生成总结报告，包括作答题目数、正确率，不同难度等级题目正确率，薄弱点、优势及学习建议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 “自测题与 AI 出题混合模式”，且策略优先级配置为 “自测题优先”；同时需支持 “只使用自测题”“只使用 AI 出题” 两种备选策略。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4)至少支持两种级别知识点推题，支持按 3 级知识点进行精细化推题或按 2 级知识点推题。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5)至少具备两种自适应难度升级机制，答对题目后自动升级难度直至答错；或保持难度不变至所有题目做完。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6)至少具备两种自适应难度降级机制，答错题目后自动降低难度直至答对；或保持难度不变至所有题目做完。</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 xml:space="preserve">7)支持教师按照学生下载答题数据，包括课程下多个班级的学生答题数据，每个学生的最后答题时间、知识点、题目数量及其正确率。 </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1.5.9AI作业</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1)支持在作业中设置作业要求，配置智能体，学生通过与智能体对话进行作业作答，通过智能体评价作为AI作业得分；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学生在AI作业作答中，查看智能体场景信息，包括智能体角色，学生本次作业角色，支持学生多次与智能体进行对话和上传附件，支持提交智能体对话的内容作为作业作答，提交后智能体进行评价，显示本次作业得分，对话轮次，并根据智能体评价方向进行点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1.5.10教学工具箱</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3)支持课程建设教学工具箱，且提供多种教学工具，至少包括基础医学、预防医学、临床医学、药学、护理学养老服务管理、智能医学工程专业的相关的HTLM课件；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4)支持教师上传自己的教学工具，可共享到AI课程中，供教师团队使用。支持设置工具头像、工具名称、工具介绍、上传HTML文件。</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1.5.11教学运行数据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1.5.11.1知识图谱数据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1)支持查看知识图谱建设与发布情况，包含自测习题数量、自测题知识点覆盖率、学习单元数量、学习单元知识点覆盖率；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2)支持查看知识图谱资源发布与未发布对比图，包括视频、图文、讨论、作业、考试、课件、自测题；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3)支持查看知识图谱中总知识点数量、发布内容的知识点数量、学生学习知识点数量漏斗图；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4)支持查看本周学习人数及对比上周学习人数上升下降百分比；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5)支持查看本周学习知识点数及对比上周学习知识点数量上升下降百分比；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6)支持查看班级知识点完成概况，已完成占比、未开始占比、进行中占比；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7)支持查看完成知识点的学习类型分布，将按照学习单元的类型分别统计每个类型的占比；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8)支持查看知识点完成情况分析，按照100%、80%、60%、0%进行筛选；同时不同百分比通过不同颜色标识；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9)支持查看学生未开始的知识点；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按照知识点查看学生的掌握度、对应的教学内容、未开始学生人数、进行中学生人数、已完成学生人数、完成率、自测题数量、未作答学生人数、已作答学生人数、自测题完成率、自测题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11)支持按照学生查看学生姓名、学号、知识点掌握率、知识点学习内容未开始数量、进行中数量、完成数量、知识点完成率、自测题作答情况、正确数量、正确率；支持导出表格；</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12)支持统一导出每个学生在每个知识点下的完成率、习题正确率、掌握率明细数据。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1.5.11.2AI使用数据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智能学伴使用明细数据，包括提问者姓名、教学班名称、问答内容、提问入口、提问时间；支持按照时间周期、班级学期、班级名称、提问角色、问题属性、反馈情况进行筛选；支持按照提问者姓名或提问内容进行搜索；支持导出智能学伴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1)支持以学生维度汇总查看智能学伴使用详情，包括学生姓名、学号、所在班级名称、学伴提问次数、使用时长，支持以学生维度查看学伴互动明细；支持导出以学生维度汇总的数据；支持删除学生提问数据。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智能体使用明细数据，包括提问者姓名、班级名称、问答内容、提问入口、提问时间；支持按照时间周期、班级学期、班级名称、提问角色、智能体标题进行筛选；支持按照提问者姓名或提问内容进行搜索；支持导出智能体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3)支持查看智能备课助手明细数据，包括教师姓名、问答内容、提问入口、提问时间；支持按照时间周期筛选；支持按照教师姓名或问答内容进行检索；支持导出智能备课助手使用明细；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查看教师在课堂授课过程中和智能课堂助手的问答明细，包括授课教师姓名、班级名称、课堂名称、问答内容、课堂提问时间；支持按照时间周期、班级学期、班级名称进行筛选；支持按照课堂名称、授课教师姓名或问答内容进行检索；支持导出智能课堂助手使用明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AI应用使用数据的统一查看管理界面，支持切换查看各AI应用的使用数据明细记录，包括智能学伴、智能备课助手、智能课堂助手、智能体、知识图谱等，支持按照使用时间、班级、互动者姓名、互动关键词等维度进行筛选或搜索，支持查看每条记录的AI互动详情；</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6)支持智能学伴应用洞察，包括按照班级所属学期、教学班名称进行筛选；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7)支持查看智能学伴师生使用概况，包括使用总次数、覆盖班级数、教师数、使用学生数、选课学生数、学生使用率、学生使用次数、学生平均使用次数、学生使用时长、学生平均使用时长等数据；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8)支持查看智能学伴高频问题，可按照问题类型进行筛选，支持查看不同问题类型的提问次数与百分比；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9)支持指令分析，包含指令条数、学生使用指令条数、指令详情、学生使用次数等；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10)支持查看常问教学活动、对应活动提问次数、学生提问入口、占比与次数可视化展示；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11)支持查看智能学伴学生使用趋势，可视化展示使用日期、提问次数、使用时长等数据信息；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12)支持可视化展示智能学伴学生使用时间统计热力图；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13)支持展示智能学伴学生反馈情况，包括学生使用次数、未反馈、满意、不满意次数与百分比；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14)支持展示智能学伴学生使用排名，包括学生姓名、所属学院、行政班、提问次数、使用时长等信息；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15)支持统一导出每个学生的学习过程数据，包括日常学习数据与AI使用数据。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1.5.11.3AI教学分析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1)支持AI分析教学数据，支持快捷展示需教师关注的重点学生，包括缺勤学生、薄弱学生、进度滞后学生等；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2)支持AI快捷分析课程进展，给出动态教学建议；支持教师快捷前往班级教学活动详情界面；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3)支持教师与AI教学分析助手对话，为教师提供教学优化建议；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4)支持AI根据教师能力图谱与班级学习内容，自动生成学生能力评估模型，根据各能力的权重、评估方式、关联的知识点、关联的学习内容数量与占比，AI自动生成教学改进建议；支持统计班级能力整体达成度；</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5)支持教师快捷查看班级教学明细，包括学习单元的发布情况、学生完成情况统计与详情查看；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6)支持统计各个能力的达成度并以雷达图展示，支持AI自动生成教学实施分析建议；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7)支持统计综合能力的发展趋势，AI自动生成每周对比分析；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8)支持AI生成单项能力的分析，包括各项能力的达成度、权重与计算方式，支持AI自动生成单项能力达成度的每周变化趋势与对比分析；</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9)支持散点图形式可视化展示学生能力分布，AI自动生成学生表现及建议，支持统计学生能力排名。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10)支持教师手动修改评估模型，包括评估能力权重、评估方式及其占比，新增评估方式，评估方式关联的学习内容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1.5.11.4学生画像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1)支持查看学生综合画像，支持统计班级活跃学生数量与占比、使用AI学生数量与占比、人均使用AI次数、参与学习活动学生数量与占比、人均完成学习活动个数及完成率等数据；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2)支持以雷达图形式统计班级学生整体和学生个人的学习表现情况，包括AI使用情况、学习成绩、能力发展、教学互动、学习完成进度等学习表现，AI根据学习表现情况进行分析与建议；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3)支持以散点图或柱状图形式查看学生成绩分布、学习活动完成率分布、使用AI次数分布情况；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4)支持AI统计分析学生AI使用情况与成绩的关联关系，支持AI分析热门知识点与薄弱知识点，辅助教师调整教学策略；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5)支持按时间查看活跃学生数量的变化趋势，包括使用AI人数、参与学习活动人数；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6)新增学生学情预警独立展示页面，承载学生综合预警、分项预警全维度数据与配置功能；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7)支持展示学生学情预警，至少将学生分为三类：表现突出、表现中等、重点关注学生，支持查看学生人数和占比。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8)支持至少按照成绩、考勤、学习进度、学习互动、习题检测、AI互动六种类型查看需重点关注学生和表现突出学生。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9)支持学生综合预警指标自定义配置，可设置各分项指标的数值范围（可界定指标判定标准）；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预警标签配置项与学生画像标签联动，配置结果同步管控学生学情预警页面、学生综合画像、学生个人画像的标签展示：未勾选的预警分项指标，在所有画像标签中同步隐藏，且画像标签与预警页面共用同一套指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11)支持向学生发送预警提醒，支持设置自动提醒，教师手动选择学生进行消息提醒，支持系统每月初自动根据不同类型需重点关注的学生发送消息提醒。</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12)支持展示需教师重点关注学生列表，包括未使用过AI、成绩落后、频繁缺勤的学生等，支持查看需重点关注学生的所有学习记录及个人画像；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14)支持按学期、班级、学习标签、学生姓名、学号筛选或搜索相应学生的学习数据记录，支持按照筛选或搜索结果导出相应数据；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15)支持查看学生个人画像，包括学生姓名、学号、班级、学院、入学年份、学习标签、班级成绩排名、整体学习表现、学习数据、AI使用情况统计与分析、学习动态、知识点完成情况、学习趋势等；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16)支持查看单个学生与AI互动情况的统计分析，包括AI使用次数、AI使用时长、与AI互动的高频词汇等，支持查看该学生的所有AI互动明细记录；</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17)支持查看单个学生的学习动态，包括作业、视频、讨论等学习活动的完成和未完成情况及完成率；支持按时间查看该学生的学习趋势，包括使用AI次数和和完成学习活动次数。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1.5.12指令库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1)需支持指令库管理，教师可以设置多种指令卡片，同时支持设置指令分组，可以支持添加分组和管理分组，拖动不同分组位置，筛选查看不同分组的指令；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2)支持教师自定义创建指令，包括指令标题、详细指令内容和短指令，学生端仅展示短指令；支持调试指令效果时查看短指令展示效果；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3)支持指令创建的同时可以进行指令测试方便教师调整指令效果；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4)支持教师设置指令的应用场景，设置后仅在该场景可查看指令，其他场景无法查看该指令；</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5)支持设置特殊指令，包含AI绘图、代码绘图、联网检索、图片检索；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1.6AI课程管理建设服务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1)需支持将AI能力应用到教学班，在应用时可以浏览不同学期的教学班，根据教师进行教学班筛选，需支持每个AI功能分别应用到不同的教学班，满足教学设计需要；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2)支持教师分享智能学伴和智能体的使用链接或二维码，支持教师设置扫码时自动推送的欢迎语文案，学生通过链接或二维码可访问智能学伴和智能体并进行对话；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3)支持教师在AI工作台查看AI课程列表，搜索和切换AI课程，方便进行课程的快速管理；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4)需支持一门课程通过功能开关控制知识库是否启用；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5)支持教师通过工作台进入AI课程门户展示页面及编辑页面，支持教师复制门户链接进行分享；</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6)支持设置课程评审专家角色，支持专家免登录即可查看课程工作台。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7)支持AI课程语言切换，至少支持中文和英文两种语言。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8)支持AI课程成员管理，支持添加与删除成员、修改成员的角色权限，支持查看所有成员列表；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每门AI课程单独配置课程的成员权限，内置至少3种成员角色权限；支持设置不同角色的角色名称与AI功能权限范围；支持自定义添加角色并配置AI功能权限；AI功能支持设置至少二级菜单的查看、管理及下载权限，包括但不限于课程模型、课程知识库、AI应用、数据中心、成员管理等，并提供权限范围说明。</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1.7学生端AI学习空间建设服务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1)支持课程学习语言切换，至少支持中文和英文两种语言。</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2)支持教学班中包含智能学伴，学生进入班级中，无需点击学习单元即可与学伴展开对话；</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3)支持智能学伴宽屏显示，支持学生通过教学内容，智能分析教学内容对应的知识点，与智能学伴进行互动交流；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4)支持学生在学习空间与教师发布的智能体进行对话，支持语音输入和输出；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5)支持学生根据老师设定好的指令，通过更改提示语进行快速提问；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6)支持学生在预习教师发布的PPT课件和观看课堂回放时，对当前PPT课件内容不懂，可一键将该课件内容反馈至智能学伴，AI将实时针对当前PPT课件页内容进行智能答疑；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7)在教师授课过程中，学生移动端实时查看教师放映完成及正在放映的PPT课件，针对每一页的课件页内容不懂，可一键将当前课件页发送给AI，AI将实时针对当前PPT课件页进行内容解析并智能答疑；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8)支持学生移动端查看课堂总结报告，至少包括课堂数据分析报告、人工智能生成的课堂思维导图、知识导引、教师讲稿；支持搜索讲稿内容；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9)支持在知识图谱中通过知识点关键词搜索，搜索结果高亮显示；</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10)支持学生选择知识点，展示该知识点上的学习内容和知识点详情，包括知识说明、知识分类、认知维度、难度系数；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11)支持学生查看知识点目录，点击快速跳转到其他知识点进行学习；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12)支持学生通过点击某一知识点查看知识点学习路径；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13)支持根据学生的学习进度，知识点有不同的展示效果，帮助学生快速对知识点进行定位；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14)支持学生通过知识图谱进行学习，点击知识点进入AI学习空间，同时展示学习内容与智能学伴，方便学生在学习过程中进行知识点互动问答；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15)支持学生在学习空间观看数字人教师进行课件内容讲解；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16)支持学生手机扫码，快速打开移动端进行知识点学习；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17)支持学生观看视频学习内容时，对当前视频播放内容不懂，可一键将当前视频帧发送至AI，AI将实时针对当前视频帧进行内容解析并智能答疑；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18)支持学生查看人工智能通过视频内容生成的知识导引，进行知识点总结归纳，形成知识点标题，方便学生通过导引快速定位视频；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19)支持学生查看人工智能通过视频内容生成的教师讲稿，按时间轴排序，支持通过知识导引快速定位到教师讲稿，支持讲稿快速定位到视频内容；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20)支持学生查看教师在知识点下的相关教材，预览当前教材内容；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21)支持学生在AI学习空间观看教学活动的任务中，无需学生输入问题，根据教师的教学设计，在不同的时间智能体能自动与学生交互，至少包括推送知识点相关资源，自动为学生出题进行知识点自测；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22)支持学生在学习空间中，遇到不懂的内容，可直接划选文字一键唤起智能学伴进行智能答疑；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23)支持学生提交自测练习题、作业和考试后，对当前题目不懂，可一键将该题目反馈至智能学伴，AI将实时针对当前题目进行智能答疑；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24)支持学生选择知识点进行自测题作答练习时，系统可校验是否答过先修知识点，支持跳转至先修知识点进行答题；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25)学生选择知识点进行自测题作答练习时，支持AI根据当前知识点、当前学生的成绩等学习过程数据进行个性化智能推题，不限制AI推题数量，支持AI随机推题或按照由易到难的顺序推题；支持AI根据当前知识点推荐其他知识点让学生继续进行自测题练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26)支持根据本次学生自测题作答记录输出AI学习报告；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27)支持学生在AI学习空间中通过智能学伴进行资源智能检索，主要为课程相关的网络教学资源，进行课外教学资源补充学习，资源类型包括知乎、视频等多种途径；</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28)支持学生查看自己的知识点完成情况，包括所有知识点的完成情况、单个知识点的完成情况、累计学习时长、习题正确率、题目作答数量；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29)支持在班级讨论区中智能答疑，AI自动回复讨论区问题。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30)支持学生课查看学生个人画像，学生个人的学习表现情况，包括AI使用情况、学习成绩、能力发展、教学互动、学习完成进度等学习表现，AI根据学习表现情况进行分析与建议；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31)支持移动端查看知识图谱，查看知识点的完成情况、学习时长、自测题正确率和作答数量，支持查看知识点关联关系。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32)支持AI空间学习小助手，包括电脑端和移动端，支持学生在AI空间与所有AI课程的学伴和智能体进行对话，支持查看或设置课程通知是否屏蔽，支持查看当前课程的学习进度和待办学习内容，一键跳转学习。</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1.8AI课程门户设计服务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1.8.1门户管理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1)门户主题色支持配置，支持至少6种主题色选择；</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2)支持设置门户风格布局，支持至少四种布局切换；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3)支持门户展示语言切换，至少支持中文、英文两种模式切换。</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4)支持上传学校logo,支持选择logo配置位置；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5)支持设置主图样式，至少包括模型展示及自定义图片；支持背景图片设置显示位置；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6)支持设置课程标签、设置课程教师，至少包括教师姓名和头像，支持设置多个教师；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7)支持设置导航颜色为白色或者根据主题色自动适配；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8)支持导航自定义学校logo和课程英文名称；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9)支持设置导航显示模块，包括课程概述、知识模型、能力模型、问题模型、素质模型、AI应用、资源地图，支持修改模块名称，支持拖拽调整模块顺序；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10)支持门户设置数字人展示，支持自定义数字人位置，支持添加至少两个数字人形象进行展示，支持设置数字人教师语音内容，支持设置是否重复播放；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11)支持门户首页配置至少三个页面导航、支持导航名称进行自定义；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12)支持设置导航结构；支持自定义设置首页背景图；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13)支持将增强知识库进行展示，支持设置来自增强知识库分类，支持配置分类名称、自定义封面、自定义跳转链接；</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14)支持展示优质知识片段，支持单个添加、删除和批量管理，支持调整知识片段顺序；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15)支持设置是否展示知识图谱、问题图谱、能力图谱；支持设置展示知识体系结构，至少两种展示样式；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16)支持设置知识图谱展示形式，包括展开层级、视图形式；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17)支持设置热门知识点，知识点来源于知识图谱，通过点击热门知识点可直接进入学习空间；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18)支持设置AI指令分组，支持设置分组名称、分组图片。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19)支持门户快速进入工作台和学习空间。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1.8.2课程概述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1)支持设置课程建设成果展示，至少包含资源地图、课程模型、课程荣誉，支持自定义课程成果展示模块；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2)支持设置课程介绍展示页面，至少包括课程背景、课程定位，支持自定义课程介绍展示模块；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3)支持设置教师团队展示模块，支持自定义教师团队展示模块；</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4)支持自定义新的课程展示模块，包括模块分组及详细的模块内容。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1.8.2.1建设成果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1.8.2.1.1资源地图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1)支持展示课程资源地图，包括教材、讲义、论文、习题、作业、试卷、视频等类型资源的数量统计；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2)支持资源地图展示视频时长、知识片段数量、课程资源总字数；</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1.8.2.1.2课程模型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1)支持展示课程知识模型、问题模型、能力模型、素质模型金字塔；</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2)支持展示能力模型的能力点数量、覆盖知识点；支持展示问题模型的问题数量、问答对数量、覆盖知识点数量；支持展示知识模型的知识点数量、学习资源数量、习题数量；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3)支持课程模型展示页面自定义背景图片，包括背景图片显示位置。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1.8.2.1.3课程荣誉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1)支持课程设置荣誉列表，新增课程荣誉；</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2)支持至少三种课程荣誉展示图标，支持设置课程荣誉日期、设置相关描述、支持设置课程荣誉图片，支持点击查看大图；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3)支持课程荣誉展示页面自定义背景图片，包括背景图片显示位置。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1.8.2.2课程介绍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1.8.2.2.1课程背景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1)支持课程背景展示页面自定义背景图片，包括背景图片显示位置；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2)支持设置课程背景布局，至少包含图文布局及是否包含底板边框；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3)支持设置课程背景介绍正文及自定义图片。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1.8.2.2.2课程定位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1)支持课程定位展示页面自定义背景图片，包括背景图片显示位置；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2)支持设置课程定位布局，至少包含图文布局及是否包含底板边框；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3)支持设置课程的先修课程、后修课程及课程定位详细介绍；支持设置多个课程标签。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1.8.2.3教师团队</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1)支持教师团队展示页面自定义背景图片，包括背景图片显示位置；</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2)支持添加课程教师团队成员，包括教师姓名、头像、院系、职称、介绍。</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1.8.3知识模型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1)支持知识图谱切换树状视图、网状视图、环状视图、自定义视图查看；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2)支持查看知识图谱的“知识点总量”“节点层级”“节点关系”“关联课程资源数量”“关联习题数量”“思政点数量”；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3)支持选择某节点后，可展开所有下级节点或收起所有下级节点，可调整页面呈现的节点内容和数量；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4)支持根据知识图谱中的知识点层级快捷设置展开层级；</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5)支持查看知识点详情，可查看此节点的详情，包括：节点名称、知识说明、知识分类、认知维度、难度系数、节点关系、思政设计；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6)支持知识点搜索，输入关键词，若搜索结果有多个时，突出显示定位检索匹配的所有节点；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7)支持知识图谱查看时可根据进行放大缩小，可以查看知识图谱全景；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8)支持知识点已关联的课程视频资源，可查看此资源的详情内容；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9)支持展示AI学习空间，支持知识点生成二维码，扫码可进入手机端AI学习空间；</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10)支持在学习空间中与数字人教师进行互动；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11)支持在学习空间观看数字人教师进行PPT讲解；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12)支持在观看教学活动的任务中，学伴自动推送相关知识点内容、知识点习题、关联知识点；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13)支持在门户展示知识点学习数据，包括每一个知识点的学习视频人次和习题作答人次。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1.8.4能力模型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1)支持展示能力模型对应的能力点、知识点、学习内容数量；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2)支持展示单个能力点的标签、能力描述、知识点数量、学习内容数量；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3)支持展示能力点详细内容，包括能力点的标签、能力描述、知识点名称、知识点关联学习内容；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4)支持能力模型切换不同展现样式查看。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1.8.5问题模型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1)支持展示问题模型，包括问题类型、问题类型描述、问题类型数量及问题关联关系；</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2)支持展示单个问题的问题及对应答案，支持展示与其他问题的关联问题，支持展示问题关联的知识点及对应的学习内容。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1.8.6素质模型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1)支持展示素质模型，包括素质点名称、素质点描述、关联的知识点及对应的学习内容；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2)支持素质模型切换不同展现样式查看。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1.8.7AI应用</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1)支持展示AI课程应用中心，设置多个应用使用场景，支持每个场景可以设置分组，支持移动调整分组顺序；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2)支持设置AI应用展示页面布局，至少支持瀑布流及宫格展示形式；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3)支持设置每个使用场景初始化时可以直接选择已有指令作为场景展示案例，同时支持自定义增加展示案例；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4)支持场景案例添加案例标题、简短描述、设置案例分组，同时支持设置案例图标，系统需提供内置图标；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5)支持编辑案例内容，包括插入图片、表格、超链接、代码块、公式。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1.8.8资源地图</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1)支持展示资源地图，支持知识点旭日图展示包括资源总数，知识片段数量、视频数量、视频导引数量、视频时长、习题数量、覆盖知识点、知识点覆盖率；</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2)支持展示热门知识点，至少展示10个热门知识点；</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3)支持资源地图按照热门分类、资源类型进行筛选；支持搜索知识片段；</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4)支持每一个知识片段展示知识点名称、资源类型、资源分类、片段详细内容，至少包含正文、图片、视频、公式、表格、代码。</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1.8.9智能助理</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1)支持智能助理，可通过与智能助理对话了解课程建设的内容及课程答疑；</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2)支持编辑智能助理，包括修改智能助理名称、设置智能助理开场白，设置智能助理常见问题；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3)支持智能助理设置问答对，智能助理回答问题优先参考标准答案。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1.9AI课程建设实施服务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1)需辅助教师明确AI课程建设目标，根据教师反馈，梳理建课思路；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2)需辅助教师课程素材收集整理，提供教师各种素材的具体格式及注意事项，教师可根据要求上传课程资料；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3)可根据教师提供的相关素材建立课程知识库，基于课程知识库进行增强检索生成、垂直调优；</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4)支持提供AI工作台，通过问答评测开展模型评估和调优，优化提示词及提升回复质量，同时后台完整记录反馈数据，持续更新迭代；</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5)需记录老师教学过程中的问题，根据问题进一步完善增强模型；</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6)需输出AI课程学期使用报告；</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7)辅助教师建设AI课程示范案例，进行宣传推广。</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1.10系统对接服务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 为方便校内学生进行AI课程学习，需要对接学校统一身份认证系统/教务系统，师生必须将校内工号/学号与平台账号相关联，以确认师生身份；</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 需要对接教务系统，并将已确认的开选课信息一次性导入AI课程，并进行定期维护和更新，以保证学生的选课信息准确无误；</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 导入的课程会在平台展示页面中有独特标识，并且导入的课程可在数据中心中查看多维度数据统计结果；</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 为学习者提供优质的云端网络环境。</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二、面向不同课程个性服务：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1明确智慧课程建设目标：沟通需求，深入了解授课教师在教学中的需求痛点及学科和课程特点；目标确立，结合学科定位与课程特点，清晰界定人工智能赋能教育教学的课程升级目标、学科建设整体目标，完成整体建设框架设计；服务配置，根据授课教师反馈，梳理课程建设及学科建设思路，根据教师需求确定后续服务模式；</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2.课程素材收集整理：提供各种素材的具体格式及注意事项；教师根据要求上传课程资料</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3建立课程增强模型：根据教师提供的相关素材建立课程知识库；根据课程类型或学科特点建设包括但不限于图片库、公式库、表格库、视频库等类型增强知识库。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4数字人构建：每门课程定制一位教师数字人形象，用于知识点讲解，为学生提供不超过60个精选知识点进行讲解。整个讲解系列将控制在200分钟以内，确保内容精炼且高效。</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5个性指令构建：根据课程专业属性，建设课程个性化指令库。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6 智能体构建：根据课程专业属性，每门定制不少于三个专属课程智能体；</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7知识图谱：课程知识图谱、问题图谱、能力图谱搭建服务，知识图谱层级不超过6级，不超过500个知识点。学科知识图谱搭建服务。</w:t>
            </w:r>
            <w:r>
              <w:rPr>
                <w:rFonts w:hint="eastAsia" w:ascii="宋体" w:hAnsi="宋体" w:cs="宋体"/>
                <w:snapToGrid w:val="0"/>
                <w:color w:val="000000" w:themeColor="text1"/>
                <w:kern w:val="0"/>
                <w:szCs w:val="21"/>
                <w:highlight w:val="none"/>
                <w:lang w:bidi="ar"/>
                <w14:textFill>
                  <w14:solidFill>
                    <w14:schemeClr w14:val="tx1"/>
                  </w14:solidFill>
                </w14:textFill>
              </w:rPr>
              <w:br w:type="textWrapping"/>
            </w:r>
            <w:r>
              <w:rPr>
                <w:rFonts w:hint="eastAsia" w:ascii="宋体" w:hAnsi="宋体" w:cs="宋体"/>
                <w:snapToGrid w:val="0"/>
                <w:color w:val="000000" w:themeColor="text1"/>
                <w:kern w:val="0"/>
                <w:szCs w:val="21"/>
                <w:highlight w:val="none"/>
                <w:lang w:bidi="ar"/>
                <w14:textFill>
                  <w14:solidFill>
                    <w14:schemeClr w14:val="tx1"/>
                  </w14:solidFill>
                </w14:textFill>
              </w:rPr>
              <w:t>8 HTML交互式课件：根据课程专业属性，每门定制不少于五个HTML交互式课件。</w:t>
            </w:r>
          </w:p>
        </w:tc>
        <w:tc>
          <w:tcPr>
            <w:tcW w:w="966" w:type="dxa"/>
            <w:tcBorders>
              <w:top w:val="single" w:color="000000" w:sz="4" w:space="0"/>
              <w:left w:val="single" w:color="000000" w:sz="4" w:space="0"/>
              <w:bottom w:val="single" w:color="000000" w:sz="4" w:space="0"/>
              <w:right w:val="single" w:color="000000" w:sz="4" w:space="0"/>
            </w:tcBorders>
            <w:vAlign w:val="center"/>
          </w:tcPr>
          <w:p w14:paraId="0AE61F9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门</w:t>
            </w:r>
          </w:p>
        </w:tc>
        <w:tc>
          <w:tcPr>
            <w:tcW w:w="950" w:type="dxa"/>
            <w:tcBorders>
              <w:top w:val="single" w:color="000000" w:sz="4" w:space="0"/>
              <w:left w:val="single" w:color="000000" w:sz="4" w:space="0"/>
              <w:bottom w:val="single" w:color="000000" w:sz="4" w:space="0"/>
              <w:right w:val="single" w:color="000000" w:sz="4" w:space="0"/>
            </w:tcBorders>
            <w:vAlign w:val="center"/>
          </w:tcPr>
          <w:p w14:paraId="4641678B">
            <w:pPr>
              <w:widowControl/>
              <w:jc w:val="righ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bidi="ar"/>
                <w14:textFill>
                  <w14:solidFill>
                    <w14:schemeClr w14:val="tx1"/>
                  </w14:solidFill>
                </w14:textFill>
              </w:rPr>
              <w:t>1</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1CA65E6D">
            <w:pPr>
              <w:rPr>
                <w:rFonts w:hint="eastAsia" w:ascii="宋体" w:hAnsi="宋体" w:cs="宋体"/>
                <w:color w:val="000000" w:themeColor="text1"/>
                <w:szCs w:val="21"/>
                <w:highlight w:val="none"/>
                <w14:textFill>
                  <w14:solidFill>
                    <w14:schemeClr w14:val="tx1"/>
                  </w14:solidFill>
                </w14:textFill>
              </w:rPr>
            </w:pPr>
          </w:p>
        </w:tc>
      </w:tr>
      <w:tr w14:paraId="20AC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trPr>
        <w:tc>
          <w:tcPr>
            <w:tcW w:w="9746" w:type="dxa"/>
            <w:gridSpan w:val="7"/>
            <w:tcMar>
              <w:top w:w="13" w:type="dxa"/>
              <w:left w:w="57" w:type="dxa"/>
              <w:bottom w:w="0" w:type="dxa"/>
              <w:right w:w="57" w:type="dxa"/>
            </w:tcMar>
            <w:vAlign w:val="center"/>
          </w:tcPr>
          <w:p w14:paraId="5E76A824">
            <w:pPr>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商务要求</w:t>
            </w:r>
          </w:p>
        </w:tc>
      </w:tr>
      <w:tr w14:paraId="4351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484" w:type="dxa"/>
            <w:gridSpan w:val="2"/>
            <w:tcMar>
              <w:top w:w="13" w:type="dxa"/>
              <w:left w:w="57" w:type="dxa"/>
              <w:bottom w:w="0" w:type="dxa"/>
              <w:right w:w="57" w:type="dxa"/>
            </w:tcMar>
            <w:vAlign w:val="center"/>
          </w:tcPr>
          <w:p w14:paraId="4EDDDDD7">
            <w:pPr>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报价说明</w:t>
            </w:r>
          </w:p>
        </w:tc>
        <w:tc>
          <w:tcPr>
            <w:tcW w:w="8262" w:type="dxa"/>
            <w:gridSpan w:val="5"/>
            <w:tcMar>
              <w:top w:w="13" w:type="dxa"/>
              <w:left w:w="57" w:type="dxa"/>
              <w:bottom w:w="0" w:type="dxa"/>
              <w:right w:w="57" w:type="dxa"/>
            </w:tcMar>
            <w:vAlign w:val="center"/>
          </w:tcPr>
          <w:p w14:paraId="1317F9F6">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报价为采购人指定地点的现场交付价格，包括但不限于：</w:t>
            </w:r>
          </w:p>
          <w:p w14:paraId="6EF94913">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1.采购内容中所有货物和服务的价格；</w:t>
            </w:r>
          </w:p>
          <w:p w14:paraId="53C76706">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2.货物的标准附件、备品备件、专用工具的价格；</w:t>
            </w:r>
          </w:p>
          <w:p w14:paraId="7809486A">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3.运输、装卸、安装（含安装材料）、代理服务费、调试、培训、技术支持、售后服务的费用，质保期内免费维修、养护、软件升级等费用；</w:t>
            </w:r>
          </w:p>
          <w:p w14:paraId="2F591597">
            <w:pPr>
              <w:widowControl/>
              <w:jc w:val="left"/>
              <w:textAlignment w:val="center"/>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4.必要的保险、检测费用和各项税费等。</w:t>
            </w:r>
          </w:p>
        </w:tc>
      </w:tr>
      <w:tr w14:paraId="79FB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484" w:type="dxa"/>
            <w:gridSpan w:val="2"/>
            <w:tcMar>
              <w:top w:w="13" w:type="dxa"/>
              <w:left w:w="57" w:type="dxa"/>
              <w:bottom w:w="0" w:type="dxa"/>
              <w:right w:w="57" w:type="dxa"/>
            </w:tcMar>
            <w:vAlign w:val="center"/>
          </w:tcPr>
          <w:p w14:paraId="2D844D0F">
            <w:pPr>
              <w:jc w:val="center"/>
              <w:rPr>
                <w:rFonts w:hint="eastAsia" w:ascii="宋体" w:hAnsi="宋体" w:cs="宋体"/>
                <w:b/>
                <w:bCs/>
                <w:snapToGrid w:val="0"/>
                <w:color w:val="000000" w:themeColor="text1"/>
                <w:kern w:val="0"/>
                <w:szCs w:val="21"/>
                <w:highlight w:val="none"/>
                <w:lang w:val="zh-CN" w:bidi="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质保期</w:t>
            </w:r>
          </w:p>
        </w:tc>
        <w:tc>
          <w:tcPr>
            <w:tcW w:w="8262" w:type="dxa"/>
            <w:gridSpan w:val="5"/>
            <w:tcMar>
              <w:top w:w="13" w:type="dxa"/>
              <w:left w:w="57" w:type="dxa"/>
              <w:bottom w:w="0" w:type="dxa"/>
              <w:right w:w="57" w:type="dxa"/>
            </w:tcMar>
            <w:vAlign w:val="center"/>
          </w:tcPr>
          <w:p w14:paraId="6E0D7C06">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1.质保期</w:t>
            </w:r>
            <w:r>
              <w:rPr>
                <w:rFonts w:hint="eastAsia" w:ascii="宋体" w:hAnsi="宋体" w:cs="宋体"/>
                <w:color w:val="000000" w:themeColor="text1"/>
                <w:szCs w:val="21"/>
                <w:highlight w:val="none"/>
                <w:u w:val="single"/>
                <w14:textFill>
                  <w14:solidFill>
                    <w14:schemeClr w14:val="tx1"/>
                  </w14:solidFill>
                </w14:textFill>
              </w:rPr>
              <w:t xml:space="preserve"> 不少于 1 </w:t>
            </w:r>
            <w:r>
              <w:rPr>
                <w:rFonts w:hint="eastAsia" w:ascii="宋体" w:hAnsi="宋体" w:cs="宋体"/>
                <w:color w:val="000000" w:themeColor="text1"/>
                <w:szCs w:val="21"/>
                <w:highlight w:val="none"/>
                <w14:textFill>
                  <w14:solidFill>
                    <w14:schemeClr w14:val="tx1"/>
                  </w14:solidFill>
                </w14:textFill>
              </w:rPr>
              <w:t xml:space="preserve"> 年。（分项货物服务要求中有特别注明的，按特别注明的执行）</w:t>
            </w:r>
          </w:p>
          <w:p w14:paraId="2B436C38">
            <w:pPr>
              <w:jc w:val="left"/>
              <w:rPr>
                <w:rFonts w:hint="eastAsia" w:ascii="宋体" w:hAnsi="宋体" w:cs="宋体"/>
                <w:snapToGrid w:val="0"/>
                <w:color w:val="000000" w:themeColor="text1"/>
                <w:kern w:val="0"/>
                <w:szCs w:val="21"/>
                <w:highlight w:val="none"/>
                <w:lang w:val="zh-CN" w:bidi="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2.所有货物服务按国家“三包”有关规定执行“三包”。质保期自交付验收合格之日起计算，质保期内提供上门维修、更换和软件升级服务；</w:t>
            </w:r>
          </w:p>
        </w:tc>
      </w:tr>
      <w:tr w14:paraId="5B08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484" w:type="dxa"/>
            <w:gridSpan w:val="2"/>
            <w:tcMar>
              <w:top w:w="13" w:type="dxa"/>
              <w:left w:w="57" w:type="dxa"/>
              <w:bottom w:w="0" w:type="dxa"/>
              <w:right w:w="57" w:type="dxa"/>
            </w:tcMar>
            <w:vAlign w:val="center"/>
          </w:tcPr>
          <w:p w14:paraId="5B7B8123">
            <w:pPr>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产品及售后服务要求</w:t>
            </w:r>
          </w:p>
        </w:tc>
        <w:tc>
          <w:tcPr>
            <w:tcW w:w="8262" w:type="dxa"/>
            <w:gridSpan w:val="5"/>
            <w:tcMar>
              <w:top w:w="13" w:type="dxa"/>
              <w:left w:w="57" w:type="dxa"/>
              <w:bottom w:w="0" w:type="dxa"/>
              <w:right w:w="57" w:type="dxa"/>
            </w:tcMar>
            <w:vAlign w:val="center"/>
          </w:tcPr>
          <w:p w14:paraId="3F932E8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质保期：1年的全免费质保服务。</w:t>
            </w:r>
          </w:p>
          <w:p w14:paraId="7A9867A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技术培训：质保期内每年不少于3次培训。</w:t>
            </w:r>
          </w:p>
          <w:p w14:paraId="549A40C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维修保障等要求：质保期内免费维护，质保期外提供有偿维护，具体费用与采购人另行商议。</w:t>
            </w:r>
          </w:p>
          <w:p w14:paraId="61F83FD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依据用户问题轻重缓急，提供不同的响应时间，具体为：</w:t>
            </w:r>
          </w:p>
          <w:p w14:paraId="53BB679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（1）“严重错误”，严重影响用户正常使用的情况下，中标供应商将安排优先处理，在6小时内处理好或提出应急措施。处理时间：6小时内；</w:t>
            </w:r>
          </w:p>
          <w:p w14:paraId="56FFC59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（2）“一般错误”，一般系统错误，对采购人使用平台无十分紧急的影响，中标供应商将在24小时内处理好或提出应急措施。处理时间：24小时内；</w:t>
            </w:r>
          </w:p>
          <w:p w14:paraId="2D0D043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（3）“需求变化”，增加和改进功能，使用方便性调整，接到报告48小时内给予答复，并提出有关的意见。处理时间：48小时内。</w:t>
            </w:r>
          </w:p>
          <w:p w14:paraId="1E75E7F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5.中标供应商需提供课程数据对接服务，需要支持按校级课程中心字段规范要求以 API、离线数据包输出课程数据，配合完成跨系统数据归集对接调试。</w:t>
            </w:r>
          </w:p>
        </w:tc>
      </w:tr>
      <w:tr w14:paraId="6FAB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1484" w:type="dxa"/>
            <w:gridSpan w:val="2"/>
            <w:tcMar>
              <w:top w:w="13" w:type="dxa"/>
              <w:left w:w="57" w:type="dxa"/>
              <w:bottom w:w="0" w:type="dxa"/>
              <w:right w:w="57" w:type="dxa"/>
            </w:tcMar>
            <w:vAlign w:val="center"/>
          </w:tcPr>
          <w:p w14:paraId="0452A09B">
            <w:pPr>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交付时间</w:t>
            </w:r>
          </w:p>
        </w:tc>
        <w:tc>
          <w:tcPr>
            <w:tcW w:w="8262" w:type="dxa"/>
            <w:gridSpan w:val="5"/>
            <w:tcMar>
              <w:top w:w="13" w:type="dxa"/>
              <w:left w:w="57" w:type="dxa"/>
              <w:bottom w:w="0" w:type="dxa"/>
              <w:right w:w="57" w:type="dxa"/>
            </w:tcMar>
            <w:vAlign w:val="center"/>
          </w:tcPr>
          <w:p w14:paraId="2306337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1.交付时间：自签订合同之日起</w:t>
            </w:r>
            <w:r>
              <w:rPr>
                <w:rFonts w:hint="eastAsia" w:ascii="宋体" w:hAnsi="宋体" w:cs="宋体"/>
                <w:color w:val="000000" w:themeColor="text1"/>
                <w:szCs w:val="21"/>
                <w:highlight w:val="none"/>
                <w:u w:val="single"/>
                <w14:textFill>
                  <w14:solidFill>
                    <w14:schemeClr w14:val="tx1"/>
                  </w14:solidFill>
                </w14:textFill>
              </w:rPr>
              <w:t xml:space="preserve">  180  </w:t>
            </w:r>
            <w:r>
              <w:rPr>
                <w:rFonts w:hint="eastAsia" w:ascii="宋体" w:hAnsi="宋体" w:cs="宋体"/>
                <w:color w:val="000000" w:themeColor="text1"/>
                <w:szCs w:val="21"/>
                <w:highlight w:val="none"/>
                <w14:textFill>
                  <w14:solidFill>
                    <w14:schemeClr w14:val="tx1"/>
                  </w14:solidFill>
                </w14:textFill>
              </w:rPr>
              <w:t>日历日内全部交付完成并验收合格。</w:t>
            </w:r>
          </w:p>
          <w:p w14:paraId="7CBEC6A9">
            <w:pPr>
              <w:widowControl/>
              <w:jc w:val="left"/>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2.交付地点：桂林医科大学   </w:t>
            </w:r>
            <w:r>
              <w:rPr>
                <w:rFonts w:hint="eastAsia" w:ascii="宋体" w:hAnsi="宋体" w:cs="宋体"/>
                <w:color w:val="000000" w:themeColor="text1"/>
                <w:szCs w:val="21"/>
                <w:highlight w:val="none"/>
                <w:u w:val="single"/>
                <w14:textFill>
                  <w14:solidFill>
                    <w14:schemeClr w14:val="tx1"/>
                  </w14:solidFill>
                </w14:textFill>
              </w:rPr>
              <w:t xml:space="preserve"> 临桂 </w:t>
            </w:r>
            <w:r>
              <w:rPr>
                <w:rFonts w:hint="eastAsia" w:ascii="宋体" w:hAnsi="宋体" w:cs="宋体"/>
                <w:color w:val="000000" w:themeColor="text1"/>
                <w:szCs w:val="21"/>
                <w:highlight w:val="none"/>
                <w14:textFill>
                  <w14:solidFill>
                    <w14:schemeClr w14:val="tx1"/>
                  </w14:solidFill>
                </w14:textFill>
              </w:rPr>
              <w:t>校区。</w:t>
            </w:r>
          </w:p>
        </w:tc>
      </w:tr>
      <w:tr w14:paraId="301F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1484" w:type="dxa"/>
            <w:gridSpan w:val="2"/>
            <w:tcMar>
              <w:top w:w="13" w:type="dxa"/>
              <w:left w:w="57" w:type="dxa"/>
              <w:bottom w:w="0" w:type="dxa"/>
              <w:right w:w="57" w:type="dxa"/>
            </w:tcMar>
            <w:vAlign w:val="center"/>
          </w:tcPr>
          <w:p w14:paraId="0C0066EF">
            <w:pPr>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验收要求</w:t>
            </w:r>
          </w:p>
        </w:tc>
        <w:tc>
          <w:tcPr>
            <w:tcW w:w="8262" w:type="dxa"/>
            <w:gridSpan w:val="5"/>
            <w:tcMar>
              <w:top w:w="13" w:type="dxa"/>
              <w:left w:w="57" w:type="dxa"/>
              <w:bottom w:w="0" w:type="dxa"/>
              <w:right w:w="57" w:type="dxa"/>
            </w:tcMar>
            <w:vAlign w:val="center"/>
          </w:tcPr>
          <w:p w14:paraId="211AAB3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1.要求履约过程中所有服务行为、软件、成果文件等均不涉及任何法律纠纷。</w:t>
            </w:r>
          </w:p>
          <w:p w14:paraId="0644795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验收时由采购人或邀请有资质的第三方机构对照采购文件的技术指标全面核对检验，如不符合采购文件的技术需求或提供虚假承诺、虚假检测报告等任何虚假材料的，采购人有权拒绝验收并认定中标供应商违约，采购人有权单方解除合同，由中标供应商承担所有责任和费用，采购人保留进一步追究责任的权利。</w:t>
            </w:r>
          </w:p>
          <w:p w14:paraId="6E68B57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3.本项目须严格执行国家、地方及行业相关验收标准及规范。</w:t>
            </w:r>
          </w:p>
          <w:p w14:paraId="689B690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4.采购人预验收及履约验收过程中所产生的一切费用均由中标供应商承担，报价时应考虑相关费用。</w:t>
            </w:r>
          </w:p>
        </w:tc>
      </w:tr>
      <w:tr w14:paraId="61D9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1484" w:type="dxa"/>
            <w:gridSpan w:val="2"/>
            <w:tcMar>
              <w:top w:w="13" w:type="dxa"/>
              <w:left w:w="57" w:type="dxa"/>
              <w:bottom w:w="0" w:type="dxa"/>
              <w:right w:w="57" w:type="dxa"/>
            </w:tcMar>
            <w:vAlign w:val="center"/>
          </w:tcPr>
          <w:p w14:paraId="47AA5AE5">
            <w:pPr>
              <w:kinsoku w:val="0"/>
              <w:wordWrap w:val="0"/>
              <w:autoSpaceDE w:val="0"/>
              <w:autoSpaceDN w:val="0"/>
              <w:adjustRightInd w:val="0"/>
              <w:snapToGrid w:val="0"/>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snapToGrid w:val="0"/>
                <w:color w:val="000000" w:themeColor="text1"/>
                <w:kern w:val="0"/>
                <w:szCs w:val="21"/>
                <w:highlight w:val="none"/>
                <w:lang w:val="en-US" w:bidi="zh-CN"/>
                <w14:textFill>
                  <w14:solidFill>
                    <w14:schemeClr w14:val="tx1"/>
                  </w14:solidFill>
                </w14:textFill>
              </w:rPr>
              <w:t>履约保证金</w:t>
            </w:r>
          </w:p>
        </w:tc>
        <w:tc>
          <w:tcPr>
            <w:tcW w:w="8262" w:type="dxa"/>
            <w:gridSpan w:val="5"/>
            <w:tcMar>
              <w:top w:w="13" w:type="dxa"/>
              <w:left w:w="57" w:type="dxa"/>
              <w:bottom w:w="0" w:type="dxa"/>
              <w:right w:w="57" w:type="dxa"/>
            </w:tcMar>
            <w:vAlign w:val="center"/>
          </w:tcPr>
          <w:p w14:paraId="6F4AFAE2">
            <w:pPr>
              <w:widowControl/>
              <w:kinsoku w:val="0"/>
              <w:wordWrap w:val="0"/>
              <w:autoSpaceDE w:val="0"/>
              <w:autoSpaceDN w:val="0"/>
              <w:adjustRightInd w:val="0"/>
              <w:snapToGrid w:val="0"/>
              <w:spacing w:line="360" w:lineRule="auto"/>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val="zh-CN" w:bidi="zh-CN"/>
                <w14:textFill>
                  <w14:solidFill>
                    <w14:schemeClr w14:val="tx1"/>
                  </w14:solidFill>
                </w14:textFill>
              </w:rPr>
              <w:t>履约保证金金额（人民币）：按中标金额的5%，中小企业按中标金额的2%。履约保证金递交方式：以转账或电汇等非现金形式在领取中标通知书前从</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基本账户交至以下账户：开户名称：桂林医科大学。开户银行：中国建设银行股份有限公司桂林致和路支行。账号：4500 1635 4130 5050 0589。本项目履约保证金，项目验收合格后</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如无违约行为，</w:t>
            </w:r>
            <w:r>
              <w:rPr>
                <w:rFonts w:hint="eastAsia" w:ascii="宋体" w:hAnsi="宋体" w:cs="宋体"/>
                <w:snapToGrid w:val="0"/>
                <w:color w:val="000000" w:themeColor="text1"/>
                <w:kern w:val="0"/>
                <w:szCs w:val="21"/>
                <w:highlight w:val="none"/>
                <w:lang w:val="en-US" w:bidi="zh-CN"/>
                <w14:textFill>
                  <w14:solidFill>
                    <w14:schemeClr w14:val="tx1"/>
                  </w14:solidFill>
                </w14:textFill>
              </w:rPr>
              <w:t>采购人</w:t>
            </w:r>
            <w:r>
              <w:rPr>
                <w:rFonts w:hint="eastAsia" w:ascii="宋体" w:hAnsi="宋体" w:cs="宋体"/>
                <w:snapToGrid w:val="0"/>
                <w:color w:val="000000" w:themeColor="text1"/>
                <w:kern w:val="0"/>
                <w:szCs w:val="21"/>
                <w:highlight w:val="none"/>
                <w:lang w:val="zh-CN" w:bidi="zh-CN"/>
                <w14:textFill>
                  <w14:solidFill>
                    <w14:schemeClr w14:val="tx1"/>
                  </w14:solidFill>
                </w14:textFill>
              </w:rPr>
              <w:t>收到</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提交退还履约保证金申请书后20个工作日内将履约保证金无息退回</w:t>
            </w:r>
            <w:r>
              <w:rPr>
                <w:rFonts w:hint="eastAsia" w:ascii="宋体" w:hAnsi="宋体" w:cs="宋体"/>
                <w:snapToGrid w:val="0"/>
                <w:color w:val="000000" w:themeColor="text1"/>
                <w:kern w:val="0"/>
                <w:szCs w:val="21"/>
                <w:highlight w:val="none"/>
                <w:lang w:val="en-US" w:bidi="zh-CN"/>
                <w14:textFill>
                  <w14:solidFill>
                    <w14:schemeClr w14:val="tx1"/>
                  </w14:solidFill>
                </w14:textFill>
              </w:rPr>
              <w:t>中标供应商</w:t>
            </w:r>
            <w:r>
              <w:rPr>
                <w:rFonts w:hint="eastAsia" w:ascii="宋体" w:hAnsi="宋体" w:cs="宋体"/>
                <w:snapToGrid w:val="0"/>
                <w:color w:val="000000" w:themeColor="text1"/>
                <w:kern w:val="0"/>
                <w:szCs w:val="21"/>
                <w:highlight w:val="none"/>
                <w:lang w:val="zh-CN" w:bidi="zh-CN"/>
                <w14:textFill>
                  <w14:solidFill>
                    <w14:schemeClr w14:val="tx1"/>
                  </w14:solidFill>
                </w14:textFill>
              </w:rPr>
              <w:t>。</w:t>
            </w:r>
          </w:p>
        </w:tc>
      </w:tr>
    </w:tbl>
    <w:p w14:paraId="283E7F1D">
      <w:pPr>
        <w:pStyle w:val="2"/>
        <w:rPr>
          <w:color w:val="000000" w:themeColor="text1"/>
          <w:highlight w:val="none"/>
          <w14:textFill>
            <w14:solidFill>
              <w14:schemeClr w14:val="tx1"/>
            </w14:solidFill>
          </w14:textFill>
        </w:rPr>
      </w:pPr>
    </w:p>
    <w:p w14:paraId="2099A61D">
      <w:pPr>
        <w:spacing w:line="528" w:lineRule="exact"/>
        <w:ind w:firstLine="281" w:firstLineChars="100"/>
        <w:rPr>
          <w:color w:val="000000" w:themeColor="text1"/>
          <w:sz w:val="28"/>
          <w:szCs w:val="28"/>
          <w:highlight w:val="none"/>
          <w14:textFill>
            <w14:solidFill>
              <w14:schemeClr w14:val="tx1"/>
            </w14:solidFill>
          </w14:textFill>
        </w:rPr>
      </w:pPr>
      <w:r>
        <w:rPr>
          <w:rFonts w:ascii="黑体" w:hAnsi="黑体" w:eastAsia="黑体" w:cs="Arial"/>
          <w:b/>
          <w:color w:val="000000" w:themeColor="text1"/>
          <w:kern w:val="0"/>
          <w:sz w:val="28"/>
          <w:szCs w:val="28"/>
          <w:highlight w:val="none"/>
          <w14:textFill>
            <w14:solidFill>
              <w14:schemeClr w14:val="tx1"/>
            </w14:solidFill>
          </w14:textFill>
        </w:rPr>
        <w:br w:type="page"/>
      </w:r>
      <w:bookmarkStart w:id="66" w:name="_Hlk132878602"/>
      <w:r>
        <w:rPr>
          <w:rFonts w:hint="eastAsia"/>
          <w:color w:val="000000" w:themeColor="text1"/>
          <w:sz w:val="28"/>
          <w:szCs w:val="28"/>
          <w:highlight w:val="none"/>
          <w14:textFill>
            <w14:solidFill>
              <w14:schemeClr w14:val="tx1"/>
            </w14:solidFill>
          </w14:textFill>
        </w:rPr>
        <w:t>附件1：</w:t>
      </w:r>
    </w:p>
    <w:p w14:paraId="032FE764">
      <w:pPr>
        <w:spacing w:line="528" w:lineRule="exact"/>
        <w:ind w:firstLine="280" w:firstLineChars="100"/>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42E052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392919C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vAlign w:val="center"/>
          </w:tcPr>
          <w:p w14:paraId="7E5E0E3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vAlign w:val="center"/>
          </w:tcPr>
          <w:p w14:paraId="5B7E9E5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vAlign w:val="center"/>
          </w:tcPr>
          <w:p w14:paraId="6364F2D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vAlign w:val="center"/>
          </w:tcPr>
          <w:p w14:paraId="5DCB64DD">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vAlign w:val="center"/>
          </w:tcPr>
          <w:p w14:paraId="076AD89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微型</w:t>
            </w:r>
          </w:p>
        </w:tc>
      </w:tr>
      <w:tr w14:paraId="34815D60">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5E52A822">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vAlign w:val="center"/>
          </w:tcPr>
          <w:p w14:paraId="34F55CA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1D5841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46B3C02">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vAlign w:val="center"/>
          </w:tcPr>
          <w:p w14:paraId="2DA1FF9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vAlign w:val="center"/>
          </w:tcPr>
          <w:p w14:paraId="2AD09DE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Y＜50</w:t>
            </w:r>
          </w:p>
        </w:tc>
      </w:tr>
      <w:tr w14:paraId="00C83E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4AAD49D">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vAlign w:val="center"/>
          </w:tcPr>
          <w:p w14:paraId="416AB59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4272340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6F3474B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6F26EA9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4A00A45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X＜20</w:t>
            </w:r>
          </w:p>
        </w:tc>
      </w:tr>
      <w:tr w14:paraId="5BE104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2BA33C7">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014792A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5C9126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06E244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vAlign w:val="center"/>
          </w:tcPr>
          <w:p w14:paraId="73F699B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vAlign w:val="center"/>
          </w:tcPr>
          <w:p w14:paraId="4491748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Y＜300</w:t>
            </w:r>
          </w:p>
        </w:tc>
      </w:tr>
      <w:tr w14:paraId="764AA1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704EBED">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vAlign w:val="center"/>
          </w:tcPr>
          <w:p w14:paraId="11C82B4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44AE03D">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4DC74E6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vAlign w:val="center"/>
          </w:tcPr>
          <w:p w14:paraId="7D27E4B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vAlign w:val="center"/>
          </w:tcPr>
          <w:p w14:paraId="0C0FC33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Y＜300</w:t>
            </w:r>
          </w:p>
        </w:tc>
      </w:tr>
      <w:tr w14:paraId="597CEA7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334F997">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EF0F11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61A5E42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EC38B5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vAlign w:val="center"/>
          </w:tcPr>
          <w:p w14:paraId="07CA26C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vAlign w:val="center"/>
          </w:tcPr>
          <w:p w14:paraId="5DE0860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Z＜300</w:t>
            </w:r>
          </w:p>
        </w:tc>
      </w:tr>
      <w:tr w14:paraId="1444C6D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E312E96">
            <w:pPr>
              <w:widowControl/>
              <w:ind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vAlign w:val="center"/>
          </w:tcPr>
          <w:p w14:paraId="441110F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305822D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DD524F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vAlign w:val="center"/>
          </w:tcPr>
          <w:p w14:paraId="46D17F1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vAlign w:val="center"/>
          </w:tcPr>
          <w:p w14:paraId="69B78AF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X＜5</w:t>
            </w:r>
          </w:p>
        </w:tc>
      </w:tr>
      <w:tr w14:paraId="08967C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4C419C0">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B18F4E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760539F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C05ADD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vAlign w:val="center"/>
          </w:tcPr>
          <w:p w14:paraId="4834383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vAlign w:val="center"/>
          </w:tcPr>
          <w:p w14:paraId="7448679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Y＜1000</w:t>
            </w:r>
          </w:p>
        </w:tc>
      </w:tr>
      <w:tr w14:paraId="7E217D0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E2D5E57">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vAlign w:val="center"/>
          </w:tcPr>
          <w:p w14:paraId="72D0A4A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6D7F938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4222B0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vAlign w:val="center"/>
          </w:tcPr>
          <w:p w14:paraId="48A7BD6D">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vAlign w:val="center"/>
          </w:tcPr>
          <w:p w14:paraId="4A64893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w:t>
            </w:r>
          </w:p>
        </w:tc>
      </w:tr>
      <w:tr w14:paraId="60B9F2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9E846E0">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3CF2E2B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B155A5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602E5B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vAlign w:val="center"/>
          </w:tcPr>
          <w:p w14:paraId="5E14EF1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vAlign w:val="center"/>
          </w:tcPr>
          <w:p w14:paraId="4C2918F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w:t>
            </w:r>
          </w:p>
        </w:tc>
      </w:tr>
      <w:tr w14:paraId="56400B1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9A38DA2">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vAlign w:val="center"/>
          </w:tcPr>
          <w:p w14:paraId="260C1EA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824AF5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36A0D9A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596BD64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0F59354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X＜20</w:t>
            </w:r>
          </w:p>
        </w:tc>
      </w:tr>
      <w:tr w14:paraId="637A4A8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2475A2B">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2CBA4A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B4ADFD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BF8DAE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vAlign w:val="center"/>
          </w:tcPr>
          <w:p w14:paraId="5EBE252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vAlign w:val="center"/>
          </w:tcPr>
          <w:p w14:paraId="2970433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Y＜200</w:t>
            </w:r>
          </w:p>
        </w:tc>
      </w:tr>
      <w:tr w14:paraId="1D67ABC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CEF55C4">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vAlign w:val="center"/>
          </w:tcPr>
          <w:p w14:paraId="00A4BF9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7BBF7A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04E8961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vAlign w:val="center"/>
          </w:tcPr>
          <w:p w14:paraId="688F4D5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vAlign w:val="center"/>
          </w:tcPr>
          <w:p w14:paraId="7FC2397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X＜20</w:t>
            </w:r>
          </w:p>
        </w:tc>
      </w:tr>
      <w:tr w14:paraId="5A3DC5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120F61E">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5F93C1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0580CF5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5F80E2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vAlign w:val="center"/>
          </w:tcPr>
          <w:p w14:paraId="23DCBC2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vAlign w:val="center"/>
          </w:tcPr>
          <w:p w14:paraId="7D42E10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w:t>
            </w:r>
          </w:p>
        </w:tc>
      </w:tr>
      <w:tr w14:paraId="1DE228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3364AC9">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vAlign w:val="center"/>
          </w:tcPr>
          <w:p w14:paraId="37F22372">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0600F42">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7ED77F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0309080D">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0F15B17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X＜20</w:t>
            </w:r>
          </w:p>
        </w:tc>
      </w:tr>
      <w:tr w14:paraId="5B741DD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9CD01EB">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1A818F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71618E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24DAD31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vAlign w:val="center"/>
          </w:tcPr>
          <w:p w14:paraId="0B471E6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7E4BCD3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w:t>
            </w:r>
          </w:p>
        </w:tc>
      </w:tr>
      <w:tr w14:paraId="3614D2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957D1AD">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vAlign w:val="center"/>
          </w:tcPr>
          <w:p w14:paraId="4AF2877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F88E78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37A7CF3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2A17DC52">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31333C6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w:t>
            </w:r>
          </w:p>
        </w:tc>
      </w:tr>
      <w:tr w14:paraId="34882D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AEA6759">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1AF75EB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0DD3E74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776E69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vAlign w:val="center"/>
          </w:tcPr>
          <w:p w14:paraId="360E37A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0300328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w:t>
            </w:r>
          </w:p>
        </w:tc>
      </w:tr>
      <w:tr w14:paraId="7E7E3C0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96F07F7">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vAlign w:val="center"/>
          </w:tcPr>
          <w:p w14:paraId="5D676BA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10CD6B0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7669F4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5851700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56067A4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w:t>
            </w:r>
          </w:p>
        </w:tc>
      </w:tr>
      <w:tr w14:paraId="42EB278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774110B">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54BAF1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5B68CD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7EC50F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vAlign w:val="center"/>
          </w:tcPr>
          <w:p w14:paraId="6E25FBA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7C1B54E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w:t>
            </w:r>
          </w:p>
        </w:tc>
      </w:tr>
      <w:tr w14:paraId="2CF295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02FF1D0">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vAlign w:val="center"/>
          </w:tcPr>
          <w:p w14:paraId="5367F08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79E76E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FD9B74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vAlign w:val="center"/>
          </w:tcPr>
          <w:p w14:paraId="0859CA6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689E11C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w:t>
            </w:r>
          </w:p>
        </w:tc>
      </w:tr>
      <w:tr w14:paraId="77F11AD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C9BEBD3">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73DA49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555B46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1B3956B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vAlign w:val="center"/>
          </w:tcPr>
          <w:p w14:paraId="47F5230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vAlign w:val="center"/>
          </w:tcPr>
          <w:p w14:paraId="69C20FC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w:t>
            </w:r>
          </w:p>
        </w:tc>
      </w:tr>
      <w:tr w14:paraId="21A1DD0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A6E4220">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vAlign w:val="center"/>
          </w:tcPr>
          <w:p w14:paraId="7DA2902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DF9E2D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62ADF20">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12710C1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323B4C8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w:t>
            </w:r>
          </w:p>
        </w:tc>
      </w:tr>
      <w:tr w14:paraId="7634F9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C15B2EE">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6832B48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0E3935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8788E9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vAlign w:val="center"/>
          </w:tcPr>
          <w:p w14:paraId="0DA42DE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vAlign w:val="center"/>
          </w:tcPr>
          <w:p w14:paraId="1B6362A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Y＜50</w:t>
            </w:r>
          </w:p>
        </w:tc>
      </w:tr>
      <w:tr w14:paraId="735B07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04D1B41">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vAlign w:val="center"/>
          </w:tcPr>
          <w:p w14:paraId="621767A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E1EE89D">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4CB91F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vAlign w:val="center"/>
          </w:tcPr>
          <w:p w14:paraId="0A43BD9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vAlign w:val="center"/>
          </w:tcPr>
          <w:p w14:paraId="0F41081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X＜100</w:t>
            </w:r>
          </w:p>
        </w:tc>
      </w:tr>
      <w:tr w14:paraId="4C3AFD5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9DD95FB">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643914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0AFA081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2A6A8D6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vAlign w:val="center"/>
          </w:tcPr>
          <w:p w14:paraId="21107ED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vAlign w:val="center"/>
          </w:tcPr>
          <w:p w14:paraId="616AAEA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Y＜2000</w:t>
            </w:r>
          </w:p>
        </w:tc>
      </w:tr>
      <w:tr w14:paraId="4D3E03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4505A82">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vAlign w:val="center"/>
          </w:tcPr>
          <w:p w14:paraId="10D914D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4321DD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039EDCA2">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0B057A69">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vAlign w:val="center"/>
          </w:tcPr>
          <w:p w14:paraId="4A53037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X＜100</w:t>
            </w:r>
          </w:p>
        </w:tc>
      </w:tr>
      <w:tr w14:paraId="74A9D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10E8CE5">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A9FA178">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45C4E4D">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2498B7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vAlign w:val="center"/>
          </w:tcPr>
          <w:p w14:paraId="31C8A831">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vAlign w:val="center"/>
          </w:tcPr>
          <w:p w14:paraId="356FF3A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Y＜500</w:t>
            </w:r>
          </w:p>
        </w:tc>
      </w:tr>
      <w:tr w14:paraId="6469A54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E733029">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vAlign w:val="center"/>
          </w:tcPr>
          <w:p w14:paraId="795F55CB">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DAE884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CADD34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1425C65A">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7088C08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w:t>
            </w:r>
          </w:p>
        </w:tc>
      </w:tr>
      <w:tr w14:paraId="7BFB903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853507C">
            <w:pPr>
              <w:widowControl/>
              <w:jc w:val="left"/>
              <w:rPr>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0024AF3F">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74CC849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13734CC3">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vAlign w:val="center"/>
          </w:tcPr>
          <w:p w14:paraId="24832FC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vAlign w:val="center"/>
          </w:tcPr>
          <w:p w14:paraId="5B7A0846">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Y＜100</w:t>
            </w:r>
          </w:p>
        </w:tc>
      </w:tr>
      <w:tr w14:paraId="0624D16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112A65C">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vAlign w:val="center"/>
          </w:tcPr>
          <w:p w14:paraId="590D95EC">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35D098A5">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05C21BEE">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51119A97">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0DCA1704">
            <w:pPr>
              <w:widowControl/>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X＜10</w:t>
            </w:r>
          </w:p>
        </w:tc>
      </w:tr>
    </w:tbl>
    <w:p w14:paraId="10B0057D">
      <w:pPr>
        <w:spacing w:line="360" w:lineRule="auto"/>
        <w:ind w:firstLine="525" w:firstLineChars="2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66"/>
    <w:p w14:paraId="61D3E5E3">
      <w:pPr>
        <w:spacing w:line="360" w:lineRule="auto"/>
        <w:outlineLvl w:val="0"/>
        <w:rPr>
          <w:color w:val="000000" w:themeColor="text1"/>
          <w:szCs w:val="21"/>
          <w:highlight w:val="none"/>
          <w14:textFill>
            <w14:solidFill>
              <w14:schemeClr w14:val="tx1"/>
            </w14:solidFill>
          </w14:textFill>
        </w:rPr>
        <w:sectPr>
          <w:headerReference r:id="rId12" w:type="first"/>
          <w:headerReference r:id="rId11" w:type="default"/>
          <w:pgSz w:w="11906" w:h="16838"/>
          <w:pgMar w:top="993" w:right="1133" w:bottom="1246" w:left="1418" w:header="851" w:footer="992" w:gutter="0"/>
          <w:cols w:space="720" w:num="1"/>
          <w:titlePg/>
          <w:docGrid w:linePitch="312" w:charSpace="0"/>
        </w:sectPr>
      </w:pPr>
    </w:p>
    <w:p w14:paraId="78597234">
      <w:pPr>
        <w:spacing w:line="360" w:lineRule="auto"/>
        <w:rPr>
          <w:color w:val="000000" w:themeColor="text1"/>
          <w:sz w:val="28"/>
          <w:szCs w:val="28"/>
          <w:highlight w:val="none"/>
          <w14:textFill>
            <w14:solidFill>
              <w14:schemeClr w14:val="tx1"/>
            </w14:solidFill>
          </w14:textFill>
        </w:rPr>
      </w:pPr>
      <w:bookmarkStart w:id="67" w:name="_Hlk132878609"/>
      <w:r>
        <w:rPr>
          <w:rFonts w:hint="eastAsia"/>
          <w:color w:val="000000" w:themeColor="text1"/>
          <w:sz w:val="28"/>
          <w:szCs w:val="28"/>
          <w:highlight w:val="none"/>
          <w14:textFill>
            <w14:solidFill>
              <w14:schemeClr w14:val="tx1"/>
            </w14:solidFill>
          </w14:textFill>
        </w:rPr>
        <w:t>附件2：</w:t>
      </w:r>
    </w:p>
    <w:p w14:paraId="62286C06">
      <w:pPr>
        <w:spacing w:line="360" w:lineRule="auto"/>
        <w:rPr>
          <w:color w:val="000000" w:themeColor="text1"/>
          <w:szCs w:val="21"/>
          <w:highlight w:val="none"/>
          <w14:textFill>
            <w14:solidFill>
              <w14:schemeClr w14:val="tx1"/>
            </w14:solidFill>
          </w14:textFill>
        </w:rPr>
      </w:pPr>
      <w:r>
        <w:rPr>
          <w:rFonts w:ascii="宋体" w:hAnsi="宋体" w:cs="宋体"/>
          <w:color w:val="000000" w:themeColor="text1"/>
          <w:position w:val="-335"/>
          <w:sz w:val="20"/>
          <w:szCs w:val="20"/>
          <w:highlight w:val="none"/>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2"/>
                    <a:stretch>
                      <a:fillRect/>
                    </a:stretch>
                  </pic:blipFill>
                  <pic:spPr>
                    <a:xfrm>
                      <a:off x="0" y="0"/>
                      <a:ext cx="5573395" cy="8125460"/>
                    </a:xfrm>
                    <a:prstGeom prst="rect">
                      <a:avLst/>
                    </a:prstGeom>
                    <a:noFill/>
                    <a:ln>
                      <a:noFill/>
                    </a:ln>
                  </pic:spPr>
                </pic:pic>
              </a:graphicData>
            </a:graphic>
          </wp:anchor>
        </w:drawing>
      </w:r>
      <w:r>
        <w:rPr>
          <w:color w:val="000000" w:themeColor="text1"/>
          <w:szCs w:val="21"/>
          <w:highlight w:val="none"/>
          <w14:textFill>
            <w14:solidFill>
              <w14:schemeClr w14:val="tx1"/>
            </w14:solidFill>
          </w14:textFill>
        </w:rPr>
        <w:br w:type="page"/>
      </w:r>
    </w:p>
    <w:bookmarkEnd w:id="67"/>
    <w:p w14:paraId="0259B45F">
      <w:pPr>
        <w:spacing w:line="360" w:lineRule="auto"/>
        <w:ind w:firstLine="3520" w:firstLineChars="1100"/>
        <w:outlineLvl w:val="0"/>
        <w:rPr>
          <w:color w:val="000000" w:themeColor="text1"/>
          <w:sz w:val="32"/>
          <w:szCs w:val="32"/>
          <w:highlight w:val="none"/>
          <w14:textFill>
            <w14:solidFill>
              <w14:schemeClr w14:val="tx1"/>
            </w14:solidFill>
          </w14:textFill>
        </w:rPr>
      </w:pPr>
      <w:bookmarkStart w:id="68" w:name="_Toc32464"/>
      <w:r>
        <w:rPr>
          <w:rFonts w:hint="eastAsia"/>
          <w:color w:val="000000" w:themeColor="text1"/>
          <w:sz w:val="32"/>
          <w:szCs w:val="32"/>
          <w:highlight w:val="none"/>
          <w14:textFill>
            <w14:solidFill>
              <w14:schemeClr w14:val="tx1"/>
            </w14:solidFill>
          </w14:textFill>
        </w:rPr>
        <w:t>第</w:t>
      </w:r>
      <w:r>
        <w:rPr>
          <w:color w:val="000000" w:themeColor="text1"/>
          <w:sz w:val="32"/>
          <w:szCs w:val="32"/>
          <w:highlight w:val="none"/>
          <w14:textFill>
            <w14:solidFill>
              <w14:schemeClr w14:val="tx1"/>
            </w14:solidFill>
          </w14:textFill>
        </w:rPr>
        <w:t xml:space="preserve">三章  </w:t>
      </w:r>
      <w:bookmarkStart w:id="69" w:name="_Toc254970526"/>
      <w:bookmarkStart w:id="70" w:name="_Toc254970667"/>
      <w:r>
        <w:rPr>
          <w:rFonts w:hint="eastAsia"/>
          <w:color w:val="000000" w:themeColor="text1"/>
          <w:sz w:val="32"/>
          <w:szCs w:val="32"/>
          <w:highlight w:val="none"/>
          <w14:textFill>
            <w14:solidFill>
              <w14:schemeClr w14:val="tx1"/>
            </w14:solidFill>
          </w14:textFill>
        </w:rPr>
        <w:t>投标人须知</w:t>
      </w:r>
      <w:bookmarkEnd w:id="68"/>
    </w:p>
    <w:p w14:paraId="5D7041D1">
      <w:pPr>
        <w:pStyle w:val="5"/>
        <w:spacing w:before="40" w:after="40"/>
        <w:jc w:val="center"/>
        <w:rPr>
          <w:rFonts w:ascii="Times New Roman" w:hAnsi="Times New Roman" w:eastAsia="宋体"/>
          <w:color w:val="000000" w:themeColor="text1"/>
          <w:sz w:val="24"/>
          <w:szCs w:val="24"/>
          <w:highlight w:val="none"/>
          <w14:textFill>
            <w14:solidFill>
              <w14:schemeClr w14:val="tx1"/>
            </w14:solidFill>
          </w14:textFill>
        </w:rPr>
      </w:pPr>
      <w:bookmarkStart w:id="71" w:name="_投标人须知前附表"/>
      <w:bookmarkEnd w:id="71"/>
      <w:bookmarkStart w:id="72" w:name="_Hlk89163557"/>
      <w:r>
        <w:rPr>
          <w:rFonts w:hint="eastAsia" w:ascii="Times New Roman" w:hAnsi="Times New Roman" w:eastAsia="宋体"/>
          <w:color w:val="000000" w:themeColor="text1"/>
          <w:sz w:val="24"/>
          <w:szCs w:val="24"/>
          <w:highlight w:val="none"/>
          <w14:textFill>
            <w14:solidFill>
              <w14:schemeClr w14:val="tx1"/>
            </w14:solidFill>
          </w14:textFill>
        </w:rPr>
        <w:t>投标人须知</w:t>
      </w:r>
      <w:r>
        <w:rPr>
          <w:rFonts w:ascii="Times New Roman" w:hAnsi="Times New Roman" w:eastAsia="宋体"/>
          <w:color w:val="000000" w:themeColor="text1"/>
          <w:sz w:val="24"/>
          <w:szCs w:val="24"/>
          <w:highlight w:val="none"/>
          <w14:textFill>
            <w14:solidFill>
              <w14:schemeClr w14:val="tx1"/>
            </w14:solidFill>
          </w14:textFill>
        </w:rPr>
        <w:t>前附表</w:t>
      </w:r>
      <w:bookmarkEnd w:id="69"/>
      <w:bookmarkEnd w:id="70"/>
    </w:p>
    <w:bookmarkEnd w:id="72"/>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65FCA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255392B8">
            <w:pPr>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1382B72D">
            <w:pPr>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5D470D13">
            <w:pPr>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内容、要求</w:t>
            </w:r>
          </w:p>
        </w:tc>
      </w:tr>
      <w:tr w14:paraId="39527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1D246D58">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0B5975B7">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769A70B3">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项目名称：</w:t>
            </w:r>
            <w:r>
              <w:rPr>
                <w:rFonts w:hint="eastAsia"/>
                <w:color w:val="000000" w:themeColor="text1"/>
                <w:szCs w:val="21"/>
                <w:highlight w:val="none"/>
                <w14:textFill>
                  <w14:solidFill>
                    <w14:schemeClr w14:val="tx1"/>
                  </w14:solidFill>
                </w14:textFill>
              </w:rPr>
              <w:t>桂林医科大学2026年智慧课程建设项目</w:t>
            </w:r>
          </w:p>
          <w:p w14:paraId="4A8B034F">
            <w:pPr>
              <w:spacing w:line="300" w:lineRule="exact"/>
              <w:jc w:val="left"/>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项目编号：</w:t>
            </w:r>
            <w:r>
              <w:rPr>
                <w:rFonts w:hint="eastAsia"/>
                <w:color w:val="000000" w:themeColor="text1"/>
                <w:szCs w:val="21"/>
                <w:highlight w:val="none"/>
                <w:lang w:eastAsia="zh-CN"/>
                <w14:textFill>
                  <w14:solidFill>
                    <w14:schemeClr w14:val="tx1"/>
                  </w14:solidFill>
                </w14:textFill>
              </w:rPr>
              <w:t>GXZC2026-G3-002352-JDZB</w:t>
            </w:r>
          </w:p>
          <w:p w14:paraId="4CFF714B">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采购计划号：广西政采[2026]15076号</w:t>
            </w:r>
          </w:p>
        </w:tc>
      </w:tr>
      <w:tr w14:paraId="54584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0345B62D">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0818C93F">
            <w:pPr>
              <w:spacing w:line="300" w:lineRule="exact"/>
              <w:jc w:val="center"/>
              <w:rPr>
                <w:color w:val="000000" w:themeColor="text1"/>
                <w:szCs w:val="21"/>
                <w:highlight w:val="none"/>
                <w:lang w:val="zh-CN"/>
                <w14:textFill>
                  <w14:solidFill>
                    <w14:schemeClr w14:val="tx1"/>
                  </w14:solidFill>
                </w14:textFill>
              </w:rPr>
            </w:pPr>
            <w:r>
              <w:rPr>
                <w:rFonts w:hint="eastAsia"/>
                <w:color w:val="000000" w:themeColor="text1"/>
                <w:szCs w:val="21"/>
                <w:highlight w:val="none"/>
                <w:lang w:val="zh-CN"/>
                <w14:textFill>
                  <w14:solidFill>
                    <w14:schemeClr w14:val="tx1"/>
                  </w14:solidFill>
                </w14:textFill>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1FDF130A">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公开招标。</w:t>
            </w:r>
          </w:p>
        </w:tc>
      </w:tr>
      <w:tr w14:paraId="46AA6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3137F339">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1.4</w:t>
            </w:r>
          </w:p>
        </w:tc>
        <w:tc>
          <w:tcPr>
            <w:tcW w:w="1248" w:type="dxa"/>
            <w:tcBorders>
              <w:top w:val="single" w:color="auto" w:sz="4" w:space="0"/>
              <w:left w:val="single" w:color="auto" w:sz="4" w:space="0"/>
              <w:bottom w:val="single" w:color="auto" w:sz="4" w:space="0"/>
              <w:right w:val="single" w:color="auto" w:sz="4" w:space="0"/>
            </w:tcBorders>
            <w:vAlign w:val="center"/>
          </w:tcPr>
          <w:p w14:paraId="7F294EB3">
            <w:pPr>
              <w:spacing w:line="300" w:lineRule="exact"/>
              <w:jc w:val="center"/>
              <w:rPr>
                <w:color w:val="000000" w:themeColor="text1"/>
                <w:szCs w:val="21"/>
                <w:highlight w:val="none"/>
                <w:lang w:val="zh-CN"/>
                <w14:textFill>
                  <w14:solidFill>
                    <w14:schemeClr w14:val="tx1"/>
                  </w14:solidFill>
                </w14:textFill>
              </w:rPr>
            </w:pPr>
            <w:r>
              <w:rPr>
                <w:rFonts w:hint="eastAsia"/>
                <w:color w:val="000000" w:themeColor="text1"/>
                <w:szCs w:val="21"/>
                <w:highlight w:val="none"/>
                <w:lang w:val="zh-CN"/>
                <w14:textFill>
                  <w14:solidFill>
                    <w14:schemeClr w14:val="tx1"/>
                  </w14:solidFill>
                </w14:textFill>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3E2C528B">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sym w:font="Wingdings 2" w:char="0052"/>
            </w:r>
            <w:r>
              <w:rPr>
                <w:rFonts w:hint="eastAsia"/>
                <w:color w:val="000000" w:themeColor="text1"/>
                <w:szCs w:val="21"/>
                <w:highlight w:val="none"/>
                <w14:textFill>
                  <w14:solidFill>
                    <w14:schemeClr w14:val="tx1"/>
                  </w14:solidFill>
                </w14:textFill>
              </w:rPr>
              <w:t>本项目非专门面向中小微企业采购。</w:t>
            </w:r>
          </w:p>
        </w:tc>
      </w:tr>
      <w:tr w14:paraId="11D9B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789FBFC">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12B2C738">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w:t>
            </w:r>
            <w:r>
              <w:rPr>
                <w:color w:val="000000" w:themeColor="text1"/>
                <w:szCs w:val="21"/>
                <w:highlight w:val="none"/>
                <w:lang w:val="zh-CN"/>
                <w14:textFill>
                  <w14:solidFill>
                    <w14:schemeClr w14:val="tx1"/>
                  </w14:solidFill>
                </w14:textFill>
              </w:rPr>
              <w:t>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2A20CBEF">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详</w:t>
            </w:r>
            <w:r>
              <w:rPr>
                <w:color w:val="000000" w:themeColor="text1"/>
                <w:szCs w:val="21"/>
                <w:highlight w:val="none"/>
                <w14:textFill>
                  <w14:solidFill>
                    <w14:schemeClr w14:val="tx1"/>
                  </w14:solidFill>
                </w14:textFill>
              </w:rPr>
              <w:t>见招标公告</w:t>
            </w:r>
            <w:r>
              <w:rPr>
                <w:rFonts w:hint="eastAsia"/>
                <w:color w:val="000000" w:themeColor="text1"/>
                <w:szCs w:val="21"/>
                <w:highlight w:val="none"/>
                <w14:textFill>
                  <w14:solidFill>
                    <w14:schemeClr w14:val="tx1"/>
                  </w14:solidFill>
                </w14:textFill>
              </w:rPr>
              <w:t>。</w:t>
            </w:r>
          </w:p>
        </w:tc>
      </w:tr>
      <w:tr w14:paraId="0DEF4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2CFA728E">
            <w:pPr>
              <w:spacing w:line="300" w:lineRule="exact"/>
              <w:jc w:val="center"/>
              <w:rPr>
                <w:b/>
                <w:color w:val="000000" w:themeColor="text1"/>
                <w:szCs w:val="21"/>
                <w:highlight w:val="none"/>
                <w14:textFill>
                  <w14:solidFill>
                    <w14:schemeClr w14:val="tx1"/>
                  </w14:solidFill>
                </w14:textFill>
              </w:rPr>
            </w:pPr>
            <w:bookmarkStart w:id="73" w:name="_Hlk85555568"/>
            <w:r>
              <w:rPr>
                <w:b/>
                <w:color w:val="000000" w:themeColor="text1"/>
                <w:szCs w:val="21"/>
                <w:highlight w:val="none"/>
                <w14:textFill>
                  <w14:solidFill>
                    <w14:schemeClr w14:val="tx1"/>
                  </w14:solidFill>
                </w14:textFill>
              </w:rPr>
              <w:t>1.</w:t>
            </w:r>
            <w:r>
              <w:rPr>
                <w:rFonts w:hint="eastAsia"/>
                <w:b/>
                <w:color w:val="000000" w:themeColor="text1"/>
                <w:szCs w:val="21"/>
                <w:highlight w:val="none"/>
                <w14:textFill>
                  <w14:solidFill>
                    <w14:schemeClr w14:val="tx1"/>
                  </w14:solidFill>
                </w14:textFill>
              </w:rPr>
              <w:t>5</w:t>
            </w:r>
            <w:r>
              <w:rPr>
                <w:b/>
                <w:color w:val="000000" w:themeColor="text1"/>
                <w:szCs w:val="21"/>
                <w:highlight w:val="none"/>
                <w14:textFill>
                  <w14:solidFill>
                    <w14:schemeClr w14:val="tx1"/>
                  </w14:solidFill>
                </w14:textFill>
              </w:rPr>
              <w:t>.3</w:t>
            </w:r>
          </w:p>
        </w:tc>
        <w:tc>
          <w:tcPr>
            <w:tcW w:w="1248" w:type="dxa"/>
            <w:tcBorders>
              <w:top w:val="single" w:color="auto" w:sz="4" w:space="0"/>
              <w:left w:val="single" w:color="auto" w:sz="4" w:space="0"/>
              <w:right w:val="single" w:color="auto" w:sz="4" w:space="0"/>
            </w:tcBorders>
            <w:vAlign w:val="center"/>
          </w:tcPr>
          <w:p w14:paraId="4D6F146C">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联合体</w:t>
            </w:r>
          </w:p>
        </w:tc>
        <w:tc>
          <w:tcPr>
            <w:tcW w:w="7229" w:type="dxa"/>
            <w:tcBorders>
              <w:top w:val="single" w:color="auto" w:sz="4" w:space="0"/>
              <w:left w:val="single" w:color="auto" w:sz="4" w:space="0"/>
              <w:right w:val="single" w:color="auto" w:sz="4" w:space="0"/>
            </w:tcBorders>
            <w:vAlign w:val="center"/>
          </w:tcPr>
          <w:p w14:paraId="65C821E4">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是否接受联合体详见招标公告</w:t>
            </w:r>
          </w:p>
        </w:tc>
      </w:tr>
      <w:bookmarkEnd w:id="73"/>
      <w:tr w14:paraId="76E5C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6A2DD1F4">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1.</w:t>
            </w:r>
            <w:r>
              <w:rPr>
                <w:rFonts w:hint="eastAsia"/>
                <w:b/>
                <w:color w:val="000000" w:themeColor="text1"/>
                <w:szCs w:val="21"/>
                <w:highlight w:val="none"/>
                <w14:textFill>
                  <w14:solidFill>
                    <w14:schemeClr w14:val="tx1"/>
                  </w14:solidFill>
                </w14:textFill>
              </w:rPr>
              <w:t>6</w:t>
            </w:r>
          </w:p>
        </w:tc>
        <w:tc>
          <w:tcPr>
            <w:tcW w:w="1248" w:type="dxa"/>
            <w:tcBorders>
              <w:top w:val="single" w:color="auto" w:sz="4" w:space="0"/>
              <w:left w:val="single" w:color="auto" w:sz="4" w:space="0"/>
              <w:bottom w:val="single" w:color="auto" w:sz="4" w:space="0"/>
              <w:right w:val="single" w:color="auto" w:sz="4" w:space="0"/>
            </w:tcBorders>
            <w:vAlign w:val="center"/>
          </w:tcPr>
          <w:p w14:paraId="55CB53FC">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25410BF0">
            <w:pPr>
              <w:pStyle w:val="1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sym w:font="Wingdings 2" w:char="0052"/>
            </w:r>
            <w:r>
              <w:rPr>
                <w:rFonts w:hint="eastAsia"/>
                <w:color w:val="000000" w:themeColor="text1"/>
                <w:szCs w:val="21"/>
                <w:highlight w:val="none"/>
                <w14:textFill>
                  <w14:solidFill>
                    <w14:schemeClr w14:val="tx1"/>
                  </w14:solidFill>
                </w14:textFill>
              </w:rPr>
              <w:t xml:space="preserve">不组织 </w:t>
            </w:r>
          </w:p>
        </w:tc>
      </w:tr>
      <w:tr w14:paraId="718CB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D6AA4CF">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3B254824">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0E3802A3">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是否接受分包详见招标公告</w:t>
            </w:r>
          </w:p>
        </w:tc>
      </w:tr>
      <w:tr w14:paraId="2A52C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F6314C2">
            <w:pPr>
              <w:spacing w:line="300" w:lineRule="exact"/>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1.9</w:t>
            </w:r>
          </w:p>
        </w:tc>
        <w:tc>
          <w:tcPr>
            <w:tcW w:w="1248" w:type="dxa"/>
            <w:tcBorders>
              <w:top w:val="single" w:color="auto" w:sz="4" w:space="0"/>
              <w:left w:val="single" w:color="auto" w:sz="4" w:space="0"/>
              <w:bottom w:val="single" w:color="auto" w:sz="4" w:space="0"/>
              <w:right w:val="single" w:color="auto" w:sz="4" w:space="0"/>
            </w:tcBorders>
            <w:vAlign w:val="center"/>
          </w:tcPr>
          <w:p w14:paraId="55162EB1">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2B059594">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□适用</w:t>
            </w:r>
          </w:p>
          <w:p w14:paraId="5F1785BC">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☑不适用</w:t>
            </w:r>
          </w:p>
        </w:tc>
      </w:tr>
      <w:tr w14:paraId="2AF4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3BF068E8">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2.3</w:t>
            </w:r>
          </w:p>
        </w:tc>
        <w:tc>
          <w:tcPr>
            <w:tcW w:w="1248" w:type="dxa"/>
            <w:tcBorders>
              <w:top w:val="single" w:color="auto" w:sz="4" w:space="0"/>
              <w:left w:val="single" w:color="auto" w:sz="4" w:space="0"/>
              <w:bottom w:val="single" w:color="auto" w:sz="4" w:space="0"/>
              <w:right w:val="single" w:color="auto" w:sz="4" w:space="0"/>
            </w:tcBorders>
            <w:vAlign w:val="center"/>
          </w:tcPr>
          <w:p w14:paraId="303F3C7C">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招标文件澄清、修改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57AE3C0C">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在招标公告发布媒介发布</w:t>
            </w:r>
            <w:r>
              <w:rPr>
                <w:rFonts w:hint="eastAsia"/>
                <w:color w:val="000000" w:themeColor="text1"/>
                <w:szCs w:val="21"/>
                <w:highlight w:val="none"/>
                <w14:textFill>
                  <w14:solidFill>
                    <w14:schemeClr w14:val="tx1"/>
                  </w14:solidFill>
                </w14:textFill>
              </w:rPr>
              <w:t>。</w:t>
            </w:r>
          </w:p>
        </w:tc>
      </w:tr>
      <w:tr w14:paraId="58BA2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4D2E82BE">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2.3</w:t>
            </w:r>
          </w:p>
        </w:tc>
        <w:tc>
          <w:tcPr>
            <w:tcW w:w="1248" w:type="dxa"/>
            <w:tcBorders>
              <w:top w:val="single" w:color="auto" w:sz="4" w:space="0"/>
              <w:left w:val="single" w:color="auto" w:sz="4" w:space="0"/>
              <w:bottom w:val="single" w:color="auto" w:sz="4" w:space="0"/>
              <w:right w:val="single" w:color="auto" w:sz="4" w:space="0"/>
            </w:tcBorders>
            <w:vAlign w:val="center"/>
          </w:tcPr>
          <w:p w14:paraId="347463BE">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20F45407">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澄清、修改文件</w:t>
            </w:r>
            <w:r>
              <w:rPr>
                <w:rFonts w:hint="eastAsia"/>
                <w:color w:val="000000" w:themeColor="text1"/>
                <w:szCs w:val="21"/>
                <w:highlight w:val="none"/>
                <w14:textFill>
                  <w14:solidFill>
                    <w14:schemeClr w14:val="tx1"/>
                  </w14:solidFill>
                </w14:textFill>
              </w:rPr>
              <w:t>自招标</w:t>
            </w:r>
            <w:r>
              <w:rPr>
                <w:color w:val="000000" w:themeColor="text1"/>
                <w:szCs w:val="21"/>
                <w:highlight w:val="none"/>
                <w14:textFill>
                  <w14:solidFill>
                    <w14:schemeClr w14:val="tx1"/>
                  </w14:solidFill>
                </w14:textFill>
              </w:rPr>
              <w:t>公告发布媒</w:t>
            </w:r>
            <w:r>
              <w:rPr>
                <w:rFonts w:hint="eastAsia"/>
                <w:color w:val="000000" w:themeColor="text1"/>
                <w:szCs w:val="21"/>
                <w:highlight w:val="none"/>
                <w14:textFill>
                  <w14:solidFill>
                    <w14:schemeClr w14:val="tx1"/>
                  </w14:solidFill>
                </w14:textFill>
              </w:rPr>
              <w:t>体</w:t>
            </w:r>
            <w:r>
              <w:rPr>
                <w:color w:val="000000" w:themeColor="text1"/>
                <w:szCs w:val="21"/>
                <w:highlight w:val="none"/>
                <w14:textFill>
                  <w14:solidFill>
                    <w14:schemeClr w14:val="tx1"/>
                  </w14:solidFill>
                </w14:textFill>
              </w:rPr>
              <w:t>发布之日起，视为供应商已收到该澄清、修改。供应商未及时关注</w:t>
            </w:r>
            <w:r>
              <w:rPr>
                <w:rFonts w:hint="eastAsia"/>
                <w:color w:val="000000" w:themeColor="text1"/>
                <w:szCs w:val="21"/>
                <w:highlight w:val="none"/>
                <w14:textFill>
                  <w14:solidFill>
                    <w14:schemeClr w14:val="tx1"/>
                  </w14:solidFill>
                </w14:textFill>
              </w:rPr>
              <w:t>招标</w:t>
            </w:r>
            <w:r>
              <w:rPr>
                <w:color w:val="000000" w:themeColor="text1"/>
                <w:szCs w:val="21"/>
                <w:highlight w:val="none"/>
                <w14:textFill>
                  <w14:solidFill>
                    <w14:schemeClr w14:val="tx1"/>
                  </w14:solidFill>
                </w14:textFill>
              </w:rPr>
              <w:t>公告发布媒</w:t>
            </w:r>
            <w:r>
              <w:rPr>
                <w:rFonts w:hint="eastAsia"/>
                <w:color w:val="000000" w:themeColor="text1"/>
                <w:szCs w:val="21"/>
                <w:highlight w:val="none"/>
                <w14:textFill>
                  <w14:solidFill>
                    <w14:schemeClr w14:val="tx1"/>
                  </w14:solidFill>
                </w14:textFill>
              </w:rPr>
              <w:t>体</w:t>
            </w:r>
            <w:r>
              <w:rPr>
                <w:color w:val="000000" w:themeColor="text1"/>
                <w:szCs w:val="21"/>
                <w:highlight w:val="none"/>
                <w14:textFill>
                  <w14:solidFill>
                    <w14:schemeClr w14:val="tx1"/>
                  </w14:solidFill>
                </w14:textFill>
              </w:rPr>
              <w:t>造成的损失，由供应商自行负责。</w:t>
            </w:r>
          </w:p>
        </w:tc>
      </w:tr>
      <w:tr w14:paraId="41DC7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4EC3CD62">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07016820">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投标有效期</w:t>
            </w:r>
          </w:p>
        </w:tc>
        <w:tc>
          <w:tcPr>
            <w:tcW w:w="7229" w:type="dxa"/>
            <w:tcBorders>
              <w:top w:val="single" w:color="auto" w:sz="4" w:space="0"/>
              <w:left w:val="single" w:color="auto" w:sz="4" w:space="0"/>
              <w:bottom w:val="single" w:color="auto" w:sz="4" w:space="0"/>
              <w:right w:val="single" w:color="auto" w:sz="4" w:space="0"/>
            </w:tcBorders>
            <w:vAlign w:val="center"/>
          </w:tcPr>
          <w:p w14:paraId="215FE705">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投标截止之日起90天。</w:t>
            </w:r>
          </w:p>
        </w:tc>
      </w:tr>
      <w:tr w14:paraId="2179D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EE42D0F">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3.5</w:t>
            </w:r>
          </w:p>
        </w:tc>
        <w:tc>
          <w:tcPr>
            <w:tcW w:w="1248" w:type="dxa"/>
            <w:tcBorders>
              <w:top w:val="single" w:color="auto" w:sz="4" w:space="0"/>
              <w:left w:val="single" w:color="auto" w:sz="4" w:space="0"/>
              <w:bottom w:val="single" w:color="auto" w:sz="4" w:space="0"/>
              <w:right w:val="single" w:color="auto" w:sz="4" w:space="0"/>
            </w:tcBorders>
            <w:vAlign w:val="center"/>
          </w:tcPr>
          <w:p w14:paraId="1D8DACBA">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投标保证金</w:t>
            </w:r>
          </w:p>
        </w:tc>
        <w:tc>
          <w:tcPr>
            <w:tcW w:w="7229" w:type="dxa"/>
            <w:tcBorders>
              <w:top w:val="single" w:color="auto" w:sz="4" w:space="0"/>
              <w:left w:val="single" w:color="auto" w:sz="4" w:space="0"/>
              <w:bottom w:val="single" w:color="auto" w:sz="4" w:space="0"/>
              <w:right w:val="single" w:color="auto" w:sz="4" w:space="0"/>
            </w:tcBorders>
            <w:vAlign w:val="center"/>
          </w:tcPr>
          <w:p w14:paraId="6FF5D3E1">
            <w:pPr>
              <w:spacing w:line="300" w:lineRule="exact"/>
              <w:jc w:val="left"/>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本项目无需缴纳投标保证金</w:t>
            </w:r>
          </w:p>
        </w:tc>
      </w:tr>
      <w:tr w14:paraId="6DFC2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318498F1">
            <w:pPr>
              <w:spacing w:line="300" w:lineRule="exact"/>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3</w:t>
            </w:r>
            <w:r>
              <w:rPr>
                <w:b/>
                <w:color w:val="000000" w:themeColor="text1"/>
                <w:szCs w:val="21"/>
                <w:highlight w:val="none"/>
                <w14:textFill>
                  <w14:solidFill>
                    <w14:schemeClr w14:val="tx1"/>
                  </w14:solidFill>
                </w14:textFill>
              </w:rPr>
              <w:t>.6</w:t>
            </w:r>
          </w:p>
        </w:tc>
        <w:tc>
          <w:tcPr>
            <w:tcW w:w="1248" w:type="dxa"/>
            <w:tcBorders>
              <w:top w:val="single" w:color="auto" w:sz="4" w:space="0"/>
              <w:left w:val="single" w:color="auto" w:sz="4" w:space="0"/>
              <w:right w:val="single" w:color="auto" w:sz="4" w:space="0"/>
            </w:tcBorders>
            <w:vAlign w:val="center"/>
          </w:tcPr>
          <w:p w14:paraId="7E698791">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投标文件的编制</w:t>
            </w:r>
          </w:p>
        </w:tc>
        <w:tc>
          <w:tcPr>
            <w:tcW w:w="7229" w:type="dxa"/>
            <w:tcBorders>
              <w:top w:val="single" w:color="auto" w:sz="4" w:space="0"/>
              <w:left w:val="single" w:color="auto" w:sz="4" w:space="0"/>
              <w:right w:val="single" w:color="auto" w:sz="4" w:space="0"/>
            </w:tcBorders>
            <w:vAlign w:val="center"/>
          </w:tcPr>
          <w:p w14:paraId="3C67DED1">
            <w:pPr>
              <w:spacing w:line="300" w:lineRule="exact"/>
              <w:jc w:val="left"/>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投标文件应按第六章投标文件格式分别编制并使用下载的广西政府采购云平台新版客户端制作并上传。</w:t>
            </w:r>
          </w:p>
        </w:tc>
      </w:tr>
      <w:tr w14:paraId="062B2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3BD5D249">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3.7</w:t>
            </w:r>
          </w:p>
        </w:tc>
        <w:tc>
          <w:tcPr>
            <w:tcW w:w="1248" w:type="dxa"/>
            <w:tcBorders>
              <w:top w:val="single" w:color="auto" w:sz="4" w:space="0"/>
              <w:left w:val="single" w:color="auto" w:sz="4" w:space="0"/>
              <w:bottom w:val="single" w:color="auto" w:sz="4" w:space="0"/>
              <w:right w:val="single" w:color="auto" w:sz="4" w:space="0"/>
            </w:tcBorders>
            <w:vAlign w:val="center"/>
          </w:tcPr>
          <w:p w14:paraId="67FAE1E0">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投标文件递交</w:t>
            </w:r>
            <w:r>
              <w:rPr>
                <w:rFonts w:hint="eastAsia"/>
                <w:color w:val="000000" w:themeColor="text1"/>
                <w:szCs w:val="21"/>
                <w:highlight w:val="none"/>
                <w14:textFill>
                  <w14:solidFill>
                    <w14:schemeClr w14:val="tx1"/>
                  </w14:solidFill>
                </w14:textFill>
              </w:rPr>
              <w:t>截止时间及开标时间</w:t>
            </w:r>
          </w:p>
        </w:tc>
        <w:tc>
          <w:tcPr>
            <w:tcW w:w="7229" w:type="dxa"/>
            <w:tcBorders>
              <w:top w:val="single" w:color="auto" w:sz="4" w:space="0"/>
              <w:left w:val="single" w:color="auto" w:sz="4" w:space="0"/>
              <w:bottom w:val="single" w:color="auto" w:sz="4" w:space="0"/>
              <w:right w:val="single" w:color="auto" w:sz="4" w:space="0"/>
            </w:tcBorders>
            <w:vAlign w:val="center"/>
          </w:tcPr>
          <w:p w14:paraId="462C9495">
            <w:pPr>
              <w:spacing w:line="300" w:lineRule="exact"/>
              <w:jc w:val="left"/>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见招标公告要求</w:t>
            </w:r>
            <w:r>
              <w:rPr>
                <w:rFonts w:hint="eastAsia"/>
                <w:color w:val="000000" w:themeColor="text1"/>
                <w:szCs w:val="21"/>
                <w:highlight w:val="none"/>
                <w14:textFill>
                  <w14:solidFill>
                    <w14:schemeClr w14:val="tx1"/>
                  </w14:solidFill>
                </w14:textFill>
              </w:rPr>
              <w:t>。</w:t>
            </w:r>
          </w:p>
        </w:tc>
      </w:tr>
      <w:tr w14:paraId="58758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504AAF6">
            <w:pPr>
              <w:spacing w:line="300" w:lineRule="exact"/>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4</w:t>
            </w:r>
            <w:r>
              <w:rPr>
                <w:b/>
                <w:color w:val="000000" w:themeColor="text1"/>
                <w:szCs w:val="21"/>
                <w:highlight w:val="none"/>
                <w14:textFill>
                  <w14:solidFill>
                    <w14:schemeClr w14:val="tx1"/>
                  </w14:solidFill>
                </w14:textFill>
              </w:rPr>
              <w:t>.2</w:t>
            </w:r>
          </w:p>
        </w:tc>
        <w:tc>
          <w:tcPr>
            <w:tcW w:w="1248" w:type="dxa"/>
            <w:tcBorders>
              <w:top w:val="single" w:color="auto" w:sz="4" w:space="0"/>
              <w:left w:val="single" w:color="auto" w:sz="4" w:space="0"/>
              <w:bottom w:val="single" w:color="auto" w:sz="4" w:space="0"/>
              <w:right w:val="single" w:color="auto" w:sz="4" w:space="0"/>
            </w:tcBorders>
            <w:vAlign w:val="center"/>
          </w:tcPr>
          <w:p w14:paraId="26B25AC0">
            <w:pPr>
              <w:spacing w:line="300" w:lineRule="exact"/>
              <w:jc w:val="center"/>
              <w:rPr>
                <w:color w:val="000000" w:themeColor="text1"/>
                <w:szCs w:val="20"/>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备份投标文件</w:t>
            </w:r>
          </w:p>
        </w:tc>
        <w:tc>
          <w:tcPr>
            <w:tcW w:w="7229" w:type="dxa"/>
            <w:tcBorders>
              <w:top w:val="single" w:color="auto" w:sz="4" w:space="0"/>
              <w:left w:val="single" w:color="auto" w:sz="4" w:space="0"/>
              <w:bottom w:val="single" w:color="auto" w:sz="4" w:space="0"/>
              <w:right w:val="single" w:color="auto" w:sz="4" w:space="0"/>
            </w:tcBorders>
            <w:vAlign w:val="center"/>
          </w:tcPr>
          <w:p w14:paraId="273C5CAC">
            <w:pPr>
              <w:spacing w:line="276"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w:t>
            </w:r>
            <w:r>
              <w:rPr>
                <w:color w:val="000000" w:themeColor="text1"/>
                <w:sz w:val="22"/>
                <w:szCs w:val="22"/>
                <w:highlight w:val="none"/>
                <w14:textFill>
                  <w14:solidFill>
                    <w14:schemeClr w14:val="tx1"/>
                  </w14:solidFill>
                </w14:textFill>
              </w:rPr>
              <w:sym w:font="Wingdings 2" w:char="F052"/>
            </w:r>
            <w:r>
              <w:rPr>
                <w:rFonts w:hint="eastAsia"/>
                <w:color w:val="000000" w:themeColor="text1"/>
                <w:szCs w:val="21"/>
                <w:highlight w:val="none"/>
                <w14:textFill>
                  <w14:solidFill>
                    <w14:schemeClr w14:val="tx1"/>
                  </w14:solidFill>
                </w14:textFill>
              </w:rPr>
              <w:t>接受   □不接受</w:t>
            </w:r>
            <w:r>
              <w:rPr>
                <w:rFonts w:hint="eastAsia" w:ascii="宋体" w:hAnsi="宋体"/>
                <w:color w:val="000000" w:themeColor="text1"/>
                <w:szCs w:val="21"/>
                <w:highlight w:val="none"/>
                <w14:textFill>
                  <w14:solidFill>
                    <w14:schemeClr w14:val="tx1"/>
                  </w14:solidFill>
                </w14:textFill>
              </w:rPr>
              <w:t>备份投标文件</w:t>
            </w:r>
          </w:p>
          <w:p w14:paraId="60270519">
            <w:pPr>
              <w:spacing w:line="276" w:lineRule="auto"/>
              <w:rPr>
                <w:color w:val="000000" w:themeColor="text1"/>
                <w:sz w:val="22"/>
                <w:szCs w:val="2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以广西政府采购云平台自动生成的备份文件为依据，当项目允许接受备份响应文件时，投标人才可以按规定上传备份响应文件。</w:t>
            </w:r>
          </w:p>
        </w:tc>
      </w:tr>
      <w:tr w14:paraId="3421F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E8AE88F">
            <w:pPr>
              <w:spacing w:line="300" w:lineRule="exact"/>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4</w:t>
            </w:r>
            <w:r>
              <w:rPr>
                <w:b/>
                <w:color w:val="000000" w:themeColor="text1"/>
                <w:szCs w:val="21"/>
                <w:highlight w:val="none"/>
                <w14:textFill>
                  <w14:solidFill>
                    <w14:schemeClr w14:val="tx1"/>
                  </w14:solidFill>
                </w14:textFill>
              </w:rPr>
              <w:t>.3</w:t>
            </w:r>
          </w:p>
        </w:tc>
        <w:tc>
          <w:tcPr>
            <w:tcW w:w="1248" w:type="dxa"/>
            <w:tcBorders>
              <w:top w:val="single" w:color="auto" w:sz="4" w:space="0"/>
              <w:left w:val="single" w:color="auto" w:sz="4" w:space="0"/>
              <w:bottom w:val="single" w:color="auto" w:sz="4" w:space="0"/>
              <w:right w:val="single" w:color="auto" w:sz="4" w:space="0"/>
            </w:tcBorders>
            <w:vAlign w:val="center"/>
          </w:tcPr>
          <w:p w14:paraId="08750C04">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11B1E239">
            <w:pPr>
              <w:spacing w:line="276"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☑是</w:t>
            </w:r>
          </w:p>
          <w:p w14:paraId="47C16B71">
            <w:pPr>
              <w:spacing w:line="276" w:lineRule="auto"/>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演示内容：</w:t>
            </w:r>
            <w:r>
              <w:rPr>
                <w:rFonts w:hint="eastAsia"/>
                <w:color w:val="000000" w:themeColor="text1"/>
                <w:szCs w:val="21"/>
                <w:highlight w:val="none"/>
                <w:u w:val="single"/>
                <w14:textFill>
                  <w14:solidFill>
                    <w14:schemeClr w14:val="tx1"/>
                  </w14:solidFill>
                </w14:textFill>
              </w:rPr>
              <w:t xml:space="preserve"> 详见第二章采购需求各分标具体要求</w:t>
            </w:r>
            <w:r>
              <w:rPr>
                <w:color w:val="000000" w:themeColor="text1"/>
                <w:szCs w:val="21"/>
                <w:highlight w:val="none"/>
                <w:u w:val="single"/>
                <w14:textFill>
                  <w14:solidFill>
                    <w14:schemeClr w14:val="tx1"/>
                  </w14:solidFill>
                </w14:textFill>
              </w:rPr>
              <w:t xml:space="preserve">  </w:t>
            </w:r>
          </w:p>
          <w:p w14:paraId="7F39DCF3">
            <w:pPr>
              <w:spacing w:line="276"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演示形式：</w:t>
            </w:r>
            <w:r>
              <w:rPr>
                <w:rFonts w:hint="eastAsia" w:ascii="宋体" w:hAnsi="宋体" w:cs="宋体"/>
                <w:color w:val="000000" w:themeColor="text1"/>
                <w:szCs w:val="21"/>
                <w:highlight w:val="none"/>
                <w14:textFill>
                  <w14:solidFill>
                    <w14:schemeClr w14:val="tx1"/>
                  </w14:solidFill>
                </w14:textFill>
              </w:rPr>
              <w:t>供应商基于真实平台（不接受PPT、Demo、视频等演示形式）进行现场演示，展示参数功能，每项演示必须展示前后页面跳转，演示功能不全或未演示的不得分</w:t>
            </w:r>
            <w:r>
              <w:rPr>
                <w:rFonts w:hint="eastAsia"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演示地点：广西政府采购云平台（https://www.gcy.zfcg.gxzf.gov.cn/）。供应商应确保用于演示的电脑具备摄像头及语音功能，当采购组织机构在平台发起视频演示时，及时进入评审室，选择共享屏幕的方式进行演示。</w:t>
            </w:r>
          </w:p>
        </w:tc>
      </w:tr>
      <w:tr w14:paraId="64219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32F3BD8">
            <w:pPr>
              <w:spacing w:line="300" w:lineRule="exact"/>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4</w:t>
            </w:r>
            <w:r>
              <w:rPr>
                <w:b/>
                <w:color w:val="000000" w:themeColor="text1"/>
                <w:szCs w:val="21"/>
                <w:highlight w:val="none"/>
                <w14:textFill>
                  <w14:solidFill>
                    <w14:schemeClr w14:val="tx1"/>
                  </w14:solidFill>
                </w14:textFill>
              </w:rPr>
              <w:t>.4</w:t>
            </w:r>
          </w:p>
        </w:tc>
        <w:tc>
          <w:tcPr>
            <w:tcW w:w="1248" w:type="dxa"/>
            <w:tcBorders>
              <w:top w:val="single" w:color="auto" w:sz="4" w:space="0"/>
              <w:left w:val="single" w:color="auto" w:sz="4" w:space="0"/>
              <w:bottom w:val="single" w:color="auto" w:sz="4" w:space="0"/>
              <w:right w:val="single" w:color="auto" w:sz="4" w:space="0"/>
            </w:tcBorders>
            <w:vAlign w:val="center"/>
          </w:tcPr>
          <w:p w14:paraId="4181046D">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07C39EEB">
            <w:pPr>
              <w:spacing w:line="276" w:lineRule="auto"/>
              <w:rPr>
                <w:color w:val="000000" w:themeColor="text1"/>
                <w:szCs w:val="21"/>
                <w:highlight w:val="none"/>
                <w14:textFill>
                  <w14:solidFill>
                    <w14:schemeClr w14:val="tx1"/>
                  </w14:solidFill>
                </w14:textFill>
              </w:rPr>
            </w:pPr>
            <w:r>
              <w:rPr>
                <w:color w:val="000000" w:themeColor="text1"/>
                <w:sz w:val="24"/>
                <w:highlight w:val="none"/>
                <w14:textFill>
                  <w14:solidFill>
                    <w14:schemeClr w14:val="tx1"/>
                  </w14:solidFill>
                </w14:textFill>
              </w:rPr>
              <w:sym w:font="Wingdings 2" w:char="F052"/>
            </w:r>
            <w:r>
              <w:rPr>
                <w:rFonts w:hint="eastAsia"/>
                <w:color w:val="000000" w:themeColor="text1"/>
                <w:szCs w:val="21"/>
                <w:highlight w:val="none"/>
                <w14:textFill>
                  <w14:solidFill>
                    <w14:schemeClr w14:val="tx1"/>
                  </w14:solidFill>
                </w14:textFill>
              </w:rPr>
              <w:t xml:space="preserve">否 </w:t>
            </w:r>
          </w:p>
        </w:tc>
      </w:tr>
      <w:tr w14:paraId="7F41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C413544">
            <w:pPr>
              <w:spacing w:line="300" w:lineRule="exact"/>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5.3.1</w:t>
            </w:r>
          </w:p>
        </w:tc>
        <w:tc>
          <w:tcPr>
            <w:tcW w:w="1248" w:type="dxa"/>
            <w:tcBorders>
              <w:top w:val="single" w:color="auto" w:sz="4" w:space="0"/>
              <w:left w:val="single" w:color="auto" w:sz="4" w:space="0"/>
              <w:bottom w:val="single" w:color="auto" w:sz="4" w:space="0"/>
              <w:right w:val="single" w:color="auto" w:sz="4" w:space="0"/>
            </w:tcBorders>
            <w:vAlign w:val="center"/>
          </w:tcPr>
          <w:p w14:paraId="29BDE5BD">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信用查询规则</w:t>
            </w:r>
          </w:p>
        </w:tc>
        <w:tc>
          <w:tcPr>
            <w:tcW w:w="7229" w:type="dxa"/>
            <w:tcBorders>
              <w:top w:val="single" w:color="auto" w:sz="4" w:space="0"/>
              <w:left w:val="single" w:color="auto" w:sz="4" w:space="0"/>
              <w:bottom w:val="single" w:color="auto" w:sz="4" w:space="0"/>
              <w:right w:val="single" w:color="auto" w:sz="4" w:space="0"/>
            </w:tcBorders>
            <w:vAlign w:val="center"/>
          </w:tcPr>
          <w:p w14:paraId="1170BBFA">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3029BDC8">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（1）查询渠道：广西政府采购云平台“信用中国”网站(www.creditchina.gov.cn) 、中国政府采购网(www.ccgp.gov.cn)链接入口。</w:t>
            </w:r>
          </w:p>
          <w:p w14:paraId="7FED8076">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（2）信用查询截止时点：资格审查结束前</w:t>
            </w:r>
          </w:p>
          <w:p w14:paraId="7E3C689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（3）查询记录和证据留存方式：在查询网站中直接截图查询记录，截图作为在“广西政府采购云”平台作为附件上传保存。</w:t>
            </w:r>
          </w:p>
          <w:p w14:paraId="250CC38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themeColor="text1"/>
                <w:sz w:val="22"/>
                <w:highlight w:val="none"/>
                <w14:textFill>
                  <w14:solidFill>
                    <w14:schemeClr w14:val="tx1"/>
                  </w14:solidFill>
                </w14:textFill>
              </w:rPr>
              <w:t>应当拒绝其参与政府采购活动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32AE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1AC288E">
            <w:pPr>
              <w:spacing w:line="300" w:lineRule="exact"/>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6.</w:t>
            </w:r>
            <w:r>
              <w:rPr>
                <w:b/>
                <w:color w:val="000000" w:themeColor="text1"/>
                <w:szCs w:val="21"/>
                <w:highlight w:val="none"/>
                <w14:textFill>
                  <w14:solidFill>
                    <w14:schemeClr w14:val="tx1"/>
                  </w14:solidFill>
                </w14:textFill>
              </w:rPr>
              <w:t>3</w:t>
            </w:r>
            <w:r>
              <w:rPr>
                <w:rFonts w:hint="eastAsia"/>
                <w:b/>
                <w:color w:val="000000" w:themeColor="text1"/>
                <w:szCs w:val="21"/>
                <w:highlight w:val="none"/>
                <w14:textFill>
                  <w14:solidFill>
                    <w14:schemeClr w14:val="tx1"/>
                  </w14:solidFill>
                </w14:textFill>
              </w:rPr>
              <w:t>.</w:t>
            </w:r>
            <w:r>
              <w:rPr>
                <w:b/>
                <w:color w:val="000000" w:themeColor="text1"/>
                <w:szCs w:val="21"/>
                <w:highlight w:val="none"/>
                <w14:textFill>
                  <w14:solidFill>
                    <w14:schemeClr w14:val="tx1"/>
                  </w14:solidFill>
                </w14:textFill>
              </w:rPr>
              <w:t>5</w:t>
            </w:r>
          </w:p>
        </w:tc>
        <w:tc>
          <w:tcPr>
            <w:tcW w:w="1248" w:type="dxa"/>
            <w:tcBorders>
              <w:top w:val="single" w:color="auto" w:sz="4" w:space="0"/>
              <w:left w:val="single" w:color="auto" w:sz="4" w:space="0"/>
              <w:bottom w:val="single" w:color="auto" w:sz="4" w:space="0"/>
              <w:right w:val="single" w:color="auto" w:sz="4" w:space="0"/>
            </w:tcBorders>
            <w:vAlign w:val="center"/>
          </w:tcPr>
          <w:p w14:paraId="274B51CE">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异常低价审查</w:t>
            </w:r>
          </w:p>
          <w:p w14:paraId="21E98104">
            <w:pPr>
              <w:spacing w:line="300" w:lineRule="exact"/>
              <w:jc w:val="center"/>
              <w:rPr>
                <w:color w:val="000000" w:themeColor="text1"/>
                <w:szCs w:val="21"/>
                <w:highlight w:val="none"/>
                <w14:textFill>
                  <w14:solidFill>
                    <w14:schemeClr w14:val="tx1"/>
                  </w14:solidFill>
                </w14:textFill>
              </w:rPr>
            </w:pPr>
          </w:p>
        </w:tc>
        <w:tc>
          <w:tcPr>
            <w:tcW w:w="7229" w:type="dxa"/>
            <w:tcBorders>
              <w:top w:val="single" w:color="auto" w:sz="4" w:space="0"/>
              <w:left w:val="single" w:color="auto" w:sz="4" w:space="0"/>
              <w:bottom w:val="single" w:color="auto" w:sz="4" w:space="0"/>
              <w:right w:val="single" w:color="auto" w:sz="4" w:space="0"/>
            </w:tcBorders>
            <w:vAlign w:val="center"/>
          </w:tcPr>
          <w:p w14:paraId="0EE2224C">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☑评审中出现下列情形之一的，评审委员会应当启动异常低价响应审查程序：</w:t>
            </w:r>
          </w:p>
          <w:p w14:paraId="5264F994">
            <w:pPr>
              <w:spacing w:line="276"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56226FA3">
            <w:pPr>
              <w:spacing w:line="276"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7F4703B8">
            <w:pPr>
              <w:spacing w:line="276"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（3）投标（响应）报价低于采购项目最高限价45%的，即投标（响应）报价&lt;采购项目最高限价×45%；</w:t>
            </w:r>
          </w:p>
          <w:p w14:paraId="1D5E9FAC">
            <w:pPr>
              <w:spacing w:line="276" w:lineRule="auto"/>
              <w:rPr>
                <w:color w:val="000000" w:themeColor="text1"/>
                <w:sz w:val="22"/>
                <w:szCs w:val="22"/>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tc>
      </w:tr>
      <w:tr w14:paraId="56638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D408EE4">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6.5</w:t>
            </w:r>
            <w:r>
              <w:rPr>
                <w:rFonts w:hint="eastAsia"/>
                <w:b/>
                <w:color w:val="000000" w:themeColor="text1"/>
                <w:szCs w:val="21"/>
                <w:highlight w:val="none"/>
                <w14:textFill>
                  <w14:solidFill>
                    <w14:schemeClr w14:val="tx1"/>
                  </w14:solidFill>
                </w14:textFill>
              </w:rPr>
              <w:t>.1</w:t>
            </w:r>
          </w:p>
        </w:tc>
        <w:tc>
          <w:tcPr>
            <w:tcW w:w="1248" w:type="dxa"/>
            <w:tcBorders>
              <w:top w:val="single" w:color="auto" w:sz="4" w:space="0"/>
              <w:left w:val="single" w:color="auto" w:sz="4" w:space="0"/>
              <w:bottom w:val="single" w:color="auto" w:sz="4" w:space="0"/>
              <w:right w:val="single" w:color="auto" w:sz="4" w:space="0"/>
            </w:tcBorders>
            <w:vAlign w:val="center"/>
          </w:tcPr>
          <w:p w14:paraId="720EC284">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结果</w:t>
            </w:r>
            <w:r>
              <w:rPr>
                <w:color w:val="000000" w:themeColor="text1"/>
                <w:szCs w:val="21"/>
                <w:highlight w:val="none"/>
                <w14:textFill>
                  <w14:solidFill>
                    <w14:schemeClr w14:val="tx1"/>
                  </w14:solidFill>
                </w14:textFill>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7C7D2F1A">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采购代理机构在采购人依法确认中标人后2个工作日内在招标公告发布的媒体上发布</w:t>
            </w:r>
            <w:r>
              <w:rPr>
                <w:rFonts w:hint="eastAsia"/>
                <w:color w:val="000000" w:themeColor="text1"/>
                <w:szCs w:val="21"/>
                <w:highlight w:val="none"/>
                <w14:textFill>
                  <w14:solidFill>
                    <w14:schemeClr w14:val="tx1"/>
                  </w14:solidFill>
                </w14:textFill>
              </w:rPr>
              <w:t>结果</w:t>
            </w:r>
            <w:r>
              <w:rPr>
                <w:color w:val="000000" w:themeColor="text1"/>
                <w:szCs w:val="21"/>
                <w:highlight w:val="none"/>
                <w14:textFill>
                  <w14:solidFill>
                    <w14:schemeClr w14:val="tx1"/>
                  </w14:solidFill>
                </w14:textFill>
              </w:rPr>
              <w:t>公告</w:t>
            </w:r>
            <w:r>
              <w:rPr>
                <w:rFonts w:hint="eastAsia"/>
                <w:color w:val="000000" w:themeColor="text1"/>
                <w:szCs w:val="21"/>
                <w:highlight w:val="none"/>
                <w14:textFill>
                  <w14:solidFill>
                    <w14:schemeClr w14:val="tx1"/>
                  </w14:solidFill>
                </w14:textFill>
              </w:rPr>
              <w:t>。</w:t>
            </w:r>
          </w:p>
        </w:tc>
      </w:tr>
      <w:tr w14:paraId="37EEB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4C724BD">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388B6D64">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中标通知书</w:t>
            </w:r>
          </w:p>
        </w:tc>
        <w:tc>
          <w:tcPr>
            <w:tcW w:w="7229" w:type="dxa"/>
            <w:tcBorders>
              <w:top w:val="single" w:color="auto" w:sz="4" w:space="0"/>
              <w:left w:val="single" w:color="auto" w:sz="4" w:space="0"/>
              <w:bottom w:val="single" w:color="auto" w:sz="4" w:space="0"/>
              <w:right w:val="single" w:color="auto" w:sz="4" w:space="0"/>
            </w:tcBorders>
            <w:vAlign w:val="center"/>
          </w:tcPr>
          <w:p w14:paraId="301EC364">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采购代理机构通过广西政府采购云平台发出</w:t>
            </w:r>
            <w:r>
              <w:rPr>
                <w:color w:val="000000" w:themeColor="text1"/>
                <w:szCs w:val="21"/>
                <w:highlight w:val="none"/>
                <w14:textFill>
                  <w14:solidFill>
                    <w14:schemeClr w14:val="tx1"/>
                  </w14:solidFill>
                </w14:textFill>
              </w:rPr>
              <w:t>中标通知书。</w:t>
            </w:r>
          </w:p>
          <w:p w14:paraId="3461B881">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中标通知书在广西政府采购云平台推送之日起，视为中标人已收到，中标人自行承担未及时查收的后果。</w:t>
            </w:r>
          </w:p>
        </w:tc>
      </w:tr>
      <w:tr w14:paraId="5E829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751D2D8">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6.5.3</w:t>
            </w:r>
          </w:p>
        </w:tc>
        <w:tc>
          <w:tcPr>
            <w:tcW w:w="1248" w:type="dxa"/>
            <w:tcBorders>
              <w:top w:val="single" w:color="auto" w:sz="4" w:space="0"/>
              <w:left w:val="single" w:color="auto" w:sz="4" w:space="0"/>
              <w:bottom w:val="single" w:color="auto" w:sz="4" w:space="0"/>
              <w:right w:val="single" w:color="auto" w:sz="4" w:space="0"/>
            </w:tcBorders>
            <w:vAlign w:val="center"/>
          </w:tcPr>
          <w:p w14:paraId="1E7915A3">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招标结果通知书</w:t>
            </w:r>
          </w:p>
        </w:tc>
        <w:tc>
          <w:tcPr>
            <w:tcW w:w="7229" w:type="dxa"/>
            <w:tcBorders>
              <w:top w:val="single" w:color="auto" w:sz="4" w:space="0"/>
              <w:left w:val="single" w:color="auto" w:sz="4" w:space="0"/>
              <w:bottom w:val="single" w:color="auto" w:sz="4" w:space="0"/>
              <w:right w:val="single" w:color="auto" w:sz="4" w:space="0"/>
            </w:tcBorders>
            <w:vAlign w:val="center"/>
          </w:tcPr>
          <w:p w14:paraId="448C2730">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采购代理机构通过广西政府采购云平台发出招标结果</w:t>
            </w:r>
            <w:r>
              <w:rPr>
                <w:color w:val="000000" w:themeColor="text1"/>
                <w:szCs w:val="21"/>
                <w:highlight w:val="none"/>
                <w14:textFill>
                  <w14:solidFill>
                    <w14:schemeClr w14:val="tx1"/>
                  </w14:solidFill>
                </w14:textFill>
              </w:rPr>
              <w:t>通知书</w:t>
            </w:r>
          </w:p>
          <w:p w14:paraId="471E0E9C">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招标结果通知书在广西政府采购云平台推送之日起，视为中标人已收到，中标人自行承担未及时查收的后果。</w:t>
            </w:r>
            <w:r>
              <w:rPr>
                <w:color w:val="000000" w:themeColor="text1"/>
                <w:szCs w:val="21"/>
                <w:highlight w:val="none"/>
                <w14:textFill>
                  <w14:solidFill>
                    <w14:schemeClr w14:val="tx1"/>
                  </w14:solidFill>
                </w14:textFill>
              </w:rPr>
              <w:t xml:space="preserve"> </w:t>
            </w:r>
          </w:p>
        </w:tc>
      </w:tr>
      <w:tr w14:paraId="0C84B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26870E66">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8.1</w:t>
            </w:r>
          </w:p>
        </w:tc>
        <w:tc>
          <w:tcPr>
            <w:tcW w:w="1248" w:type="dxa"/>
            <w:tcBorders>
              <w:top w:val="single" w:color="auto" w:sz="4" w:space="0"/>
              <w:left w:val="single" w:color="auto" w:sz="4" w:space="0"/>
              <w:bottom w:val="single" w:color="auto" w:sz="4" w:space="0"/>
              <w:right w:val="single" w:color="auto" w:sz="4" w:space="0"/>
            </w:tcBorders>
            <w:vAlign w:val="center"/>
          </w:tcPr>
          <w:p w14:paraId="6BEAC9B1">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76489471">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（1）供应商</w:t>
            </w:r>
            <w:r>
              <w:rPr>
                <w:color w:val="000000" w:themeColor="text1"/>
                <w:szCs w:val="21"/>
                <w:highlight w:val="none"/>
                <w14:textFill>
                  <w14:solidFill>
                    <w14:schemeClr w14:val="tx1"/>
                  </w14:solidFill>
                </w14:textFill>
              </w:rPr>
              <w:t>认为</w:t>
            </w:r>
            <w:r>
              <w:rPr>
                <w:rFonts w:hint="eastAsia"/>
                <w:color w:val="000000" w:themeColor="text1"/>
                <w:szCs w:val="21"/>
                <w:highlight w:val="none"/>
                <w14:textFill>
                  <w14:solidFill>
                    <w14:schemeClr w14:val="tx1"/>
                  </w14:solidFill>
                </w14:textFill>
              </w:rPr>
              <w:t>招标文件</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过程、中标</w:t>
            </w:r>
            <w:r>
              <w:rPr>
                <w:rFonts w:hint="eastAsia"/>
                <w:color w:val="000000" w:themeColor="text1"/>
                <w:szCs w:val="21"/>
                <w:highlight w:val="none"/>
                <w14:textFill>
                  <w14:solidFill>
                    <w14:schemeClr w14:val="tx1"/>
                  </w14:solidFill>
                </w14:textFill>
              </w:rPr>
              <w:t>或者成交</w:t>
            </w:r>
            <w:r>
              <w:rPr>
                <w:color w:val="000000" w:themeColor="text1"/>
                <w:szCs w:val="21"/>
                <w:highlight w:val="none"/>
                <w14:textFill>
                  <w14:solidFill>
                    <w14:schemeClr w14:val="tx1"/>
                  </w14:solidFill>
                </w14:textFill>
              </w:rPr>
              <w:t>结果使自己的权益受到损害的，可以在知道或者应知其权益受到损害之日起7个工作日内，</w:t>
            </w:r>
            <w:r>
              <w:rPr>
                <w:rFonts w:hint="eastAsia"/>
                <w:color w:val="000000" w:themeColor="text1"/>
                <w:szCs w:val="21"/>
                <w:highlight w:val="none"/>
                <w14:textFill>
                  <w14:solidFill>
                    <w14:schemeClr w14:val="tx1"/>
                  </w14:solidFill>
                </w14:textFill>
              </w:rPr>
              <w:t>通过以下方式</w:t>
            </w:r>
            <w:r>
              <w:rPr>
                <w:color w:val="000000" w:themeColor="text1"/>
                <w:szCs w:val="21"/>
                <w:highlight w:val="none"/>
                <w14:textFill>
                  <w14:solidFill>
                    <w14:schemeClr w14:val="tx1"/>
                  </w14:solidFill>
                </w14:textFill>
              </w:rPr>
              <w:t>向采购人、采购代理机构提出质疑。提出质疑的</w:t>
            </w:r>
            <w:r>
              <w:rPr>
                <w:rFonts w:hint="eastAsia"/>
                <w:color w:val="000000" w:themeColor="text1"/>
                <w:szCs w:val="21"/>
                <w:highlight w:val="none"/>
                <w14:textFill>
                  <w14:solidFill>
                    <w14:schemeClr w14:val="tx1"/>
                  </w14:solidFill>
                </w14:textFill>
              </w:rPr>
              <w:t>供应商</w:t>
            </w:r>
            <w:r>
              <w:rPr>
                <w:color w:val="000000" w:themeColor="text1"/>
                <w:szCs w:val="21"/>
                <w:highlight w:val="none"/>
                <w14:textFill>
                  <w14:solidFill>
                    <w14:schemeClr w14:val="tx1"/>
                  </w14:solidFill>
                </w14:textFill>
              </w:rPr>
              <w:t>必须是参与本项目采购活动的供应商</w:t>
            </w:r>
            <w:r>
              <w:rPr>
                <w:rFonts w:hint="eastAsia"/>
                <w:color w:val="000000" w:themeColor="text1"/>
                <w:szCs w:val="21"/>
                <w:highlight w:val="none"/>
                <w14:textFill>
                  <w14:solidFill>
                    <w14:schemeClr w14:val="tx1"/>
                  </w14:solidFill>
                </w14:textFill>
              </w:rPr>
              <w:t>，并须在</w:t>
            </w:r>
            <w:r>
              <w:rPr>
                <w:color w:val="000000" w:themeColor="text1"/>
                <w:szCs w:val="21"/>
                <w:highlight w:val="none"/>
                <w14:textFill>
                  <w14:solidFill>
                    <w14:schemeClr w14:val="tx1"/>
                  </w14:solidFill>
                </w14:textFill>
              </w:rPr>
              <w:t>法定质疑期内一次性提出针对同一采购程序环节的质疑。质疑函应使用财政部发布的</w:t>
            </w:r>
            <w:r>
              <w:rPr>
                <w:rFonts w:hint="eastAsia"/>
                <w:color w:val="000000" w:themeColor="text1"/>
                <w:szCs w:val="21"/>
                <w:highlight w:val="none"/>
                <w14:textFill>
                  <w14:solidFill>
                    <w14:schemeClr w14:val="tx1"/>
                  </w14:solidFill>
                </w14:textFill>
              </w:rPr>
              <w:t>政府采购供应商质疑函范本，并应按照“质疑函制作说明”进行制作。</w:t>
            </w:r>
          </w:p>
          <w:p w14:paraId="08EE9516">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本项目不接受传真、移动通信</w:t>
            </w:r>
            <w:r>
              <w:rPr>
                <w:rFonts w:hint="eastAsia"/>
                <w:color w:val="000000" w:themeColor="text1"/>
                <w:szCs w:val="21"/>
                <w:highlight w:val="none"/>
                <w14:textFill>
                  <w14:solidFill>
                    <w14:schemeClr w14:val="tx1"/>
                  </w14:solidFill>
                </w14:textFill>
              </w:rPr>
              <w:t>、广西政府采购云平台</w:t>
            </w:r>
            <w:r>
              <w:rPr>
                <w:color w:val="000000" w:themeColor="text1"/>
                <w:szCs w:val="21"/>
                <w:highlight w:val="none"/>
                <w14:textFill>
                  <w14:solidFill>
                    <w14:schemeClr w14:val="tx1"/>
                  </w14:solidFill>
                </w14:textFill>
              </w:rPr>
              <w:t>等</w:t>
            </w:r>
            <w:r>
              <w:rPr>
                <w:rFonts w:hint="eastAsia"/>
                <w:color w:val="000000" w:themeColor="text1"/>
                <w:szCs w:val="21"/>
                <w:highlight w:val="none"/>
                <w14:textFill>
                  <w14:solidFill>
                    <w14:schemeClr w14:val="tx1"/>
                  </w14:solidFill>
                </w14:textFill>
              </w:rPr>
              <w:t>方式</w:t>
            </w:r>
            <w:r>
              <w:rPr>
                <w:color w:val="000000" w:themeColor="text1"/>
                <w:szCs w:val="21"/>
                <w:highlight w:val="none"/>
                <w14:textFill>
                  <w14:solidFill>
                    <w14:schemeClr w14:val="tx1"/>
                  </w14:solidFill>
                </w14:textFill>
              </w:rPr>
              <w:t>送达的质疑材料</w:t>
            </w:r>
            <w:r>
              <w:rPr>
                <w:rFonts w:hint="eastAsia"/>
                <w:color w:val="000000" w:themeColor="text1"/>
                <w:szCs w:val="21"/>
                <w:highlight w:val="none"/>
                <w14:textFill>
                  <w14:solidFill>
                    <w14:schemeClr w14:val="tx1"/>
                  </w14:solidFill>
                </w14:textFill>
              </w:rPr>
              <w:t>，供应商可通过现场或邮寄方式递交书面质疑材料。供应商应于质疑有效期内将质疑函原件递交或邮寄至招标公告中采购代理机构信息中的联系人。</w:t>
            </w:r>
          </w:p>
        </w:tc>
      </w:tr>
      <w:tr w14:paraId="6573E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737" w:type="dxa"/>
            <w:tcBorders>
              <w:top w:val="single" w:color="auto" w:sz="4" w:space="0"/>
              <w:left w:val="single" w:color="auto" w:sz="4" w:space="0"/>
              <w:bottom w:val="single" w:color="auto" w:sz="4" w:space="0"/>
              <w:right w:val="single" w:color="auto" w:sz="4" w:space="0"/>
            </w:tcBorders>
            <w:vAlign w:val="center"/>
          </w:tcPr>
          <w:p w14:paraId="2477B81D">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9.1</w:t>
            </w:r>
          </w:p>
        </w:tc>
        <w:tc>
          <w:tcPr>
            <w:tcW w:w="1248" w:type="dxa"/>
            <w:tcBorders>
              <w:top w:val="single" w:color="auto" w:sz="4" w:space="0"/>
              <w:left w:val="single" w:color="auto" w:sz="4" w:space="0"/>
              <w:bottom w:val="single" w:color="auto" w:sz="4" w:space="0"/>
              <w:right w:val="single" w:color="auto" w:sz="4" w:space="0"/>
            </w:tcBorders>
            <w:vAlign w:val="center"/>
          </w:tcPr>
          <w:p w14:paraId="534DFB56">
            <w:pPr>
              <w:spacing w:line="300" w:lineRule="exact"/>
              <w:jc w:val="center"/>
              <w:rPr>
                <w:color w:val="000000" w:themeColor="text1"/>
                <w:szCs w:val="21"/>
                <w:highlight w:val="none"/>
                <w14:textFill>
                  <w14:solidFill>
                    <w14:schemeClr w14:val="tx1"/>
                  </w14:solidFill>
                </w14:textFill>
              </w:rPr>
            </w:pPr>
            <w:r>
              <w:rPr>
                <w:color w:val="000000" w:themeColor="text1"/>
                <w:szCs w:val="20"/>
                <w:highlight w:val="none"/>
                <w14:textFill>
                  <w14:solidFill>
                    <w14:schemeClr w14:val="tx1"/>
                  </w14:solidFill>
                </w14:textFill>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1EEB482F">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color w:val="000000" w:themeColor="text1"/>
                <w:szCs w:val="20"/>
                <w:highlight w:val="none"/>
                <w14:textFill>
                  <w14:solidFill>
                    <w14:schemeClr w14:val="tx1"/>
                  </w14:solidFill>
                </w14:textFill>
              </w:rPr>
              <w:t>代理服务费</w:t>
            </w:r>
          </w:p>
          <w:p w14:paraId="4E7CC01F">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sym w:font="Wingdings 2" w:char="F052"/>
            </w:r>
            <w:r>
              <w:rPr>
                <w:color w:val="000000" w:themeColor="text1"/>
                <w:szCs w:val="21"/>
                <w:highlight w:val="none"/>
                <w14:textFill>
                  <w14:solidFill>
                    <w14:schemeClr w14:val="tx1"/>
                  </w14:solidFill>
                </w14:textFill>
              </w:rPr>
              <w:t>采购代理机构向中标人收取代理服务费。本项目代理服务费</w:t>
            </w:r>
            <w:r>
              <w:rPr>
                <w:rFonts w:hint="eastAsia"/>
                <w:color w:val="000000" w:themeColor="text1"/>
                <w:szCs w:val="21"/>
                <w:highlight w:val="none"/>
                <w14:textFill>
                  <w14:solidFill>
                    <w14:schemeClr w14:val="tx1"/>
                  </w14:solidFill>
                </w14:textFill>
              </w:rPr>
              <w:t>按照</w:t>
            </w:r>
            <w:r>
              <w:rPr>
                <w:color w:val="000000" w:themeColor="text1"/>
                <w:szCs w:val="21"/>
                <w:highlight w:val="none"/>
                <w14:textFill>
                  <w14:solidFill>
                    <w14:schemeClr w14:val="tx1"/>
                  </w14:solidFill>
                </w14:textFill>
              </w:rPr>
              <w:t>《招标代理服务费管理暂行办法》 (计价格﹝2002﹞1980号)、《国家发展改革委关于降低部分建设项目收费标准规范收费行为等有关问题的通知》(发改价格﹝2011﹞534号)规定</w:t>
            </w:r>
            <w:r>
              <w:rPr>
                <w:rFonts w:hint="eastAsia"/>
                <w:color w:val="000000" w:themeColor="text1"/>
                <w:szCs w:val="21"/>
                <w:highlight w:val="none"/>
                <w14:textFill>
                  <w14:solidFill>
                    <w14:schemeClr w14:val="tx1"/>
                  </w14:solidFill>
                </w14:textFill>
              </w:rPr>
              <w:t>的65%采用</w:t>
            </w:r>
            <w:r>
              <w:rPr>
                <w:color w:val="000000" w:themeColor="text1"/>
                <w:szCs w:val="21"/>
                <w:highlight w:val="none"/>
                <w14:textFill>
                  <w14:solidFill>
                    <w14:schemeClr w14:val="tx1"/>
                  </w14:solidFill>
                </w14:textFill>
              </w:rPr>
              <w:t>差额定率累进</w:t>
            </w:r>
            <w:r>
              <w:rPr>
                <w:rFonts w:hint="eastAsia"/>
                <w:color w:val="000000" w:themeColor="text1"/>
                <w:szCs w:val="21"/>
                <w:highlight w:val="none"/>
                <w14:textFill>
                  <w14:solidFill>
                    <w14:schemeClr w14:val="tx1"/>
                  </w14:solidFill>
                </w14:textFill>
              </w:rPr>
              <w:t>法</w:t>
            </w:r>
            <w:r>
              <w:rPr>
                <w:color w:val="000000" w:themeColor="text1"/>
                <w:szCs w:val="21"/>
                <w:highlight w:val="none"/>
                <w14:textFill>
                  <w14:solidFill>
                    <w14:schemeClr w14:val="tx1"/>
                  </w14:solidFill>
                </w14:textFill>
              </w:rPr>
              <w:t>计算</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具体费率</w:t>
            </w:r>
            <w:r>
              <w:rPr>
                <w:rFonts w:hint="eastAsia"/>
                <w:color w:val="000000" w:themeColor="text1"/>
                <w:szCs w:val="21"/>
                <w:highlight w:val="none"/>
                <w14:textFill>
                  <w14:solidFill>
                    <w14:schemeClr w14:val="tx1"/>
                  </w14:solidFill>
                </w14:textFill>
              </w:rPr>
              <w:t>如下：</w:t>
            </w:r>
          </w:p>
          <w:p w14:paraId="7B3E2652">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①中标金额在1</w:t>
            </w:r>
            <w:r>
              <w:rPr>
                <w:color w:val="000000" w:themeColor="text1"/>
                <w:szCs w:val="21"/>
                <w:highlight w:val="none"/>
                <w14:textFill>
                  <w14:solidFill>
                    <w14:schemeClr w14:val="tx1"/>
                  </w14:solidFill>
                </w14:textFill>
              </w:rPr>
              <w:t>00</w:t>
            </w:r>
            <w:r>
              <w:rPr>
                <w:rFonts w:hint="eastAsia"/>
                <w:color w:val="000000" w:themeColor="text1"/>
                <w:szCs w:val="21"/>
                <w:highlight w:val="none"/>
                <w14:textFill>
                  <w14:solidFill>
                    <w14:schemeClr w14:val="tx1"/>
                  </w14:solidFill>
                </w14:textFill>
              </w:rPr>
              <w:t>万元以下的：</w:t>
            </w:r>
          </w:p>
          <w:p w14:paraId="78162B1F">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货物</w:t>
            </w: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服务招标1.5％</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工程招标1.0％</w:t>
            </w:r>
            <w:r>
              <w:rPr>
                <w:rFonts w:hint="eastAsia"/>
                <w:color w:val="000000" w:themeColor="text1"/>
                <w:szCs w:val="21"/>
                <w:highlight w:val="none"/>
                <w14:textFill>
                  <w14:solidFill>
                    <w14:schemeClr w14:val="tx1"/>
                  </w14:solidFill>
                </w14:textFill>
              </w:rPr>
              <w:t>；</w:t>
            </w:r>
          </w:p>
          <w:p w14:paraId="75400E39">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②中标金额在</w:t>
            </w:r>
            <w:r>
              <w:rPr>
                <w:color w:val="000000" w:themeColor="text1"/>
                <w:szCs w:val="21"/>
                <w:highlight w:val="none"/>
                <w14:textFill>
                  <w14:solidFill>
                    <w14:schemeClr w14:val="tx1"/>
                  </w14:solidFill>
                </w14:textFill>
              </w:rPr>
              <w:t>100-500</w:t>
            </w:r>
            <w:r>
              <w:rPr>
                <w:rFonts w:hint="eastAsia"/>
                <w:color w:val="000000" w:themeColor="text1"/>
                <w:szCs w:val="21"/>
                <w:highlight w:val="none"/>
                <w14:textFill>
                  <w14:solidFill>
                    <w14:schemeClr w14:val="tx1"/>
                  </w14:solidFill>
                </w14:textFill>
              </w:rPr>
              <w:t>万元之间：</w:t>
            </w:r>
          </w:p>
          <w:p w14:paraId="6B750DF7">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货物</w:t>
            </w:r>
            <w:r>
              <w:rPr>
                <w:color w:val="000000" w:themeColor="text1"/>
                <w:szCs w:val="21"/>
                <w:highlight w:val="none"/>
                <w14:textFill>
                  <w14:solidFill>
                    <w14:schemeClr w14:val="tx1"/>
                  </w14:solidFill>
                </w14:textFill>
              </w:rPr>
              <w:t>1.1％</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服务招标0.8％</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工程招标0.7％</w:t>
            </w:r>
            <w:r>
              <w:rPr>
                <w:rFonts w:hint="eastAsia"/>
                <w:color w:val="000000" w:themeColor="text1"/>
                <w:szCs w:val="21"/>
                <w:highlight w:val="none"/>
                <w14:textFill>
                  <w14:solidFill>
                    <w14:schemeClr w14:val="tx1"/>
                  </w14:solidFill>
                </w14:textFill>
              </w:rPr>
              <w:t>；</w:t>
            </w:r>
          </w:p>
          <w:p w14:paraId="653231FA">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③中标金额在</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0</w:t>
            </w:r>
            <w:r>
              <w:rPr>
                <w:color w:val="000000" w:themeColor="text1"/>
                <w:szCs w:val="21"/>
                <w:highlight w:val="none"/>
                <w14:textFill>
                  <w14:solidFill>
                    <w14:schemeClr w14:val="tx1"/>
                  </w14:solidFill>
                </w14:textFill>
              </w:rPr>
              <w:t>0-1</w:t>
            </w:r>
            <w:r>
              <w:rPr>
                <w:rFonts w:hint="eastAsia"/>
                <w:color w:val="000000" w:themeColor="text1"/>
                <w:szCs w:val="21"/>
                <w:highlight w:val="none"/>
                <w14:textFill>
                  <w14:solidFill>
                    <w14:schemeClr w14:val="tx1"/>
                  </w14:solidFill>
                </w14:textFill>
              </w:rPr>
              <w:t>00</w:t>
            </w:r>
            <w:r>
              <w:rPr>
                <w:color w:val="000000" w:themeColor="text1"/>
                <w:szCs w:val="21"/>
                <w:highlight w:val="none"/>
                <w14:textFill>
                  <w14:solidFill>
                    <w14:schemeClr w14:val="tx1"/>
                  </w14:solidFill>
                </w14:textFill>
              </w:rPr>
              <w:t>0</w:t>
            </w:r>
            <w:r>
              <w:rPr>
                <w:rFonts w:hint="eastAsia"/>
                <w:color w:val="000000" w:themeColor="text1"/>
                <w:szCs w:val="21"/>
                <w:highlight w:val="none"/>
                <w14:textFill>
                  <w14:solidFill>
                    <w14:schemeClr w14:val="tx1"/>
                  </w14:solidFill>
                </w14:textFill>
              </w:rPr>
              <w:t>万元之间：</w:t>
            </w:r>
          </w:p>
          <w:p w14:paraId="36F26D11">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货物</w:t>
            </w:r>
            <w:r>
              <w:rPr>
                <w:color w:val="000000" w:themeColor="text1"/>
                <w:szCs w:val="21"/>
                <w:highlight w:val="none"/>
                <w14:textFill>
                  <w14:solidFill>
                    <w14:schemeClr w14:val="tx1"/>
                  </w14:solidFill>
                </w14:textFill>
              </w:rPr>
              <w:t>0.8％</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服务招标0.45％</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工程招标0.55％</w:t>
            </w:r>
            <w:r>
              <w:rPr>
                <w:rFonts w:hint="eastAsia"/>
                <w:color w:val="000000" w:themeColor="text1"/>
                <w:szCs w:val="21"/>
                <w:highlight w:val="none"/>
                <w14:textFill>
                  <w14:solidFill>
                    <w14:schemeClr w14:val="tx1"/>
                  </w14:solidFill>
                </w14:textFill>
              </w:rPr>
              <w:t>；</w:t>
            </w:r>
          </w:p>
          <w:p w14:paraId="6981FC28">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④中标金额在</w:t>
            </w:r>
            <w:r>
              <w:rPr>
                <w:color w:val="000000" w:themeColor="text1"/>
                <w:szCs w:val="21"/>
                <w:highlight w:val="none"/>
                <w14:textFill>
                  <w14:solidFill>
                    <w14:schemeClr w14:val="tx1"/>
                  </w14:solidFill>
                </w14:textFill>
              </w:rPr>
              <w:t>1000-5000</w:t>
            </w:r>
            <w:r>
              <w:rPr>
                <w:rFonts w:hint="eastAsia"/>
                <w:color w:val="000000" w:themeColor="text1"/>
                <w:szCs w:val="21"/>
                <w:highlight w:val="none"/>
                <w14:textFill>
                  <w14:solidFill>
                    <w14:schemeClr w14:val="tx1"/>
                  </w14:solidFill>
                </w14:textFill>
              </w:rPr>
              <w:t>万元之间：</w:t>
            </w:r>
          </w:p>
          <w:p w14:paraId="304EBCD9">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货物</w:t>
            </w:r>
            <w:r>
              <w:rPr>
                <w:color w:val="000000" w:themeColor="text1"/>
                <w:szCs w:val="21"/>
                <w:highlight w:val="none"/>
                <w14:textFill>
                  <w14:solidFill>
                    <w14:schemeClr w14:val="tx1"/>
                  </w14:solidFill>
                </w14:textFill>
              </w:rPr>
              <w:t>0.5％</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服务招标0.25％</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工程招标0.35％</w:t>
            </w:r>
            <w:r>
              <w:rPr>
                <w:rFonts w:hint="eastAsia"/>
                <w:color w:val="000000" w:themeColor="text1"/>
                <w:szCs w:val="21"/>
                <w:highlight w:val="none"/>
                <w14:textFill>
                  <w14:solidFill>
                    <w14:schemeClr w14:val="tx1"/>
                  </w14:solidFill>
                </w14:textFill>
              </w:rPr>
              <w:t>；</w:t>
            </w:r>
          </w:p>
          <w:p w14:paraId="20348181">
            <w:pPr>
              <w:spacing w:line="30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p w14:paraId="21743375">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差额定率累进</w:t>
            </w:r>
            <w:r>
              <w:rPr>
                <w:rFonts w:hint="eastAsia"/>
                <w:color w:val="000000" w:themeColor="text1"/>
                <w:szCs w:val="21"/>
                <w:highlight w:val="none"/>
                <w14:textFill>
                  <w14:solidFill>
                    <w14:schemeClr w14:val="tx1"/>
                  </w14:solidFill>
                </w14:textFill>
              </w:rPr>
              <w:t>法</w:t>
            </w:r>
            <w:r>
              <w:rPr>
                <w:color w:val="000000" w:themeColor="text1"/>
                <w:szCs w:val="21"/>
                <w:highlight w:val="none"/>
                <w14:textFill>
                  <w14:solidFill>
                    <w14:schemeClr w14:val="tx1"/>
                  </w14:solidFill>
                </w14:textFill>
              </w:rPr>
              <w:t>计算</w:t>
            </w:r>
            <w:r>
              <w:rPr>
                <w:rFonts w:hint="eastAsia"/>
                <w:color w:val="000000" w:themeColor="text1"/>
                <w:szCs w:val="21"/>
                <w:highlight w:val="none"/>
                <w14:textFill>
                  <w14:solidFill>
                    <w14:schemeClr w14:val="tx1"/>
                  </w14:solidFill>
                </w14:textFill>
              </w:rPr>
              <w:t>过程示例：</w:t>
            </w:r>
          </w:p>
          <w:p w14:paraId="61C8ED80">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例如：某货物招标代理业务</w:t>
            </w:r>
            <w:r>
              <w:rPr>
                <w:rFonts w:hint="eastAsia"/>
                <w:color w:val="000000" w:themeColor="text1"/>
                <w:szCs w:val="21"/>
                <w:highlight w:val="none"/>
                <w14:textFill>
                  <w14:solidFill>
                    <w14:schemeClr w14:val="tx1"/>
                  </w14:solidFill>
                </w14:textFill>
              </w:rPr>
              <w:t>中标</w:t>
            </w:r>
            <w:r>
              <w:rPr>
                <w:color w:val="000000" w:themeColor="text1"/>
                <w:szCs w:val="21"/>
                <w:highlight w:val="none"/>
                <w14:textFill>
                  <w14:solidFill>
                    <w14:schemeClr w14:val="tx1"/>
                  </w14:solidFill>
                </w14:textFill>
              </w:rPr>
              <w:t>金额为300万元，招标代理服务费金额按如下计算：</w:t>
            </w:r>
          </w:p>
          <w:p w14:paraId="0D82F9AC">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100万元×1.5%＝1.5万元</w:t>
            </w:r>
          </w:p>
          <w:p w14:paraId="24E6C04C">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（300－100）万元×1.1%＝2.2万元</w:t>
            </w:r>
          </w:p>
          <w:p w14:paraId="09EAC58F">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合计收费＝</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1.5＋2.2</w:t>
            </w:r>
            <w:r>
              <w:rPr>
                <w:rFonts w:hint="eastAsia"/>
                <w:color w:val="000000" w:themeColor="text1"/>
                <w:szCs w:val="21"/>
                <w:highlight w:val="none"/>
                <w14:textFill>
                  <w14:solidFill>
                    <w14:schemeClr w14:val="tx1"/>
                  </w14:solidFill>
                </w14:textFill>
              </w:rPr>
              <w:t>）*65%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2.405</w:t>
            </w:r>
            <w:r>
              <w:rPr>
                <w:color w:val="000000" w:themeColor="text1"/>
                <w:szCs w:val="21"/>
                <w:highlight w:val="none"/>
                <w14:textFill>
                  <w14:solidFill>
                    <w14:schemeClr w14:val="tx1"/>
                  </w14:solidFill>
                </w14:textFill>
              </w:rPr>
              <w:t>万元</w:t>
            </w:r>
          </w:p>
          <w:p w14:paraId="62DC0FCD">
            <w:pPr>
              <w:spacing w:line="300" w:lineRule="exact"/>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sym w:font="Wingdings 2" w:char="F0A3"/>
            </w:r>
            <w:r>
              <w:rPr>
                <w:color w:val="000000" w:themeColor="text1"/>
                <w:szCs w:val="21"/>
                <w:highlight w:val="none"/>
                <w14:textFill>
                  <w14:solidFill>
                    <w14:schemeClr w14:val="tx1"/>
                  </w14:solidFill>
                </w14:textFill>
              </w:rPr>
              <w:t>采购代理机构</w:t>
            </w:r>
            <w:r>
              <w:rPr>
                <w:color w:val="000000" w:themeColor="text1"/>
                <w:szCs w:val="20"/>
                <w:highlight w:val="none"/>
                <w14:textFill>
                  <w14:solidFill>
                    <w14:schemeClr w14:val="tx1"/>
                  </w14:solidFill>
                </w14:textFill>
              </w:rPr>
              <w:t>向中标人收取代理服务费</w:t>
            </w:r>
            <w:r>
              <w:rPr>
                <w:rFonts w:hint="eastAsia"/>
                <w:color w:val="000000" w:themeColor="text1"/>
                <w:szCs w:val="20"/>
                <w:highlight w:val="none"/>
                <w14:textFill>
                  <w14:solidFill>
                    <w14:schemeClr w14:val="tx1"/>
                  </w14:solidFill>
                </w14:textFill>
              </w:rPr>
              <w:t>，</w:t>
            </w:r>
            <w:r>
              <w:rPr>
                <w:color w:val="000000" w:themeColor="text1"/>
                <w:szCs w:val="20"/>
                <w:highlight w:val="none"/>
                <w14:textFill>
                  <w14:solidFill>
                    <w14:schemeClr w14:val="tx1"/>
                  </w14:solidFill>
                </w14:textFill>
              </w:rPr>
              <w:t>具体金额为</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w:t>
            </w:r>
          </w:p>
          <w:p w14:paraId="342FC285">
            <w:pPr>
              <w:spacing w:line="30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（2）中标人在中标通知书发出前以银行转账或现金形式支付代理服务费。</w:t>
            </w:r>
          </w:p>
          <w:p w14:paraId="03FDA621">
            <w:pPr>
              <w:spacing w:line="300" w:lineRule="exact"/>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开户银行：广西北部湾银行南宁市金湖支行</w:t>
            </w:r>
          </w:p>
          <w:p w14:paraId="4942F000">
            <w:pPr>
              <w:spacing w:line="300" w:lineRule="exact"/>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（银行地址：南宁市金湖路57号文德大厦1楼）</w:t>
            </w:r>
          </w:p>
          <w:p w14:paraId="78453CC3">
            <w:pPr>
              <w:spacing w:line="300" w:lineRule="exact"/>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开户名称：广西机电设备招标有限公司</w:t>
            </w:r>
          </w:p>
          <w:p w14:paraId="01763E6E">
            <w:pPr>
              <w:spacing w:line="300" w:lineRule="exact"/>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银行账号：1705012090027723 (联行号 313611017053)</w:t>
            </w:r>
          </w:p>
          <w:p w14:paraId="1EC5C802">
            <w:pPr>
              <w:spacing w:line="300" w:lineRule="exact"/>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财务联系人：吴茜（电话：0771-2821398）</w:t>
            </w:r>
          </w:p>
        </w:tc>
      </w:tr>
      <w:tr w14:paraId="01471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00F04CDD">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9.3</w:t>
            </w:r>
          </w:p>
        </w:tc>
        <w:tc>
          <w:tcPr>
            <w:tcW w:w="1248" w:type="dxa"/>
            <w:tcBorders>
              <w:top w:val="single" w:color="auto" w:sz="4" w:space="0"/>
              <w:left w:val="single" w:color="auto" w:sz="4" w:space="0"/>
              <w:bottom w:val="single" w:color="auto" w:sz="4" w:space="0"/>
              <w:right w:val="single" w:color="auto" w:sz="4" w:space="0"/>
            </w:tcBorders>
            <w:vAlign w:val="center"/>
          </w:tcPr>
          <w:p w14:paraId="4173E94E">
            <w:pPr>
              <w:spacing w:line="300" w:lineRule="exact"/>
              <w:jc w:val="center"/>
              <w:rPr>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3D3B042B">
            <w:pPr>
              <w:spacing w:line="276" w:lineRule="auto"/>
              <w:rPr>
                <w:color w:val="000000" w:themeColor="text1"/>
                <w:szCs w:val="21"/>
                <w:highlight w:val="none"/>
                <w14:textFill>
                  <w14:solidFill>
                    <w14:schemeClr w14:val="tx1"/>
                  </w14:solidFill>
                </w14:textFill>
              </w:rPr>
            </w:pPr>
            <w:r>
              <w:rPr>
                <w:color w:val="000000" w:themeColor="text1"/>
                <w:sz w:val="22"/>
                <w:szCs w:val="22"/>
                <w:highlight w:val="none"/>
                <w14:textFill>
                  <w14:solidFill>
                    <w14:schemeClr w14:val="tx1"/>
                  </w14:solidFill>
                </w14:textFill>
              </w:rPr>
              <w:sym w:font="Wingdings 2" w:char="F052"/>
            </w:r>
            <w:r>
              <w:rPr>
                <w:rFonts w:hint="eastAsia"/>
                <w:color w:val="000000" w:themeColor="text1"/>
                <w:szCs w:val="21"/>
                <w:highlight w:val="none"/>
                <w14:textFill>
                  <w14:solidFill>
                    <w14:schemeClr w14:val="tx1"/>
                  </w14:solidFill>
                </w14:textFill>
              </w:rPr>
              <w:t>无</w:t>
            </w:r>
          </w:p>
          <w:p w14:paraId="08468CAB">
            <w:pPr>
              <w:spacing w:line="276" w:lineRule="auto"/>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□有，详见：</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p>
        </w:tc>
      </w:tr>
      <w:tr w14:paraId="68EEE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7A4B8941">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9.3</w:t>
            </w:r>
          </w:p>
        </w:tc>
        <w:tc>
          <w:tcPr>
            <w:tcW w:w="1248" w:type="dxa"/>
            <w:tcBorders>
              <w:top w:val="single" w:color="auto" w:sz="4" w:space="0"/>
              <w:left w:val="single" w:color="auto" w:sz="4" w:space="0"/>
              <w:bottom w:val="single" w:color="auto" w:sz="4" w:space="0"/>
              <w:right w:val="single" w:color="auto" w:sz="4" w:space="0"/>
            </w:tcBorders>
            <w:vAlign w:val="center"/>
          </w:tcPr>
          <w:p w14:paraId="469BDB59">
            <w:pPr>
              <w:spacing w:line="300" w:lineRule="exact"/>
              <w:jc w:val="center"/>
              <w:rPr>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7954624F">
            <w:pPr>
              <w:spacing w:line="276" w:lineRule="auto"/>
              <w:rPr>
                <w:color w:val="000000" w:themeColor="text1"/>
                <w:szCs w:val="21"/>
                <w:highlight w:val="none"/>
                <w14:textFill>
                  <w14:solidFill>
                    <w14:schemeClr w14:val="tx1"/>
                  </w14:solidFill>
                </w14:textFill>
              </w:rPr>
            </w:pPr>
            <w:r>
              <w:rPr>
                <w:color w:val="000000" w:themeColor="text1"/>
                <w:sz w:val="22"/>
                <w:szCs w:val="22"/>
                <w:highlight w:val="none"/>
                <w14:textFill>
                  <w14:solidFill>
                    <w14:schemeClr w14:val="tx1"/>
                  </w14:solidFill>
                </w14:textFill>
              </w:rPr>
              <w:sym w:font="Wingdings 2" w:char="F052"/>
            </w:r>
            <w:r>
              <w:rPr>
                <w:rFonts w:hint="eastAsia"/>
                <w:color w:val="000000" w:themeColor="text1"/>
                <w:szCs w:val="21"/>
                <w:highlight w:val="none"/>
                <w14:textFill>
                  <w14:solidFill>
                    <w14:schemeClr w14:val="tx1"/>
                  </w14:solidFill>
                </w14:textFill>
              </w:rPr>
              <w:t>无</w:t>
            </w:r>
          </w:p>
          <w:p w14:paraId="1BB09066">
            <w:pPr>
              <w:spacing w:line="276" w:lineRule="auto"/>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□有，详见：</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p>
        </w:tc>
      </w:tr>
      <w:tr w14:paraId="548FB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276D7317">
            <w:pPr>
              <w:spacing w:line="30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9.4</w:t>
            </w:r>
          </w:p>
        </w:tc>
        <w:tc>
          <w:tcPr>
            <w:tcW w:w="1248" w:type="dxa"/>
            <w:tcBorders>
              <w:top w:val="single" w:color="auto" w:sz="4" w:space="0"/>
              <w:left w:val="single" w:color="auto" w:sz="4" w:space="0"/>
              <w:bottom w:val="single" w:color="auto" w:sz="4" w:space="0"/>
              <w:right w:val="single" w:color="auto" w:sz="4" w:space="0"/>
            </w:tcBorders>
            <w:vAlign w:val="center"/>
          </w:tcPr>
          <w:p w14:paraId="794C3B11">
            <w:pPr>
              <w:spacing w:line="300" w:lineRule="exact"/>
              <w:jc w:val="center"/>
              <w:rPr>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50CB42F7">
            <w:pPr>
              <w:spacing w:line="276"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构成本招标文件的各个组成文件应互为解释，互为说明：</w:t>
            </w:r>
          </w:p>
          <w:p w14:paraId="7278EFDF">
            <w:pPr>
              <w:spacing w:line="300" w:lineRule="exact"/>
              <w:rPr>
                <w:color w:val="000000" w:themeColor="text1"/>
                <w:sz w:val="24"/>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338D3B5D">
      <w:pPr>
        <w:spacing w:before="120" w:line="320" w:lineRule="atLeast"/>
        <w:outlineLvl w:val="1"/>
        <w:rPr>
          <w:bCs/>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p>
    <w:p w14:paraId="52FF463C">
      <w:pPr>
        <w:spacing w:before="120" w:line="320" w:lineRule="atLeast"/>
        <w:outlineLvl w:val="1"/>
        <w:rPr>
          <w:b/>
          <w:color w:val="000000" w:themeColor="text1"/>
          <w:kern w:val="0"/>
          <w:szCs w:val="21"/>
          <w:highlight w:val="none"/>
          <w14:textFill>
            <w14:solidFill>
              <w14:schemeClr w14:val="tx1"/>
            </w14:solidFill>
          </w14:textFill>
        </w:rPr>
      </w:pPr>
      <w:bookmarkStart w:id="74" w:name="_Toc254970690"/>
      <w:bookmarkStart w:id="75" w:name="_Toc254970549"/>
      <w:r>
        <w:rPr>
          <w:color w:val="000000" w:themeColor="text1"/>
          <w:sz w:val="32"/>
          <w:szCs w:val="32"/>
          <w:highlight w:val="none"/>
          <w14:textFill>
            <w14:solidFill>
              <w14:schemeClr w14:val="tx1"/>
            </w14:solidFill>
          </w14:textFill>
        </w:rPr>
        <w:tab/>
      </w:r>
      <w:bookmarkStart w:id="76" w:name="_Hlk88949215"/>
      <w:r>
        <w:rPr>
          <w:b/>
          <w:color w:val="000000" w:themeColor="text1"/>
          <w:kern w:val="0"/>
          <w:szCs w:val="21"/>
          <w:highlight w:val="none"/>
          <w14:textFill>
            <w14:solidFill>
              <w14:schemeClr w14:val="tx1"/>
            </w14:solidFill>
          </w14:textFill>
        </w:rPr>
        <w:t>1</w:t>
      </w:r>
      <w:r>
        <w:rPr>
          <w:rFonts w:hint="eastAsia"/>
          <w:b/>
          <w:color w:val="000000" w:themeColor="text1"/>
          <w:kern w:val="0"/>
          <w:szCs w:val="21"/>
          <w:highlight w:val="none"/>
          <w14:textFill>
            <w14:solidFill>
              <w14:schemeClr w14:val="tx1"/>
            </w14:solidFill>
          </w14:textFill>
        </w:rPr>
        <w:t>．总则</w:t>
      </w:r>
    </w:p>
    <w:p w14:paraId="5BFF756A">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1.1</w:t>
      </w:r>
      <w:r>
        <w:rPr>
          <w:rFonts w:hint="eastAsia"/>
          <w:b/>
          <w:color w:val="000000" w:themeColor="text1"/>
          <w:kern w:val="0"/>
          <w:szCs w:val="21"/>
          <w:highlight w:val="none"/>
          <w14:textFill>
            <w14:solidFill>
              <w14:schemeClr w14:val="tx1"/>
            </w14:solidFill>
          </w14:textFill>
        </w:rPr>
        <w:t>适用范围</w:t>
      </w:r>
    </w:p>
    <w:p w14:paraId="18218943">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本招标文件适用于投标人须知前附表所述项目的政府采购活动。</w:t>
      </w:r>
    </w:p>
    <w:p w14:paraId="47026457">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1.2</w:t>
      </w:r>
      <w:r>
        <w:rPr>
          <w:rFonts w:hint="eastAsia"/>
          <w:b/>
          <w:color w:val="000000" w:themeColor="text1"/>
          <w:kern w:val="0"/>
          <w:szCs w:val="21"/>
          <w:highlight w:val="none"/>
          <w14:textFill>
            <w14:solidFill>
              <w14:schemeClr w14:val="tx1"/>
            </w14:solidFill>
          </w14:textFill>
        </w:rPr>
        <w:t>定义</w:t>
      </w:r>
    </w:p>
    <w:p w14:paraId="6826EE79">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“采购人”系指依法进行政府采购的国家机关、事业单位、团体组织。</w:t>
      </w:r>
    </w:p>
    <w:p w14:paraId="26FE71EB">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1.2.2“供应商”系指向采购人提供货物、工程或者服务的法人、其他组织或者自然人。</w:t>
      </w:r>
    </w:p>
    <w:p w14:paraId="6DF47DCF">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w:t>
      </w:r>
      <w:r>
        <w:rPr>
          <w:rFonts w:hint="eastAsia"/>
          <w:color w:val="000000" w:themeColor="text1"/>
          <w:szCs w:val="21"/>
          <w:highlight w:val="none"/>
          <w14:textFill>
            <w14:solidFill>
              <w14:schemeClr w14:val="tx1"/>
            </w14:solidFill>
          </w14:textFill>
        </w:rPr>
        <w:t>3“投标人”系</w:t>
      </w:r>
      <w:r>
        <w:rPr>
          <w:rFonts w:hint="eastAsia"/>
          <w:color w:val="000000" w:themeColor="text1"/>
          <w:highlight w:val="none"/>
          <w14:textFill>
            <w14:solidFill>
              <w14:schemeClr w14:val="tx1"/>
            </w14:solidFill>
          </w14:textFill>
        </w:rPr>
        <w:t>指响应招标、参加投标竞争的法人、其他组织或者自然人</w:t>
      </w:r>
      <w:r>
        <w:rPr>
          <w:rFonts w:hint="eastAsia"/>
          <w:color w:val="000000" w:themeColor="text1"/>
          <w:szCs w:val="21"/>
          <w:highlight w:val="none"/>
          <w14:textFill>
            <w14:solidFill>
              <w14:schemeClr w14:val="tx1"/>
            </w14:solidFill>
          </w14:textFill>
        </w:rPr>
        <w:t>。</w:t>
      </w:r>
    </w:p>
    <w:p w14:paraId="1D522B70">
      <w:pPr>
        <w:spacing w:before="120"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6431704E">
      <w:pPr>
        <w:spacing w:before="120"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1.2.5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5CA4F69E">
      <w:pPr>
        <w:widowControl/>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 xml:space="preserve">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03BBD291">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w:t>
      </w:r>
      <w:r>
        <w:rPr>
          <w:rFonts w:hint="eastAsia"/>
          <w:color w:val="000000" w:themeColor="text1"/>
          <w:szCs w:val="21"/>
          <w:highlight w:val="none"/>
          <w14:textFill>
            <w14:solidFill>
              <w14:schemeClr w14:val="tx1"/>
            </w14:solidFill>
          </w14:textFill>
        </w:rPr>
        <w:t>7本项目的技术商务要求重要性分为“▲”、“</w:t>
      </w:r>
      <w:r>
        <w:rPr>
          <w:rFonts w:hint="eastAsia" w:ascii="宋体" w:hAnsi="宋体" w:cs="宋体"/>
          <w:color w:val="000000" w:themeColor="text1"/>
          <w:kern w:val="0"/>
          <w:sz w:val="20"/>
          <w:szCs w:val="20"/>
          <w:highlight w:val="none"/>
          <w:lang w:bidi="ar"/>
          <w14:textFill>
            <w14:solidFill>
              <w14:schemeClr w14:val="tx1"/>
            </w14:solidFill>
          </w14:textFill>
        </w:rPr>
        <w:t>●</w:t>
      </w:r>
      <w:r>
        <w:rPr>
          <w:rFonts w:hint="eastAsia"/>
          <w:color w:val="000000" w:themeColor="text1"/>
          <w:szCs w:val="21"/>
          <w:highlight w:val="none"/>
          <w14:textFill>
            <w14:solidFill>
              <w14:schemeClr w14:val="tx1"/>
            </w14:solidFill>
          </w14:textFill>
        </w:rPr>
        <w:t>”和一般无标识指标。▲代表实质性要求指标，</w:t>
      </w:r>
      <w:r>
        <w:rPr>
          <w:rFonts w:hint="eastAsia"/>
          <w:b/>
          <w:color w:val="000000" w:themeColor="text1"/>
          <w:szCs w:val="21"/>
          <w:highlight w:val="none"/>
          <w14:textFill>
            <w14:solidFill>
              <w14:schemeClr w14:val="tx1"/>
            </w14:solidFill>
          </w14:textFill>
        </w:rPr>
        <w:t>不满足该指标项将导致投标被否决</w:t>
      </w:r>
      <w:r>
        <w:rPr>
          <w:rFonts w:hint="eastAsia"/>
          <w:color w:val="000000" w:themeColor="text1"/>
          <w:szCs w:val="21"/>
          <w:highlight w:val="none"/>
          <w14:textFill>
            <w14:solidFill>
              <w14:schemeClr w14:val="tx1"/>
            </w14:solidFill>
          </w14:textFill>
        </w:rPr>
        <w:t>，标注“●”的条款作为加分项评标依据，无标识则表示一般指标项。</w:t>
      </w:r>
    </w:p>
    <w:p w14:paraId="27C9EAAB">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w:t>
      </w:r>
      <w:r>
        <w:rPr>
          <w:rFonts w:hint="eastAsia"/>
          <w:color w:val="000000" w:themeColor="text1"/>
          <w:szCs w:val="21"/>
          <w:highlight w:val="none"/>
          <w14:textFill>
            <w14:solidFill>
              <w14:schemeClr w14:val="tx1"/>
            </w14:solidFill>
          </w14:textFill>
        </w:rPr>
        <w:t>8 本招标文件出现多种选项的条款，以“</w:t>
      </w:r>
      <w:r>
        <w:rPr>
          <w:color w:val="000000" w:themeColor="text1"/>
          <w:highlight w:val="none"/>
          <w14:textFill>
            <w14:solidFill>
              <w14:schemeClr w14:val="tx1"/>
            </w14:solidFill>
          </w14:textFill>
        </w:rPr>
        <w:sym w:font="Wingdings 2" w:char="0052"/>
      </w:r>
      <w:r>
        <w:rPr>
          <w:rFonts w:hint="eastAsia"/>
          <w:color w:val="000000" w:themeColor="text1"/>
          <w:szCs w:val="21"/>
          <w:highlight w:val="none"/>
          <w14:textFill>
            <w14:solidFill>
              <w14:schemeClr w14:val="tx1"/>
            </w14:solidFill>
          </w14:textFill>
        </w:rPr>
        <w:t>”表示本条款所选择的方式。</w:t>
      </w:r>
    </w:p>
    <w:p w14:paraId="4BD0A8F9">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电子交易平台</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是指以数据电文形式在线完成采购活动的信息平台，本招标文件中也称</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广西政府采购云平台</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w:t>
      </w:r>
    </w:p>
    <w:p w14:paraId="64FCA890">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rFonts w:hint="eastAsia"/>
          <w:b/>
          <w:color w:val="000000" w:themeColor="text1"/>
          <w:kern w:val="0"/>
          <w:szCs w:val="21"/>
          <w:highlight w:val="none"/>
          <w14:textFill>
            <w14:solidFill>
              <w14:schemeClr w14:val="tx1"/>
            </w14:solidFill>
          </w14:textFill>
        </w:rPr>
        <w:t>1</w:t>
      </w:r>
      <w:r>
        <w:rPr>
          <w:b/>
          <w:color w:val="000000" w:themeColor="text1"/>
          <w:kern w:val="0"/>
          <w:szCs w:val="21"/>
          <w:highlight w:val="none"/>
          <w14:textFill>
            <w14:solidFill>
              <w14:schemeClr w14:val="tx1"/>
            </w14:solidFill>
          </w14:textFill>
        </w:rPr>
        <w:t>.3</w:t>
      </w:r>
      <w:r>
        <w:rPr>
          <w:rFonts w:hint="eastAsia"/>
          <w:b/>
          <w:color w:val="000000" w:themeColor="text1"/>
          <w:kern w:val="0"/>
          <w:szCs w:val="21"/>
          <w:highlight w:val="none"/>
          <w14:textFill>
            <w14:solidFill>
              <w14:schemeClr w14:val="tx1"/>
            </w14:solidFill>
          </w14:textFill>
        </w:rPr>
        <w:t>项目信息</w:t>
      </w:r>
    </w:p>
    <w:p w14:paraId="384BF61C">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.3.1</w:t>
      </w:r>
      <w:r>
        <w:rPr>
          <w:rFonts w:hint="eastAsia"/>
          <w:color w:val="000000" w:themeColor="text1"/>
          <w:szCs w:val="21"/>
          <w:highlight w:val="none"/>
          <w14:textFill>
            <w14:solidFill>
              <w14:schemeClr w14:val="tx1"/>
            </w14:solidFill>
          </w14:textFill>
        </w:rPr>
        <w:t>项目名称及编号：详见投标人须知前附表</w:t>
      </w:r>
    </w:p>
    <w:p w14:paraId="755BA0E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.3.2</w:t>
      </w:r>
      <w:r>
        <w:rPr>
          <w:rFonts w:hint="eastAsia"/>
          <w:color w:val="000000" w:themeColor="text1"/>
          <w:szCs w:val="21"/>
          <w:highlight w:val="none"/>
          <w14:textFill>
            <w14:solidFill>
              <w14:schemeClr w14:val="tx1"/>
            </w14:solidFill>
          </w14:textFill>
        </w:rPr>
        <w:t>采购方式：详见投标人须知前附表</w:t>
      </w:r>
    </w:p>
    <w:p w14:paraId="17F13835">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bookmarkStart w:id="77" w:name="_Hlk132812137"/>
      <w:r>
        <w:rPr>
          <w:rFonts w:hint="eastAsia"/>
          <w:b/>
          <w:color w:val="000000" w:themeColor="text1"/>
          <w:kern w:val="0"/>
          <w:szCs w:val="21"/>
          <w:highlight w:val="none"/>
          <w14:textFill>
            <w14:solidFill>
              <w14:schemeClr w14:val="tx1"/>
            </w14:solidFill>
          </w14:textFill>
        </w:rPr>
        <w:t>1</w:t>
      </w:r>
      <w:r>
        <w:rPr>
          <w:b/>
          <w:color w:val="000000" w:themeColor="text1"/>
          <w:kern w:val="0"/>
          <w:szCs w:val="21"/>
          <w:highlight w:val="none"/>
          <w14:textFill>
            <w14:solidFill>
              <w14:schemeClr w14:val="tx1"/>
            </w14:solidFill>
          </w14:textFill>
        </w:rPr>
        <w:t>.4</w:t>
      </w:r>
      <w:r>
        <w:rPr>
          <w:rFonts w:hint="eastAsia"/>
          <w:b/>
          <w:color w:val="000000" w:themeColor="text1"/>
          <w:kern w:val="0"/>
          <w:szCs w:val="21"/>
          <w:highlight w:val="none"/>
          <w14:textFill>
            <w14:solidFill>
              <w14:schemeClr w14:val="tx1"/>
            </w14:solidFill>
          </w14:textFill>
        </w:rPr>
        <w:t>促进中小企业发展政策</w:t>
      </w:r>
    </w:p>
    <w:p w14:paraId="1208C52A">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1.4.1</w:t>
      </w:r>
      <w:r>
        <w:rPr>
          <w:rFonts w:hint="eastAsia"/>
          <w:color w:val="000000" w:themeColor="text1"/>
          <w:szCs w:val="21"/>
          <w:highlight w:val="none"/>
          <w14:textFill>
            <w14:solidFill>
              <w14:schemeClr w14:val="tx1"/>
            </w14:solidFill>
          </w14:textFill>
        </w:rPr>
        <w:t>本项目落实促进中小企业发展政策措施在前附表规定。依据促进中小企业发展政策获得政府采购合同的，小微企业不得将合同分包给大中型企业，中型企业不得将合同分包给大型企业。</w:t>
      </w:r>
    </w:p>
    <w:p w14:paraId="5B6327D2">
      <w:pPr>
        <w:spacing w:before="120" w:line="320" w:lineRule="atLeast"/>
        <w:ind w:left="2" w:leftChars="1" w:firstLine="420" w:firstLineChars="200"/>
        <w:rPr>
          <w:color w:val="000000" w:themeColor="text1"/>
          <w:szCs w:val="21"/>
          <w:highlight w:val="none"/>
          <w14:textFill>
            <w14:solidFill>
              <w14:schemeClr w14:val="tx1"/>
            </w14:solidFill>
          </w14:textFill>
        </w:rPr>
      </w:pPr>
      <w:bookmarkStart w:id="78" w:name="_Hlk138842976"/>
      <w:r>
        <w:rPr>
          <w:rFonts w:hint="eastAsia"/>
          <w:color w:val="000000" w:themeColor="text1"/>
          <w:szCs w:val="21"/>
          <w:highlight w:val="none"/>
          <w14:textFill>
            <w14:solidFill>
              <w14:schemeClr w14:val="tx1"/>
            </w14:solidFill>
          </w14:textFill>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78"/>
      <w:r>
        <w:rPr>
          <w:rFonts w:hint="eastAsia"/>
          <w:color w:val="000000" w:themeColor="text1"/>
          <w:szCs w:val="21"/>
          <w:highlight w:val="none"/>
          <w14:textFill>
            <w14:solidFill>
              <w14:schemeClr w14:val="tx1"/>
            </w14:solidFill>
          </w14:textFill>
        </w:rPr>
        <w:t>价格扣除比例在第四章评审方法及标准中规定，对小型企业和微型企业同等对待，不作区分。</w:t>
      </w:r>
    </w:p>
    <w:p w14:paraId="066637AE">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1.4.2</w:t>
      </w:r>
      <w:r>
        <w:rPr>
          <w:rFonts w:hint="eastAsia"/>
          <w:color w:val="000000" w:themeColor="text1"/>
          <w:szCs w:val="21"/>
          <w:highlight w:val="none"/>
          <w14:textFill>
            <w14:solidFill>
              <w14:schemeClr w14:val="tx1"/>
            </w14:solidFill>
          </w14:textFill>
        </w:rPr>
        <w:t>中小企业定义</w:t>
      </w:r>
    </w:p>
    <w:p w14:paraId="4C0D16F3">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1.4.2.1</w:t>
      </w:r>
      <w:r>
        <w:rPr>
          <w:rFonts w:hint="eastAsia"/>
          <w:color w:val="000000" w:themeColor="text1"/>
          <w:szCs w:val="21"/>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0DAE124">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1.4.2.2</w:t>
      </w:r>
      <w:r>
        <w:rPr>
          <w:rFonts w:hint="eastAsia"/>
          <w:color w:val="000000" w:themeColor="text1"/>
          <w:szCs w:val="21"/>
          <w:highlight w:val="none"/>
          <w14:textFill>
            <w14:solidFill>
              <w14:schemeClr w14:val="tx1"/>
            </w14:solidFill>
          </w14:textFill>
        </w:rPr>
        <w:t>供应商提供的货物、工程或者服务符合下列情形的，享受本款规定的促进中小企业发展政策：</w:t>
      </w:r>
    </w:p>
    <w:p w14:paraId="55E78EBB">
      <w:pPr>
        <w:spacing w:before="120" w:line="320" w:lineRule="atLeast"/>
        <w:ind w:left="2" w:leftChars="1"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在货物采购项目中，货物由中小企业制造，即货物由中小企业生产且使用该中小企业商号或者注册商标；</w:t>
      </w:r>
    </w:p>
    <w:p w14:paraId="692DC8D9">
      <w:pPr>
        <w:spacing w:before="120" w:line="320" w:lineRule="atLeast"/>
        <w:ind w:left="2" w:leftChars="1"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在工程采购项目中，工程由中小企业承建，即工程施工单位为中小企业；</w:t>
      </w:r>
    </w:p>
    <w:p w14:paraId="33A5474A">
      <w:pPr>
        <w:spacing w:before="120" w:line="320" w:lineRule="atLeast"/>
        <w:ind w:left="2" w:leftChars="1"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在服务采购项目中，服务由中小企业承接，即提供服务的人员为中小企业依照《中华人民共和国劳动合同法》订立劳动合同的从业人员。</w:t>
      </w:r>
    </w:p>
    <w:p w14:paraId="39693B9F">
      <w:pPr>
        <w:spacing w:before="120" w:line="320" w:lineRule="atLeast"/>
        <w:ind w:left="2" w:leftChars="1"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在货物采购项目中，供应商提供的货物既有中小企业制造货物，也有大型企业制造货物的，不享受本款规定的促进中小企业发展政策。</w:t>
      </w:r>
    </w:p>
    <w:p w14:paraId="1800290F">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1.4.2</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本项目标的所属行业在第二章采购需求中规定。供应商根据中小企业划分标准（《关于印发中小企业划型标准规定的通知》（工信部联企业〔2011〕300号）判断是否为中小企业。（见附件）</w:t>
      </w:r>
    </w:p>
    <w:p w14:paraId="3837ADB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符合条件的货物制造商、工程施工单位、服务承接单位为中小企业的，应按招标文件规定在投标文件中提供声明函。</w:t>
      </w:r>
    </w:p>
    <w:p w14:paraId="1141C2B1">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视同中小企业情形</w:t>
      </w:r>
    </w:p>
    <w:p w14:paraId="6CF03E3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（1）符合中小企业划分标准的个体工商户，视同中小企业。</w:t>
      </w:r>
    </w:p>
    <w:p w14:paraId="6DCC98F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（2）以联合体形式参加政府采购活动，联合体各方均为中小企业的，联合体视同中小企业。其中，联合体各方均为小微企业的，联合体视同小微企业。</w:t>
      </w:r>
    </w:p>
    <w:p w14:paraId="1F7C2A0B">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8170F7F">
      <w:pPr>
        <w:spacing w:before="120" w:line="320" w:lineRule="atLeast"/>
        <w:ind w:left="2" w:leftChars="1"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符合条件的货物制造商、工程施工单位、服务承接单位为监狱企业或残疾人福利性单位的，应按招标文件规定在投标文件中提供相关证明文件。</w:t>
      </w:r>
    </w:p>
    <w:bookmarkEnd w:id="77"/>
    <w:p w14:paraId="0686BEDC">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1.5</w:t>
      </w:r>
      <w:r>
        <w:rPr>
          <w:rFonts w:hint="eastAsia"/>
          <w:b/>
          <w:color w:val="000000" w:themeColor="text1"/>
          <w:kern w:val="0"/>
          <w:szCs w:val="21"/>
          <w:highlight w:val="none"/>
          <w14:textFill>
            <w14:solidFill>
              <w14:schemeClr w14:val="tx1"/>
            </w14:solidFill>
          </w14:textFill>
        </w:rPr>
        <w:t>投标人资格要求</w:t>
      </w:r>
    </w:p>
    <w:p w14:paraId="26F60954">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1.5.1</w:t>
      </w:r>
      <w:r>
        <w:rPr>
          <w:rFonts w:hint="eastAsia"/>
          <w:color w:val="000000" w:themeColor="text1"/>
          <w:szCs w:val="21"/>
          <w:highlight w:val="none"/>
          <w14:textFill>
            <w14:solidFill>
              <w14:schemeClr w14:val="tx1"/>
            </w14:solidFill>
          </w14:textFill>
        </w:rPr>
        <w:t>投标人资格要求：详见投标人须知前附表</w:t>
      </w:r>
    </w:p>
    <w:p w14:paraId="05785ED1">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1.5.2</w:t>
      </w:r>
      <w:r>
        <w:rPr>
          <w:rFonts w:hint="eastAsia"/>
          <w:color w:val="000000" w:themeColor="text1"/>
          <w:szCs w:val="21"/>
          <w:highlight w:val="none"/>
          <w14:textFill>
            <w14:solidFill>
              <w14:schemeClr w14:val="tx1"/>
            </w14:solidFill>
          </w14:textFill>
        </w:rPr>
        <w:t>按照招标公告的规定获得招标文件。</w:t>
      </w:r>
    </w:p>
    <w:p w14:paraId="2CEA47F9">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1.5.3</w:t>
      </w:r>
      <w:r>
        <w:rPr>
          <w:rFonts w:hint="eastAsia"/>
          <w:color w:val="000000" w:themeColor="text1"/>
          <w:szCs w:val="21"/>
          <w:highlight w:val="none"/>
          <w14:textFill>
            <w14:solidFill>
              <w14:schemeClr w14:val="tx1"/>
            </w14:solidFill>
          </w14:textFill>
        </w:rPr>
        <w:t>本项目是否接受联合体投标，见“投标人须知前附表”规定。</w:t>
      </w:r>
    </w:p>
    <w:p w14:paraId="1856ECDA">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如接受联合体投标，联合体投标要求如下： </w:t>
      </w:r>
    </w:p>
    <w:p w14:paraId="7C9C1482">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（1）供应商可以组成一个投标联合体，以一个供应商的身份共同参加投标。联合体投标的，须提供《联合体协议书》（格式后附）</w:t>
      </w:r>
    </w:p>
    <w:p w14:paraId="1A0DCC2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6F521E59">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7439BEF3">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（4）以联合体形式参加政府采购活动的，联合体各方不得再单独参加或者与其他供应商另外组成联合体参加同一合同项下的政府采购活动。</w:t>
      </w:r>
    </w:p>
    <w:p w14:paraId="785BEB2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（5）联合体中有同类资质的供应商按照联合体分工承担相同工作的，应当按照资质等级较低的供应商确定资质等级。</w:t>
      </w:r>
    </w:p>
    <w:p w14:paraId="0445F24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（6）联合体投标业绩、履约能力按照联合体各方其中较高的一方认定并计算（招标文件其他章节另有规定的除外）。</w:t>
      </w:r>
    </w:p>
    <w:p w14:paraId="1F19BA0C">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（7）供应商为联合体的，可以由联合体中的一方或者多方共同交纳投标保证金，其交纳的保证金对联合体各方均具有约束力。</w:t>
      </w:r>
    </w:p>
    <w:p w14:paraId="334CAE94">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（8）联合体各方均应按照招标文件的规定提交资格证明文件。</w:t>
      </w:r>
    </w:p>
    <w:p w14:paraId="3928C8EF">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1.6</w:t>
      </w:r>
      <w:r>
        <w:rPr>
          <w:rFonts w:hint="eastAsia"/>
          <w:b/>
          <w:color w:val="000000" w:themeColor="text1"/>
          <w:kern w:val="0"/>
          <w:szCs w:val="21"/>
          <w:highlight w:val="none"/>
          <w14:textFill>
            <w14:solidFill>
              <w14:schemeClr w14:val="tx1"/>
            </w14:solidFill>
          </w14:textFill>
        </w:rPr>
        <w:t>现场踏勘及投标费用</w:t>
      </w:r>
    </w:p>
    <w:p w14:paraId="5C2B9437">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1.6.1</w:t>
      </w:r>
      <w:r>
        <w:rPr>
          <w:rFonts w:hint="eastAsia"/>
          <w:color w:val="000000" w:themeColor="text1"/>
          <w:szCs w:val="21"/>
          <w:highlight w:val="none"/>
          <w14:textFill>
            <w14:solidFill>
              <w14:schemeClr w14:val="tx1"/>
            </w14:solidFill>
          </w14:textFill>
        </w:rPr>
        <w:t>前附表如规定现场踏勘的，供应商应按规定时间地点参加踏勘。</w:t>
      </w:r>
    </w:p>
    <w:p w14:paraId="292AB2B1">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1.6.2</w:t>
      </w:r>
      <w:r>
        <w:rPr>
          <w:rFonts w:hint="eastAsia"/>
          <w:color w:val="000000" w:themeColor="text1"/>
          <w:szCs w:val="21"/>
          <w:highlight w:val="none"/>
          <w14:textFill>
            <w14:solidFill>
              <w14:schemeClr w14:val="tx1"/>
            </w14:solidFill>
          </w14:textFill>
        </w:rPr>
        <w:t>供应商均应自行承担所有与投标有关的全部费用（招标文件有相关的规定除外）。</w:t>
      </w:r>
    </w:p>
    <w:p w14:paraId="66684C5E">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1.7</w:t>
      </w:r>
      <w:r>
        <w:rPr>
          <w:rFonts w:hint="eastAsia"/>
          <w:b/>
          <w:color w:val="000000" w:themeColor="text1"/>
          <w:kern w:val="0"/>
          <w:szCs w:val="21"/>
          <w:highlight w:val="none"/>
          <w14:textFill>
            <w14:solidFill>
              <w14:schemeClr w14:val="tx1"/>
            </w14:solidFill>
          </w14:textFill>
        </w:rPr>
        <w:t>转包与分包</w:t>
      </w:r>
    </w:p>
    <w:p w14:paraId="3089D3CF">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1.7.1</w:t>
      </w:r>
      <w:r>
        <w:rPr>
          <w:rFonts w:hint="eastAsia"/>
          <w:color w:val="000000" w:themeColor="text1"/>
          <w:szCs w:val="21"/>
          <w:highlight w:val="none"/>
          <w14:textFill>
            <w14:solidFill>
              <w14:schemeClr w14:val="tx1"/>
            </w14:solidFill>
          </w14:textFill>
        </w:rPr>
        <w:t>如招标文件其他地方无特别规定，本项目不允许转包。</w:t>
      </w:r>
    </w:p>
    <w:p w14:paraId="22DD5091">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1.7.2</w:t>
      </w:r>
      <w:r>
        <w:rPr>
          <w:rFonts w:hint="eastAsia"/>
          <w:color w:val="000000" w:themeColor="text1"/>
          <w:szCs w:val="21"/>
          <w:highlight w:val="none"/>
          <w14:textFill>
            <w14:solidFill>
              <w14:schemeClr w14:val="tx1"/>
            </w14:solidFill>
          </w14:textFill>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57C84BA4">
      <w:pPr>
        <w:spacing w:before="120" w:line="276" w:lineRule="auto"/>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1.8</w:t>
      </w:r>
      <w:r>
        <w:rPr>
          <w:rFonts w:hint="eastAsia"/>
          <w:b/>
          <w:color w:val="000000" w:themeColor="text1"/>
          <w:kern w:val="0"/>
          <w:szCs w:val="21"/>
          <w:highlight w:val="none"/>
          <w14:textFill>
            <w14:solidFill>
              <w14:schemeClr w14:val="tx1"/>
            </w14:solidFill>
          </w14:textFill>
        </w:rPr>
        <w:t>特别说明</w:t>
      </w:r>
    </w:p>
    <w:p w14:paraId="5F91AFC5">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1.8.1 </w:t>
      </w:r>
      <w:r>
        <w:rPr>
          <w:rFonts w:hint="eastAsia"/>
          <w:color w:val="000000" w:themeColor="text1"/>
          <w:szCs w:val="21"/>
          <w:highlight w:val="none"/>
          <w14:textFill>
            <w14:solidFill>
              <w14:schemeClr w14:val="tx1"/>
            </w14:solidFill>
          </w14:textFill>
        </w:rPr>
        <w:t>供应商应保证其提供的联系方式（电话、传真、电子邮件）有效，以保证往来函件（澄清、修改等）能及时通知供应商，并能及时反馈，否则采购人及代理机构不承担由此引起的一切后果。</w:t>
      </w:r>
    </w:p>
    <w:p w14:paraId="292BCDCA">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1.8.2</w:t>
      </w:r>
      <w:r>
        <w:rPr>
          <w:rFonts w:hint="eastAsia"/>
          <w:color w:val="000000" w:themeColor="text1"/>
          <w:szCs w:val="21"/>
          <w:highlight w:val="none"/>
          <w14:textFill>
            <w14:solidFill>
              <w14:schemeClr w14:val="tx1"/>
            </w14:solidFill>
          </w14:textFill>
        </w:rPr>
        <w:t>供应商应仔细阅读招标文件的所有内容，按照招标文件的要求提交投标文件，并对所提供的全部资料的真实性承担法律责任。</w:t>
      </w:r>
    </w:p>
    <w:p w14:paraId="62F4C6E5">
      <w:pPr>
        <w:spacing w:before="120"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1.8.3</w:t>
      </w:r>
      <w:r>
        <w:rPr>
          <w:rFonts w:hint="eastAsia"/>
          <w:color w:val="000000" w:themeColor="text1"/>
          <w:szCs w:val="21"/>
          <w:highlight w:val="none"/>
          <w14:textFill>
            <w14:solidFill>
              <w14:schemeClr w14:val="tx1"/>
            </w14:solidFill>
          </w14:textFill>
        </w:rPr>
        <w:t xml:space="preserve">供应商在投标活动中提供任何虚假材料，将报监管部门查处； </w:t>
      </w:r>
    </w:p>
    <w:p w14:paraId="4572B661">
      <w:pPr>
        <w:spacing w:before="120" w:line="276" w:lineRule="auto"/>
        <w:ind w:firstLine="422" w:firstLineChars="200"/>
        <w:outlineLvl w:val="2"/>
        <w:rPr>
          <w:b/>
          <w:bCs/>
          <w:color w:val="000000" w:themeColor="text1"/>
          <w:kern w:val="0"/>
          <w:szCs w:val="21"/>
          <w:highlight w:val="none"/>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t>1</w:t>
      </w:r>
      <w:r>
        <w:rPr>
          <w:b/>
          <w:bCs/>
          <w:color w:val="000000" w:themeColor="text1"/>
          <w:kern w:val="0"/>
          <w:szCs w:val="21"/>
          <w:highlight w:val="none"/>
          <w14:textFill>
            <w14:solidFill>
              <w14:schemeClr w14:val="tx1"/>
            </w14:solidFill>
          </w14:textFill>
        </w:rPr>
        <w:t>.</w:t>
      </w:r>
      <w:r>
        <w:rPr>
          <w:rFonts w:hint="eastAsia"/>
          <w:b/>
          <w:bCs/>
          <w:color w:val="000000" w:themeColor="text1"/>
          <w:kern w:val="0"/>
          <w:szCs w:val="21"/>
          <w:highlight w:val="none"/>
          <w14:textFill>
            <w14:solidFill>
              <w14:schemeClr w14:val="tx1"/>
            </w14:solidFill>
          </w14:textFill>
        </w:rPr>
        <w:t>9 对本国产品的支持政策</w:t>
      </w:r>
    </w:p>
    <w:p w14:paraId="410C35D2">
      <w:pPr>
        <w:spacing w:before="120" w:line="360" w:lineRule="auto"/>
        <w:ind w:left="819" w:leftChars="190" w:hanging="420" w:hanging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1.9.1</w:t>
      </w:r>
      <w:r>
        <w:rPr>
          <w:color w:val="000000" w:themeColor="text1"/>
          <w:szCs w:val="21"/>
          <w:highlight w:val="none"/>
          <w14:textFill>
            <w14:solidFill>
              <w14:schemeClr w14:val="tx1"/>
            </w14:solidFill>
          </w14:textFill>
        </w:rPr>
        <w:t>本国产品标准</w:t>
      </w:r>
    </w:p>
    <w:p w14:paraId="5C03F088">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“本国产品标准的产品”是指：符合《国务院办公厅关于在政府采购中实施本国产品标准及相关政策的通知》（国办发〔2025〕34号）规定的本国产品标准的产品。</w:t>
      </w:r>
    </w:p>
    <w:p w14:paraId="6558729A">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本国产品标准的产品应当符合以下条件：</w:t>
      </w:r>
    </w:p>
    <w:p w14:paraId="259D0CFB">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在中国境内生产</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产品应当在中国境内生产，即在中华人民共和国关境内</w:t>
      </w:r>
      <w:r>
        <w:rPr>
          <w:rFonts w:hint="eastAsia"/>
          <w:color w:val="000000" w:themeColor="text1"/>
          <w:szCs w:val="21"/>
          <w:highlight w:val="none"/>
          <w14:textFill>
            <w14:solidFill>
              <w14:schemeClr w14:val="tx1"/>
            </w14:solidFill>
          </w14:textFill>
        </w:rPr>
        <w:t>（含保税区、综合保税区等海关特殊监管区域）</w:t>
      </w:r>
      <w:r>
        <w:rPr>
          <w:color w:val="000000" w:themeColor="text1"/>
          <w:szCs w:val="21"/>
          <w:highlight w:val="none"/>
          <w14:textFill>
            <w14:solidFill>
              <w14:schemeClr w14:val="tx1"/>
            </w14:solidFill>
          </w14:textFill>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①为确保产品在运输或者储存期间保持某种状态而进行的操作；</w:t>
      </w:r>
    </w:p>
    <w:p w14:paraId="4A58D069">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②为产品运输或者销售进行的包装或者展示；</w:t>
      </w:r>
    </w:p>
    <w:p w14:paraId="3272DA22">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③在产品或者其包装上粘贴或者印刷品牌、标志、标识以及其他用于区别的标记；</w:t>
      </w:r>
    </w:p>
    <w:p w14:paraId="153A2491">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④简单的上漆、磨光和分装；</w:t>
      </w:r>
    </w:p>
    <w:p w14:paraId="7D1505C8">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⑤其他不属于属性改变的情形；</w:t>
      </w:r>
    </w:p>
    <w:p w14:paraId="2FE38ACE">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中国境内生产的组件成本占比达到规定比例</w:t>
      </w:r>
      <w:r>
        <w:rPr>
          <w:rFonts w:hint="eastAsia"/>
          <w:color w:val="000000" w:themeColor="text1"/>
          <w:szCs w:val="21"/>
          <w:highlight w:val="none"/>
          <w14:textFill>
            <w14:solidFill>
              <w14:schemeClr w14:val="tx1"/>
            </w14:solidFill>
          </w14:textFill>
        </w:rPr>
        <w:t>。</w:t>
      </w:r>
    </w:p>
    <w:p w14:paraId="35274560">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①产品在中国境内生产的组件成本占比应当达到规定比例，计算公式为：产品在中国境内生产的组件成本/产品总成本≥规定比例；</w:t>
      </w:r>
    </w:p>
    <w:p w14:paraId="2761051E">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②产品在中国境内生产的组件成本，按照《中国境内生产的组件成本核算基本规则》计算；</w:t>
      </w:r>
    </w:p>
    <w:p w14:paraId="27020F74">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③中国境内生产的组件成本占比相关要求实施前，符合第（1）项条件的产品在政府采购活动中视同本国产品。</w:t>
      </w:r>
    </w:p>
    <w:p w14:paraId="6178B395">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特定产品的关键组件和工序在中国境内完成。</w:t>
      </w:r>
    </w:p>
    <w:p w14:paraId="423F8CFB">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②特定产品的关键组件、关键工序符合相关要求实施前，符合第（1）项和第（2）项条件的产品在政府采购活动中视同本国产品。</w:t>
      </w:r>
    </w:p>
    <w:p w14:paraId="219A12A4">
      <w:pPr>
        <w:spacing w:before="120" w:line="360" w:lineRule="auto"/>
        <w:ind w:left="819" w:leftChars="190" w:hanging="420" w:hanging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1.9.2 本国产品标准的适用范围</w:t>
      </w:r>
    </w:p>
    <w:p w14:paraId="16462C4F">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000000" w:themeColor="text1"/>
          <w:szCs w:val="21"/>
          <w:highlight w:val="none"/>
          <w14:textFill>
            <w14:solidFill>
              <w14:schemeClr w14:val="tx1"/>
            </w14:solidFill>
          </w14:textFill>
        </w:rPr>
        <w:t>本项目是否适用对本国产品的支持政策详见投标人须知前附表。</w:t>
      </w:r>
    </w:p>
    <w:p w14:paraId="30C9B2DC">
      <w:pPr>
        <w:spacing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1.9.3 价格评审优惠</w:t>
      </w:r>
    </w:p>
    <w:p w14:paraId="4B3D05C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价格扣除比例在第四章评审方法及标准中规定。</w:t>
      </w:r>
    </w:p>
    <w:p w14:paraId="5851C88A">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1.9.4政策执行要求</w:t>
      </w:r>
    </w:p>
    <w:p w14:paraId="0BCF661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《中国境内生产的组件成本核算基本规则》</w:t>
      </w:r>
    </w:p>
    <w:p w14:paraId="26FF60BE">
      <w:pPr>
        <w:spacing w:before="120"/>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spacing w:before="120"/>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1.产品的一级组件是指直接组成产品的组件。产品的二级组件是指直接组成产品一级组件的组件。一级组件不可分解的，视同二级组件。</w:t>
      </w:r>
    </w:p>
    <w:p w14:paraId="5262BAC1">
      <w:pPr>
        <w:spacing w:before="120"/>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2.二级组件在中国境内生产的，其全部成本计入中国境内生产的组件成本；二级组件不在中国境内生产的，其成本不计入中国境内生产的组件成本。</w:t>
      </w:r>
    </w:p>
    <w:p w14:paraId="17470F88">
      <w:pPr>
        <w:spacing w:before="120"/>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3.产品总成本和组件成本以相关会计核算数据、采购合同、进货记录等为基础进行计算。</w:t>
      </w:r>
    </w:p>
    <w:p w14:paraId="7B0DA4B9">
      <w:pPr>
        <w:spacing w:before="120"/>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4.需要对成本核算规则予以进一步明确的其他有关事项，由财政部会同有关部门另行规定。</w:t>
      </w:r>
    </w:p>
    <w:p w14:paraId="5A5BAF2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1.9.4.2证明材料提交与审查：供应商需在投标（响应）文件中对其提供的产品出具《关于符合本国产品标准的声明函》（样式见投标文件格式）或财政部会同有关部门规定的有关证明文件。</w:t>
      </w:r>
      <w:r>
        <w:rPr>
          <w:rFonts w:hint="eastAsia"/>
          <w:b/>
          <w:bCs/>
          <w:color w:val="000000" w:themeColor="text1"/>
          <w:szCs w:val="21"/>
          <w:highlight w:val="none"/>
          <w14:textFill>
            <w14:solidFill>
              <w14:schemeClr w14:val="tx1"/>
            </w14:solidFill>
          </w14:textFill>
        </w:rPr>
        <w:t>医疗器械产品凭药品监督管理部门授予的准字号注册证直接认定属于在中国境内生产的产品。</w:t>
      </w:r>
      <w:r>
        <w:rPr>
          <w:rFonts w:hint="eastAsia"/>
          <w:color w:val="000000" w:themeColor="text1"/>
          <w:szCs w:val="21"/>
          <w:highlight w:val="none"/>
          <w14:textFill>
            <w14:solidFill>
              <w14:schemeClr w14:val="tx1"/>
            </w14:solidFill>
          </w14:textFill>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中标供应商提供的《声明函》或有关证明文件。</w:t>
      </w:r>
    </w:p>
    <w:p w14:paraId="1D2E3370">
      <w:pPr>
        <w:pStyle w:val="2"/>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69C1BF47">
      <w:pPr>
        <w:pStyle w:val="2"/>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澄清补正应当按照“6.3.3澄清、说明或补正”的规定提交。</w:t>
      </w:r>
    </w:p>
    <w:p w14:paraId="1C22056C">
      <w:pPr>
        <w:pStyle w:val="2"/>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1.9.4.3成本核算与承诺</w:t>
      </w:r>
    </w:p>
    <w:p w14:paraId="39F1345F">
      <w:pPr>
        <w:pStyle w:val="2"/>
        <w:ind w:firstLine="420" w:firstLineChars="200"/>
        <w:rPr>
          <w:color w:val="000000" w:themeColor="text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供应商应依据《中国境内生产的组件成本核算基本规则》核算产品成本占比，并对核算结果负责，按要求提交《</w:t>
      </w:r>
      <w:r>
        <w:rPr>
          <w:rFonts w:hint="eastAsia"/>
          <w:color w:val="000000" w:themeColor="text1"/>
          <w:sz w:val="21"/>
          <w:szCs w:val="21"/>
          <w:highlight w:val="none"/>
          <w14:textFill>
            <w14:solidFill>
              <w14:schemeClr w14:val="tx1"/>
            </w14:solidFill>
          </w14:textFill>
        </w:rPr>
        <w:t>关于符合</w:t>
      </w:r>
      <w:r>
        <w:rPr>
          <w:color w:val="000000" w:themeColor="text1"/>
          <w:sz w:val="21"/>
          <w:szCs w:val="21"/>
          <w:highlight w:val="none"/>
          <w14:textFill>
            <w14:solidFill>
              <w14:schemeClr w14:val="tx1"/>
            </w14:solidFill>
          </w14:textFill>
        </w:rPr>
        <w:t>本国产品</w:t>
      </w:r>
      <w:r>
        <w:rPr>
          <w:rFonts w:hint="eastAsia"/>
          <w:color w:val="000000" w:themeColor="text1"/>
          <w:sz w:val="21"/>
          <w:szCs w:val="21"/>
          <w:highlight w:val="none"/>
          <w14:textFill>
            <w14:solidFill>
              <w14:schemeClr w14:val="tx1"/>
            </w14:solidFill>
          </w14:textFill>
        </w:rPr>
        <w:t>标准的</w:t>
      </w:r>
      <w:r>
        <w:rPr>
          <w:color w:val="000000" w:themeColor="text1"/>
          <w:sz w:val="21"/>
          <w:szCs w:val="21"/>
          <w:highlight w:val="none"/>
          <w14:textFill>
            <w14:solidFill>
              <w14:schemeClr w14:val="tx1"/>
            </w14:solidFill>
          </w14:textFill>
        </w:rPr>
        <w:t>成本占比承诺函》</w:t>
      </w:r>
      <w:r>
        <w:rPr>
          <w:rFonts w:hint="eastAsia"/>
          <w:color w:val="000000" w:themeColor="text1"/>
          <w:sz w:val="21"/>
          <w:szCs w:val="21"/>
          <w:highlight w:val="none"/>
          <w14:textFill>
            <w14:solidFill>
              <w14:schemeClr w14:val="tx1"/>
            </w14:solidFill>
          </w14:textFill>
        </w:rPr>
        <w:t>（如适用）</w:t>
      </w:r>
      <w:r>
        <w:rPr>
          <w:color w:val="000000" w:themeColor="text1"/>
          <w:sz w:val="21"/>
          <w:szCs w:val="21"/>
          <w:highlight w:val="none"/>
          <w14:textFill>
            <w14:solidFill>
              <w14:schemeClr w14:val="tx1"/>
            </w14:solidFill>
          </w14:textFill>
        </w:rPr>
        <w:t>（参考模板</w:t>
      </w:r>
      <w:r>
        <w:rPr>
          <w:rFonts w:hint="eastAsia"/>
          <w:color w:val="000000" w:themeColor="text1"/>
          <w:sz w:val="21"/>
          <w:szCs w:val="21"/>
          <w:highlight w:val="none"/>
          <w14:textFill>
            <w14:solidFill>
              <w14:schemeClr w14:val="tx1"/>
            </w14:solidFill>
          </w14:textFill>
        </w:rPr>
        <w:t>详见投标文件格式</w:t>
      </w:r>
      <w:r>
        <w:rPr>
          <w:color w:val="000000" w:themeColor="text1"/>
          <w:sz w:val="21"/>
          <w:szCs w:val="21"/>
          <w:highlight w:val="none"/>
          <w14:textFill>
            <w14:solidFill>
              <w14:schemeClr w14:val="tx1"/>
            </w14:solidFill>
          </w14:textFill>
        </w:rPr>
        <w:t>）。相关成本核算的原始凭证应妥善留存，以备核查。采购人可在履约验收环节对相关材料进行抽查。</w:t>
      </w:r>
    </w:p>
    <w:p w14:paraId="333F549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1.9.5 争议处理</w:t>
      </w:r>
    </w:p>
    <w:p w14:paraId="42614C25">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3A50E39">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2</w:t>
      </w:r>
      <w:r>
        <w:rPr>
          <w:rFonts w:hint="eastAsia"/>
          <w:b/>
          <w:color w:val="000000" w:themeColor="text1"/>
          <w:kern w:val="0"/>
          <w:szCs w:val="21"/>
          <w:highlight w:val="none"/>
          <w14:textFill>
            <w14:solidFill>
              <w14:schemeClr w14:val="tx1"/>
            </w14:solidFill>
          </w14:textFill>
        </w:rPr>
        <w:t>．招标文件</w:t>
      </w:r>
    </w:p>
    <w:p w14:paraId="1556B5DB">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2.1</w:t>
      </w:r>
      <w:r>
        <w:rPr>
          <w:rFonts w:hint="eastAsia"/>
          <w:b/>
          <w:color w:val="000000" w:themeColor="text1"/>
          <w:kern w:val="0"/>
          <w:szCs w:val="21"/>
          <w:highlight w:val="none"/>
          <w14:textFill>
            <w14:solidFill>
              <w14:schemeClr w14:val="tx1"/>
            </w14:solidFill>
          </w14:textFill>
        </w:rPr>
        <w:t>招标文件的构成</w:t>
      </w:r>
    </w:p>
    <w:p w14:paraId="20BBD23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第一章 招标公告</w:t>
      </w:r>
    </w:p>
    <w:p w14:paraId="26E786A5">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第二章 采购需求</w:t>
      </w:r>
    </w:p>
    <w:p w14:paraId="52F0667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第三章 投标人须知</w:t>
      </w:r>
    </w:p>
    <w:p w14:paraId="1FB0E404">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第四章 评审方法及标准</w:t>
      </w:r>
    </w:p>
    <w:p w14:paraId="7BED5E1A">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第五章 合同主要条款格式</w:t>
      </w:r>
    </w:p>
    <w:p w14:paraId="500CAC1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第六章 投标文件格式</w:t>
      </w:r>
    </w:p>
    <w:p w14:paraId="2D734F50">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2.2</w:t>
      </w:r>
      <w:r>
        <w:rPr>
          <w:rFonts w:hint="eastAsia"/>
          <w:b/>
          <w:color w:val="000000" w:themeColor="text1"/>
          <w:kern w:val="0"/>
          <w:szCs w:val="21"/>
          <w:highlight w:val="none"/>
          <w14:textFill>
            <w14:solidFill>
              <w14:schemeClr w14:val="tx1"/>
            </w14:solidFill>
          </w14:textFill>
        </w:rPr>
        <w:t>投标人的风险</w:t>
      </w:r>
    </w:p>
    <w:p w14:paraId="5516803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投标人没有按照招标文件要求提供全部资料，或者投标人没有对招标文件在各方面作出实质性响应是投标人的风险，并可能导致其投标被否决。</w:t>
      </w:r>
    </w:p>
    <w:p w14:paraId="12E3E5B7">
      <w:pPr>
        <w:spacing w:before="120" w:line="320" w:lineRule="atLeast"/>
        <w:ind w:firstLine="422" w:firstLineChars="200"/>
        <w:outlineLvl w:val="2"/>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2.3</w:t>
      </w:r>
      <w:r>
        <w:rPr>
          <w:rFonts w:hint="eastAsia"/>
          <w:b/>
          <w:color w:val="000000" w:themeColor="text1"/>
          <w:kern w:val="0"/>
          <w:szCs w:val="21"/>
          <w:highlight w:val="none"/>
          <w14:textFill>
            <w14:solidFill>
              <w14:schemeClr w14:val="tx1"/>
            </w14:solidFill>
          </w14:textFill>
        </w:rPr>
        <w:t>招标文件的澄清与修改</w:t>
      </w:r>
    </w:p>
    <w:p w14:paraId="4B10787B">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2.3.1</w:t>
      </w:r>
      <w:r>
        <w:rPr>
          <w:rFonts w:hint="eastAsia"/>
          <w:color w:val="000000" w:themeColor="text1"/>
          <w:szCs w:val="21"/>
          <w:highlight w:val="none"/>
          <w14:textFill>
            <w14:solidFill>
              <w14:schemeClr w14:val="tx1"/>
            </w14:solidFill>
          </w14:textFill>
        </w:rPr>
        <w:t>任何已获得招标文件的潜在投标人，均可以书面形式要求采购代理机构作出书面解释、澄清。</w:t>
      </w:r>
    </w:p>
    <w:p w14:paraId="78F1AD2E">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2.3.2</w:t>
      </w:r>
      <w:r>
        <w:rPr>
          <w:rFonts w:hint="eastAsia"/>
          <w:color w:val="000000" w:themeColor="text1"/>
          <w:szCs w:val="21"/>
          <w:highlight w:val="none"/>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采购人或者采购代理机构可以对已发出的招标文件进行必要的澄清或者修改。澄清或者修改的内容可能影响投标文件编制的，采购人或者采购代理机构应当在投标截止时间至少15日前，</w:t>
      </w:r>
      <w:bookmarkStart w:id="79" w:name="_Hlk132790706"/>
      <w:r>
        <w:rPr>
          <w:rFonts w:hint="eastAsia"/>
          <w:color w:val="000000" w:themeColor="text1"/>
          <w:szCs w:val="21"/>
          <w:highlight w:val="none"/>
          <w14:textFill>
            <w14:solidFill>
              <w14:schemeClr w14:val="tx1"/>
            </w14:solidFill>
          </w14:textFill>
        </w:rPr>
        <w:t>在投标人须知前附表规定的方式通知所有获取招标文件的潜在投标人</w:t>
      </w:r>
      <w:bookmarkEnd w:id="79"/>
      <w:r>
        <w:rPr>
          <w:rFonts w:hint="eastAsia"/>
          <w:color w:val="000000" w:themeColor="text1"/>
          <w:szCs w:val="21"/>
          <w:highlight w:val="none"/>
          <w14:textFill>
            <w14:solidFill>
              <w14:schemeClr w14:val="tx1"/>
            </w14:solidFill>
          </w14:textFill>
        </w:rPr>
        <w:t>；不足15日的，采购人或者采购代理机构应当顺延提交投标文件的截止时间。</w:t>
      </w:r>
    </w:p>
    <w:p w14:paraId="68BABB6C">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2.3.3</w:t>
      </w:r>
      <w:r>
        <w:rPr>
          <w:rFonts w:hint="eastAsia"/>
          <w:color w:val="000000" w:themeColor="text1"/>
          <w:szCs w:val="21"/>
          <w:highlight w:val="none"/>
          <w14:textFill>
            <w14:solidFill>
              <w14:schemeClr w14:val="tx1"/>
            </w14:solidFill>
          </w14:textFill>
        </w:rPr>
        <w:t>招标文件澄清、答复、修改、补充的内容为招标文件的组成部分。当招标文件与招标文件的答复、澄清、修改、补充通知就同一内容的表述不一致时，以最后发出的公告或书面文件为准。</w:t>
      </w:r>
    </w:p>
    <w:p w14:paraId="3ED3E3D1">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3</w:t>
      </w:r>
      <w:r>
        <w:rPr>
          <w:rFonts w:hint="eastAsia"/>
          <w:b/>
          <w:color w:val="000000" w:themeColor="text1"/>
          <w:kern w:val="0"/>
          <w:szCs w:val="21"/>
          <w:highlight w:val="none"/>
          <w14:textFill>
            <w14:solidFill>
              <w14:schemeClr w14:val="tx1"/>
            </w14:solidFill>
          </w14:textFill>
        </w:rPr>
        <w:t>．投标文件</w:t>
      </w:r>
    </w:p>
    <w:p w14:paraId="1CE67DFB">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3.1</w:t>
      </w:r>
      <w:r>
        <w:rPr>
          <w:rFonts w:hint="eastAsia"/>
          <w:b/>
          <w:color w:val="000000" w:themeColor="text1"/>
          <w:kern w:val="0"/>
          <w:szCs w:val="21"/>
          <w:highlight w:val="none"/>
          <w14:textFill>
            <w14:solidFill>
              <w14:schemeClr w14:val="tx1"/>
            </w14:solidFill>
          </w14:textFill>
        </w:rPr>
        <w:t>投标文件的组成</w:t>
      </w:r>
    </w:p>
    <w:p w14:paraId="5A16D55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投标文件由第六章“投标文件格式”规定的内容和投标人所作的一切有效补充、修改和承诺等文件组成。</w:t>
      </w:r>
    </w:p>
    <w:p w14:paraId="49B0847F">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szCs w:val="21"/>
          <w:highlight w:val="none"/>
          <w14:textFill>
            <w14:solidFill>
              <w14:schemeClr w14:val="tx1"/>
            </w14:solidFill>
          </w14:textFill>
        </w:rPr>
        <w:t>3.2</w:t>
      </w:r>
      <w:r>
        <w:rPr>
          <w:rFonts w:hint="eastAsia"/>
          <w:b/>
          <w:color w:val="000000" w:themeColor="text1"/>
          <w:kern w:val="0"/>
          <w:szCs w:val="21"/>
          <w:highlight w:val="none"/>
          <w14:textFill>
            <w14:solidFill>
              <w14:schemeClr w14:val="tx1"/>
            </w14:solidFill>
          </w14:textFill>
        </w:rPr>
        <w:t>投标文件的语言及计量</w:t>
      </w:r>
    </w:p>
    <w:p w14:paraId="43C740AD">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3.2.1</w:t>
      </w:r>
      <w:r>
        <w:rPr>
          <w:rFonts w:hint="eastAsia"/>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318F57BB">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3.2.2</w:t>
      </w:r>
      <w:r>
        <w:rPr>
          <w:rFonts w:hint="eastAsia"/>
          <w:color w:val="000000" w:themeColor="text1"/>
          <w:szCs w:val="21"/>
          <w:highlight w:val="none"/>
          <w14:textFill>
            <w14:solidFill>
              <w14:schemeClr w14:val="tx1"/>
            </w14:solidFill>
          </w14:textFill>
        </w:rPr>
        <w:t>计量单位招标文件已有明确规定的，投标使用招标文件规定的计量单位；招标文件没有规定的，应采用中华人民共和国法定计量单位。</w:t>
      </w:r>
    </w:p>
    <w:p w14:paraId="0C488F3E">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3.3</w:t>
      </w:r>
      <w:r>
        <w:rPr>
          <w:rFonts w:hint="eastAsia"/>
          <w:b/>
          <w:color w:val="000000" w:themeColor="text1"/>
          <w:kern w:val="0"/>
          <w:szCs w:val="21"/>
          <w:highlight w:val="none"/>
          <w14:textFill>
            <w14:solidFill>
              <w14:schemeClr w14:val="tx1"/>
            </w14:solidFill>
          </w14:textFill>
        </w:rPr>
        <w:t>投标报价</w:t>
      </w:r>
    </w:p>
    <w:p w14:paraId="0C1D0391">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3.3.1</w:t>
      </w:r>
      <w:r>
        <w:rPr>
          <w:rFonts w:hint="eastAsia"/>
          <w:color w:val="000000" w:themeColor="text1"/>
          <w:szCs w:val="21"/>
          <w:highlight w:val="none"/>
          <w14:textFill>
            <w14:solidFill>
              <w14:schemeClr w14:val="tx1"/>
            </w14:solidFill>
          </w14:textFill>
        </w:rPr>
        <w:t>投标报价应按招标文件中相关附表格式填写。</w:t>
      </w:r>
    </w:p>
    <w:p w14:paraId="038C6D5D">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3.3.2</w:t>
      </w:r>
      <w:r>
        <w:rPr>
          <w:rFonts w:hint="eastAsia"/>
          <w:color w:val="000000" w:themeColor="text1"/>
          <w:szCs w:val="21"/>
          <w:highlight w:val="none"/>
          <w14:textFill>
            <w14:solidFill>
              <w14:schemeClr w14:val="tx1"/>
            </w14:solidFill>
          </w14:textFill>
        </w:rPr>
        <w:t>投标文件只允许有一个报价，有选择的或有条件的报价将不予接受。</w:t>
      </w:r>
    </w:p>
    <w:p w14:paraId="424FC51E">
      <w:pPr>
        <w:suppressAutoHyphens/>
        <w:spacing w:before="120" w:line="320" w:lineRule="atLeast"/>
        <w:ind w:firstLine="420" w:firstLineChars="200"/>
        <w:rPr>
          <w:color w:val="000000" w:themeColor="text1"/>
          <w:kern w:val="1"/>
          <w:szCs w:val="21"/>
          <w:highlight w:val="none"/>
          <w14:textFill>
            <w14:solidFill>
              <w14:schemeClr w14:val="tx1"/>
            </w14:solidFill>
          </w14:textFill>
        </w:rPr>
      </w:pPr>
      <w:r>
        <w:rPr>
          <w:color w:val="000000" w:themeColor="text1"/>
          <w:kern w:val="1"/>
          <w:szCs w:val="21"/>
          <w:highlight w:val="none"/>
          <w14:textFill>
            <w14:solidFill>
              <w14:schemeClr w14:val="tx1"/>
            </w14:solidFill>
          </w14:textFill>
        </w:rPr>
        <w:t>3.3.3</w:t>
      </w:r>
      <w:r>
        <w:rPr>
          <w:rFonts w:hint="eastAsia"/>
          <w:color w:val="000000" w:themeColor="text1"/>
          <w:kern w:val="1"/>
          <w:szCs w:val="21"/>
          <w:highlight w:val="none"/>
          <w14:textFill>
            <w14:solidFill>
              <w14:schemeClr w14:val="tx1"/>
            </w14:solidFill>
          </w14:textFill>
        </w:rPr>
        <w:t>对于本文件中未列明，而投标人认为必需的费用也需列入投标报价。在合同实施时，采购人将不予支付中标人没有列入的项目费用，并认为此项目的费用已包括在投标报价中。</w:t>
      </w:r>
    </w:p>
    <w:p w14:paraId="1BCF0191">
      <w:pPr>
        <w:suppressAutoHyphens/>
        <w:spacing w:before="120" w:line="320" w:lineRule="atLeast"/>
        <w:ind w:firstLine="420" w:firstLineChars="200"/>
        <w:rPr>
          <w:b/>
          <w:color w:val="000000" w:themeColor="text1"/>
          <w:kern w:val="1"/>
          <w:szCs w:val="21"/>
          <w:highlight w:val="none"/>
          <w14:textFill>
            <w14:solidFill>
              <w14:schemeClr w14:val="tx1"/>
            </w14:solidFill>
          </w14:textFill>
        </w:rPr>
      </w:pPr>
      <w:r>
        <w:rPr>
          <w:rFonts w:hint="eastAsia"/>
          <w:color w:val="000000" w:themeColor="text1"/>
          <w:kern w:val="1"/>
          <w:szCs w:val="21"/>
          <w:highlight w:val="none"/>
          <w14:textFill>
            <w14:solidFill>
              <w14:schemeClr w14:val="tx1"/>
            </w14:solidFill>
          </w14:textFill>
        </w:rPr>
        <w:t>3</w:t>
      </w:r>
      <w:r>
        <w:rPr>
          <w:color w:val="000000" w:themeColor="text1"/>
          <w:kern w:val="1"/>
          <w:szCs w:val="21"/>
          <w:highlight w:val="none"/>
          <w14:textFill>
            <w14:solidFill>
              <w14:schemeClr w14:val="tx1"/>
            </w14:solidFill>
          </w14:textFill>
        </w:rPr>
        <w:t>.3.4</w:t>
      </w:r>
      <w:r>
        <w:rPr>
          <w:rFonts w:hint="eastAsia"/>
          <w:color w:val="000000" w:themeColor="text1"/>
          <w:kern w:val="1"/>
          <w:szCs w:val="21"/>
          <w:highlight w:val="none"/>
          <w14:textFill>
            <w14:solidFill>
              <w14:schemeClr w14:val="tx1"/>
            </w14:solidFill>
          </w14:textFill>
        </w:rPr>
        <w:t>采购人不接受供应商给予的赠品、回扣或者与采购无关的其他商品、服务。</w:t>
      </w:r>
    </w:p>
    <w:p w14:paraId="559EF0C2">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3.4</w:t>
      </w:r>
      <w:r>
        <w:rPr>
          <w:rFonts w:hint="eastAsia"/>
          <w:b/>
          <w:color w:val="000000" w:themeColor="text1"/>
          <w:kern w:val="0"/>
          <w:szCs w:val="21"/>
          <w:highlight w:val="none"/>
          <w14:textFill>
            <w14:solidFill>
              <w14:schemeClr w14:val="tx1"/>
            </w14:solidFill>
          </w14:textFill>
        </w:rPr>
        <w:t>投标有效期</w:t>
      </w:r>
    </w:p>
    <w:p w14:paraId="69DD5750">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3.4.1</w:t>
      </w:r>
      <w:r>
        <w:rPr>
          <w:rFonts w:hint="eastAsia"/>
          <w:color w:val="000000" w:themeColor="text1"/>
          <w:szCs w:val="21"/>
          <w:highlight w:val="none"/>
          <w14:textFill>
            <w14:solidFill>
              <w14:schemeClr w14:val="tx1"/>
            </w14:solidFill>
          </w14:textFill>
        </w:rPr>
        <w:t>如招标文件其他地方无特别规定，投标有效期则为投标截止之日起90天。在投标有效期内投标文件应保持有效。</w:t>
      </w:r>
      <w:r>
        <w:rPr>
          <w:rFonts w:hint="eastAsia"/>
          <w:b/>
          <w:color w:val="000000" w:themeColor="text1"/>
          <w:szCs w:val="21"/>
          <w:highlight w:val="none"/>
          <w14:textFill>
            <w14:solidFill>
              <w14:schemeClr w14:val="tx1"/>
            </w14:solidFill>
          </w14:textFill>
        </w:rPr>
        <w:t>有效期不足的投标文件将被否决</w:t>
      </w:r>
      <w:r>
        <w:rPr>
          <w:rFonts w:hint="eastAsia"/>
          <w:color w:val="000000" w:themeColor="text1"/>
          <w:szCs w:val="21"/>
          <w:highlight w:val="none"/>
          <w14:textFill>
            <w14:solidFill>
              <w14:schemeClr w14:val="tx1"/>
            </w14:solidFill>
          </w14:textFill>
        </w:rPr>
        <w:t>。</w:t>
      </w:r>
    </w:p>
    <w:p w14:paraId="38402F86">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3.4.2</w:t>
      </w:r>
      <w:r>
        <w:rPr>
          <w:rFonts w:hint="eastAsia"/>
          <w:color w:val="000000" w:themeColor="text1"/>
          <w:szCs w:val="21"/>
          <w:highlight w:val="none"/>
          <w14:textFill>
            <w14:solidFill>
              <w14:schemeClr w14:val="tx1"/>
            </w14:solidFill>
          </w14:textFill>
        </w:rPr>
        <w:t>在特殊情况下，采购人可与投标人协商延长投标文件的有效期，这种要求和答复均以书面形式进行。</w:t>
      </w:r>
    </w:p>
    <w:p w14:paraId="3DC74B0C">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3.4.3</w:t>
      </w:r>
      <w:r>
        <w:rPr>
          <w:rFonts w:hint="eastAsia"/>
          <w:color w:val="000000" w:themeColor="text1"/>
          <w:szCs w:val="21"/>
          <w:highlight w:val="none"/>
          <w14:textFill>
            <w14:solidFill>
              <w14:schemeClr w14:val="tx1"/>
            </w14:solidFill>
          </w14:textFill>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6DDF4E79">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3.5</w:t>
      </w:r>
      <w:r>
        <w:rPr>
          <w:rFonts w:hint="eastAsia"/>
          <w:b/>
          <w:color w:val="000000" w:themeColor="text1"/>
          <w:kern w:val="0"/>
          <w:szCs w:val="21"/>
          <w:highlight w:val="none"/>
          <w14:textFill>
            <w14:solidFill>
              <w14:schemeClr w14:val="tx1"/>
            </w14:solidFill>
          </w14:textFill>
        </w:rPr>
        <w:t>投标保证金</w:t>
      </w:r>
    </w:p>
    <w:p w14:paraId="08CC709E">
      <w:pPr>
        <w:spacing w:before="120" w:line="320" w:lineRule="atLeast"/>
        <w:ind w:firstLine="422" w:firstLineChars="200"/>
        <w:outlineLvl w:val="2"/>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本项目无需缴纳</w:t>
      </w:r>
      <w:r>
        <w:rPr>
          <w:rFonts w:hint="eastAsia"/>
          <w:b/>
          <w:color w:val="000000" w:themeColor="text1"/>
          <w:kern w:val="0"/>
          <w:szCs w:val="21"/>
          <w:highlight w:val="none"/>
          <w14:textFill>
            <w14:solidFill>
              <w14:schemeClr w14:val="tx1"/>
            </w14:solidFill>
          </w14:textFill>
        </w:rPr>
        <w:t>投标保证金。</w:t>
      </w:r>
    </w:p>
    <w:p w14:paraId="174515F5">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3.6</w:t>
      </w:r>
      <w:r>
        <w:rPr>
          <w:rFonts w:hint="eastAsia"/>
          <w:b/>
          <w:color w:val="000000" w:themeColor="text1"/>
          <w:kern w:val="0"/>
          <w:szCs w:val="21"/>
          <w:highlight w:val="none"/>
          <w14:textFill>
            <w14:solidFill>
              <w14:schemeClr w14:val="tx1"/>
            </w14:solidFill>
          </w14:textFill>
        </w:rPr>
        <w:t>投标文件的编制要求</w:t>
      </w:r>
    </w:p>
    <w:p w14:paraId="1E102318">
      <w:pPr>
        <w:spacing w:before="120" w:line="320" w:lineRule="atLeast"/>
        <w:ind w:firstLine="420" w:firstLineChars="200"/>
        <w:rPr>
          <w:b/>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3</w:t>
      </w:r>
      <w:r>
        <w:rPr>
          <w:color w:val="000000" w:themeColor="text1"/>
          <w:kern w:val="0"/>
          <w:szCs w:val="21"/>
          <w:highlight w:val="none"/>
          <w14:textFill>
            <w14:solidFill>
              <w14:schemeClr w14:val="tx1"/>
            </w14:solidFill>
          </w14:textFill>
        </w:rPr>
        <w:t>.6.1</w:t>
      </w:r>
      <w:r>
        <w:rPr>
          <w:rFonts w:hint="eastAsia"/>
          <w:color w:val="000000" w:themeColor="text1"/>
          <w:szCs w:val="21"/>
          <w:highlight w:val="none"/>
          <w14:textFill>
            <w14:solidFill>
              <w14:schemeClr w14:val="tx1"/>
            </w14:solidFill>
          </w14:textFill>
        </w:rPr>
        <w:t>投标人应先安装</w:t>
      </w:r>
      <w:bookmarkStart w:id="80" w:name="_Hlk160184301"/>
      <w:r>
        <w:rPr>
          <w:rFonts w:hint="eastAsia"/>
          <w:color w:val="000000" w:themeColor="text1"/>
          <w:szCs w:val="21"/>
          <w:highlight w:val="none"/>
          <w14:textFill>
            <w14:solidFill>
              <w14:schemeClr w14:val="tx1"/>
            </w14:solidFill>
          </w14:textFill>
        </w:rPr>
        <w:t>广西政府采购云平台新版客户端</w:t>
      </w:r>
      <w:bookmarkEnd w:id="80"/>
      <w:r>
        <w:rPr>
          <w:rFonts w:hint="eastAsia"/>
          <w:color w:val="000000" w:themeColor="text1"/>
          <w:szCs w:val="21"/>
          <w:highlight w:val="none"/>
          <w14:textFill>
            <w14:solidFill>
              <w14:schemeClr w14:val="tx1"/>
            </w14:solidFill>
          </w14:textFill>
        </w:rPr>
        <w:t>，通过账号密码或C</w:t>
      </w:r>
      <w:r>
        <w:rPr>
          <w:color w:val="000000" w:themeColor="text1"/>
          <w:szCs w:val="21"/>
          <w:highlight w:val="none"/>
          <w14:textFill>
            <w14:solidFill>
              <w14:schemeClr w14:val="tx1"/>
            </w14:solidFill>
          </w14:textFill>
        </w:rPr>
        <w:t>A</w:t>
      </w:r>
      <w:r>
        <w:rPr>
          <w:rFonts w:hint="eastAsia"/>
          <w:color w:val="000000" w:themeColor="text1"/>
          <w:szCs w:val="21"/>
          <w:highlight w:val="none"/>
          <w14:textFill>
            <w14:solidFill>
              <w14:schemeClr w14:val="tx1"/>
            </w14:solidFill>
          </w14:textFill>
        </w:rPr>
        <w:t>登录客户端制作投标文件。</w:t>
      </w:r>
    </w:p>
    <w:p w14:paraId="4F4D95DC">
      <w:pPr>
        <w:spacing w:before="120" w:line="320" w:lineRule="atLeast"/>
        <w:ind w:firstLine="420" w:firstLineChars="200"/>
        <w:rPr>
          <w:color w:val="000000" w:themeColor="text1"/>
          <w:szCs w:val="21"/>
          <w:highlight w:val="none"/>
          <w14:textFill>
            <w14:solidFill>
              <w14:schemeClr w14:val="tx1"/>
            </w14:solidFill>
          </w14:textFill>
        </w:rPr>
      </w:pPr>
      <w:bookmarkStart w:id="81" w:name="_Hlk132791136"/>
      <w:r>
        <w:rPr>
          <w:color w:val="000000" w:themeColor="text1"/>
          <w:szCs w:val="21"/>
          <w:highlight w:val="none"/>
          <w14:textFill>
            <w14:solidFill>
              <w14:schemeClr w14:val="tx1"/>
            </w14:solidFill>
          </w14:textFill>
        </w:rPr>
        <w:t>3.6.2</w:t>
      </w:r>
      <w:r>
        <w:rPr>
          <w:rFonts w:hint="eastAsia"/>
          <w:color w:val="000000" w:themeColor="text1"/>
          <w:szCs w:val="21"/>
          <w:highlight w:val="none"/>
          <w14:textFill>
            <w14:solidFill>
              <w14:schemeClr w14:val="tx1"/>
            </w14:solidFill>
          </w14:textFill>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60AA94D6">
      <w:pPr>
        <w:spacing w:before="120" w:line="320" w:lineRule="atLeast"/>
        <w:ind w:firstLine="420" w:firstLineChars="200"/>
        <w:rPr>
          <w:color w:val="000000" w:themeColor="text1"/>
          <w:szCs w:val="21"/>
          <w:highlight w:val="none"/>
          <w14:textFill>
            <w14:solidFill>
              <w14:schemeClr w14:val="tx1"/>
            </w14:solidFill>
          </w14:textFill>
        </w:rPr>
      </w:pPr>
      <w:bookmarkStart w:id="82" w:name="_Hlk93046800"/>
      <w:r>
        <w:rPr>
          <w:color w:val="000000" w:themeColor="text1"/>
          <w:szCs w:val="21"/>
          <w:highlight w:val="none"/>
          <w14:textFill>
            <w14:solidFill>
              <w14:schemeClr w14:val="tx1"/>
            </w14:solidFill>
          </w14:textFill>
        </w:rPr>
        <w:t xml:space="preserve">3.6.3 </w:t>
      </w:r>
      <w:r>
        <w:rPr>
          <w:rFonts w:hint="eastAsia"/>
          <w:color w:val="000000" w:themeColor="text1"/>
          <w:szCs w:val="21"/>
          <w:highlight w:val="none"/>
          <w14:textFill>
            <w14:solidFill>
              <w14:schemeClr w14:val="tx1"/>
            </w14:solidFill>
          </w14:textFill>
        </w:rPr>
        <w:t>投标人的投标文件未按照招标文件要求签署、盖章的，</w:t>
      </w:r>
      <w:r>
        <w:rPr>
          <w:rFonts w:hint="eastAsia"/>
          <w:b/>
          <w:color w:val="000000" w:themeColor="text1"/>
          <w:szCs w:val="21"/>
          <w:highlight w:val="none"/>
          <w14:textFill>
            <w14:solidFill>
              <w14:schemeClr w14:val="tx1"/>
            </w14:solidFill>
          </w14:textFill>
        </w:rPr>
        <w:t>其投标无效</w:t>
      </w:r>
      <w:r>
        <w:rPr>
          <w:rFonts w:hint="eastAsia"/>
          <w:color w:val="000000" w:themeColor="text1"/>
          <w:szCs w:val="21"/>
          <w:highlight w:val="none"/>
          <w14:textFill>
            <w14:solidFill>
              <w14:schemeClr w14:val="tx1"/>
            </w14:solidFill>
          </w14:textFill>
        </w:rPr>
        <w:t>。</w:t>
      </w:r>
    </w:p>
    <w:bookmarkEnd w:id="81"/>
    <w:bookmarkEnd w:id="82"/>
    <w:p w14:paraId="788B1AAF">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3.6.4</w:t>
      </w:r>
      <w:r>
        <w:rPr>
          <w:rFonts w:hint="eastAsia"/>
          <w:color w:val="000000" w:themeColor="text1"/>
          <w:szCs w:val="21"/>
          <w:highlight w:val="none"/>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2713E939">
      <w:pPr>
        <w:spacing w:before="120" w:line="320" w:lineRule="atLeast"/>
        <w:ind w:firstLine="420" w:firstLineChars="200"/>
        <w:rPr>
          <w:b/>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.6.5</w:t>
      </w:r>
      <w:r>
        <w:rPr>
          <w:rFonts w:hint="eastAsia"/>
          <w:color w:val="000000" w:themeColor="text1"/>
          <w:szCs w:val="21"/>
          <w:highlight w:val="none"/>
          <w14:textFill>
            <w14:solidFill>
              <w14:schemeClr w14:val="tx1"/>
            </w14:solidFill>
          </w14:textFill>
        </w:rPr>
        <w:t>投标文件中标注的投标人名称应与主体资格证明（如营业执照、事业单位法人证书、执业许可证、个体工商户营业执照、自然人身份证等）和公章/电子签章一致，</w:t>
      </w:r>
      <w:r>
        <w:rPr>
          <w:rFonts w:hint="eastAsia"/>
          <w:b/>
          <w:color w:val="000000" w:themeColor="text1"/>
          <w:szCs w:val="21"/>
          <w:highlight w:val="none"/>
          <w14:textFill>
            <w14:solidFill>
              <w14:schemeClr w14:val="tx1"/>
            </w14:solidFill>
          </w14:textFill>
        </w:rPr>
        <w:t>否则作无效投标处理。</w:t>
      </w:r>
    </w:p>
    <w:p w14:paraId="40C828CA">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3.7</w:t>
      </w:r>
      <w:r>
        <w:rPr>
          <w:rFonts w:hint="eastAsia"/>
          <w:b/>
          <w:color w:val="000000" w:themeColor="text1"/>
          <w:kern w:val="0"/>
          <w:szCs w:val="21"/>
          <w:highlight w:val="none"/>
          <w14:textFill>
            <w14:solidFill>
              <w14:schemeClr w14:val="tx1"/>
            </w14:solidFill>
          </w14:textFill>
        </w:rPr>
        <w:t>投标文件的递交、修改和撤回</w:t>
      </w:r>
    </w:p>
    <w:p w14:paraId="135B4824">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3.7.1</w:t>
      </w:r>
      <w:r>
        <w:rPr>
          <w:rFonts w:hint="eastAsia"/>
          <w:color w:val="000000" w:themeColor="text1"/>
          <w:szCs w:val="21"/>
          <w:highlight w:val="none"/>
          <w14:textFill>
            <w14:solidFill>
              <w14:schemeClr w14:val="tx1"/>
            </w14:solidFill>
          </w14:textFill>
        </w:rPr>
        <w:t>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112BD514">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.7.2</w:t>
      </w:r>
      <w:r>
        <w:rPr>
          <w:rFonts w:hint="eastAsia"/>
          <w:color w:val="000000" w:themeColor="text1"/>
          <w:szCs w:val="21"/>
          <w:highlight w:val="none"/>
          <w14:textFill>
            <w14:solidFill>
              <w14:schemeClr w14:val="tx1"/>
            </w14:solidFill>
          </w14:textFill>
        </w:rPr>
        <w:t xml:space="preserve">未在规定时间内提交或者未按照招标文件要求签章、加密的电子投标文件，广西政府采购云平台将拒收。 </w:t>
      </w:r>
    </w:p>
    <w:p w14:paraId="3A2881D9">
      <w:pPr>
        <w:spacing w:before="120" w:line="320" w:lineRule="atLeast"/>
        <w:ind w:left="2" w:leftChars="1"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.7.3</w:t>
      </w:r>
      <w:r>
        <w:rPr>
          <w:rFonts w:hint="eastAsia"/>
          <w:color w:val="000000" w:themeColor="text1"/>
          <w:szCs w:val="21"/>
          <w:highlight w:val="none"/>
          <w14:textFill>
            <w14:solidFill>
              <w14:schemeClr w14:val="tx1"/>
            </w14:solidFill>
          </w14:textFill>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754D6449">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3.7.4</w:t>
      </w:r>
      <w:r>
        <w:rPr>
          <w:rFonts w:hint="eastAsia"/>
          <w:color w:val="000000" w:themeColor="text1"/>
          <w:szCs w:val="21"/>
          <w:highlight w:val="none"/>
          <w14:textFill>
            <w14:solidFill>
              <w14:schemeClr w14:val="tx1"/>
            </w14:solidFill>
          </w14:textFill>
        </w:rPr>
        <w:t>在投标截止时间前，除投标人补充、修改或者撤回投标文件外，任何单位和个人不得解密或提取投标文件。</w:t>
      </w:r>
    </w:p>
    <w:p w14:paraId="3B2F00C2">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3.7.5</w:t>
      </w:r>
      <w:r>
        <w:rPr>
          <w:rFonts w:hint="eastAsia"/>
          <w:color w:val="000000" w:themeColor="text1"/>
          <w:szCs w:val="21"/>
          <w:highlight w:val="none"/>
          <w14:textFill>
            <w14:solidFill>
              <w14:schemeClr w14:val="tx1"/>
            </w14:solidFill>
          </w14:textFill>
        </w:rPr>
        <w:t>在投标截止时间止提交电子版投标文件的投标人不足3家时，电子版投标文件由代理机构在广西政府采购云平台操作退回，除此之外采购人和采购代理机构对已提交的投标文件概不退回。</w:t>
      </w:r>
    </w:p>
    <w:p w14:paraId="304FDD87">
      <w:pPr>
        <w:spacing w:before="120" w:line="320" w:lineRule="atLeast"/>
        <w:ind w:left="2" w:leftChars="1" w:firstLine="420" w:firstLineChars="200"/>
        <w:rPr>
          <w:color w:val="000000" w:themeColor="text1"/>
          <w:szCs w:val="21"/>
          <w:highlight w:val="none"/>
          <w14:textFill>
            <w14:solidFill>
              <w14:schemeClr w14:val="tx1"/>
            </w14:solidFill>
          </w14:textFill>
        </w:rPr>
      </w:pPr>
      <w:bookmarkStart w:id="83" w:name="_Hlk93046827"/>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.7.6</w:t>
      </w:r>
      <w:r>
        <w:rPr>
          <w:rFonts w:hint="eastAsia"/>
          <w:color w:val="000000" w:themeColor="text1"/>
          <w:szCs w:val="21"/>
          <w:highlight w:val="none"/>
          <w14:textFill>
            <w14:solidFill>
              <w14:schemeClr w14:val="tx1"/>
            </w14:solidFill>
          </w14:textFill>
        </w:rPr>
        <w:t>招标文件未允许同一投标人提交两个或以上不同的响应文件，但存在</w:t>
      </w:r>
      <w:r>
        <w:rPr>
          <w:rFonts w:hint="eastAsia"/>
          <w:color w:val="000000" w:themeColor="text1"/>
          <w:highlight w:val="none"/>
          <w14:textFill>
            <w14:solidFill>
              <w14:schemeClr w14:val="tx1"/>
            </w14:solidFill>
          </w14:textFill>
        </w:rPr>
        <w:t>同</w:t>
      </w:r>
      <w:r>
        <w:rPr>
          <w:rFonts w:hint="eastAsia"/>
          <w:color w:val="000000" w:themeColor="text1"/>
          <w:szCs w:val="21"/>
          <w:highlight w:val="none"/>
          <w14:textFill>
            <w14:solidFill>
              <w14:schemeClr w14:val="tx1"/>
            </w14:solidFill>
          </w14:textFill>
        </w:rPr>
        <w:t>一投标人提交两个或以上不同的响应文件的，</w:t>
      </w:r>
      <w:r>
        <w:rPr>
          <w:rFonts w:hint="eastAsia"/>
          <w:b/>
          <w:color w:val="000000" w:themeColor="text1"/>
          <w:szCs w:val="21"/>
          <w:highlight w:val="none"/>
          <w14:textFill>
            <w14:solidFill>
              <w14:schemeClr w14:val="tx1"/>
            </w14:solidFill>
          </w14:textFill>
        </w:rPr>
        <w:t>其投标无效。</w:t>
      </w:r>
      <w:r>
        <w:rPr>
          <w:rFonts w:hint="eastAsia"/>
          <w:color w:val="000000" w:themeColor="text1"/>
          <w:szCs w:val="21"/>
          <w:highlight w:val="none"/>
          <w14:textFill>
            <w14:solidFill>
              <w14:schemeClr w14:val="tx1"/>
            </w14:solidFill>
          </w14:textFill>
        </w:rPr>
        <w:t>投标人在同一投标文件中对某项技术、商务要求提供有选择性的响应参数或方案等同于提交两个或以上不同的投标文件。</w:t>
      </w:r>
    </w:p>
    <w:bookmarkEnd w:id="83"/>
    <w:p w14:paraId="536AE6DD">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4</w:t>
      </w:r>
      <w:r>
        <w:rPr>
          <w:rFonts w:hint="eastAsia"/>
          <w:b/>
          <w:color w:val="000000" w:themeColor="text1"/>
          <w:kern w:val="0"/>
          <w:szCs w:val="21"/>
          <w:highlight w:val="none"/>
          <w14:textFill>
            <w14:solidFill>
              <w14:schemeClr w14:val="tx1"/>
            </w14:solidFill>
          </w14:textFill>
        </w:rPr>
        <w:t>．开标</w:t>
      </w:r>
    </w:p>
    <w:p w14:paraId="0060E8C0">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4.1</w:t>
      </w:r>
      <w:r>
        <w:rPr>
          <w:rFonts w:hint="eastAsia"/>
          <w:b/>
          <w:color w:val="000000" w:themeColor="text1"/>
          <w:kern w:val="0"/>
          <w:szCs w:val="21"/>
          <w:highlight w:val="none"/>
          <w14:textFill>
            <w14:solidFill>
              <w14:schemeClr w14:val="tx1"/>
            </w14:solidFill>
          </w14:textFill>
        </w:rPr>
        <w:t>开标准备</w:t>
      </w:r>
    </w:p>
    <w:p w14:paraId="2A0AF437">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本项目投标截止时间及地点见“投标人须知前附表”规定。</w:t>
      </w:r>
    </w:p>
    <w:p w14:paraId="3BCA3FD1">
      <w:pPr>
        <w:autoSpaceDE w:val="0"/>
        <w:autoSpaceDN w:val="0"/>
        <w:adjustRightInd w:val="0"/>
        <w:spacing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436E156">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如投标人成功解密投标文件，但未在广西政府采购云平台电子开标大厅参加开标的，视同认可开标过程和结果，由此产生的后果由投标人自行负责。 </w:t>
      </w:r>
    </w:p>
    <w:p w14:paraId="4E11C7EE">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4.2</w:t>
      </w:r>
      <w:r>
        <w:rPr>
          <w:rFonts w:hint="eastAsia"/>
          <w:b/>
          <w:color w:val="000000" w:themeColor="text1"/>
          <w:kern w:val="0"/>
          <w:szCs w:val="21"/>
          <w:highlight w:val="none"/>
          <w14:textFill>
            <w14:solidFill>
              <w14:schemeClr w14:val="tx1"/>
            </w14:solidFill>
          </w14:textFill>
        </w:rPr>
        <w:t>开标程序</w:t>
      </w:r>
    </w:p>
    <w:p w14:paraId="19D5FC1E">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4.2.1</w:t>
      </w:r>
      <w:r>
        <w:rPr>
          <w:rFonts w:hint="eastAsia"/>
          <w:color w:val="000000" w:themeColor="text1"/>
          <w:szCs w:val="21"/>
          <w:highlight w:val="none"/>
          <w14:textFill>
            <w14:solidFill>
              <w14:schemeClr w14:val="tx1"/>
            </w14:solidFill>
          </w14:textFill>
        </w:rPr>
        <w:t>投标人登录广西政府采购云平台进入开标大厅签到。</w:t>
      </w:r>
    </w:p>
    <w:p w14:paraId="1C8CB10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.2.2</w:t>
      </w:r>
      <w:r>
        <w:rPr>
          <w:rFonts w:hint="eastAsia"/>
          <w:color w:val="000000" w:themeColor="text1"/>
          <w:szCs w:val="21"/>
          <w:highlight w:val="none"/>
          <w14:textFill>
            <w14:solidFill>
              <w14:schemeClr w14:val="tx1"/>
            </w14:solidFill>
          </w14:textFill>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CA锁准时登录到广西政府采购云平台电子开标大厅签到并对电子投标文件解密。开标后投标人未及时进行解密的，代理机构可通知投标人。</w:t>
      </w:r>
      <w:r>
        <w:rPr>
          <w:rFonts w:hint="eastAsia"/>
          <w:color w:val="000000" w:themeColor="text1"/>
          <w:highlight w:val="none"/>
          <w14:textFill>
            <w14:solidFill>
              <w14:schemeClr w14:val="tx1"/>
            </w14:solidFill>
          </w14:textFill>
        </w:rPr>
        <w:t>通知后投标人仍未在上述规定时间内解密响应文件</w:t>
      </w:r>
      <w:r>
        <w:rPr>
          <w:rFonts w:hint="eastAsia"/>
          <w:color w:val="000000" w:themeColor="text1"/>
          <w:szCs w:val="21"/>
          <w:highlight w:val="none"/>
          <w14:textFill>
            <w14:solidFill>
              <w14:schemeClr w14:val="tx1"/>
            </w14:solidFill>
          </w14:textFill>
        </w:rPr>
        <w:t>，或者投标人没预留联系方式或预留联系方式无效导致代理机构无法联系到投标人进行解密的，均视为无效投标。</w:t>
      </w:r>
    </w:p>
    <w:p w14:paraId="071D8D6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.2.3</w:t>
      </w:r>
      <w:r>
        <w:rPr>
          <w:rFonts w:hint="eastAsia"/>
          <w:color w:val="000000" w:themeColor="text1"/>
          <w:szCs w:val="21"/>
          <w:highlight w:val="none"/>
          <w14:textFill>
            <w14:solidFill>
              <w14:schemeClr w14:val="tx1"/>
            </w14:solidFill>
          </w14:textFill>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79B0C6B2">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解密异常情况处理：详见本章</w:t>
      </w:r>
      <w:r>
        <w:rPr>
          <w:color w:val="000000" w:themeColor="text1"/>
          <w:szCs w:val="21"/>
          <w:highlight w:val="none"/>
          <w14:textFill>
            <w14:solidFill>
              <w14:schemeClr w14:val="tx1"/>
            </w14:solidFill>
          </w14:textFill>
        </w:rPr>
        <w:t>9.2</w:t>
      </w:r>
      <w:r>
        <w:rPr>
          <w:rFonts w:hint="eastAsia"/>
          <w:color w:val="000000" w:themeColor="text1"/>
          <w:szCs w:val="21"/>
          <w:highlight w:val="none"/>
          <w14:textFill>
            <w14:solidFill>
              <w14:schemeClr w14:val="tx1"/>
            </w14:solidFill>
          </w14:textFill>
        </w:rPr>
        <w:t>电子交易活动的中止。</w:t>
      </w:r>
    </w:p>
    <w:p w14:paraId="31440CA9">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.2.5</w:t>
      </w:r>
      <w:r>
        <w:rPr>
          <w:rFonts w:hint="eastAsia"/>
          <w:color w:val="000000" w:themeColor="text1"/>
          <w:szCs w:val="21"/>
          <w:highlight w:val="none"/>
          <w14:textFill>
            <w14:solidFill>
              <w14:schemeClr w14:val="tx1"/>
            </w14:solidFill>
          </w14:textFill>
        </w:rPr>
        <w:t>投标人对报价进行确认。</w:t>
      </w:r>
    </w:p>
    <w:p w14:paraId="7DD895D6">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4.2.6</w:t>
      </w:r>
      <w:r>
        <w:rPr>
          <w:rFonts w:hint="eastAsia"/>
          <w:color w:val="000000" w:themeColor="text1"/>
          <w:szCs w:val="21"/>
          <w:highlight w:val="none"/>
          <w14:textFill>
            <w14:solidFill>
              <w14:schemeClr w14:val="tx1"/>
            </w14:solidFill>
          </w14:textFill>
        </w:rPr>
        <w:t>开标结束。</w:t>
      </w:r>
    </w:p>
    <w:p w14:paraId="57EF9074">
      <w:pPr>
        <w:pStyle w:val="27"/>
        <w:snapToGrid w:val="0"/>
        <w:spacing w:line="440" w:lineRule="exact"/>
        <w:ind w:firstLine="422" w:firstLineChars="200"/>
        <w:rPr>
          <w:rFonts w:hint="eastAsia" w:hAnsi="宋体"/>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特别说明：</w:t>
      </w:r>
      <w:r>
        <w:rPr>
          <w:rFonts w:hint="eastAsia" w:hAnsi="宋体"/>
          <w:color w:val="000000" w:themeColor="text1"/>
          <w:highlight w:val="none"/>
          <w14:textFill>
            <w14:solidFill>
              <w14:schemeClr w14:val="tx1"/>
            </w14:solidFill>
          </w14:textFill>
        </w:rPr>
        <w:t>如遇</w:t>
      </w:r>
      <w:r>
        <w:rPr>
          <w:rFonts w:hint="eastAsia"/>
          <w:color w:val="000000" w:themeColor="text1"/>
          <w:highlight w:val="none"/>
          <w14:textFill>
            <w14:solidFill>
              <w14:schemeClr w14:val="tx1"/>
            </w14:solidFill>
          </w14:textFill>
        </w:rPr>
        <w:t>广西政府采购云平台</w:t>
      </w:r>
      <w:r>
        <w:rPr>
          <w:rFonts w:hint="eastAsia" w:hAnsi="宋体"/>
          <w:color w:val="000000" w:themeColor="text1"/>
          <w:highlight w:val="none"/>
          <w14:textFill>
            <w14:solidFill>
              <w14:schemeClr w14:val="tx1"/>
            </w14:solidFill>
          </w14:textFill>
        </w:rPr>
        <w:t>电子化开标或评审程序调整的，按调整后的程序执行。</w:t>
      </w:r>
    </w:p>
    <w:p w14:paraId="53C532A7">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4.3</w:t>
      </w:r>
      <w:r>
        <w:rPr>
          <w:rFonts w:hint="eastAsia"/>
          <w:b/>
          <w:color w:val="000000" w:themeColor="text1"/>
          <w:kern w:val="0"/>
          <w:szCs w:val="21"/>
          <w:highlight w:val="none"/>
          <w14:textFill>
            <w14:solidFill>
              <w14:schemeClr w14:val="tx1"/>
            </w14:solidFill>
          </w14:textFill>
        </w:rPr>
        <w:t>演示</w:t>
      </w:r>
    </w:p>
    <w:p w14:paraId="14209242">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4.3.1“</w:t>
      </w:r>
      <w:r>
        <w:rPr>
          <w:rFonts w:hint="eastAsia"/>
          <w:color w:val="000000" w:themeColor="text1"/>
          <w:szCs w:val="21"/>
          <w:highlight w:val="none"/>
          <w14:textFill>
            <w14:solidFill>
              <w14:schemeClr w14:val="tx1"/>
            </w14:solidFill>
          </w14:textFill>
        </w:rPr>
        <w:t>投标人须知前附表”规定在开标会议结束后进行演示的，投标人应按规定进行演示。</w:t>
      </w:r>
    </w:p>
    <w:p w14:paraId="55CAF40F">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4.3.2</w:t>
      </w:r>
      <w:r>
        <w:rPr>
          <w:rFonts w:hint="eastAsia"/>
          <w:color w:val="000000" w:themeColor="text1"/>
          <w:szCs w:val="21"/>
          <w:highlight w:val="none"/>
          <w14:textFill>
            <w14:solidFill>
              <w14:schemeClr w14:val="tx1"/>
            </w14:solidFill>
          </w14:textFill>
        </w:rPr>
        <w:t>未按规定时间进行演示可能引起的演示分数被计为0分或投标无效等后果由投标人自行承担。</w:t>
      </w:r>
    </w:p>
    <w:p w14:paraId="5909F246">
      <w:pPr>
        <w:spacing w:before="120" w:line="320" w:lineRule="atLeast"/>
        <w:ind w:firstLine="422" w:firstLineChars="200"/>
        <w:outlineLvl w:val="2"/>
        <w:rPr>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4.4</w:t>
      </w:r>
      <w:r>
        <w:rPr>
          <w:rFonts w:hint="eastAsia"/>
          <w:b/>
          <w:color w:val="000000" w:themeColor="text1"/>
          <w:kern w:val="0"/>
          <w:szCs w:val="21"/>
          <w:highlight w:val="none"/>
          <w14:textFill>
            <w14:solidFill>
              <w14:schemeClr w14:val="tx1"/>
            </w14:solidFill>
          </w14:textFill>
        </w:rPr>
        <w:t>样品</w:t>
      </w:r>
    </w:p>
    <w:p w14:paraId="19E50B28">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4.4.1“</w:t>
      </w:r>
      <w:r>
        <w:rPr>
          <w:rFonts w:hint="eastAsia"/>
          <w:color w:val="000000" w:themeColor="text1"/>
          <w:szCs w:val="21"/>
          <w:highlight w:val="none"/>
          <w14:textFill>
            <w14:solidFill>
              <w14:schemeClr w14:val="tx1"/>
            </w14:solidFill>
          </w14:textFill>
        </w:rPr>
        <w:t>投标人须知前附表”规定递交样品的，投标人应按前附表规定递交样品，递交样品时应附样品递交表（格式见第六章）。</w:t>
      </w:r>
    </w:p>
    <w:p w14:paraId="0F46DF84">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4.4.2</w:t>
      </w:r>
      <w:r>
        <w:rPr>
          <w:rFonts w:hint="eastAsia"/>
          <w:color w:val="000000" w:themeColor="text1"/>
          <w:szCs w:val="21"/>
          <w:highlight w:val="none"/>
          <w14:textFill>
            <w14:solidFill>
              <w14:schemeClr w14:val="tx1"/>
            </w14:solidFill>
          </w14:textFill>
        </w:rPr>
        <w:t>未按规定时间递交样品可能引起的样品分数被计为0分或投标无效等后果由投标人自行承担。</w:t>
      </w:r>
    </w:p>
    <w:p w14:paraId="76529079">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4.4.3</w:t>
      </w:r>
      <w:r>
        <w:rPr>
          <w:rFonts w:hint="eastAsia"/>
          <w:color w:val="000000" w:themeColor="text1"/>
          <w:szCs w:val="21"/>
          <w:highlight w:val="none"/>
          <w14:textFill>
            <w14:solidFill>
              <w14:schemeClr w14:val="tx1"/>
            </w14:solidFill>
          </w14:textFill>
        </w:rPr>
        <w:t>样品封存或退还的说明请见第六章投标文件格式所附样品递交表。</w:t>
      </w:r>
    </w:p>
    <w:p w14:paraId="03AD97F5">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bookmarkStart w:id="84" w:name="_Hlk93420947"/>
      <w:r>
        <w:rPr>
          <w:b/>
          <w:color w:val="000000" w:themeColor="text1"/>
          <w:kern w:val="0"/>
          <w:szCs w:val="21"/>
          <w:highlight w:val="none"/>
          <w14:textFill>
            <w14:solidFill>
              <w14:schemeClr w14:val="tx1"/>
            </w14:solidFill>
          </w14:textFill>
        </w:rPr>
        <w:t>5</w:t>
      </w:r>
      <w:r>
        <w:rPr>
          <w:rFonts w:hint="eastAsia"/>
          <w:b/>
          <w:color w:val="000000" w:themeColor="text1"/>
          <w:kern w:val="0"/>
          <w:szCs w:val="21"/>
          <w:highlight w:val="none"/>
          <w14:textFill>
            <w14:solidFill>
              <w14:schemeClr w14:val="tx1"/>
            </w14:solidFill>
          </w14:textFill>
        </w:rPr>
        <w:t>．资格审查</w:t>
      </w:r>
    </w:p>
    <w:p w14:paraId="27ECEAB3">
      <w:pPr>
        <w:spacing w:before="120" w:line="320" w:lineRule="atLeast"/>
        <w:ind w:left="2" w:leftChars="1" w:firstLine="420" w:firstLineChars="200"/>
        <w:outlineLvl w:val="1"/>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w:t>
      </w:r>
      <w:r>
        <w:rPr>
          <w:color w:val="000000" w:themeColor="text1"/>
          <w:kern w:val="0"/>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开标结束后，采购人或者采购代理机构通过电子交易平台对投标人的资格进行审查。资格审查</w:t>
      </w:r>
      <w:r>
        <w:rPr>
          <w:rFonts w:hint="eastAsia"/>
          <w:color w:val="000000" w:themeColor="text1"/>
          <w:kern w:val="0"/>
          <w:szCs w:val="21"/>
          <w:highlight w:val="none"/>
          <w14:textFill>
            <w14:solidFill>
              <w14:schemeClr w14:val="tx1"/>
            </w14:solidFill>
          </w14:textFill>
        </w:rPr>
        <w:t>是根据法律法规和招标文件的规定，对投标人的基本资格条件、特定资格条件进行审查。</w:t>
      </w:r>
    </w:p>
    <w:p w14:paraId="1B11301C">
      <w:pPr>
        <w:spacing w:before="120" w:line="320" w:lineRule="atLeast"/>
        <w:ind w:left="2" w:leftChars="1" w:firstLine="420" w:firstLineChars="200"/>
        <w:outlineLvl w:val="1"/>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w:t>
      </w:r>
      <w:r>
        <w:rPr>
          <w:color w:val="000000" w:themeColor="text1"/>
          <w:kern w:val="0"/>
          <w:szCs w:val="21"/>
          <w:highlight w:val="none"/>
          <w14:textFill>
            <w14:solidFill>
              <w14:schemeClr w14:val="tx1"/>
            </w14:solidFill>
          </w14:textFill>
        </w:rPr>
        <w:t>2</w:t>
      </w:r>
      <w:r>
        <w:rPr>
          <w:rFonts w:hint="eastAsia"/>
          <w:color w:val="000000" w:themeColor="text1"/>
          <w:kern w:val="0"/>
          <w:szCs w:val="21"/>
          <w:highlight w:val="none"/>
          <w14:textFill>
            <w14:solidFill>
              <w14:schemeClr w14:val="tx1"/>
            </w14:solidFill>
          </w14:textFill>
        </w:rPr>
        <w:t>资格审查标准在第四章评审方法及标准中规定，符合资格审查标准要求的投标人即为资格审查合格。</w:t>
      </w:r>
    </w:p>
    <w:p w14:paraId="79088FFC">
      <w:pPr>
        <w:spacing w:before="120" w:line="276" w:lineRule="auto"/>
        <w:ind w:left="2" w:leftChars="1" w:firstLine="420" w:firstLineChars="200"/>
        <w:outlineLvl w:val="1"/>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5.3</w:t>
      </w:r>
      <w:r>
        <w:rPr>
          <w:rFonts w:hint="eastAsia"/>
          <w:color w:val="000000" w:themeColor="text1"/>
          <w:kern w:val="0"/>
          <w:szCs w:val="21"/>
          <w:highlight w:val="none"/>
          <w14:textFill>
            <w14:solidFill>
              <w14:schemeClr w14:val="tx1"/>
            </w14:solidFill>
          </w14:textFill>
        </w:rPr>
        <w:t>投标人有下列情形之一的，资格审查不合格，作无效投标处理：</w:t>
      </w:r>
    </w:p>
    <w:p w14:paraId="76BA3FE9">
      <w:pPr>
        <w:spacing w:line="276" w:lineRule="auto"/>
        <w:ind w:firstLine="420" w:firstLineChars="200"/>
        <w:rPr>
          <w:rFonts w:hint="eastAsia"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.3.1</w:t>
      </w:r>
      <w:r>
        <w:rPr>
          <w:rFonts w:hint="eastAsia"/>
          <w:color w:val="000000" w:themeColor="text1"/>
          <w:szCs w:val="21"/>
          <w:highlight w:val="none"/>
          <w14:textFill>
            <w14:solidFill>
              <w14:schemeClr w14:val="tx1"/>
            </w14:solidFill>
          </w14:textFill>
        </w:rPr>
        <w:t>不具备招标文件中规定的资格要求或资格条件的； （注：其中信用查询规则见“投标人须知前附表”，广西政府采购云平台已与“信用中国”平台做接口，可直接在线查询）</w:t>
      </w:r>
    </w:p>
    <w:p w14:paraId="50F2B64B">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.3.2</w:t>
      </w:r>
      <w:r>
        <w:rPr>
          <w:rFonts w:hint="eastAsia"/>
          <w:color w:val="000000" w:themeColor="text1"/>
          <w:szCs w:val="21"/>
          <w:highlight w:val="none"/>
          <w14:textFill>
            <w14:solidFill>
              <w14:schemeClr w14:val="tx1"/>
            </w14:solidFill>
          </w14:textFill>
        </w:rPr>
        <w:t>投标文件缺少任何一项资格证明文件或不符合第四章评审方法及标准中资格审查标准规定的评审内容的；</w:t>
      </w:r>
    </w:p>
    <w:p w14:paraId="208496F3">
      <w:pPr>
        <w:spacing w:before="120" w:line="276" w:lineRule="auto"/>
        <w:ind w:left="2" w:leftChars="1" w:firstLine="420" w:firstLineChars="200"/>
        <w:outlineLvl w:val="1"/>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5.4</w:t>
      </w:r>
      <w:r>
        <w:rPr>
          <w:rFonts w:hint="eastAsia"/>
          <w:color w:val="000000" w:themeColor="text1"/>
          <w:kern w:val="0"/>
          <w:szCs w:val="21"/>
          <w:highlight w:val="none"/>
          <w14:textFill>
            <w14:solidFill>
              <w14:schemeClr w14:val="tx1"/>
            </w14:solidFill>
          </w14:textFill>
        </w:rPr>
        <w:t>资格审查合格的投标人不足3家的，不得评审。</w:t>
      </w:r>
    </w:p>
    <w:bookmarkEnd w:id="84"/>
    <w:p w14:paraId="137DED23">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bookmarkStart w:id="85" w:name="_Hlk93420990"/>
      <w:r>
        <w:rPr>
          <w:b/>
          <w:color w:val="000000" w:themeColor="text1"/>
          <w:kern w:val="0"/>
          <w:szCs w:val="21"/>
          <w:highlight w:val="none"/>
          <w14:textFill>
            <w14:solidFill>
              <w14:schemeClr w14:val="tx1"/>
            </w14:solidFill>
          </w14:textFill>
        </w:rPr>
        <w:t>6</w:t>
      </w:r>
      <w:r>
        <w:rPr>
          <w:rFonts w:hint="eastAsia"/>
          <w:b/>
          <w:color w:val="000000" w:themeColor="text1"/>
          <w:kern w:val="0"/>
          <w:szCs w:val="21"/>
          <w:highlight w:val="none"/>
          <w14:textFill>
            <w14:solidFill>
              <w14:schemeClr w14:val="tx1"/>
            </w14:solidFill>
          </w14:textFill>
        </w:rPr>
        <w:t>．评审</w:t>
      </w:r>
    </w:p>
    <w:p w14:paraId="6A665882">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6.1</w:t>
      </w:r>
      <w:r>
        <w:rPr>
          <w:rFonts w:hint="eastAsia"/>
          <w:b/>
          <w:color w:val="000000" w:themeColor="text1"/>
          <w:kern w:val="0"/>
          <w:szCs w:val="21"/>
          <w:highlight w:val="none"/>
          <w14:textFill>
            <w14:solidFill>
              <w14:schemeClr w14:val="tx1"/>
            </w14:solidFill>
          </w14:textFill>
        </w:rPr>
        <w:t>评审委员会及评审原则</w:t>
      </w:r>
    </w:p>
    <w:p w14:paraId="64C813D8">
      <w:pPr>
        <w:spacing w:before="120" w:line="320" w:lineRule="atLeast"/>
        <w:ind w:firstLine="420" w:firstLineChars="200"/>
        <w:rPr>
          <w:color w:val="000000" w:themeColor="text1"/>
          <w:szCs w:val="21"/>
          <w:highlight w:val="none"/>
          <w14:textFill>
            <w14:solidFill>
              <w14:schemeClr w14:val="tx1"/>
            </w14:solidFill>
          </w14:textFill>
        </w:rPr>
      </w:pPr>
      <w:bookmarkStart w:id="86" w:name="_Hlk91249317"/>
      <w:r>
        <w:rPr>
          <w:rFonts w:hint="eastAsia"/>
          <w:color w:val="000000" w:themeColor="text1"/>
          <w:szCs w:val="21"/>
          <w:highlight w:val="none"/>
          <w14:textFill>
            <w14:solidFill>
              <w14:schemeClr w14:val="tx1"/>
            </w14:solidFill>
          </w14:textFill>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5633234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0A7E875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24B87D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6.1.4本项目评审过程实行全程网上留痕及录音、录像监控，投标人在评审过程中所进行的试图影响评审结果的不公正活动，可能导致其投标按无效处理。</w:t>
      </w:r>
    </w:p>
    <w:bookmarkEnd w:id="86"/>
    <w:p w14:paraId="5E0C3E7F">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bookmarkStart w:id="87" w:name="_Hlk91324148"/>
      <w:r>
        <w:rPr>
          <w:b/>
          <w:color w:val="000000" w:themeColor="text1"/>
          <w:kern w:val="0"/>
          <w:szCs w:val="21"/>
          <w:highlight w:val="none"/>
          <w14:textFill>
            <w14:solidFill>
              <w14:schemeClr w14:val="tx1"/>
            </w14:solidFill>
          </w14:textFill>
        </w:rPr>
        <w:t>6.2</w:t>
      </w:r>
      <w:r>
        <w:rPr>
          <w:rFonts w:hint="eastAsia"/>
          <w:b/>
          <w:color w:val="000000" w:themeColor="text1"/>
          <w:kern w:val="0"/>
          <w:szCs w:val="21"/>
          <w:highlight w:val="none"/>
          <w14:textFill>
            <w14:solidFill>
              <w14:schemeClr w14:val="tx1"/>
            </w14:solidFill>
          </w14:textFill>
        </w:rPr>
        <w:t>评审方法及依据</w:t>
      </w:r>
    </w:p>
    <w:p w14:paraId="13ECA3BA">
      <w:pPr>
        <w:spacing w:before="120" w:line="320" w:lineRule="atLeast"/>
        <w:ind w:firstLine="420" w:firstLineChars="20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6.2.1</w:t>
      </w:r>
      <w:r>
        <w:rPr>
          <w:rFonts w:hint="eastAsia"/>
          <w:color w:val="000000" w:themeColor="text1"/>
          <w:kern w:val="0"/>
          <w:szCs w:val="21"/>
          <w:highlight w:val="none"/>
          <w14:textFill>
            <w14:solidFill>
              <w14:schemeClr w14:val="tx1"/>
            </w14:solidFill>
          </w14:textFill>
        </w:rPr>
        <w:t>本项目采用第四章评审方法及标准规定的方法进行评审。</w:t>
      </w:r>
    </w:p>
    <w:p w14:paraId="5413365E">
      <w:pPr>
        <w:suppressAutoHyphens/>
        <w:spacing w:before="120" w:line="320" w:lineRule="atLeast"/>
        <w:ind w:firstLine="420" w:firstLineChars="20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6.2.2</w:t>
      </w:r>
      <w:r>
        <w:rPr>
          <w:rFonts w:hint="eastAsia"/>
          <w:color w:val="000000" w:themeColor="text1"/>
          <w:highlight w:val="none"/>
          <w14:textFill>
            <w14:solidFill>
              <w14:schemeClr w14:val="tx1"/>
            </w14:solidFill>
          </w14:textFill>
        </w:rPr>
        <w:t>评审委员会以招标文件、补充文件、投标文件、澄清及答复为评审依据，</w:t>
      </w:r>
      <w:r>
        <w:rPr>
          <w:rFonts w:hint="eastAsia"/>
          <w:color w:val="000000" w:themeColor="text1"/>
          <w:kern w:val="0"/>
          <w:szCs w:val="21"/>
          <w:highlight w:val="none"/>
          <w14:textFill>
            <w14:solidFill>
              <w14:schemeClr w14:val="tx1"/>
            </w14:solidFill>
          </w14:textFill>
        </w:rPr>
        <w:t>第四章评审方法及标准没有规定的评审方法、标准及因素，不得作为评审依据。</w:t>
      </w:r>
    </w:p>
    <w:bookmarkEnd w:id="87"/>
    <w:p w14:paraId="5D968BA5">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bookmarkStart w:id="88" w:name="_Hlk91324322"/>
      <w:r>
        <w:rPr>
          <w:b/>
          <w:color w:val="000000" w:themeColor="text1"/>
          <w:kern w:val="0"/>
          <w:szCs w:val="21"/>
          <w:highlight w:val="none"/>
          <w14:textFill>
            <w14:solidFill>
              <w14:schemeClr w14:val="tx1"/>
            </w14:solidFill>
          </w14:textFill>
        </w:rPr>
        <w:t>6.3</w:t>
      </w:r>
      <w:r>
        <w:rPr>
          <w:rFonts w:hint="eastAsia"/>
          <w:b/>
          <w:color w:val="000000" w:themeColor="text1"/>
          <w:kern w:val="0"/>
          <w:szCs w:val="21"/>
          <w:highlight w:val="none"/>
          <w14:textFill>
            <w14:solidFill>
              <w14:schemeClr w14:val="tx1"/>
            </w14:solidFill>
          </w14:textFill>
        </w:rPr>
        <w:t>评审程序</w:t>
      </w:r>
    </w:p>
    <w:p w14:paraId="2AF48BC1">
      <w:pPr>
        <w:spacing w:before="120" w:line="320" w:lineRule="atLeas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bookmarkStart w:id="89" w:name="_Hlk19175507"/>
      <w:bookmarkStart w:id="90" w:name="_Hlk80956880"/>
      <w:r>
        <w:rPr>
          <w:color w:val="000000" w:themeColor="text1"/>
          <w:highlight w:val="none"/>
          <w14:textFill>
            <w14:solidFill>
              <w14:schemeClr w14:val="tx1"/>
            </w14:solidFill>
          </w14:textFill>
        </w:rPr>
        <w:t>3.1</w:t>
      </w:r>
      <w:r>
        <w:rPr>
          <w:rFonts w:hint="eastAsia"/>
          <w:color w:val="000000" w:themeColor="text1"/>
          <w:highlight w:val="none"/>
          <w14:textFill>
            <w14:solidFill>
              <w14:schemeClr w14:val="tx1"/>
            </w14:solidFill>
          </w14:textFill>
        </w:rPr>
        <w:t>符合性审查</w:t>
      </w:r>
    </w:p>
    <w:p w14:paraId="1F788B0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kern w:val="1"/>
          <w:szCs w:val="21"/>
          <w:highlight w:val="none"/>
          <w14:textFill>
            <w14:solidFill>
              <w14:schemeClr w14:val="tx1"/>
            </w14:solidFill>
          </w14:textFill>
        </w:rPr>
        <w:t>资格审查结束后，</w:t>
      </w:r>
      <w:r>
        <w:rPr>
          <w:rFonts w:hint="eastAsia" w:hAnsi="宋体"/>
          <w:color w:val="000000" w:themeColor="text1"/>
          <w:highlight w:val="none"/>
          <w14:textFill>
            <w14:solidFill>
              <w14:schemeClr w14:val="tx1"/>
            </w14:solidFill>
          </w14:textFill>
        </w:rPr>
        <w:t>评审委员会对</w:t>
      </w:r>
      <w:r>
        <w:rPr>
          <w:rFonts w:hint="eastAsia"/>
          <w:color w:val="000000" w:themeColor="text1"/>
          <w:highlight w:val="none"/>
          <w14:textFill>
            <w14:solidFill>
              <w14:schemeClr w14:val="tx1"/>
            </w14:solidFill>
          </w14:textFill>
        </w:rPr>
        <w:t>通过资格审查的投标人</w:t>
      </w:r>
      <w:r>
        <w:rPr>
          <w:rFonts w:hint="eastAsia" w:hAnsi="宋体"/>
          <w:color w:val="000000" w:themeColor="text1"/>
          <w:highlight w:val="none"/>
          <w14:textFill>
            <w14:solidFill>
              <w14:schemeClr w14:val="tx1"/>
            </w14:solidFill>
          </w14:textFill>
        </w:rPr>
        <w:t>的投标文件报价、商务资信、技术等方面实质性内容进行符合性审查，</w:t>
      </w:r>
      <w:r>
        <w:rPr>
          <w:rFonts w:hint="eastAsia"/>
          <w:color w:val="000000" w:themeColor="text1"/>
          <w:szCs w:val="21"/>
          <w:highlight w:val="none"/>
          <w14:textFill>
            <w14:solidFill>
              <w14:schemeClr w14:val="tx1"/>
            </w14:solidFill>
          </w14:textFill>
        </w:rPr>
        <w:t>符合性审查标准详见第四章评审方法及标准。</w:t>
      </w:r>
    </w:p>
    <w:bookmarkEnd w:id="89"/>
    <w:bookmarkEnd w:id="90"/>
    <w:p w14:paraId="01425DE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.3.2</w:t>
      </w:r>
      <w:r>
        <w:rPr>
          <w:rFonts w:hint="eastAsia" w:hAnsi="宋体"/>
          <w:color w:val="000000" w:themeColor="text1"/>
          <w:highlight w:val="none"/>
          <w14:textFill>
            <w14:solidFill>
              <w14:schemeClr w14:val="tx1"/>
            </w14:solidFill>
          </w14:textFill>
        </w:rPr>
        <w:t>强制性</w:t>
      </w:r>
      <w:r>
        <w:rPr>
          <w:rFonts w:hint="eastAsia"/>
          <w:color w:val="000000" w:themeColor="text1"/>
          <w:szCs w:val="21"/>
          <w:highlight w:val="none"/>
          <w14:textFill>
            <w14:solidFill>
              <w14:schemeClr w14:val="tx1"/>
            </w14:solidFill>
          </w14:textFill>
        </w:rPr>
        <w:t>采购要求（仅适用于货物采购项目）</w:t>
      </w:r>
    </w:p>
    <w:p w14:paraId="2D128350">
      <w:pPr>
        <w:suppressAutoHyphens/>
        <w:spacing w:before="120" w:line="320" w:lineRule="atLeast"/>
        <w:ind w:firstLine="422" w:firstLineChars="201"/>
        <w:rPr>
          <w:color w:val="000000" w:themeColor="text1"/>
          <w:szCs w:val="21"/>
          <w:highlight w:val="none"/>
          <w14:textFill>
            <w14:solidFill>
              <w14:schemeClr w14:val="tx1"/>
            </w14:solidFill>
          </w14:textFill>
        </w:rPr>
      </w:pPr>
      <w:bookmarkStart w:id="91" w:name="_Hlk47714684"/>
      <w:r>
        <w:rPr>
          <w:rFonts w:hint="eastAsia"/>
          <w:color w:val="000000" w:themeColor="text1"/>
          <w:szCs w:val="21"/>
          <w:highlight w:val="none"/>
          <w14:textFill>
            <w14:solidFill>
              <w14:schemeClr w14:val="tx1"/>
            </w14:solidFill>
          </w14:textFill>
        </w:rPr>
        <w:t>（1）</w:t>
      </w:r>
      <w:bookmarkEnd w:id="91"/>
      <w:r>
        <w:rPr>
          <w:rFonts w:hint="eastAsia"/>
          <w:color w:val="000000" w:themeColor="text1"/>
          <w:szCs w:val="21"/>
          <w:highlight w:val="none"/>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3B8FAEDB">
      <w:pPr>
        <w:spacing w:before="120" w:line="276" w:lineRule="auto"/>
        <w:ind w:firstLine="420" w:firstLineChars="200"/>
        <w:rPr>
          <w:color w:val="000000" w:themeColor="text1"/>
          <w:szCs w:val="21"/>
          <w:highlight w:val="none"/>
          <w14:textFill>
            <w14:solidFill>
              <w14:schemeClr w14:val="tx1"/>
            </w14:solidFill>
          </w14:textFill>
        </w:rPr>
      </w:pPr>
      <w:bookmarkStart w:id="92" w:name="_Hlk138843020"/>
      <w:r>
        <w:rPr>
          <w:rFonts w:hint="eastAsia"/>
          <w:color w:val="000000" w:themeColor="text1"/>
          <w:szCs w:val="21"/>
          <w:highlight w:val="none"/>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1D6CD7D">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注：网络安全专用产品在中共中央网络安全和信息化委员会办公室网站上发布的《网络关键设备和网络安全专用产品目录》中查询。</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“网络安全专用产品”内“产品类别”共34类：数据备份与恢复产品、防火墙、入侵检测系统（I</w:t>
      </w:r>
      <w:r>
        <w:rPr>
          <w:color w:val="000000" w:themeColor="text1"/>
          <w:szCs w:val="21"/>
          <w:highlight w:val="none"/>
          <w14:textFill>
            <w14:solidFill>
              <w14:schemeClr w14:val="tx1"/>
            </w14:solidFill>
          </w14:textFill>
        </w:rPr>
        <w:t>DS</w:t>
      </w:r>
      <w:r>
        <w:rPr>
          <w:rFonts w:hint="eastAsia"/>
          <w:color w:val="000000" w:themeColor="text1"/>
          <w:szCs w:val="21"/>
          <w:highlight w:val="none"/>
          <w14:textFill>
            <w14:solidFill>
              <w14:schemeClr w14:val="tx1"/>
            </w14:solidFill>
          </w14:textFill>
        </w:rPr>
        <w:t>）、入侵防御系统（</w:t>
      </w:r>
      <w:r>
        <w:rPr>
          <w:color w:val="000000" w:themeColor="text1"/>
          <w:szCs w:val="21"/>
          <w:highlight w:val="none"/>
          <w14:textFill>
            <w14:solidFill>
              <w14:schemeClr w14:val="tx1"/>
            </w14:solidFill>
          </w14:textFill>
        </w:rPr>
        <w:t>IPS</w:t>
      </w:r>
      <w:r>
        <w:rPr>
          <w:rFonts w:hint="eastAsia"/>
          <w:color w:val="000000" w:themeColor="text1"/>
          <w:szCs w:val="21"/>
          <w:highlight w:val="none"/>
          <w14:textFill>
            <w14:solidFill>
              <w14:schemeClr w14:val="tx1"/>
            </w14:solidFill>
          </w14:textFill>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92"/>
    <w:p w14:paraId="34FB7B73">
      <w:pPr>
        <w:spacing w:before="120" w:line="320" w:lineRule="atLeas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6.3.3</w:t>
      </w:r>
      <w:r>
        <w:rPr>
          <w:rFonts w:hint="eastAsia"/>
          <w:color w:val="000000" w:themeColor="text1"/>
          <w:highlight w:val="none"/>
          <w14:textFill>
            <w14:solidFill>
              <w14:schemeClr w14:val="tx1"/>
            </w14:solidFill>
          </w14:textFill>
        </w:rPr>
        <w:t>澄清、说明或补正</w:t>
      </w:r>
    </w:p>
    <w:p w14:paraId="5B6A0FBD">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（1）对投标文件中含义不明确、同类问题表述不一致或者有明显文字和计算错误的内容，评审委员会应在</w:t>
      </w:r>
      <w:r>
        <w:rPr>
          <w:rFonts w:hint="eastAsia"/>
          <w:color w:val="000000" w:themeColor="text1"/>
          <w:szCs w:val="21"/>
          <w:highlight w:val="none"/>
          <w14:textFill>
            <w14:solidFill>
              <w14:schemeClr w14:val="tx1"/>
            </w14:solidFill>
          </w14:textFill>
        </w:rPr>
        <w:t>广西政府采购云平台</w:t>
      </w:r>
      <w:r>
        <w:rPr>
          <w:rFonts w:hint="eastAsia"/>
          <w:color w:val="000000" w:themeColor="text1"/>
          <w:highlight w:val="none"/>
          <w14:textFill>
            <w14:solidFill>
              <w14:schemeClr w14:val="tx1"/>
            </w14:solidFill>
          </w14:textFill>
        </w:rPr>
        <w:t>发布电子澄清函，要求投标人在平台设置的时间内作出必要的澄清、说明或者补正。投标人在</w:t>
      </w:r>
      <w:r>
        <w:rPr>
          <w:rFonts w:hint="eastAsia"/>
          <w:color w:val="000000" w:themeColor="text1"/>
          <w:szCs w:val="21"/>
          <w:highlight w:val="none"/>
          <w14:textFill>
            <w14:solidFill>
              <w14:schemeClr w14:val="tx1"/>
            </w14:solidFill>
          </w14:textFill>
        </w:rPr>
        <w:t>广西政府采购云平台</w:t>
      </w:r>
      <w:r>
        <w:rPr>
          <w:rFonts w:hint="eastAsia"/>
          <w:color w:val="000000" w:themeColor="text1"/>
          <w:highlight w:val="none"/>
          <w14:textFill>
            <w14:solidFill>
              <w14:schemeClr w14:val="tx1"/>
            </w14:solidFill>
          </w14:textFill>
        </w:rPr>
        <w:t>接收到电子澄清函后根据澄清函内容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0BB2151E">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48CE737E">
      <w:pPr>
        <w:spacing w:before="120" w:line="320" w:lineRule="atLeas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6.3.4</w:t>
      </w:r>
      <w:r>
        <w:rPr>
          <w:rFonts w:hint="eastAsia"/>
          <w:color w:val="000000" w:themeColor="text1"/>
          <w:highlight w:val="none"/>
          <w14:textFill>
            <w14:solidFill>
              <w14:schemeClr w14:val="tx1"/>
            </w14:solidFill>
          </w14:textFill>
        </w:rPr>
        <w:t>报价修正</w:t>
      </w:r>
    </w:p>
    <w:p w14:paraId="5B065970">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（1）报价出现前后不一致的，按照下列规定修正：</w:t>
      </w:r>
    </w:p>
    <w:p w14:paraId="665DBA7B">
      <w:pPr>
        <w:spacing w:before="120" w:line="320" w:lineRule="atLeast"/>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w:t>
      </w:r>
      <w:r>
        <w:rPr>
          <w:rFonts w:hint="eastAsia"/>
          <w:color w:val="000000" w:themeColor="text1"/>
          <w:szCs w:val="21"/>
          <w:highlight w:val="none"/>
          <w14:textFill>
            <w14:solidFill>
              <w14:schemeClr w14:val="tx1"/>
            </w14:solidFill>
          </w14:textFill>
        </w:rPr>
        <w:t>投标文件中开标一览表（报价表）内容与投标文件中相应内容不一致的，以开标一览表（报价表）为准；</w:t>
      </w:r>
    </w:p>
    <w:p w14:paraId="005552CF">
      <w:pPr>
        <w:spacing w:before="120" w:line="320" w:lineRule="atLeast"/>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w:t>
      </w:r>
      <w:r>
        <w:rPr>
          <w:rFonts w:hint="eastAsia"/>
          <w:color w:val="000000" w:themeColor="text1"/>
          <w:szCs w:val="21"/>
          <w:highlight w:val="none"/>
          <w14:textFill>
            <w14:solidFill>
              <w14:schemeClr w14:val="tx1"/>
            </w14:solidFill>
          </w14:textFill>
        </w:rPr>
        <w:t>大写金额和小写金额不一致的，以大写金额为准；</w:t>
      </w:r>
    </w:p>
    <w:p w14:paraId="78A23B1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③单价金额小数点或者百分比有明显错位的，以开标一览表的总价为准，并修改单价；</w:t>
      </w:r>
    </w:p>
    <w:p w14:paraId="62D995AA">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④总价金额与按单价汇总金额不一致的，以单价金额计算结果为准。</w:t>
      </w:r>
    </w:p>
    <w:p w14:paraId="033E80B1">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同时出现两种以上不一致的，按照上述</w:t>
      </w:r>
      <w:r>
        <w:rPr>
          <w:rFonts w:hint="eastAsia" w:ascii="宋体" w:hAnsi="宋体"/>
          <w:color w:val="000000" w:themeColor="text1"/>
          <w:szCs w:val="21"/>
          <w:highlight w:val="none"/>
          <w14:textFill>
            <w14:solidFill>
              <w14:schemeClr w14:val="tx1"/>
            </w14:solidFill>
          </w14:textFill>
        </w:rPr>
        <w:t>①-</w:t>
      </w:r>
      <w:r>
        <w:rPr>
          <w:rFonts w:hint="eastAsia"/>
          <w:color w:val="000000" w:themeColor="text1"/>
          <w:szCs w:val="21"/>
          <w:highlight w:val="none"/>
          <w14:textFill>
            <w14:solidFill>
              <w14:schemeClr w14:val="tx1"/>
            </w14:solidFill>
          </w14:textFill>
        </w:rPr>
        <w:t>④顺序修正。修正后的报价按照上述“</w:t>
      </w:r>
      <w:r>
        <w:rPr>
          <w:color w:val="000000" w:themeColor="text1"/>
          <w:szCs w:val="21"/>
          <w:highlight w:val="none"/>
          <w14:textFill>
            <w14:solidFill>
              <w14:schemeClr w14:val="tx1"/>
            </w14:solidFill>
          </w14:textFill>
        </w:rPr>
        <w:t>6.3.3</w:t>
      </w:r>
      <w:r>
        <w:rPr>
          <w:rFonts w:hint="eastAsia"/>
          <w:color w:val="000000" w:themeColor="text1"/>
          <w:szCs w:val="21"/>
          <w:highlight w:val="none"/>
          <w14:textFill>
            <w14:solidFill>
              <w14:schemeClr w14:val="tx1"/>
            </w14:solidFill>
          </w14:textFill>
        </w:rPr>
        <w:t>澄清、说明或补正”的规定经投标人确认后产生约束力，投标人不确认的，其投标无效。</w:t>
      </w:r>
    </w:p>
    <w:p w14:paraId="44BD025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Pr>
          <w:color w:val="000000" w:themeColor="text1"/>
          <w:szCs w:val="21"/>
          <w:highlight w:val="none"/>
          <w14:textFill>
            <w14:solidFill>
              <w14:schemeClr w14:val="tx1"/>
            </w14:solidFill>
          </w14:textFill>
        </w:rPr>
        <w:t>6.3.3</w:t>
      </w:r>
      <w:r>
        <w:rPr>
          <w:rFonts w:hint="eastAsia"/>
          <w:color w:val="000000" w:themeColor="text1"/>
          <w:szCs w:val="21"/>
          <w:highlight w:val="none"/>
          <w14:textFill>
            <w14:solidFill>
              <w14:schemeClr w14:val="tx1"/>
            </w14:solidFill>
          </w14:textFill>
        </w:rPr>
        <w:t>澄清、说明或补正”的规定提交。投标人未按规定提交或不能证明其报价合理性的，评审委员会应当将其作为无效投标处理。</w:t>
      </w:r>
    </w:p>
    <w:p w14:paraId="22C0889C">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）经投标人确认修正后的报价若超过采购预算金额或者最高限价，其投标文件作无效投标处理。</w:t>
      </w:r>
    </w:p>
    <w:p w14:paraId="35B2A35B">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）经投标人确认修正后的报价作为签订合同的依据，并以此报价计算价格分。</w:t>
      </w:r>
    </w:p>
    <w:p w14:paraId="5E7F82FF">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6.3.5异常低价审查</w:t>
      </w:r>
    </w:p>
    <w:p w14:paraId="1565AC64">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w:t>
      </w:r>
      <w:r>
        <w:rPr>
          <w:rFonts w:hint="eastAsia"/>
          <w:color w:val="000000" w:themeColor="text1"/>
          <w:szCs w:val="21"/>
          <w:highlight w:val="none"/>
          <w14:textFill>
            <w14:solidFill>
              <w14:schemeClr w14:val="tx1"/>
            </w14:solidFill>
          </w14:textFill>
        </w:rPr>
        <w:t>异常低价审查情形见</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投标人须知</w:t>
      </w:r>
      <w:r>
        <w:rPr>
          <w:color w:val="000000" w:themeColor="text1"/>
          <w:szCs w:val="21"/>
          <w:highlight w:val="none"/>
          <w14:textFill>
            <w14:solidFill>
              <w14:schemeClr w14:val="tx1"/>
            </w14:solidFill>
          </w14:textFill>
        </w:rPr>
        <w:t>前附表”规定。</w:t>
      </w:r>
    </w:p>
    <w:p w14:paraId="74BE1215">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554DED6">
      <w:pPr>
        <w:spacing w:before="120" w:line="320" w:lineRule="atLeast"/>
        <w:ind w:firstLine="420" w:firstLineChars="200"/>
        <w:rPr>
          <w:strike/>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48D8F8EB">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异常低价投标审查的启动原因、审查意见和审查结果应当在评审报告中记录，并随供应商提供的相关书面说明及证明材料，以及评审委员会有关互联网浏览、查询历史一并归档。</w:t>
      </w:r>
    </w:p>
    <w:p w14:paraId="1A1F95F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书面证明应当按照上述“</w:t>
      </w:r>
      <w:r>
        <w:rPr>
          <w:color w:val="000000" w:themeColor="text1"/>
          <w:szCs w:val="21"/>
          <w:highlight w:val="none"/>
          <w14:textFill>
            <w14:solidFill>
              <w14:schemeClr w14:val="tx1"/>
            </w14:solidFill>
          </w14:textFill>
        </w:rPr>
        <w:t>6.3.3</w:t>
      </w:r>
      <w:r>
        <w:rPr>
          <w:rFonts w:hint="eastAsia"/>
          <w:color w:val="000000" w:themeColor="text1"/>
          <w:szCs w:val="21"/>
          <w:highlight w:val="none"/>
          <w14:textFill>
            <w14:solidFill>
              <w14:schemeClr w14:val="tx1"/>
            </w14:solidFill>
          </w14:textFill>
        </w:rPr>
        <w:t>澄清、说明或补正”的规定提交。</w:t>
      </w:r>
    </w:p>
    <w:p w14:paraId="656927B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6相同品牌认定（仅适用于货物采购项目）</w:t>
      </w:r>
    </w:p>
    <w:p w14:paraId="50D51321">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（1）单一产品采购项目，</w:t>
      </w:r>
      <w:r>
        <w:rPr>
          <w:rFonts w:hint="eastAsia"/>
          <w:color w:val="000000" w:themeColor="text1"/>
          <w:highlight w:val="none"/>
          <w14:textFill>
            <w14:solidFill>
              <w14:schemeClr w14:val="tx1"/>
            </w14:solidFill>
          </w14:textFill>
        </w:rPr>
        <w:t>不同投标人提供的产品品牌相同时，按以下规定确定</w:t>
      </w:r>
      <w:r>
        <w:rPr>
          <w:rFonts w:hint="eastAsia"/>
          <w:color w:val="000000" w:themeColor="text1"/>
          <w:kern w:val="0"/>
          <w:szCs w:val="21"/>
          <w:highlight w:val="none"/>
          <w14:textFill>
            <w14:solidFill>
              <w14:schemeClr w14:val="tx1"/>
            </w14:solidFill>
          </w14:textFill>
        </w:rPr>
        <w:t>相同品牌的投标有效性</w:t>
      </w:r>
      <w:r>
        <w:rPr>
          <w:rFonts w:hint="eastAsia"/>
          <w:color w:val="000000" w:themeColor="text1"/>
          <w:highlight w:val="none"/>
          <w14:textFill>
            <w14:solidFill>
              <w14:schemeClr w14:val="tx1"/>
            </w14:solidFill>
          </w14:textFill>
        </w:rPr>
        <w:t>。</w:t>
      </w:r>
    </w:p>
    <w:p w14:paraId="1470A56B">
      <w:pPr>
        <w:spacing w:before="120" w:line="320" w:lineRule="atLeast"/>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①采</w:t>
      </w:r>
      <w:r>
        <w:rPr>
          <w:rFonts w:hint="eastAsia"/>
          <w:color w:val="000000" w:themeColor="text1"/>
          <w:szCs w:val="21"/>
          <w:highlight w:val="none"/>
          <w14:textFill>
            <w14:solidFill>
              <w14:schemeClr w14:val="tx1"/>
            </w14:solidFill>
          </w14:textFill>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12D0CB42">
      <w:pPr>
        <w:spacing w:before="120" w:line="320" w:lineRule="atLeast"/>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w:t>
      </w:r>
      <w:r>
        <w:rPr>
          <w:rFonts w:hint="eastAsia"/>
          <w:color w:val="000000" w:themeColor="text1"/>
          <w:szCs w:val="21"/>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3F5617E8">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（2）非单一产品采购项目，采购人应当确定核心产品，并在招标文件中载明。不同投标人提供的核心产品品牌相同的，按上述规定处理。核心产品在第二章采购需求规定。</w:t>
      </w:r>
    </w:p>
    <w:p w14:paraId="1F0BC797">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6.3.</w:t>
      </w:r>
      <w:r>
        <w:rPr>
          <w:rFonts w:hint="eastAsia"/>
          <w:color w:val="000000" w:themeColor="text1"/>
          <w:szCs w:val="21"/>
          <w:highlight w:val="none"/>
          <w14:textFill>
            <w14:solidFill>
              <w14:schemeClr w14:val="tx1"/>
            </w14:solidFill>
          </w14:textFill>
        </w:rPr>
        <w:t>7串通投标认定</w:t>
      </w:r>
    </w:p>
    <w:p w14:paraId="12C64B97">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评审委员会须根据以下规定认定投标人是否有</w:t>
      </w:r>
      <w:r>
        <w:rPr>
          <w:rFonts w:hint="eastAsia"/>
          <w:color w:val="000000" w:themeColor="text1"/>
          <w:kern w:val="0"/>
          <w:szCs w:val="21"/>
          <w:highlight w:val="none"/>
          <w14:textFill>
            <w14:solidFill>
              <w14:schemeClr w14:val="tx1"/>
            </w14:solidFill>
          </w14:textFill>
        </w:rPr>
        <w:t>串通投标的行为</w:t>
      </w:r>
      <w:r>
        <w:rPr>
          <w:rFonts w:hint="eastAsia"/>
          <w:color w:val="000000" w:themeColor="text1"/>
          <w:highlight w:val="none"/>
          <w14:textFill>
            <w14:solidFill>
              <w14:schemeClr w14:val="tx1"/>
            </w14:solidFill>
          </w14:textFill>
        </w:rPr>
        <w:t>。</w:t>
      </w:r>
    </w:p>
    <w:p w14:paraId="783AB71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（1）根据《关于防治政府采购招标中串通投标行为的通知》（桂财采〔2016〕42号）规定，出现下述情况的，相关供应商的投标作无效投标处理。</w:t>
      </w:r>
    </w:p>
    <w:p w14:paraId="40AAD81F">
      <w:pPr>
        <w:spacing w:before="120" w:line="320" w:lineRule="atLeast"/>
        <w:ind w:firstLine="420" w:firstLineChars="200"/>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color w:val="000000" w:themeColor="text1"/>
          <w:szCs w:val="21"/>
          <w:highlight w:val="none"/>
          <w14:textFill>
            <w14:solidFill>
              <w14:schemeClr w14:val="tx1"/>
            </w14:solidFill>
          </w14:textFill>
        </w:rPr>
        <w:t>单位负责人为同一人或者存在直接控股、管理关系，参加同一合同项下政府采购活动的不同供应商。</w:t>
      </w:r>
    </w:p>
    <w:p w14:paraId="50DBF7BA">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②授权给供应商后参加同一合同项（分标、分包）投标的生产厂商。</w:t>
      </w:r>
    </w:p>
    <w:p w14:paraId="02DE1789">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③视为或被认定为串通投标的相关供应商。</w:t>
      </w:r>
    </w:p>
    <w:p w14:paraId="5B5DFF8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（2）根据《关于防治政府采购招标中串通投标行为的通知》（桂财采〔2016〕42号）规定，有下列情形之一的视为投标人相互串通投标，投标文件将被视为无效。</w:t>
      </w:r>
    </w:p>
    <w:p w14:paraId="0640FE9E">
      <w:pPr>
        <w:spacing w:before="120" w:line="320" w:lineRule="atLeast"/>
        <w:ind w:firstLine="420" w:firstLineChars="200"/>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color w:val="000000" w:themeColor="text1"/>
          <w:szCs w:val="21"/>
          <w:highlight w:val="none"/>
          <w14:textFill>
            <w14:solidFill>
              <w14:schemeClr w14:val="tx1"/>
            </w14:solidFill>
          </w14:textFill>
        </w:rPr>
        <w:t>不同投标人的投标文件由同一单位或者个人编制；或不同投标人报名的IP地址一致的；</w:t>
      </w:r>
    </w:p>
    <w:p w14:paraId="4D3C73DC">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②不同投标人委托同一单位或者个人办理投标事宜；</w:t>
      </w:r>
    </w:p>
    <w:p w14:paraId="4EDBB32C">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③不同的投标人的投标文件载明的项目管理员为同一个人；</w:t>
      </w:r>
    </w:p>
    <w:p w14:paraId="0BA5BEDC">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④不同投标人的投标文件异常一致或投标报价呈规律性差异；</w:t>
      </w:r>
    </w:p>
    <w:p w14:paraId="461A06C1">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⑤不同投标人的投标文件相互混装；</w:t>
      </w:r>
    </w:p>
    <w:p w14:paraId="347E3C15">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⑥不同投标人的保证金从同一单位或者个人账户转出。</w:t>
      </w:r>
    </w:p>
    <w:p w14:paraId="6BF35841">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（3）根据《关于防治政府采购招标中串通投标行为的通知》（桂财采〔2016〕42号）规定，供应商有下列情形之一的，属于恶意串通行为，投标文件将被视为无效。</w:t>
      </w:r>
    </w:p>
    <w:p w14:paraId="47644504">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①供应商直接或者间接从采购人或者采购代理机构处获得其他供应商的相关信息并修改其投标文件或者响应文件；</w:t>
      </w:r>
    </w:p>
    <w:p w14:paraId="0C6A7D1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②供应商按照采购人或者采购代理机构的授意撤换、修改投标文件或者响应文件;</w:t>
      </w:r>
    </w:p>
    <w:p w14:paraId="145B554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③供应商之间协商报价、技术方案等投标文件或者响应文件的实质性内容；</w:t>
      </w:r>
    </w:p>
    <w:p w14:paraId="534FFF4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④属于同一集团、协会、商会等组织成员的供应商按照该组织要求协同参加政府采购活动；</w:t>
      </w:r>
    </w:p>
    <w:p w14:paraId="4479FDB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2D3D8FD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⑥供应商之间商定部分供应商放弃参加政府采购活动或者放弃中标；</w:t>
      </w:r>
    </w:p>
    <w:p w14:paraId="37B73072">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⑦供应商与采购人或者采购代理机构之间、供应商相互之间，为谋求特定供应商中标或者排斥其他供应商的其他串通行为。</w:t>
      </w:r>
    </w:p>
    <w:p w14:paraId="7C93A096">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6.3.</w:t>
      </w:r>
      <w:r>
        <w:rPr>
          <w:rFonts w:hint="eastAsia"/>
          <w:color w:val="000000" w:themeColor="text1"/>
          <w:szCs w:val="21"/>
          <w:highlight w:val="none"/>
          <w14:textFill>
            <w14:solidFill>
              <w14:schemeClr w14:val="tx1"/>
            </w14:solidFill>
          </w14:textFill>
        </w:rPr>
        <w:t>8投标无效认定</w:t>
      </w:r>
    </w:p>
    <w:p w14:paraId="791BDC55">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）在评审过程中如发现下列情形之一的，投标文件将被视为无效：</w:t>
      </w:r>
    </w:p>
    <w:p w14:paraId="369F2212">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①投标文件存在法律、法规及监督部门有关文件规定的无效情形。</w:t>
      </w:r>
    </w:p>
    <w:p w14:paraId="0CAFFD2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②投标文件存在招标文件规定的无效情形。</w:t>
      </w:r>
    </w:p>
    <w:p w14:paraId="65763F8B">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77EDD7F4">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6.3.</w:t>
      </w:r>
      <w:r>
        <w:rPr>
          <w:rFonts w:hint="eastAsia"/>
          <w:color w:val="000000" w:themeColor="text1"/>
          <w:szCs w:val="21"/>
          <w:highlight w:val="none"/>
          <w14:textFill>
            <w14:solidFill>
              <w14:schemeClr w14:val="tx1"/>
            </w14:solidFill>
          </w14:textFill>
        </w:rPr>
        <w:t>9比较与评价</w:t>
      </w:r>
    </w:p>
    <w:p w14:paraId="4F25F5EF">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（1）评审委员会按招标文件中规定的评审方法和标准，对符合性审查合格的投标文件进行综合比较与评价。</w:t>
      </w:r>
    </w:p>
    <w:p w14:paraId="787AA991">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（2）评审委员会各成员独立对每个有效供应商的投标文件进行评价。评价有误的应及时进行修正。评分标准如有客观分定义，评审委员会所有成员的客观分评分分值应当一致。</w:t>
      </w:r>
    </w:p>
    <w:p w14:paraId="68B8232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（3）评审委员会按综合评分由高到低的排列顺序推荐中标候选人，中标候选人最多不超过3名。A分标：若中标候选人综合评分相同的，按投标报价由低到高顺序排列；综合评分且投标报价相同的</w:t>
      </w:r>
      <w:r>
        <w:rPr>
          <w:rFonts w:hint="eastAsia"/>
          <w:color w:val="000000" w:themeColor="text1"/>
          <w:highlight w:val="none"/>
          <w14:textFill>
            <w14:solidFill>
              <w14:schemeClr w14:val="tx1"/>
            </w14:solidFill>
          </w14:textFill>
        </w:rPr>
        <w:t>并列</w:t>
      </w:r>
      <w:r>
        <w:rPr>
          <w:rFonts w:hint="eastAsia"/>
          <w:color w:val="000000" w:themeColor="text1"/>
          <w:szCs w:val="21"/>
          <w:highlight w:val="none"/>
          <w14:textFill>
            <w14:solidFill>
              <w14:schemeClr w14:val="tx1"/>
            </w14:solidFill>
          </w14:textFill>
        </w:rPr>
        <w:t>；中标候选人并列的，按</w:t>
      </w:r>
      <w:r>
        <w:rPr>
          <w:rFonts w:ascii="Arial" w:hAnsi="Arial" w:cs="Arial"/>
          <w:color w:val="000000" w:themeColor="text1"/>
          <w:szCs w:val="21"/>
          <w:highlight w:val="none"/>
          <w14:textFill>
            <w14:solidFill>
              <w14:schemeClr w14:val="tx1"/>
            </w14:solidFill>
          </w14:textFill>
        </w:rPr>
        <w:t>项目实施方案</w:t>
      </w:r>
      <w:r>
        <w:rPr>
          <w:rFonts w:hint="eastAsia"/>
          <w:color w:val="000000" w:themeColor="text1"/>
          <w:szCs w:val="21"/>
          <w:highlight w:val="none"/>
          <w14:textFill>
            <w14:solidFill>
              <w14:schemeClr w14:val="tx1"/>
            </w14:solidFill>
          </w14:textFill>
        </w:rPr>
        <w:t>得分由高到低顺序排列，若综合评分、投标报价、</w:t>
      </w:r>
      <w:r>
        <w:rPr>
          <w:rFonts w:ascii="Arial" w:hAnsi="Arial" w:cs="Arial"/>
          <w:color w:val="000000" w:themeColor="text1"/>
          <w:szCs w:val="21"/>
          <w:highlight w:val="none"/>
          <w14:textFill>
            <w14:solidFill>
              <w14:schemeClr w14:val="tx1"/>
            </w14:solidFill>
          </w14:textFill>
        </w:rPr>
        <w:t>项目实施方案</w:t>
      </w:r>
      <w:r>
        <w:rPr>
          <w:rFonts w:hint="eastAsia"/>
          <w:color w:val="000000" w:themeColor="text1"/>
          <w:szCs w:val="21"/>
          <w:highlight w:val="none"/>
          <w14:textFill>
            <w14:solidFill>
              <w14:schemeClr w14:val="tx1"/>
            </w14:solidFill>
          </w14:textFill>
        </w:rPr>
        <w:t>均相同的，按</w:t>
      </w:r>
      <w:r>
        <w:rPr>
          <w:rFonts w:ascii="Arial" w:hAnsi="Arial" w:cs="Arial"/>
          <w:color w:val="000000" w:themeColor="text1"/>
          <w:szCs w:val="21"/>
          <w:highlight w:val="none"/>
          <w14:textFill>
            <w14:solidFill>
              <w14:schemeClr w14:val="tx1"/>
            </w14:solidFill>
          </w14:textFill>
        </w:rPr>
        <w:t>模块功能分</w:t>
      </w:r>
      <w:r>
        <w:rPr>
          <w:rFonts w:hint="eastAsia"/>
          <w:color w:val="000000" w:themeColor="text1"/>
          <w:szCs w:val="21"/>
          <w:highlight w:val="none"/>
          <w14:textFill>
            <w14:solidFill>
              <w14:schemeClr w14:val="tx1"/>
            </w14:solidFill>
          </w14:textFill>
        </w:rPr>
        <w:t>得分由高到低顺序排列。</w:t>
      </w:r>
    </w:p>
    <w:p w14:paraId="7E50705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B分标：若中标候选人综合评分相同的，按投标报价由低到高顺序排列；综合评分且投标报价相同的</w:t>
      </w:r>
      <w:r>
        <w:rPr>
          <w:rFonts w:hint="eastAsia"/>
          <w:color w:val="000000" w:themeColor="text1"/>
          <w:highlight w:val="none"/>
          <w14:textFill>
            <w14:solidFill>
              <w14:schemeClr w14:val="tx1"/>
            </w14:solidFill>
          </w14:textFill>
        </w:rPr>
        <w:t>并列</w:t>
      </w:r>
      <w:r>
        <w:rPr>
          <w:rFonts w:hint="eastAsia"/>
          <w:color w:val="000000" w:themeColor="text1"/>
          <w:szCs w:val="21"/>
          <w:highlight w:val="none"/>
          <w14:textFill>
            <w14:solidFill>
              <w14:schemeClr w14:val="tx1"/>
            </w14:solidFill>
          </w14:textFill>
        </w:rPr>
        <w:t>；中标候选人并列的，按AI功能演示得分由高到低顺序排列，若综合评分、投标报价、AI功能演示</w:t>
      </w:r>
      <w:r>
        <w:rPr>
          <w:rFonts w:ascii="Arial" w:hAnsi="Arial" w:cs="Arial"/>
          <w:color w:val="000000" w:themeColor="text1"/>
          <w:kern w:val="0"/>
          <w:szCs w:val="21"/>
          <w:highlight w:val="none"/>
          <w:lang w:bidi="ar"/>
          <w14:textFill>
            <w14:solidFill>
              <w14:schemeClr w14:val="tx1"/>
            </w14:solidFill>
          </w14:textFill>
        </w:rPr>
        <w:t>分</w:t>
      </w:r>
      <w:r>
        <w:rPr>
          <w:rFonts w:hint="eastAsia"/>
          <w:color w:val="000000" w:themeColor="text1"/>
          <w:szCs w:val="21"/>
          <w:highlight w:val="none"/>
          <w14:textFill>
            <w14:solidFill>
              <w14:schemeClr w14:val="tx1"/>
            </w14:solidFill>
          </w14:textFill>
        </w:rPr>
        <w:t>均相同的，按实施方案得分由高到低顺序排列</w:t>
      </w:r>
    </w:p>
    <w:p w14:paraId="4D7DEA80">
      <w:pPr>
        <w:adjustRightInd w:val="0"/>
        <w:snapToGrid w:val="0"/>
        <w:spacing w:line="360" w:lineRule="exact"/>
        <w:ind w:firstLine="442" w:firstLineChars="200"/>
        <w:rPr>
          <w:rFonts w:hint="default" w:ascii="Arial" w:hAnsi="Arial" w:cs="Arial"/>
          <w:b/>
          <w:color w:val="000000" w:themeColor="text1"/>
          <w:szCs w:val="21"/>
          <w:highlight w:val="none"/>
          <w14:textFill>
            <w14:solidFill>
              <w14:schemeClr w14:val="tx1"/>
            </w14:solidFill>
          </w14:textFill>
        </w:rPr>
      </w:pPr>
      <w:r>
        <w:rPr>
          <w:rFonts w:hint="eastAsia"/>
          <w:b/>
          <w:bCs/>
          <w:color w:val="000000" w:themeColor="text1"/>
          <w:kern w:val="0"/>
          <w:sz w:val="22"/>
          <w:szCs w:val="22"/>
          <w:highlight w:val="none"/>
          <w:lang w:val="en-US" w:eastAsia="zh-CN"/>
          <w14:textFill>
            <w14:solidFill>
              <w14:schemeClr w14:val="tx1"/>
            </w14:solidFill>
          </w14:textFill>
        </w:rPr>
        <w:t>注：</w:t>
      </w:r>
      <w:r>
        <w:rPr>
          <w:rFonts w:hint="default" w:ascii="Arial" w:hAnsi="Arial" w:cs="Arial"/>
          <w:b/>
          <w:color w:val="000000" w:themeColor="text1"/>
          <w:szCs w:val="21"/>
          <w:highlight w:val="none"/>
          <w14:textFill>
            <w14:solidFill>
              <w14:schemeClr w14:val="tx1"/>
            </w14:solidFill>
          </w14:textFill>
        </w:rPr>
        <w:t>本项目共分为A、B</w:t>
      </w:r>
      <w:r>
        <w:rPr>
          <w:rFonts w:hint="eastAsia" w:ascii="Arial" w:hAnsi="Arial" w:cs="Arial"/>
          <w:b/>
          <w:color w:val="000000" w:themeColor="text1"/>
          <w:szCs w:val="21"/>
          <w:highlight w:val="none"/>
          <w:lang w:val="en-US" w:eastAsia="zh-CN"/>
          <w14:textFill>
            <w14:solidFill>
              <w14:schemeClr w14:val="tx1"/>
            </w14:solidFill>
          </w14:textFill>
        </w:rPr>
        <w:t>两个</w:t>
      </w:r>
      <w:r>
        <w:rPr>
          <w:rFonts w:hint="default" w:ascii="Arial" w:hAnsi="Arial" w:cs="Arial"/>
          <w:b/>
          <w:color w:val="000000" w:themeColor="text1"/>
          <w:szCs w:val="21"/>
          <w:highlight w:val="none"/>
          <w14:textFill>
            <w14:solidFill>
              <w14:schemeClr w14:val="tx1"/>
            </w14:solidFill>
          </w14:textFill>
        </w:rPr>
        <w:t>分标，</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可以参与任意一个或</w:t>
      </w:r>
      <w:r>
        <w:rPr>
          <w:rFonts w:hint="eastAsia" w:ascii="Arial" w:hAnsi="Arial" w:cs="Arial"/>
          <w:b/>
          <w:color w:val="000000" w:themeColor="text1"/>
          <w:szCs w:val="21"/>
          <w:highlight w:val="none"/>
          <w:lang w:val="en-US" w:eastAsia="zh-CN"/>
          <w14:textFill>
            <w14:solidFill>
              <w14:schemeClr w14:val="tx1"/>
            </w14:solidFill>
          </w14:textFill>
        </w:rPr>
        <w:t>两</w:t>
      </w:r>
      <w:r>
        <w:rPr>
          <w:rFonts w:hint="default" w:ascii="Arial" w:hAnsi="Arial" w:cs="Arial"/>
          <w:b/>
          <w:color w:val="000000" w:themeColor="text1"/>
          <w:szCs w:val="21"/>
          <w:highlight w:val="none"/>
          <w14:textFill>
            <w14:solidFill>
              <w14:schemeClr w14:val="tx1"/>
            </w14:solidFill>
          </w14:textFill>
        </w:rPr>
        <w:t>个分标的投标，但最多只能成为其中一个分标的中标人，处理原则如下：</w:t>
      </w:r>
    </w:p>
    <w:p w14:paraId="79C8FA89">
      <w:pPr>
        <w:adjustRightInd w:val="0"/>
        <w:snapToGrid w:val="0"/>
        <w:spacing w:line="360" w:lineRule="exact"/>
        <w:ind w:firstLine="380" w:firstLineChars="200"/>
        <w:rPr>
          <w:rFonts w:hint="default" w:eastAsia="宋体"/>
          <w:b/>
          <w:bCs/>
          <w:color w:val="000000" w:themeColor="text1"/>
          <w:kern w:val="0"/>
          <w:sz w:val="22"/>
          <w:szCs w:val="22"/>
          <w:highlight w:val="none"/>
          <w:lang w:val="en-US" w:eastAsia="zh-CN"/>
          <w14:textFill>
            <w14:solidFill>
              <w14:schemeClr w14:val="tx1"/>
            </w14:solidFill>
          </w14:textFill>
        </w:rPr>
      </w:pPr>
      <w:r>
        <w:rPr>
          <w:rFonts w:hint="default" w:ascii="Arial" w:hAnsi="Arial" w:eastAsia="宋体" w:cs="Arial"/>
          <w:i w:val="0"/>
          <w:caps w:val="0"/>
          <w:color w:val="000000" w:themeColor="text1"/>
          <w:spacing w:val="0"/>
          <w:sz w:val="19"/>
          <w:szCs w:val="19"/>
          <w:highlight w:val="none"/>
          <w:shd w:val="clear" w:fill="FFFFFF"/>
          <w14:textFill>
            <w14:solidFill>
              <w14:schemeClr w14:val="tx1"/>
            </w14:solidFill>
          </w14:textFill>
        </w:rPr>
        <w:t>①</w:t>
      </w:r>
      <w:r>
        <w:rPr>
          <w:rFonts w:hint="default" w:ascii="Arial" w:hAnsi="Arial" w:cs="Arial"/>
          <w:b/>
          <w:color w:val="000000" w:themeColor="text1"/>
          <w:szCs w:val="21"/>
          <w:highlight w:val="none"/>
          <w14:textFill>
            <w14:solidFill>
              <w14:schemeClr w14:val="tx1"/>
            </w14:solidFill>
          </w14:textFill>
        </w:rPr>
        <w:t>若某</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同时在两个分标综合得分排名第一时，则按A分标→B分标的先后顺序（即A分标优先于B分标）推荐中标候选人。该</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一旦被推荐为</w:t>
      </w:r>
      <w:r>
        <w:rPr>
          <w:rFonts w:hint="eastAsia" w:ascii="Arial" w:hAnsi="Arial" w:cs="Arial"/>
          <w:b/>
          <w:color w:val="000000" w:themeColor="text1"/>
          <w:szCs w:val="21"/>
          <w:highlight w:val="none"/>
          <w:lang w:val="en-US" w:eastAsia="zh-CN"/>
          <w14:textFill>
            <w14:solidFill>
              <w14:schemeClr w14:val="tx1"/>
            </w14:solidFill>
          </w14:textFill>
        </w:rPr>
        <w:t>A分标</w:t>
      </w:r>
      <w:r>
        <w:rPr>
          <w:rFonts w:hint="default" w:ascii="Arial" w:hAnsi="Arial" w:cs="Arial"/>
          <w:b/>
          <w:color w:val="000000" w:themeColor="text1"/>
          <w:szCs w:val="21"/>
          <w:highlight w:val="none"/>
          <w14:textFill>
            <w14:solidFill>
              <w14:schemeClr w14:val="tx1"/>
            </w14:solidFill>
          </w14:textFill>
        </w:rPr>
        <w:t>的第一中标候选人，则在其综合得分排名第一的</w:t>
      </w:r>
      <w:r>
        <w:rPr>
          <w:rFonts w:hint="eastAsia" w:ascii="Arial" w:hAnsi="Arial" w:cs="Arial"/>
          <w:b/>
          <w:color w:val="000000" w:themeColor="text1"/>
          <w:szCs w:val="21"/>
          <w:highlight w:val="none"/>
          <w:lang w:val="en-US" w:eastAsia="zh-CN"/>
          <w14:textFill>
            <w14:solidFill>
              <w14:schemeClr w14:val="tx1"/>
            </w14:solidFill>
          </w14:textFill>
        </w:rPr>
        <w:t>B</w:t>
      </w:r>
      <w:r>
        <w:rPr>
          <w:rFonts w:hint="default" w:ascii="Arial" w:hAnsi="Arial" w:cs="Arial"/>
          <w:b/>
          <w:color w:val="000000" w:themeColor="text1"/>
          <w:szCs w:val="21"/>
          <w:highlight w:val="none"/>
          <w14:textFill>
            <w14:solidFill>
              <w14:schemeClr w14:val="tx1"/>
            </w14:solidFill>
          </w14:textFill>
        </w:rPr>
        <w:t>分标被推荐为末位中标候选人，相应分标的其他</w:t>
      </w:r>
      <w:r>
        <w:rPr>
          <w:rFonts w:hint="default" w:ascii="Arial" w:hAnsi="Arial" w:cs="Arial"/>
          <w:b/>
          <w:color w:val="000000" w:themeColor="text1"/>
          <w:szCs w:val="21"/>
          <w:highlight w:val="none"/>
          <w:lang w:eastAsia="zh-CN"/>
          <w14:textFill>
            <w14:solidFill>
              <w14:schemeClr w14:val="tx1"/>
            </w14:solidFill>
          </w14:textFill>
        </w:rPr>
        <w:t>供应商</w:t>
      </w:r>
      <w:r>
        <w:rPr>
          <w:rFonts w:hint="default" w:ascii="Arial" w:hAnsi="Arial" w:cs="Arial"/>
          <w:b/>
          <w:color w:val="000000" w:themeColor="text1"/>
          <w:szCs w:val="21"/>
          <w:highlight w:val="none"/>
          <w14:textFill>
            <w14:solidFill>
              <w14:schemeClr w14:val="tx1"/>
            </w14:solidFill>
          </w14:textFill>
        </w:rPr>
        <w:t>排名依次自动上升一位。</w:t>
      </w:r>
    </w:p>
    <w:p w14:paraId="2F1DDF05">
      <w:pPr>
        <w:spacing w:before="120" w:line="320" w:lineRule="atLeast"/>
        <w:ind w:firstLine="420" w:firstLineChars="200"/>
        <w:rPr>
          <w:rFonts w:hint="eastAsia"/>
          <w:color w:val="000000" w:themeColor="text1"/>
          <w:szCs w:val="21"/>
          <w:highlight w:val="none"/>
          <w14:textFill>
            <w14:solidFill>
              <w14:schemeClr w14:val="tx1"/>
            </w14:solidFill>
          </w14:textFill>
        </w:rPr>
      </w:pPr>
    </w:p>
    <w:p w14:paraId="73E56A84">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）评审委员会根据评审记录及评审结果编写评审报告，评审委员会成员均应当在评审报告上签字，对自己的评审意见承担法律责任。</w:t>
      </w:r>
      <w:r>
        <w:rPr>
          <w:rFonts w:hint="eastAsia"/>
          <w:color w:val="000000" w:themeColor="text1"/>
          <w:highlight w:val="none"/>
          <w14:textFill>
            <w14:solidFill>
              <w14:schemeClr w14:val="tx1"/>
            </w14:solidFill>
          </w14:textFill>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565C46CD">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分值汇总计算错误的；分项评分超出评分标准范围的；评审委员会成员对客观评审因素评分不一致的；经评审委员会认定评分畸高、畸低的。</w:t>
      </w:r>
    </w:p>
    <w:p w14:paraId="73530A26">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6.4</w:t>
      </w:r>
      <w:r>
        <w:rPr>
          <w:rFonts w:hint="eastAsia"/>
          <w:b/>
          <w:color w:val="000000" w:themeColor="text1"/>
          <w:kern w:val="0"/>
          <w:szCs w:val="21"/>
          <w:highlight w:val="none"/>
          <w14:textFill>
            <w14:solidFill>
              <w14:schemeClr w14:val="tx1"/>
            </w14:solidFill>
          </w14:textFill>
        </w:rPr>
        <w:t>确定中标人</w:t>
      </w:r>
    </w:p>
    <w:p w14:paraId="7FEE97D3">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6.4</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47CE833E">
      <w:pPr>
        <w:spacing w:before="120" w:line="276"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6.4.2</w:t>
      </w:r>
      <w:r>
        <w:rPr>
          <w:rFonts w:hint="eastAsia"/>
          <w:color w:val="000000" w:themeColor="text1"/>
          <w:szCs w:val="21"/>
          <w:highlight w:val="none"/>
          <w14:textFill>
            <w14:solidFill>
              <w14:schemeClr w14:val="tx1"/>
            </w14:solidFill>
          </w14:textFill>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1D8AB52">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6.5</w:t>
      </w:r>
      <w:r>
        <w:rPr>
          <w:rFonts w:hint="eastAsia"/>
          <w:b/>
          <w:color w:val="000000" w:themeColor="text1"/>
          <w:kern w:val="0"/>
          <w:szCs w:val="21"/>
          <w:highlight w:val="none"/>
          <w14:textFill>
            <w14:solidFill>
              <w14:schemeClr w14:val="tx1"/>
            </w14:solidFill>
          </w14:textFill>
        </w:rPr>
        <w:t>结果公告</w:t>
      </w:r>
    </w:p>
    <w:p w14:paraId="0646BE72">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.5.1</w:t>
      </w:r>
      <w:r>
        <w:rPr>
          <w:rFonts w:hint="eastAsia"/>
          <w:color w:val="000000" w:themeColor="text1"/>
          <w:szCs w:val="21"/>
          <w:highlight w:val="none"/>
          <w14:textFill>
            <w14:solidFill>
              <w14:schemeClr w14:val="tx1"/>
            </w14:solidFill>
          </w14:textFill>
        </w:rPr>
        <w:t>自中标人确定后2个工作日内，采购代理机构按照投标人须知前附表的规定公告中标结果，</w:t>
      </w:r>
      <w:r>
        <w:rPr>
          <w:rFonts w:hint="eastAsia"/>
          <w:color w:val="000000" w:themeColor="text1"/>
          <w:highlight w:val="none"/>
          <w14:textFill>
            <w14:solidFill>
              <w14:schemeClr w14:val="tx1"/>
            </w14:solidFill>
          </w14:textFill>
        </w:rPr>
        <w:t>中标结果公告期限为1个工作日，发布中标结果公告的同时向中标人发出中标通知书。采购代理机构发出中标通知书前，应当对中标人信用进行核实，对列入失信被执行人、重大税收违法案件当事人名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5D3F022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.5.2</w:t>
      </w:r>
      <w:r>
        <w:rPr>
          <w:rFonts w:hint="eastAsia"/>
          <w:color w:val="000000" w:themeColor="text1"/>
          <w:szCs w:val="21"/>
          <w:highlight w:val="none"/>
          <w14:textFill>
            <w14:solidFill>
              <w14:schemeClr w14:val="tx1"/>
            </w14:solidFill>
          </w14:textFill>
        </w:rPr>
        <w:t>在发布结果公告的同时，采购代理机构以投标人须知前附表规定的形式向中标人发出中标通知书。中标通知书发出后，采购人改变中标结果，或者中标人放弃中标，应当承担相应的法律责任。</w:t>
      </w:r>
    </w:p>
    <w:p w14:paraId="60DB783A">
      <w:pPr>
        <w:spacing w:before="120" w:line="320" w:lineRule="atLeast"/>
        <w:ind w:firstLine="420" w:firstLineChars="200"/>
        <w:rPr>
          <w:b/>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.5.3</w:t>
      </w:r>
      <w:r>
        <w:rPr>
          <w:rFonts w:hint="eastAsia"/>
          <w:color w:val="000000" w:themeColor="text1"/>
          <w:szCs w:val="21"/>
          <w:highlight w:val="none"/>
          <w14:textFill>
            <w14:solidFill>
              <w14:schemeClr w14:val="tx1"/>
            </w14:solidFill>
          </w14:textFill>
        </w:rPr>
        <w:t>在发布结果公告的同时，采购代理机构以投标人须知前附表规定的形式向未中标人发出招标结果通知书，供应商自行承担未及时查收的后果。</w:t>
      </w:r>
    </w:p>
    <w:p w14:paraId="4ABAE273">
      <w:pPr>
        <w:suppressAutoHyphens/>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6.6</w:t>
      </w:r>
      <w:r>
        <w:rPr>
          <w:rFonts w:hint="eastAsia"/>
          <w:b/>
          <w:color w:val="000000" w:themeColor="text1"/>
          <w:kern w:val="0"/>
          <w:szCs w:val="21"/>
          <w:highlight w:val="none"/>
          <w14:textFill>
            <w14:solidFill>
              <w14:schemeClr w14:val="tx1"/>
            </w14:solidFill>
          </w14:textFill>
        </w:rPr>
        <w:t>废标</w:t>
      </w:r>
    </w:p>
    <w:p w14:paraId="75F6E1DC">
      <w:pPr>
        <w:spacing w:before="120" w:line="320" w:lineRule="atLeast"/>
        <w:ind w:firstLine="420" w:firstLineChars="200"/>
        <w:rPr>
          <w:color w:val="000000" w:themeColor="text1"/>
          <w:kern w:val="1"/>
          <w:szCs w:val="21"/>
          <w:highlight w:val="none"/>
          <w14:textFill>
            <w14:solidFill>
              <w14:schemeClr w14:val="tx1"/>
            </w14:solidFill>
          </w14:textFill>
        </w:rPr>
      </w:pPr>
      <w:r>
        <w:rPr>
          <w:color w:val="000000" w:themeColor="text1"/>
          <w:kern w:val="1"/>
          <w:szCs w:val="21"/>
          <w:highlight w:val="none"/>
          <w14:textFill>
            <w14:solidFill>
              <w14:schemeClr w14:val="tx1"/>
            </w14:solidFill>
          </w14:textFill>
        </w:rPr>
        <w:t>6.6.1</w:t>
      </w:r>
      <w:r>
        <w:rPr>
          <w:rFonts w:hint="eastAsia"/>
          <w:color w:val="000000" w:themeColor="text1"/>
          <w:kern w:val="1"/>
          <w:szCs w:val="21"/>
          <w:highlight w:val="none"/>
          <w14:textFill>
            <w14:solidFill>
              <w14:schemeClr w14:val="tx1"/>
            </w14:solidFill>
          </w14:textFill>
        </w:rPr>
        <w:t xml:space="preserve">出现下列情形之一，将导致项目废标： </w:t>
      </w:r>
    </w:p>
    <w:p w14:paraId="71374586">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kern w:val="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）符合专业条件的供应商或者对招标文件做实质性响应的供应商不足三家；</w:t>
      </w:r>
    </w:p>
    <w:p w14:paraId="62E3CC9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（2）出现影响采购公正的违法、违规行为的；</w:t>
      </w:r>
    </w:p>
    <w:p w14:paraId="21CCA289">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（3）供应商的报价均超过了采购预算，采购人不能支付的；</w:t>
      </w:r>
    </w:p>
    <w:p w14:paraId="7CF5B377">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rFonts w:hint="eastAsia"/>
          <w:color w:val="000000" w:themeColor="text1"/>
          <w:highlight w:val="none"/>
          <w14:textFill>
            <w14:solidFill>
              <w14:schemeClr w14:val="tx1"/>
            </w14:solidFill>
          </w14:textFill>
        </w:rPr>
        <w:t>因发生重大变故或采购任务取消的。</w:t>
      </w:r>
    </w:p>
    <w:p w14:paraId="3E5578A6">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kern w:val="1"/>
          <w:szCs w:val="21"/>
          <w:highlight w:val="none"/>
          <w14:textFill>
            <w14:solidFill>
              <w14:schemeClr w14:val="tx1"/>
            </w14:solidFill>
          </w14:textFill>
        </w:rPr>
        <w:t>6.6.2</w:t>
      </w:r>
      <w:r>
        <w:rPr>
          <w:rFonts w:hint="eastAsia"/>
          <w:color w:val="000000" w:themeColor="text1"/>
          <w:kern w:val="1"/>
          <w:szCs w:val="21"/>
          <w:highlight w:val="none"/>
          <w14:textFill>
            <w14:solidFill>
              <w14:schemeClr w14:val="tx1"/>
            </w14:solidFill>
          </w14:textFill>
        </w:rPr>
        <w:t>废标后</w:t>
      </w:r>
      <w:r>
        <w:rPr>
          <w:rFonts w:hint="eastAsia"/>
          <w:color w:val="000000" w:themeColor="text1"/>
          <w:szCs w:val="21"/>
          <w:highlight w:val="none"/>
          <w14:textFill>
            <w14:solidFill>
              <w14:schemeClr w14:val="tx1"/>
            </w14:solidFill>
          </w14:textFill>
        </w:rPr>
        <w:t>采购</w:t>
      </w:r>
      <w:r>
        <w:rPr>
          <w:rFonts w:hint="eastAsia"/>
          <w:color w:val="000000" w:themeColor="text1"/>
          <w:kern w:val="1"/>
          <w:szCs w:val="21"/>
          <w:highlight w:val="none"/>
          <w14:textFill>
            <w14:solidFill>
              <w14:schemeClr w14:val="tx1"/>
            </w14:solidFill>
          </w14:textFill>
        </w:rPr>
        <w:t>代理机构将发布废标公告通知供应商。</w:t>
      </w:r>
      <w:bookmarkEnd w:id="88"/>
    </w:p>
    <w:bookmarkEnd w:id="85"/>
    <w:p w14:paraId="32F5D676">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7</w:t>
      </w:r>
      <w:r>
        <w:rPr>
          <w:rFonts w:hint="eastAsia"/>
          <w:b/>
          <w:color w:val="000000" w:themeColor="text1"/>
          <w:kern w:val="0"/>
          <w:szCs w:val="21"/>
          <w:highlight w:val="none"/>
          <w14:textFill>
            <w14:solidFill>
              <w14:schemeClr w14:val="tx1"/>
            </w14:solidFill>
          </w14:textFill>
        </w:rPr>
        <w:t>．合同</w:t>
      </w:r>
    </w:p>
    <w:p w14:paraId="4877FEB2">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7.1</w:t>
      </w:r>
      <w:r>
        <w:rPr>
          <w:rFonts w:hint="eastAsia"/>
          <w:b/>
          <w:color w:val="000000" w:themeColor="text1"/>
          <w:kern w:val="0"/>
          <w:szCs w:val="21"/>
          <w:highlight w:val="none"/>
          <w14:textFill>
            <w14:solidFill>
              <w14:schemeClr w14:val="tx1"/>
            </w14:solidFill>
          </w14:textFill>
        </w:rPr>
        <w:t>合同授予标准</w:t>
      </w:r>
    </w:p>
    <w:p w14:paraId="3F2EFCB2">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294F4D28">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7.2</w:t>
      </w:r>
      <w:r>
        <w:rPr>
          <w:rFonts w:hint="eastAsia"/>
          <w:b/>
          <w:color w:val="000000" w:themeColor="text1"/>
          <w:kern w:val="0"/>
          <w:szCs w:val="21"/>
          <w:highlight w:val="none"/>
          <w14:textFill>
            <w14:solidFill>
              <w14:schemeClr w14:val="tx1"/>
            </w14:solidFill>
          </w14:textFill>
        </w:rPr>
        <w:t>签订合同</w:t>
      </w:r>
    </w:p>
    <w:p w14:paraId="380061EC">
      <w:pPr>
        <w:spacing w:before="120" w:line="320" w:lineRule="atLeast"/>
        <w:ind w:firstLine="420" w:firstLineChars="200"/>
        <w:rPr>
          <w:color w:val="000000" w:themeColor="text1"/>
          <w:szCs w:val="21"/>
          <w:highlight w:val="none"/>
          <w14:textFill>
            <w14:solidFill>
              <w14:schemeClr w14:val="tx1"/>
            </w14:solidFill>
          </w14:textFill>
        </w:rPr>
      </w:pPr>
      <w:bookmarkStart w:id="93" w:name="_Hlk93421039"/>
      <w:r>
        <w:rPr>
          <w:color w:val="000000" w:themeColor="text1"/>
          <w:szCs w:val="21"/>
          <w:highlight w:val="none"/>
          <w14:textFill>
            <w14:solidFill>
              <w14:schemeClr w14:val="tx1"/>
            </w14:solidFill>
          </w14:textFill>
        </w:rPr>
        <w:t>7.2.1</w:t>
      </w:r>
      <w:r>
        <w:rPr>
          <w:rFonts w:hint="eastAsia"/>
          <w:color w:val="000000" w:themeColor="text1"/>
          <w:szCs w:val="21"/>
          <w:highlight w:val="none"/>
          <w14:textFill>
            <w14:solidFill>
              <w14:schemeClr w14:val="tx1"/>
            </w14:solidFill>
          </w14:textFill>
        </w:rPr>
        <w:t>如招标文件无特别规定，中标人按招标文件确定的事项签订政府采购合同。</w:t>
      </w:r>
    </w:p>
    <w:p w14:paraId="6103937B">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7.2.2</w:t>
      </w:r>
      <w:r>
        <w:rPr>
          <w:rFonts w:hint="eastAsia"/>
          <w:color w:val="000000" w:themeColor="text1"/>
          <w:szCs w:val="21"/>
          <w:highlight w:val="none"/>
          <w14:textFill>
            <w14:solidFill>
              <w14:schemeClr w14:val="tx1"/>
            </w14:solidFill>
          </w14:textFill>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7552C62D">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7.2.3</w:t>
      </w:r>
      <w:r>
        <w:rPr>
          <w:rFonts w:hint="eastAsia"/>
          <w:color w:val="000000" w:themeColor="text1"/>
          <w:szCs w:val="21"/>
          <w:highlight w:val="none"/>
          <w14:textFill>
            <w14:solidFill>
              <w14:schemeClr w14:val="tx1"/>
            </w14:solidFill>
          </w14:textFill>
        </w:rPr>
        <w:t>如中标人不按中标通知书的规定签订合同，其投标保证金将不予退还，并报由同级政府采购监督管理部门处理。</w:t>
      </w:r>
    </w:p>
    <w:p w14:paraId="5374423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中标人拒绝与采购人签订合同的，采购人可以按照评审报告推荐的中标候选人名单排序，确定下一候选人为中标人，也可以重新开展政府采购活动。</w:t>
      </w:r>
    </w:p>
    <w:p w14:paraId="2B9F493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.2.5</w:t>
      </w:r>
      <w:r>
        <w:rPr>
          <w:rFonts w:hint="eastAsia"/>
          <w:color w:val="000000" w:themeColor="text1"/>
          <w:szCs w:val="21"/>
          <w:highlight w:val="none"/>
          <w14:textFill>
            <w14:solidFill>
              <w14:schemeClr w14:val="tx1"/>
            </w14:solidFill>
          </w14:textFill>
        </w:rPr>
        <w:t>采购人因不可抗力原因迟延签订合同的，应当自不可抗力事由消除之日起5个工作日内完成合同签订事宜。</w:t>
      </w:r>
    </w:p>
    <w:bookmarkEnd w:id="93"/>
    <w:p w14:paraId="79E16249">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7.3</w:t>
      </w:r>
      <w:r>
        <w:rPr>
          <w:rFonts w:hint="eastAsia"/>
          <w:b/>
          <w:color w:val="000000" w:themeColor="text1"/>
          <w:kern w:val="0"/>
          <w:szCs w:val="21"/>
          <w:highlight w:val="none"/>
          <w14:textFill>
            <w14:solidFill>
              <w14:schemeClr w14:val="tx1"/>
            </w14:solidFill>
          </w14:textFill>
        </w:rPr>
        <w:t>合同公告</w:t>
      </w:r>
    </w:p>
    <w:p w14:paraId="18501C76">
      <w:pPr>
        <w:spacing w:before="120" w:line="320" w:lineRule="atLeast"/>
        <w:ind w:firstLine="420" w:firstLineChars="200"/>
        <w:rPr>
          <w:color w:val="000000" w:themeColor="text1"/>
          <w:szCs w:val="21"/>
          <w:highlight w:val="none"/>
          <w14:textFill>
            <w14:solidFill>
              <w14:schemeClr w14:val="tx1"/>
            </w14:solidFill>
          </w14:textFill>
        </w:rPr>
      </w:pPr>
      <w:bookmarkStart w:id="94" w:name="_Hlk93421052"/>
      <w:r>
        <w:rPr>
          <w:color w:val="000000" w:themeColor="text1"/>
          <w:szCs w:val="21"/>
          <w:highlight w:val="none"/>
          <w14:textFill>
            <w14:solidFill>
              <w14:schemeClr w14:val="tx1"/>
            </w14:solidFill>
          </w14:textFill>
        </w:rPr>
        <w:t>7.3.1</w:t>
      </w:r>
      <w:r>
        <w:rPr>
          <w:rFonts w:hint="eastAsia"/>
          <w:color w:val="000000" w:themeColor="text1"/>
          <w:szCs w:val="21"/>
          <w:highlight w:val="none"/>
          <w14:textFill>
            <w14:solidFill>
              <w14:schemeClr w14:val="tx1"/>
            </w14:solidFill>
          </w14:textFill>
        </w:rPr>
        <w:t>如招标文件无特殊规定，中标人应在签订合同后1个工作日内，将政府采购合同副本送采购代理机构存档。</w:t>
      </w:r>
    </w:p>
    <w:p w14:paraId="1E14BD16">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7.3.2</w:t>
      </w:r>
      <w:r>
        <w:rPr>
          <w:rFonts w:hint="eastAsia"/>
          <w:color w:val="000000" w:themeColor="text1"/>
          <w:szCs w:val="21"/>
          <w:highlight w:val="none"/>
          <w14:textFill>
            <w14:solidFill>
              <w14:schemeClr w14:val="tx1"/>
            </w14:solidFill>
          </w14:textFill>
        </w:rPr>
        <w:t>采购人应当自政府采购合同签订之日起2个工作日内，将政府采购合同在省级以上人民政府财政部门指定的媒体上公告，但政府采购合同中涉及国家秘密、商业秘密的内容除外。</w:t>
      </w:r>
    </w:p>
    <w:p w14:paraId="0DADA15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 xml:space="preserve">.3.3 </w:t>
      </w:r>
      <w:r>
        <w:rPr>
          <w:rFonts w:hint="eastAsia"/>
          <w:color w:val="000000" w:themeColor="text1"/>
          <w:szCs w:val="21"/>
          <w:highlight w:val="none"/>
          <w14:textFill>
            <w14:solidFill>
              <w14:schemeClr w14:val="tx1"/>
            </w14:solidFill>
          </w14:textFill>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94"/>
    <w:p w14:paraId="6F18DF18">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 xml:space="preserve">7.4 </w:t>
      </w:r>
      <w:r>
        <w:rPr>
          <w:rFonts w:hint="eastAsia"/>
          <w:b/>
          <w:color w:val="000000" w:themeColor="text1"/>
          <w:kern w:val="0"/>
          <w:szCs w:val="21"/>
          <w:highlight w:val="none"/>
          <w14:textFill>
            <w14:solidFill>
              <w14:schemeClr w14:val="tx1"/>
            </w14:solidFill>
          </w14:textFill>
        </w:rPr>
        <w:t>履行合同</w:t>
      </w:r>
    </w:p>
    <w:p w14:paraId="3497CA11">
      <w:pPr>
        <w:spacing w:before="120" w:line="320" w:lineRule="atLeast"/>
        <w:ind w:firstLine="420" w:firstLineChars="200"/>
        <w:rPr>
          <w:color w:val="000000" w:themeColor="text1"/>
          <w:szCs w:val="21"/>
          <w:highlight w:val="none"/>
          <w14:textFill>
            <w14:solidFill>
              <w14:schemeClr w14:val="tx1"/>
            </w14:solidFill>
          </w14:textFill>
        </w:rPr>
      </w:pPr>
      <w:bookmarkStart w:id="95" w:name="_Hlk93421061"/>
      <w:r>
        <w:rPr>
          <w:color w:val="000000" w:themeColor="text1"/>
          <w:szCs w:val="21"/>
          <w:highlight w:val="none"/>
          <w14:textFill>
            <w14:solidFill>
              <w14:schemeClr w14:val="tx1"/>
            </w14:solidFill>
          </w14:textFill>
        </w:rPr>
        <w:t>7.4.1</w:t>
      </w:r>
      <w:r>
        <w:rPr>
          <w:rFonts w:hint="eastAsia"/>
          <w:color w:val="000000" w:themeColor="text1"/>
          <w:szCs w:val="21"/>
          <w:highlight w:val="none"/>
          <w14:textFill>
            <w14:solidFill>
              <w14:schemeClr w14:val="tx1"/>
            </w14:solidFill>
          </w14:textFill>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95"/>
    <w:p w14:paraId="4C76D009">
      <w:pPr>
        <w:spacing w:before="120" w:line="320" w:lineRule="atLeast"/>
        <w:ind w:firstLine="422" w:firstLineChars="200"/>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7.5</w:t>
      </w:r>
      <w:r>
        <w:rPr>
          <w:rFonts w:hint="eastAsia"/>
          <w:b/>
          <w:color w:val="000000" w:themeColor="text1"/>
          <w:kern w:val="0"/>
          <w:szCs w:val="21"/>
          <w:highlight w:val="none"/>
          <w14:textFill>
            <w14:solidFill>
              <w14:schemeClr w14:val="tx1"/>
            </w14:solidFill>
          </w14:textFill>
        </w:rPr>
        <w:t>履约验收</w:t>
      </w:r>
    </w:p>
    <w:p w14:paraId="7D25813D">
      <w:pPr>
        <w:spacing w:before="120" w:line="320" w:lineRule="atLeast"/>
        <w:ind w:firstLine="420" w:firstLineChars="200"/>
        <w:rPr>
          <w:color w:val="000000" w:themeColor="text1"/>
          <w:szCs w:val="21"/>
          <w:highlight w:val="none"/>
          <w14:textFill>
            <w14:solidFill>
              <w14:schemeClr w14:val="tx1"/>
            </w14:solidFill>
          </w14:textFill>
        </w:rPr>
      </w:pPr>
      <w:bookmarkStart w:id="96" w:name="_Hlk93421069"/>
      <w:r>
        <w:rPr>
          <w:color w:val="000000" w:themeColor="text1"/>
          <w:szCs w:val="21"/>
          <w:highlight w:val="none"/>
          <w14:textFill>
            <w14:solidFill>
              <w14:schemeClr w14:val="tx1"/>
            </w14:solidFill>
          </w14:textFill>
        </w:rPr>
        <w:t>7.5.1</w:t>
      </w:r>
      <w:r>
        <w:rPr>
          <w:rFonts w:hint="eastAsia"/>
          <w:color w:val="000000" w:themeColor="text1"/>
          <w:szCs w:val="21"/>
          <w:highlight w:val="none"/>
          <w14:textFill>
            <w14:solidFill>
              <w14:schemeClr w14:val="tx1"/>
            </w14:solidFill>
          </w14:textFill>
        </w:rPr>
        <w:t>采购人可以根据政府采购项目具体情况自行组织验收，或者委托政府采购代理机构、国家认可的质量检测机构开展采购项目履约验收工作。</w:t>
      </w:r>
    </w:p>
    <w:p w14:paraId="4B42A8A4">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7.5.2</w:t>
      </w:r>
      <w:r>
        <w:rPr>
          <w:rFonts w:hint="eastAsia"/>
          <w:color w:val="000000" w:themeColor="text1"/>
          <w:szCs w:val="21"/>
          <w:highlight w:val="none"/>
          <w14:textFill>
            <w14:solidFill>
              <w14:schemeClr w14:val="tx1"/>
            </w14:solidFill>
          </w14:textFill>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433C331">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7.5.3</w:t>
      </w:r>
      <w:r>
        <w:rPr>
          <w:rFonts w:hint="eastAsia"/>
          <w:color w:val="000000" w:themeColor="text1"/>
          <w:szCs w:val="21"/>
          <w:highlight w:val="none"/>
          <w14:textFill>
            <w14:solidFill>
              <w14:schemeClr w14:val="tx1"/>
            </w14:solidFill>
          </w14:textFill>
        </w:rPr>
        <w:t>采购合同项目完成验收后，采购人应当将验收原始记录、验收书等资料作为该采购项目档案妥善保管，不得伪造、变造、隐匿或者销毁，验收资料保存期为采购结束之日起至少保存15年。</w:t>
      </w:r>
    </w:p>
    <w:p w14:paraId="38BFC1BA">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7.5.4</w:t>
      </w:r>
      <w:r>
        <w:rPr>
          <w:rFonts w:hint="eastAsia"/>
          <w:color w:val="000000" w:themeColor="text1"/>
          <w:szCs w:val="21"/>
          <w:highlight w:val="none"/>
          <w14:textFill>
            <w14:solidFill>
              <w14:schemeClr w14:val="tx1"/>
            </w14:solidFill>
          </w14:textFill>
        </w:rPr>
        <w:t>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96"/>
    <w:p w14:paraId="6DA63CF0">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8</w:t>
      </w:r>
      <w:r>
        <w:rPr>
          <w:rFonts w:hint="eastAsia"/>
          <w:b/>
          <w:color w:val="000000" w:themeColor="text1"/>
          <w:kern w:val="0"/>
          <w:szCs w:val="21"/>
          <w:highlight w:val="none"/>
          <w14:textFill>
            <w14:solidFill>
              <w14:schemeClr w14:val="tx1"/>
            </w14:solidFill>
          </w14:textFill>
        </w:rPr>
        <w:t>．质疑和投诉</w:t>
      </w:r>
    </w:p>
    <w:p w14:paraId="72D70EEA">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8.1</w:t>
      </w:r>
      <w:r>
        <w:rPr>
          <w:rFonts w:hint="eastAsia"/>
          <w:b/>
          <w:color w:val="000000" w:themeColor="text1"/>
          <w:kern w:val="0"/>
          <w:szCs w:val="21"/>
          <w:highlight w:val="none"/>
          <w14:textFill>
            <w14:solidFill>
              <w14:schemeClr w14:val="tx1"/>
            </w14:solidFill>
          </w14:textFill>
        </w:rPr>
        <w:t>质疑</w:t>
      </w:r>
    </w:p>
    <w:p w14:paraId="723046CB">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8.1.1</w:t>
      </w:r>
      <w:r>
        <w:rPr>
          <w:rFonts w:hint="eastAsia"/>
          <w:color w:val="000000" w:themeColor="text1"/>
          <w:szCs w:val="21"/>
          <w:highlight w:val="none"/>
          <w14:textFill>
            <w14:solidFill>
              <w14:schemeClr w14:val="tx1"/>
            </w14:solidFill>
          </w14:textFill>
        </w:rPr>
        <w:t>质疑内容、时限</w:t>
      </w:r>
    </w:p>
    <w:p w14:paraId="0D31B72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7FAE4A3B">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供应商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2CF4409D">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8.1.2</w:t>
      </w:r>
      <w:r>
        <w:rPr>
          <w:rFonts w:hint="eastAsia"/>
          <w:color w:val="000000" w:themeColor="text1"/>
          <w:szCs w:val="21"/>
          <w:highlight w:val="none"/>
          <w14:textFill>
            <w14:solidFill>
              <w14:schemeClr w14:val="tx1"/>
            </w14:solidFill>
          </w14:textFill>
        </w:rPr>
        <w:t>质疑形式</w:t>
      </w:r>
    </w:p>
    <w:p w14:paraId="7FB6937A">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65A6F72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.1.3</w:t>
      </w:r>
      <w:r>
        <w:rPr>
          <w:rFonts w:hint="eastAsia"/>
          <w:color w:val="000000" w:themeColor="text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供应商提出质疑应当提交质疑函和必要的证明材料。质疑函应当包括下列内容：</w:t>
      </w:r>
    </w:p>
    <w:p w14:paraId="691F8244">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ab/>
      </w:r>
      <w:r>
        <w:rPr>
          <w:rFonts w:hint="eastAsia"/>
          <w:color w:val="000000" w:themeColor="text1"/>
          <w:szCs w:val="21"/>
          <w:highlight w:val="none"/>
          <w14:textFill>
            <w14:solidFill>
              <w14:schemeClr w14:val="tx1"/>
            </w14:solidFill>
          </w14:textFill>
        </w:rPr>
        <w:t>供应商的姓名或者名称、地址、邮编、联系人及联系电话；</w:t>
      </w:r>
    </w:p>
    <w:p w14:paraId="1B97B299">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ab/>
      </w:r>
      <w:r>
        <w:rPr>
          <w:rFonts w:hint="eastAsia"/>
          <w:color w:val="000000" w:themeColor="text1"/>
          <w:szCs w:val="21"/>
          <w:highlight w:val="none"/>
          <w14:textFill>
            <w14:solidFill>
              <w14:schemeClr w14:val="tx1"/>
            </w14:solidFill>
          </w14:textFill>
        </w:rPr>
        <w:t>质疑项目的名称、编号；</w:t>
      </w:r>
    </w:p>
    <w:p w14:paraId="090DAD3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ab/>
      </w:r>
      <w:r>
        <w:rPr>
          <w:rFonts w:hint="eastAsia"/>
          <w:color w:val="000000" w:themeColor="text1"/>
          <w:szCs w:val="21"/>
          <w:highlight w:val="none"/>
          <w14:textFill>
            <w14:solidFill>
              <w14:schemeClr w14:val="tx1"/>
            </w14:solidFill>
          </w14:textFill>
        </w:rPr>
        <w:t>具体、明确的质疑事项和与质疑事项相关的请求；</w:t>
      </w:r>
    </w:p>
    <w:p w14:paraId="32F6B9B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ab/>
      </w:r>
      <w:r>
        <w:rPr>
          <w:rFonts w:hint="eastAsia"/>
          <w:color w:val="000000" w:themeColor="text1"/>
          <w:szCs w:val="21"/>
          <w:highlight w:val="none"/>
          <w14:textFill>
            <w14:solidFill>
              <w14:schemeClr w14:val="tx1"/>
            </w14:solidFill>
          </w14:textFill>
        </w:rPr>
        <w:t>事实依据；</w:t>
      </w:r>
    </w:p>
    <w:p w14:paraId="024E19D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ab/>
      </w:r>
      <w:r>
        <w:rPr>
          <w:rFonts w:hint="eastAsia"/>
          <w:color w:val="000000" w:themeColor="text1"/>
          <w:szCs w:val="21"/>
          <w:highlight w:val="none"/>
          <w14:textFill>
            <w14:solidFill>
              <w14:schemeClr w14:val="tx1"/>
            </w14:solidFill>
          </w14:textFill>
        </w:rPr>
        <w:t>必要的法律依据；</w:t>
      </w:r>
    </w:p>
    <w:p w14:paraId="7E1A2C7E">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rFonts w:hint="eastAsia"/>
          <w:color w:val="000000" w:themeColor="text1"/>
          <w:szCs w:val="21"/>
          <w:highlight w:val="none"/>
          <w14:textFill>
            <w14:solidFill>
              <w14:schemeClr w14:val="tx1"/>
            </w14:solidFill>
          </w14:textFill>
        </w:rPr>
        <w:tab/>
      </w:r>
      <w:r>
        <w:rPr>
          <w:rFonts w:hint="eastAsia"/>
          <w:color w:val="000000" w:themeColor="text1"/>
          <w:szCs w:val="21"/>
          <w:highlight w:val="none"/>
          <w14:textFill>
            <w14:solidFill>
              <w14:schemeClr w14:val="tx1"/>
            </w14:solidFill>
          </w14:textFill>
        </w:rPr>
        <w:t>提出质疑的日期。</w:t>
      </w:r>
    </w:p>
    <w:p w14:paraId="79C241CF">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r>
        <w:rPr>
          <w:color w:val="000000" w:themeColor="text1"/>
          <w:szCs w:val="21"/>
          <w:highlight w:val="none"/>
          <w14:textFill>
            <w14:solidFill>
              <w14:schemeClr w14:val="tx1"/>
            </w14:solidFill>
          </w14:textFill>
        </w:rPr>
        <w:t xml:space="preserve"> </w:t>
      </w:r>
    </w:p>
    <w:p w14:paraId="3E3BC91E">
      <w:pPr>
        <w:spacing w:before="120" w:line="320" w:lineRule="atLeast"/>
        <w:ind w:firstLine="422" w:firstLineChars="200"/>
        <w:outlineLvl w:val="2"/>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8.2</w:t>
      </w:r>
      <w:r>
        <w:rPr>
          <w:rFonts w:hint="eastAsia"/>
          <w:b/>
          <w:color w:val="000000" w:themeColor="text1"/>
          <w:kern w:val="0"/>
          <w:szCs w:val="21"/>
          <w:highlight w:val="none"/>
          <w14:textFill>
            <w14:solidFill>
              <w14:schemeClr w14:val="tx1"/>
            </w14:solidFill>
          </w14:textFill>
        </w:rPr>
        <w:t>投诉</w:t>
      </w:r>
    </w:p>
    <w:p w14:paraId="534AAF8F">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8.2.1</w:t>
      </w:r>
      <w:r>
        <w:rPr>
          <w:rFonts w:hint="eastAsia"/>
          <w:color w:val="000000" w:themeColor="text1"/>
          <w:szCs w:val="21"/>
          <w:highlight w:val="none"/>
          <w14:textFill>
            <w14:solidFill>
              <w14:schemeClr w14:val="tx1"/>
            </w14:solidFill>
          </w14:textFill>
        </w:rPr>
        <w:t>供应商对采购人、采购代理机构的答复不满意，或者采购人、采购代理机构未在规定时间内答复的，可在答复期满后15个工作日内按有关规定，向同级财政部门投诉。</w:t>
      </w:r>
    </w:p>
    <w:p w14:paraId="2131F5FA">
      <w:pPr>
        <w:spacing w:before="120" w:line="320" w:lineRule="atLeas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8.2.</w:t>
      </w:r>
      <w:r>
        <w:rPr>
          <w:rFonts w:hint="eastAsia"/>
          <w:color w:val="000000" w:themeColor="text1"/>
          <w:szCs w:val="21"/>
          <w:highlight w:val="none"/>
          <w14:textFill>
            <w14:solidFill>
              <w14:schemeClr w14:val="tx1"/>
            </w14:solidFill>
          </w14:textFill>
        </w:rPr>
        <w:t>2投诉书应使用财政部发布的政府采购供应投诉书范本，并应按照“投诉书制作说明”进行编写。</w:t>
      </w:r>
    </w:p>
    <w:p w14:paraId="351215C4">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9</w:t>
      </w:r>
      <w:r>
        <w:rPr>
          <w:rFonts w:hint="eastAsia"/>
          <w:b/>
          <w:color w:val="000000" w:themeColor="text1"/>
          <w:kern w:val="0"/>
          <w:szCs w:val="21"/>
          <w:highlight w:val="none"/>
          <w14:textFill>
            <w14:solidFill>
              <w14:schemeClr w14:val="tx1"/>
            </w14:solidFill>
          </w14:textFill>
        </w:rPr>
        <w:t>．其他事项</w:t>
      </w:r>
    </w:p>
    <w:p w14:paraId="6B1D8852">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9.1</w:t>
      </w:r>
      <w:r>
        <w:rPr>
          <w:rFonts w:hint="eastAsia"/>
          <w:color w:val="000000" w:themeColor="text1"/>
          <w:szCs w:val="21"/>
          <w:highlight w:val="none"/>
          <w14:textFill>
            <w14:solidFill>
              <w14:schemeClr w14:val="tx1"/>
            </w14:solidFill>
          </w14:textFill>
        </w:rPr>
        <w:t>代理服务收费由采购代理机构向中标人收取。签订合同前，中标人应向采购代理机构一次付清代理服务费。</w:t>
      </w:r>
    </w:p>
    <w:p w14:paraId="2FBB2A35">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9.2</w:t>
      </w:r>
      <w:r>
        <w:rPr>
          <w:rFonts w:hint="eastAsia"/>
          <w:color w:val="000000" w:themeColor="text1"/>
          <w:szCs w:val="2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11ED1FA7">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（1）电子交易平台发生故障而无法登录访问的； </w:t>
      </w:r>
    </w:p>
    <w:p w14:paraId="39BBACC8">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（2）电子交易平台应用或数据库出现错误，不能进行正常操作的；</w:t>
      </w:r>
    </w:p>
    <w:p w14:paraId="400F33D1">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（3）电子交易平台发现严重安全漏洞，有潜在泄密危险的；</w:t>
      </w:r>
    </w:p>
    <w:p w14:paraId="56258C4D">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（4）病毒发作导致不能进行正常操作的； </w:t>
      </w:r>
    </w:p>
    <w:p w14:paraId="70D94D08">
      <w:pPr>
        <w:spacing w:before="120" w:line="276"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）其他无法保证电子交易的公平、公正和安全的情况。</w:t>
      </w:r>
    </w:p>
    <w:p w14:paraId="68CA8E63">
      <w:pPr>
        <w:tabs>
          <w:tab w:val="left" w:pos="4820"/>
        </w:tabs>
        <w:spacing w:before="120"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000000" w:themeColor="text1"/>
          <w:szCs w:val="21"/>
          <w:highlight w:val="none"/>
          <w14:textFill>
            <w14:solidFill>
              <w14:schemeClr w14:val="tx1"/>
            </w14:solidFill>
          </w14:textFill>
        </w:rPr>
        <w:t xml:space="preserve"> </w:t>
      </w:r>
    </w:p>
    <w:p w14:paraId="701FEAFD">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9.3</w:t>
      </w:r>
      <w:r>
        <w:rPr>
          <w:rFonts w:hint="eastAsia"/>
          <w:color w:val="000000" w:themeColor="text1"/>
          <w:szCs w:val="21"/>
          <w:highlight w:val="none"/>
          <w14:textFill>
            <w14:solidFill>
              <w14:schemeClr w14:val="tx1"/>
            </w14:solidFill>
          </w14:textFill>
        </w:rPr>
        <w:t>本项目的附件及图纸详见投标人须知前附表。</w:t>
      </w:r>
    </w:p>
    <w:p w14:paraId="29C85FDC">
      <w:pPr>
        <w:spacing w:before="120" w:line="320" w:lineRule="atLeast"/>
        <w:ind w:left="2" w:leftChars="1"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9.4</w:t>
      </w:r>
      <w:r>
        <w:rPr>
          <w:rFonts w:hint="eastAsia"/>
          <w:color w:val="000000" w:themeColor="text1"/>
          <w:szCs w:val="21"/>
          <w:highlight w:val="none"/>
          <w14:textFill>
            <w14:solidFill>
              <w14:schemeClr w14:val="tx1"/>
            </w14:solidFill>
          </w14:textFill>
        </w:rPr>
        <w:t>本项目的其他事项详见投标人须知前附表。</w:t>
      </w:r>
    </w:p>
    <w:p w14:paraId="6744D2A7">
      <w:pPr>
        <w:spacing w:before="120" w:line="320" w:lineRule="atLeast"/>
        <w:ind w:left="2" w:leftChars="1" w:firstLine="422" w:firstLineChars="200"/>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10</w:t>
      </w:r>
      <w:r>
        <w:rPr>
          <w:rFonts w:hint="eastAsia"/>
          <w:b/>
          <w:color w:val="000000" w:themeColor="text1"/>
          <w:kern w:val="0"/>
          <w:szCs w:val="21"/>
          <w:highlight w:val="none"/>
          <w14:textFill>
            <w14:solidFill>
              <w14:schemeClr w14:val="tx1"/>
            </w14:solidFill>
          </w14:textFill>
        </w:rPr>
        <w:t>．其他说明</w:t>
      </w:r>
    </w:p>
    <w:p w14:paraId="2EE436A6">
      <w:pPr>
        <w:spacing w:before="120" w:line="320" w:lineRule="atLeast"/>
        <w:ind w:left="2" w:leftChars="1" w:firstLine="420" w:firstLineChars="200"/>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w:t>
      </w:r>
      <w:r>
        <w:rPr>
          <w:color w:val="000000" w:themeColor="text1"/>
          <w:kern w:val="0"/>
          <w:szCs w:val="21"/>
          <w:highlight w:val="none"/>
          <w14:textFill>
            <w14:solidFill>
              <w14:schemeClr w14:val="tx1"/>
            </w14:solidFill>
          </w14:textFill>
        </w:rPr>
        <w:t>0.1</w:t>
      </w:r>
      <w:r>
        <w:rPr>
          <w:rFonts w:hint="eastAsia"/>
          <w:color w:val="000000" w:themeColor="text1"/>
          <w:kern w:val="0"/>
          <w:szCs w:val="21"/>
          <w:highlight w:val="none"/>
          <w14:textFill>
            <w14:solidFill>
              <w14:schemeClr w14:val="tx1"/>
            </w14:solidFill>
          </w14:textFill>
        </w:rPr>
        <w:t>其余未尽事宜按《中华人民共和国政府采购法》、《中华人民共和国政府采购法实施条例》的相关规定执行。</w:t>
      </w:r>
    </w:p>
    <w:p w14:paraId="4BA9CE46">
      <w:pPr>
        <w:spacing w:before="120" w:line="320" w:lineRule="atLeast"/>
        <w:ind w:left="2" w:leftChars="1" w:firstLine="420" w:firstLineChars="200"/>
        <w:outlineLvl w:val="1"/>
        <w:rPr>
          <w:color w:val="000000" w:themeColor="text1"/>
          <w:sz w:val="32"/>
          <w:szCs w:val="32"/>
          <w:highlight w:val="none"/>
          <w14:textFill>
            <w14:solidFill>
              <w14:schemeClr w14:val="tx1"/>
            </w14:solidFill>
          </w14:textFill>
        </w:rPr>
      </w:pPr>
      <w:r>
        <w:rPr>
          <w:color w:val="000000" w:themeColor="text1"/>
          <w:kern w:val="0"/>
          <w:szCs w:val="21"/>
          <w:highlight w:val="none"/>
          <w14:textFill>
            <w14:solidFill>
              <w14:schemeClr w14:val="tx1"/>
            </w14:solidFill>
          </w14:textFill>
        </w:rPr>
        <w:t>10.2</w:t>
      </w:r>
      <w:r>
        <w:rPr>
          <w:rFonts w:hint="eastAsia"/>
          <w:color w:val="000000" w:themeColor="text1"/>
          <w:highlight w:val="none"/>
          <w14:textFill>
            <w14:solidFill>
              <w14:schemeClr w14:val="tx1"/>
            </w14:solidFill>
          </w14:textFill>
        </w:rPr>
        <w:t>本招标文件是根据国家有关法律及有关政策、法规和参照国际惯例编制，解释权属采购代理机构。</w:t>
      </w:r>
      <w:bookmarkEnd w:id="76"/>
    </w:p>
    <w:p w14:paraId="1FF4B687">
      <w:pPr>
        <w:pStyle w:val="27"/>
        <w:snapToGrid w:val="0"/>
        <w:spacing w:before="120" w:after="120" w:line="320" w:lineRule="exact"/>
        <w:jc w:val="center"/>
        <w:outlineLvl w:val="0"/>
        <w:rPr>
          <w:rFonts w:ascii="Times New Roman" w:hAnsi="Times New Roman" w:cs="Times New Roman"/>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97" w:name="_Toc15741"/>
      <w:r>
        <w:rPr>
          <w:rFonts w:ascii="Times New Roman" w:hAnsi="Times New Roman" w:cs="Times New Roman"/>
          <w:color w:val="000000" w:themeColor="text1"/>
          <w:sz w:val="32"/>
          <w:szCs w:val="32"/>
          <w:highlight w:val="none"/>
          <w14:textFill>
            <w14:solidFill>
              <w14:schemeClr w14:val="tx1"/>
            </w14:solidFill>
          </w14:textFill>
        </w:rPr>
        <w:t>第四章  评审方法及标准</w:t>
      </w:r>
      <w:bookmarkEnd w:id="97"/>
    </w:p>
    <w:p w14:paraId="540F12A4">
      <w:pPr>
        <w:spacing w:before="120" w:line="320" w:lineRule="atLeast"/>
        <w:ind w:firstLine="413" w:firstLineChars="196"/>
        <w:outlineLvl w:val="1"/>
        <w:rPr>
          <w:b/>
          <w:bCs/>
          <w:color w:val="000000" w:themeColor="text1"/>
          <w:kern w:val="0"/>
          <w:szCs w:val="21"/>
          <w:highlight w:val="none"/>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t>1.</w:t>
      </w:r>
      <w:r>
        <w:rPr>
          <w:b/>
          <w:bCs/>
          <w:color w:val="000000" w:themeColor="text1"/>
          <w:kern w:val="0"/>
          <w:szCs w:val="21"/>
          <w:highlight w:val="none"/>
          <w14:textFill>
            <w14:solidFill>
              <w14:schemeClr w14:val="tx1"/>
            </w14:solidFill>
          </w14:textFill>
        </w:rPr>
        <w:t>评审方法</w:t>
      </w:r>
    </w:p>
    <w:p w14:paraId="521F8168">
      <w:pPr>
        <w:suppressAutoHyphens/>
        <w:spacing w:before="120" w:line="320" w:lineRule="atLeast"/>
        <w:ind w:firstLine="420" w:firstLineChars="200"/>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sym w:font="Wingdings 2" w:char="F052"/>
      </w:r>
      <w:r>
        <w:rPr>
          <w:color w:val="000000" w:themeColor="text1"/>
          <w:highlight w:val="none"/>
          <w14:textFill>
            <w14:solidFill>
              <w14:schemeClr w14:val="tx1"/>
            </w14:solidFill>
          </w14:textFill>
        </w:rPr>
        <w:t>本项目采用综合评分法进行评审。</w:t>
      </w:r>
    </w:p>
    <w:p w14:paraId="71799365">
      <w:pPr>
        <w:suppressAutoHyphens/>
        <w:spacing w:before="120" w:line="320" w:lineRule="atLeas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综合评分法，是指投标文件满足招标文件全部实质性要求且按照评审因素的量化指标评审得分最高的</w:t>
      </w:r>
      <w:r>
        <w:rPr>
          <w:rFonts w:hint="eastAsia"/>
          <w:color w:val="000000" w:themeColor="text1"/>
          <w:highlight w:val="none"/>
          <w14:textFill>
            <w14:solidFill>
              <w14:schemeClr w14:val="tx1"/>
            </w14:solidFill>
          </w14:textFill>
        </w:rPr>
        <w:t>投标人</w:t>
      </w:r>
      <w:r>
        <w:rPr>
          <w:color w:val="000000" w:themeColor="text1"/>
          <w:highlight w:val="none"/>
          <w14:textFill>
            <w14:solidFill>
              <w14:schemeClr w14:val="tx1"/>
            </w14:solidFill>
          </w14:textFill>
        </w:rPr>
        <w:t>为中标候选人的评审方法。</w:t>
      </w:r>
    </w:p>
    <w:p w14:paraId="3D38EF7F">
      <w:pPr>
        <w:suppressAutoHyphens/>
        <w:spacing w:before="120" w:line="320" w:lineRule="atLeast"/>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本项目采用</w:t>
      </w:r>
      <w:r>
        <w:rPr>
          <w:rFonts w:hint="eastAsia"/>
          <w:color w:val="000000" w:themeColor="text1"/>
          <w:highlight w:val="none"/>
          <w14:textFill>
            <w14:solidFill>
              <w14:schemeClr w14:val="tx1"/>
            </w14:solidFill>
          </w14:textFill>
        </w:rPr>
        <w:t>最低评标价</w:t>
      </w:r>
      <w:r>
        <w:rPr>
          <w:color w:val="000000" w:themeColor="text1"/>
          <w:highlight w:val="none"/>
          <w14:textFill>
            <w14:solidFill>
              <w14:schemeClr w14:val="tx1"/>
            </w14:solidFill>
          </w14:textFill>
        </w:rPr>
        <w:t>法进行评审。</w:t>
      </w:r>
    </w:p>
    <w:p w14:paraId="52E5BB18">
      <w:pPr>
        <w:suppressAutoHyphens/>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最低评标价法，是指投标文件满足招标文件全部实质性要求且投标报价最低的投标人为中标候选人的评标方法。</w:t>
      </w:r>
    </w:p>
    <w:p w14:paraId="52F5CFF9">
      <w:pPr>
        <w:suppressAutoHyphens/>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本项目评审的其他详细规定在第三章投标人须知中规定。</w:t>
      </w:r>
    </w:p>
    <w:p w14:paraId="79F947E8">
      <w:pPr>
        <w:spacing w:before="120" w:line="320" w:lineRule="atLeast"/>
        <w:ind w:firstLine="413" w:firstLineChars="196"/>
        <w:outlineLvl w:val="1"/>
        <w:rPr>
          <w:b/>
          <w:color w:val="000000" w:themeColor="text1"/>
          <w:kern w:val="0"/>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2</w:t>
      </w:r>
      <w:r>
        <w:rPr>
          <w:rFonts w:hint="eastAsia"/>
          <w:b/>
          <w:color w:val="000000" w:themeColor="text1"/>
          <w:kern w:val="0"/>
          <w:szCs w:val="21"/>
          <w:highlight w:val="none"/>
          <w14:textFill>
            <w14:solidFill>
              <w14:schemeClr w14:val="tx1"/>
            </w14:solidFill>
          </w14:textFill>
        </w:rPr>
        <w:t>.资格审查标准</w:t>
      </w:r>
      <w:r>
        <w:rPr>
          <w:rFonts w:hint="eastAsia"/>
          <w:b/>
          <w:bCs/>
          <w:color w:val="000000" w:themeColor="text1"/>
          <w:kern w:val="0"/>
          <w:szCs w:val="21"/>
          <w:highlight w:val="none"/>
          <w14:textFill>
            <w14:solidFill>
              <w14:schemeClr w14:val="tx1"/>
            </w14:solidFill>
          </w14:textFill>
        </w:rPr>
        <w:t>（不满足任何一项审查内容要求，资格审查即为不合格；</w:t>
      </w:r>
      <w:bookmarkStart w:id="98" w:name="_Hlk160525103"/>
      <w:r>
        <w:rPr>
          <w:rFonts w:hint="eastAsia"/>
          <w:b/>
          <w:bCs/>
          <w:color w:val="000000" w:themeColor="text1"/>
          <w:kern w:val="0"/>
          <w:szCs w:val="21"/>
          <w:highlight w:val="none"/>
          <w14:textFill>
            <w14:solidFill>
              <w14:schemeClr w14:val="tx1"/>
            </w14:solidFill>
          </w14:textFill>
        </w:rPr>
        <w:t>联合体投标的，联合体各方均应提交第一项基本资格要求的资格证明文件）</w:t>
      </w:r>
      <w:bookmarkEnd w:id="98"/>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14D5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36093707">
            <w:pPr>
              <w:spacing w:line="240" w:lineRule="exact"/>
              <w:jc w:val="center"/>
              <w:rPr>
                <w:b/>
                <w:color w:val="000000" w:themeColor="text1"/>
                <w:kern w:val="0"/>
                <w:szCs w:val="21"/>
                <w:highlight w:val="none"/>
                <w14:textFill>
                  <w14:solidFill>
                    <w14:schemeClr w14:val="tx1"/>
                  </w14:solidFill>
                </w14:textFill>
              </w:rPr>
            </w:pPr>
            <w:r>
              <w:rPr>
                <w:rFonts w:hint="eastAsia"/>
                <w:b/>
                <w:color w:val="000000" w:themeColor="text1"/>
                <w:kern w:val="0"/>
                <w:szCs w:val="21"/>
                <w:highlight w:val="none"/>
                <w14:textFill>
                  <w14:solidFill>
                    <w14:schemeClr w14:val="tx1"/>
                  </w14:solidFill>
                </w14:textFill>
              </w:rPr>
              <w:t>审查</w:t>
            </w:r>
            <w:r>
              <w:rPr>
                <w:b/>
                <w:color w:val="000000" w:themeColor="text1"/>
                <w:kern w:val="0"/>
                <w:szCs w:val="21"/>
                <w:highlight w:val="none"/>
                <w14:textFill>
                  <w14:solidFill>
                    <w14:schemeClr w14:val="tx1"/>
                  </w14:solidFill>
                </w14:textFill>
              </w:rPr>
              <w:t>因素</w:t>
            </w:r>
          </w:p>
        </w:tc>
        <w:tc>
          <w:tcPr>
            <w:tcW w:w="1843" w:type="dxa"/>
            <w:vAlign w:val="center"/>
          </w:tcPr>
          <w:p w14:paraId="72A810C8">
            <w:pPr>
              <w:spacing w:line="240" w:lineRule="exact"/>
              <w:jc w:val="center"/>
              <w:rPr>
                <w:b/>
                <w:color w:val="000000" w:themeColor="text1"/>
                <w:kern w:val="0"/>
                <w:szCs w:val="21"/>
                <w:highlight w:val="none"/>
                <w14:textFill>
                  <w14:solidFill>
                    <w14:schemeClr w14:val="tx1"/>
                  </w14:solidFill>
                </w14:textFill>
              </w:rPr>
            </w:pPr>
            <w:r>
              <w:rPr>
                <w:rFonts w:hint="eastAsia"/>
                <w:b/>
                <w:color w:val="000000" w:themeColor="text1"/>
                <w:kern w:val="0"/>
                <w:szCs w:val="21"/>
                <w:highlight w:val="none"/>
                <w14:textFill>
                  <w14:solidFill>
                    <w14:schemeClr w14:val="tx1"/>
                  </w14:solidFill>
                </w14:textFill>
              </w:rPr>
              <w:t>审查</w:t>
            </w:r>
            <w:r>
              <w:rPr>
                <w:b/>
                <w:color w:val="000000" w:themeColor="text1"/>
                <w:kern w:val="0"/>
                <w:szCs w:val="21"/>
                <w:highlight w:val="none"/>
                <w14:textFill>
                  <w14:solidFill>
                    <w14:schemeClr w14:val="tx1"/>
                  </w14:solidFill>
                </w14:textFill>
              </w:rPr>
              <w:t>内容</w:t>
            </w:r>
          </w:p>
        </w:tc>
        <w:tc>
          <w:tcPr>
            <w:tcW w:w="6242" w:type="dxa"/>
            <w:vAlign w:val="center"/>
          </w:tcPr>
          <w:p w14:paraId="52B4FC26">
            <w:pPr>
              <w:spacing w:line="240" w:lineRule="exact"/>
              <w:jc w:val="center"/>
              <w:rPr>
                <w:b/>
                <w:color w:val="000000" w:themeColor="text1"/>
                <w:kern w:val="0"/>
                <w:szCs w:val="21"/>
                <w:highlight w:val="none"/>
                <w14:textFill>
                  <w14:solidFill>
                    <w14:schemeClr w14:val="tx1"/>
                  </w14:solidFill>
                </w14:textFill>
              </w:rPr>
            </w:pPr>
            <w:r>
              <w:rPr>
                <w:rFonts w:hint="eastAsia"/>
                <w:b/>
                <w:color w:val="000000" w:themeColor="text1"/>
                <w:kern w:val="0"/>
                <w:szCs w:val="21"/>
                <w:highlight w:val="none"/>
                <w14:textFill>
                  <w14:solidFill>
                    <w14:schemeClr w14:val="tx1"/>
                  </w14:solidFill>
                </w14:textFill>
              </w:rPr>
              <w:t>说明</w:t>
            </w:r>
          </w:p>
        </w:tc>
      </w:tr>
      <w:tr w14:paraId="71A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846" w:type="dxa"/>
            <w:vMerge w:val="restart"/>
            <w:vAlign w:val="center"/>
          </w:tcPr>
          <w:p w14:paraId="38458968">
            <w:pPr>
              <w:spacing w:line="240" w:lineRule="exact"/>
              <w:rPr>
                <w:color w:val="000000" w:themeColor="text1"/>
                <w:szCs w:val="21"/>
                <w:highlight w:val="none"/>
                <w:lang w:val="zh-CN"/>
                <w14:textFill>
                  <w14:solidFill>
                    <w14:schemeClr w14:val="tx1"/>
                  </w14:solidFill>
                </w14:textFill>
              </w:rPr>
            </w:pPr>
            <w:r>
              <w:rPr>
                <w:rFonts w:hint="eastAsia"/>
                <w:color w:val="000000" w:themeColor="text1"/>
                <w:szCs w:val="21"/>
                <w:highlight w:val="none"/>
                <w:lang w:val="zh-CN"/>
                <w14:textFill>
                  <w14:solidFill>
                    <w14:schemeClr w14:val="tx1"/>
                  </w14:solidFill>
                </w14:textFill>
              </w:rPr>
              <w:t>投标人</w:t>
            </w:r>
            <w:r>
              <w:rPr>
                <w:color w:val="000000" w:themeColor="text1"/>
                <w:szCs w:val="21"/>
                <w:highlight w:val="none"/>
                <w:lang w:val="zh-CN"/>
                <w14:textFill>
                  <w14:solidFill>
                    <w14:schemeClr w14:val="tx1"/>
                  </w14:solidFill>
                </w14:textFill>
              </w:rPr>
              <w:t>应</w:t>
            </w:r>
            <w:r>
              <w:rPr>
                <w:rFonts w:hint="eastAsia"/>
                <w:color w:val="000000" w:themeColor="text1"/>
                <w:szCs w:val="21"/>
                <w:highlight w:val="none"/>
                <w:lang w:val="zh-CN"/>
                <w14:textFill>
                  <w14:solidFill>
                    <w14:schemeClr w14:val="tx1"/>
                  </w14:solidFill>
                </w14:textFill>
              </w:rPr>
              <w:t>符合基本</w:t>
            </w:r>
            <w:r>
              <w:rPr>
                <w:color w:val="000000" w:themeColor="text1"/>
                <w:szCs w:val="21"/>
                <w:highlight w:val="none"/>
                <w14:textFill>
                  <w14:solidFill>
                    <w14:schemeClr w14:val="tx1"/>
                  </w14:solidFill>
                </w14:textFill>
              </w:rPr>
              <w:t>资格</w:t>
            </w:r>
            <w:r>
              <w:rPr>
                <w:rFonts w:hint="eastAsia"/>
                <w:color w:val="000000" w:themeColor="text1"/>
                <w:szCs w:val="21"/>
                <w:highlight w:val="none"/>
                <w14:textFill>
                  <w14:solidFill>
                    <w14:schemeClr w14:val="tx1"/>
                  </w14:solidFill>
                </w14:textFill>
              </w:rPr>
              <w:t>要求</w:t>
            </w:r>
          </w:p>
        </w:tc>
        <w:tc>
          <w:tcPr>
            <w:tcW w:w="1843" w:type="dxa"/>
            <w:vAlign w:val="center"/>
          </w:tcPr>
          <w:p w14:paraId="6FF5D066">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（1）具有独立承担民事责任的能力</w:t>
            </w:r>
          </w:p>
        </w:tc>
        <w:tc>
          <w:tcPr>
            <w:tcW w:w="6242" w:type="dxa"/>
          </w:tcPr>
          <w:p w14:paraId="1BFFCF65">
            <w:pPr>
              <w:spacing w:line="2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审查供应商为法人或者其他组织的，提供营业执照等证明文件（如营业执照或者事业单位法人证书或者执业许可证等），供应商为自然人的，提供身份证复印件</w:t>
            </w:r>
          </w:p>
        </w:tc>
      </w:tr>
      <w:tr w14:paraId="26A0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376A9855">
            <w:pPr>
              <w:spacing w:line="240" w:lineRule="exact"/>
              <w:rPr>
                <w:color w:val="000000" w:themeColor="text1"/>
                <w:szCs w:val="21"/>
                <w:highlight w:val="none"/>
                <w:lang w:val="zh-CN"/>
                <w14:textFill>
                  <w14:solidFill>
                    <w14:schemeClr w14:val="tx1"/>
                  </w14:solidFill>
                </w14:textFill>
              </w:rPr>
            </w:pPr>
          </w:p>
        </w:tc>
        <w:tc>
          <w:tcPr>
            <w:tcW w:w="1843" w:type="dxa"/>
            <w:vAlign w:val="center"/>
          </w:tcPr>
          <w:p w14:paraId="18001777">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lang w:val="zh-CN"/>
                <w14:textFill>
                  <w14:solidFill>
                    <w14:schemeClr w14:val="tx1"/>
                  </w14:solidFill>
                </w14:textFill>
              </w:rPr>
              <w:t>（2）</w:t>
            </w:r>
            <w:r>
              <w:rPr>
                <w:color w:val="000000" w:themeColor="text1"/>
                <w:szCs w:val="21"/>
                <w:highlight w:val="none"/>
                <w14:textFill>
                  <w14:solidFill>
                    <w14:schemeClr w14:val="tx1"/>
                  </w14:solidFill>
                </w14:textFill>
              </w:rPr>
              <w:t>具有良好的商业信誉和健全的财务会计制度</w:t>
            </w:r>
          </w:p>
        </w:tc>
        <w:tc>
          <w:tcPr>
            <w:tcW w:w="6242" w:type="dxa"/>
          </w:tcPr>
          <w:p w14:paraId="3E6CB4F3">
            <w:pPr>
              <w:spacing w:line="240" w:lineRule="exact"/>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color w:val="000000" w:themeColor="text1"/>
                <w:szCs w:val="21"/>
                <w:highlight w:val="none"/>
                <w14:textFill>
                  <w14:solidFill>
                    <w14:schemeClr w14:val="tx1"/>
                  </w14:solidFill>
                </w14:textFill>
              </w:rPr>
              <w:t>审查商业信誉声明。须提供，格式见第六章投标文件格式“投标声明书”。</w:t>
            </w:r>
          </w:p>
          <w:p w14:paraId="450A2D0F">
            <w:pPr>
              <w:spacing w:line="240" w:lineRule="exact"/>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color w:val="000000" w:themeColor="text1"/>
                <w:szCs w:val="21"/>
                <w:highlight w:val="none"/>
                <w14:textFill>
                  <w14:solidFill>
                    <w14:schemeClr w14:val="tx1"/>
                  </w14:solidFill>
                </w14:textFill>
              </w:rPr>
              <w:t>审查</w:t>
            </w:r>
            <w:r>
              <w:rPr>
                <w:rFonts w:hint="eastAsia"/>
                <w:color w:val="000000" w:themeColor="text1"/>
                <w:szCs w:val="21"/>
                <w:highlight w:val="none"/>
                <w14:textFill>
                  <w14:solidFill>
                    <w14:schemeClr w14:val="tx1"/>
                  </w14:solidFill>
                </w14:textFill>
              </w:rPr>
              <w:t>2025年</w:t>
            </w:r>
            <w:r>
              <w:rPr>
                <w:color w:val="000000" w:themeColor="text1"/>
                <w:szCs w:val="21"/>
                <w:highlight w:val="none"/>
                <w14:textFill>
                  <w14:solidFill>
                    <w14:schemeClr w14:val="tx1"/>
                  </w14:solidFill>
                </w14:textFill>
              </w:rPr>
              <w:t>度财务状况报告（表）复印件或银行出具的资信证明复印件，</w:t>
            </w:r>
            <w:r>
              <w:rPr>
                <w:color w:val="000000" w:themeColor="text1"/>
                <w:highlight w:val="none"/>
                <w14:textFill>
                  <w14:solidFill>
                    <w14:schemeClr w14:val="tx1"/>
                  </w14:solidFill>
                </w14:textFill>
              </w:rPr>
              <w:t>对于从取得营业执照时间起到投标文件递交截止时间为止不足1年的供应商，只需提交</w:t>
            </w:r>
            <w:r>
              <w:rPr>
                <w:color w:val="000000" w:themeColor="text1"/>
                <w:szCs w:val="21"/>
                <w:highlight w:val="none"/>
                <w14:textFill>
                  <w14:solidFill>
                    <w14:schemeClr w14:val="tx1"/>
                  </w14:solidFill>
                </w14:textFill>
              </w:rPr>
              <w:t>投标文件递交截止时间前一个月的财务状况报告（表）复印件。</w:t>
            </w:r>
          </w:p>
        </w:tc>
      </w:tr>
      <w:tr w14:paraId="23E0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ED8E735">
            <w:pPr>
              <w:spacing w:line="240" w:lineRule="exact"/>
              <w:rPr>
                <w:color w:val="000000" w:themeColor="text1"/>
                <w:szCs w:val="21"/>
                <w:highlight w:val="none"/>
                <w:lang w:val="zh-CN"/>
                <w14:textFill>
                  <w14:solidFill>
                    <w14:schemeClr w14:val="tx1"/>
                  </w14:solidFill>
                </w14:textFill>
              </w:rPr>
            </w:pPr>
          </w:p>
        </w:tc>
        <w:tc>
          <w:tcPr>
            <w:tcW w:w="1843" w:type="dxa"/>
            <w:vAlign w:val="center"/>
          </w:tcPr>
          <w:p w14:paraId="558BE22C">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lang w:val="zh-CN"/>
                <w14:textFill>
                  <w14:solidFill>
                    <w14:schemeClr w14:val="tx1"/>
                  </w14:solidFill>
                </w14:textFill>
              </w:rPr>
              <w:t>（3）具有履行合同所必需的设备和专业技术能力</w:t>
            </w:r>
          </w:p>
        </w:tc>
        <w:tc>
          <w:tcPr>
            <w:tcW w:w="6242" w:type="dxa"/>
          </w:tcPr>
          <w:p w14:paraId="2B5D1765">
            <w:pPr>
              <w:spacing w:line="240" w:lineRule="exact"/>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color w:val="000000" w:themeColor="text1"/>
                <w:szCs w:val="21"/>
                <w:highlight w:val="none"/>
                <w14:textFill>
                  <w14:solidFill>
                    <w14:schemeClr w14:val="tx1"/>
                  </w14:solidFill>
                </w14:textFill>
              </w:rPr>
              <w:t xml:space="preserve">审查供应商营业执照，须有效； </w:t>
            </w:r>
          </w:p>
          <w:p w14:paraId="63B94280">
            <w:pPr>
              <w:spacing w:line="240" w:lineRule="exact"/>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color w:val="000000" w:themeColor="text1"/>
                <w:szCs w:val="21"/>
                <w:highlight w:val="none"/>
                <w14:textFill>
                  <w14:solidFill>
                    <w14:schemeClr w14:val="tx1"/>
                  </w14:solidFill>
                </w14:textFill>
              </w:rPr>
              <w:t>审查书面声明。须提供，格式见第六章投标文件格式“</w:t>
            </w:r>
            <w:r>
              <w:rPr>
                <w:color w:val="000000" w:themeColor="text1"/>
                <w:highlight w:val="none"/>
                <w14:textFill>
                  <w14:solidFill>
                    <w14:schemeClr w14:val="tx1"/>
                  </w14:solidFill>
                </w14:textFill>
              </w:rPr>
              <w:t>投标声明书</w:t>
            </w:r>
            <w:r>
              <w:rPr>
                <w:color w:val="000000" w:themeColor="text1"/>
                <w:szCs w:val="21"/>
                <w:highlight w:val="none"/>
                <w14:textFill>
                  <w14:solidFill>
                    <w14:schemeClr w14:val="tx1"/>
                  </w14:solidFill>
                </w14:textFill>
              </w:rPr>
              <w:t>”。</w:t>
            </w:r>
          </w:p>
          <w:p w14:paraId="45BD5AA2">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审查</w:t>
            </w:r>
            <w:r>
              <w:rPr>
                <w:rFonts w:hint="eastAsia" w:ascii="宋体" w:hAnsi="宋体" w:cs="宋体"/>
                <w:color w:val="000000" w:themeColor="text1"/>
                <w:szCs w:val="21"/>
                <w:highlight w:val="none"/>
                <w14:textFill>
                  <w14:solidFill>
                    <w14:schemeClr w14:val="tx1"/>
                  </w14:solidFill>
                </w14:textFill>
              </w:rPr>
              <w:t>①</w:t>
            </w:r>
            <w:r>
              <w:rPr>
                <w:color w:val="000000" w:themeColor="text1"/>
                <w:szCs w:val="21"/>
                <w:highlight w:val="none"/>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②</w:t>
            </w:r>
            <w:r>
              <w:rPr>
                <w:color w:val="000000" w:themeColor="text1"/>
                <w:szCs w:val="21"/>
                <w:highlight w:val="none"/>
                <w14:textFill>
                  <w14:solidFill>
                    <w14:schemeClr w14:val="tx1"/>
                  </w14:solidFill>
                </w14:textFill>
              </w:rPr>
              <w:t>，满足其一，即为符合要求。</w:t>
            </w:r>
          </w:p>
        </w:tc>
      </w:tr>
      <w:tr w14:paraId="6504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3E045266">
            <w:pPr>
              <w:spacing w:line="240" w:lineRule="exact"/>
              <w:rPr>
                <w:color w:val="000000" w:themeColor="text1"/>
                <w:szCs w:val="21"/>
                <w:highlight w:val="none"/>
                <w:lang w:val="zh-CN"/>
                <w14:textFill>
                  <w14:solidFill>
                    <w14:schemeClr w14:val="tx1"/>
                  </w14:solidFill>
                </w14:textFill>
              </w:rPr>
            </w:pPr>
          </w:p>
        </w:tc>
        <w:tc>
          <w:tcPr>
            <w:tcW w:w="1843" w:type="dxa"/>
            <w:vAlign w:val="center"/>
          </w:tcPr>
          <w:p w14:paraId="32C3BD5E">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lang w:val="zh-CN"/>
                <w14:textFill>
                  <w14:solidFill>
                    <w14:schemeClr w14:val="tx1"/>
                  </w14:solidFill>
                </w14:textFill>
              </w:rPr>
              <w:t>（4）有依法缴纳税收和社会保障金的良好记录</w:t>
            </w:r>
          </w:p>
        </w:tc>
        <w:tc>
          <w:tcPr>
            <w:tcW w:w="6242" w:type="dxa"/>
          </w:tcPr>
          <w:p w14:paraId="45031796">
            <w:pPr>
              <w:spacing w:line="240" w:lineRule="exact"/>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color w:val="000000" w:themeColor="text1"/>
                <w:szCs w:val="21"/>
                <w:highlight w:val="none"/>
                <w14:textFill>
                  <w14:solidFill>
                    <w14:schemeClr w14:val="tx1"/>
                  </w14:solidFill>
                </w14:textFill>
              </w:rPr>
              <w:t>审查投标截止时间前6个月内，</w:t>
            </w:r>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任意</w:t>
            </w:r>
            <w:r>
              <w:rPr>
                <w:rFonts w:hint="eastAsia"/>
                <w:color w:val="000000" w:themeColor="text1"/>
                <w:highlight w:val="none"/>
                <w14:textFill>
                  <w14:solidFill>
                    <w14:schemeClr w14:val="tx1"/>
                  </w14:solidFill>
                </w14:textFill>
              </w:rPr>
              <w:t>1个月</w:t>
            </w:r>
            <w:r>
              <w:rPr>
                <w:color w:val="000000" w:themeColor="text1"/>
                <w:szCs w:val="21"/>
                <w:highlight w:val="none"/>
                <w14:textFill>
                  <w14:solidFill>
                    <w14:schemeClr w14:val="tx1"/>
                  </w14:solidFill>
                </w14:textFill>
              </w:rPr>
              <w:t>依法缴纳税费证明复印件加盖供应商</w:t>
            </w:r>
            <w:r>
              <w:rPr>
                <w:rFonts w:hint="eastAsia"/>
                <w:color w:val="000000" w:themeColor="text1"/>
                <w:szCs w:val="21"/>
                <w:highlight w:val="none"/>
                <w14:textFill>
                  <w14:solidFill>
                    <w14:schemeClr w14:val="tx1"/>
                  </w14:solidFill>
                </w14:textFill>
              </w:rPr>
              <w:t>电子签章</w:t>
            </w:r>
            <w:r>
              <w:rPr>
                <w:color w:val="000000" w:themeColor="text1"/>
                <w:szCs w:val="21"/>
                <w:highlight w:val="none"/>
                <w14:textFill>
                  <w14:solidFill>
                    <w14:schemeClr w14:val="tx1"/>
                  </w14:solidFill>
                </w14:textFill>
              </w:rPr>
              <w:t>。</w:t>
            </w:r>
          </w:p>
          <w:p w14:paraId="7030FF36">
            <w:pPr>
              <w:spacing w:line="240" w:lineRule="exact"/>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color w:val="000000" w:themeColor="text1"/>
                <w:szCs w:val="21"/>
                <w:highlight w:val="none"/>
                <w14:textFill>
                  <w14:solidFill>
                    <w14:schemeClr w14:val="tx1"/>
                  </w14:solidFill>
                </w14:textFill>
              </w:rPr>
              <w:t>审查投标截止时间前6个月内，</w:t>
            </w:r>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任意</w:t>
            </w:r>
            <w:r>
              <w:rPr>
                <w:rFonts w:hint="eastAsia"/>
                <w:color w:val="000000" w:themeColor="text1"/>
                <w:highlight w:val="none"/>
                <w14:textFill>
                  <w14:solidFill>
                    <w14:schemeClr w14:val="tx1"/>
                  </w14:solidFill>
                </w14:textFill>
              </w:rPr>
              <w:t>1个月</w:t>
            </w:r>
            <w:r>
              <w:rPr>
                <w:color w:val="000000" w:themeColor="text1"/>
                <w:szCs w:val="21"/>
                <w:highlight w:val="none"/>
                <w14:textFill>
                  <w14:solidFill>
                    <w14:schemeClr w14:val="tx1"/>
                  </w14:solidFill>
                </w14:textFill>
              </w:rPr>
              <w:t>的社保缴费证明记录复印件加盖供应商</w:t>
            </w:r>
            <w:r>
              <w:rPr>
                <w:rFonts w:hint="eastAsia"/>
                <w:color w:val="000000" w:themeColor="text1"/>
                <w:szCs w:val="21"/>
                <w:highlight w:val="none"/>
                <w14:textFill>
                  <w14:solidFill>
                    <w14:schemeClr w14:val="tx1"/>
                  </w14:solidFill>
                </w14:textFill>
              </w:rPr>
              <w:t>电子签章</w:t>
            </w:r>
            <w:r>
              <w:rPr>
                <w:color w:val="000000" w:themeColor="text1"/>
                <w:szCs w:val="21"/>
                <w:highlight w:val="none"/>
                <w14:textFill>
                  <w14:solidFill>
                    <w14:schemeClr w14:val="tx1"/>
                  </w14:solidFill>
                </w14:textFill>
              </w:rPr>
              <w:t>。</w:t>
            </w:r>
          </w:p>
          <w:p w14:paraId="1C4ACF1B">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供应商成立不足</w:t>
            </w:r>
            <w:r>
              <w:rPr>
                <w:rFonts w:hint="eastAsia"/>
                <w:color w:val="000000" w:themeColor="text1"/>
                <w:szCs w:val="21"/>
                <w:highlight w:val="none"/>
                <w14:textFill>
                  <w14:solidFill>
                    <w14:schemeClr w14:val="tx1"/>
                  </w14:solidFill>
                </w14:textFill>
              </w:rPr>
              <w:t>1个月的，无须提供</w:t>
            </w:r>
            <w:r>
              <w:rPr>
                <w:color w:val="000000" w:themeColor="text1"/>
                <w:szCs w:val="21"/>
                <w:highlight w:val="none"/>
                <w14:textFill>
                  <w14:solidFill>
                    <w14:schemeClr w14:val="tx1"/>
                  </w14:solidFill>
                </w14:textFill>
              </w:rPr>
              <w:t>缴纳税费证明及社保缴费证明加盖供应商电子签章</w:t>
            </w:r>
            <w:r>
              <w:rPr>
                <w:rFonts w:hint="eastAsia"/>
                <w:color w:val="000000" w:themeColor="text1"/>
                <w:szCs w:val="21"/>
                <w:highlight w:val="none"/>
                <w14:textFill>
                  <w14:solidFill>
                    <w14:schemeClr w14:val="tx1"/>
                  </w14:solidFill>
                </w14:textFill>
              </w:rPr>
              <w:t>。</w:t>
            </w:r>
          </w:p>
          <w:p w14:paraId="00800381">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依法免税或不需要缴纳社会保障资金的供应商，须提供相应文件证明其依法免税或不需要缴纳社会保障资金。</w:t>
            </w:r>
          </w:p>
        </w:tc>
      </w:tr>
      <w:tr w14:paraId="63CB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B0FBE41">
            <w:pPr>
              <w:spacing w:line="240" w:lineRule="exact"/>
              <w:rPr>
                <w:color w:val="000000" w:themeColor="text1"/>
                <w:szCs w:val="21"/>
                <w:highlight w:val="none"/>
                <w:lang w:val="zh-CN"/>
                <w14:textFill>
                  <w14:solidFill>
                    <w14:schemeClr w14:val="tx1"/>
                  </w14:solidFill>
                </w14:textFill>
              </w:rPr>
            </w:pPr>
          </w:p>
        </w:tc>
        <w:tc>
          <w:tcPr>
            <w:tcW w:w="1843" w:type="dxa"/>
            <w:vAlign w:val="center"/>
          </w:tcPr>
          <w:p w14:paraId="723F9961">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（5）参加政府采购活动前三年内，在经营活动中没有重大违法记录</w:t>
            </w:r>
            <w:r>
              <w:rPr>
                <w:rFonts w:hint="eastAsia"/>
                <w:color w:val="000000" w:themeColor="text1"/>
                <w:szCs w:val="21"/>
                <w:highlight w:val="none"/>
                <w14:textFill>
                  <w14:solidFill>
                    <w14:schemeClr w14:val="tx1"/>
                  </w14:solidFill>
                </w14:textFill>
              </w:rPr>
              <w:t>。</w:t>
            </w:r>
          </w:p>
        </w:tc>
        <w:tc>
          <w:tcPr>
            <w:tcW w:w="6242" w:type="dxa"/>
            <w:vAlign w:val="center"/>
          </w:tcPr>
          <w:p w14:paraId="091A72FE">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审查无重大违法记录声明。须提供，格式见第六章投标文件格式“投标声明书”。 </w:t>
            </w:r>
          </w:p>
        </w:tc>
      </w:tr>
      <w:tr w14:paraId="2D9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5E42A51">
            <w:pPr>
              <w:spacing w:line="240" w:lineRule="exact"/>
              <w:rPr>
                <w:color w:val="000000" w:themeColor="text1"/>
                <w:szCs w:val="21"/>
                <w:highlight w:val="none"/>
                <w:lang w:val="zh-CN"/>
                <w14:textFill>
                  <w14:solidFill>
                    <w14:schemeClr w14:val="tx1"/>
                  </w14:solidFill>
                </w14:textFill>
              </w:rPr>
            </w:pPr>
          </w:p>
        </w:tc>
        <w:tc>
          <w:tcPr>
            <w:tcW w:w="1843" w:type="dxa"/>
            <w:vAlign w:val="center"/>
          </w:tcPr>
          <w:p w14:paraId="58627515">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（6）具备法律、行政法规规定的其他要求</w:t>
            </w:r>
          </w:p>
        </w:tc>
        <w:tc>
          <w:tcPr>
            <w:tcW w:w="6242" w:type="dxa"/>
            <w:vAlign w:val="center"/>
          </w:tcPr>
          <w:p w14:paraId="26F90497">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w:t>
            </w:r>
          </w:p>
        </w:tc>
      </w:tr>
      <w:tr w14:paraId="49AD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22A24D67">
            <w:pPr>
              <w:spacing w:line="240" w:lineRule="exact"/>
              <w:rPr>
                <w:color w:val="000000" w:themeColor="text1"/>
                <w:szCs w:val="21"/>
                <w:highlight w:val="none"/>
                <w:lang w:val="zh-CN"/>
                <w14:textFill>
                  <w14:solidFill>
                    <w14:schemeClr w14:val="tx1"/>
                  </w14:solidFill>
                </w14:textFill>
              </w:rPr>
            </w:pPr>
            <w:r>
              <w:rPr>
                <w:rFonts w:hint="eastAsia"/>
                <w:color w:val="000000" w:themeColor="text1"/>
                <w:kern w:val="0"/>
                <w:szCs w:val="21"/>
                <w:highlight w:val="none"/>
                <w14:textFill>
                  <w14:solidFill>
                    <w14:schemeClr w14:val="tx1"/>
                  </w14:solidFill>
                </w14:textFill>
              </w:rPr>
              <w:t>采购政策</w:t>
            </w:r>
          </w:p>
        </w:tc>
        <w:tc>
          <w:tcPr>
            <w:tcW w:w="1843" w:type="dxa"/>
            <w:vAlign w:val="center"/>
          </w:tcPr>
          <w:p w14:paraId="716FD613">
            <w:pPr>
              <w:spacing w:line="2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落实政府采购政策需满足的资格要求</w:t>
            </w:r>
          </w:p>
        </w:tc>
        <w:tc>
          <w:tcPr>
            <w:tcW w:w="6242" w:type="dxa"/>
            <w:vAlign w:val="center"/>
          </w:tcPr>
          <w:p w14:paraId="6B0C853A">
            <w:pPr>
              <w:spacing w:line="240" w:lineRule="exact"/>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sym w:font="Wingdings 2" w:char="F052"/>
            </w:r>
            <w:r>
              <w:rPr>
                <w:rFonts w:hint="eastAsia"/>
                <w:color w:val="000000" w:themeColor="text1"/>
                <w:szCs w:val="21"/>
                <w:highlight w:val="none"/>
                <w14:textFill>
                  <w14:solidFill>
                    <w14:schemeClr w14:val="tx1"/>
                  </w14:solidFill>
                </w14:textFill>
              </w:rPr>
              <w:t>无</w:t>
            </w:r>
          </w:p>
          <w:p w14:paraId="4B8C939C">
            <w:pPr>
              <w:spacing w:line="240" w:lineRule="exact"/>
              <w:jc w:val="left"/>
              <w:rPr>
                <w:color w:val="000000" w:themeColor="text1"/>
                <w:szCs w:val="21"/>
                <w:highlight w:val="none"/>
                <w14:textFill>
                  <w14:solidFill>
                    <w14:schemeClr w14:val="tx1"/>
                  </w14:solidFill>
                </w14:textFill>
              </w:rPr>
            </w:pPr>
          </w:p>
        </w:tc>
      </w:tr>
      <w:tr w14:paraId="09BF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46" w:type="dxa"/>
            <w:vMerge w:val="restart"/>
            <w:vAlign w:val="center"/>
          </w:tcPr>
          <w:p w14:paraId="46506F28">
            <w:pPr>
              <w:spacing w:line="2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w:t>
            </w:r>
            <w:r>
              <w:rPr>
                <w:color w:val="000000" w:themeColor="text1"/>
                <w:szCs w:val="21"/>
                <w:highlight w:val="none"/>
                <w:lang w:val="zh-CN"/>
                <w14:textFill>
                  <w14:solidFill>
                    <w14:schemeClr w14:val="tx1"/>
                  </w14:solidFill>
                </w14:textFill>
              </w:rPr>
              <w:t>应</w:t>
            </w:r>
            <w:r>
              <w:rPr>
                <w:rFonts w:hint="eastAsia"/>
                <w:color w:val="000000" w:themeColor="text1"/>
                <w:szCs w:val="21"/>
                <w:highlight w:val="none"/>
                <w:lang w:val="zh-CN"/>
                <w14:textFill>
                  <w14:solidFill>
                    <w14:schemeClr w14:val="tx1"/>
                  </w14:solidFill>
                </w14:textFill>
              </w:rPr>
              <w:t>符合</w:t>
            </w:r>
            <w:r>
              <w:rPr>
                <w:color w:val="000000" w:themeColor="text1"/>
                <w:szCs w:val="21"/>
                <w:highlight w:val="none"/>
                <w14:textFill>
                  <w14:solidFill>
                    <w14:schemeClr w14:val="tx1"/>
                  </w14:solidFill>
                </w14:textFill>
              </w:rPr>
              <w:t>特定资格</w:t>
            </w:r>
            <w:r>
              <w:rPr>
                <w:rFonts w:hint="eastAsia"/>
                <w:color w:val="000000" w:themeColor="text1"/>
                <w:szCs w:val="21"/>
                <w:highlight w:val="none"/>
                <w14:textFill>
                  <w14:solidFill>
                    <w14:schemeClr w14:val="tx1"/>
                  </w14:solidFill>
                </w14:textFill>
              </w:rPr>
              <w:t>要求</w:t>
            </w:r>
          </w:p>
        </w:tc>
        <w:tc>
          <w:tcPr>
            <w:tcW w:w="1843" w:type="dxa"/>
            <w:vAlign w:val="center"/>
          </w:tcPr>
          <w:p w14:paraId="1616F975">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（1）资质</w:t>
            </w:r>
            <w:r>
              <w:rPr>
                <w:rFonts w:hint="eastAsia"/>
                <w:color w:val="000000" w:themeColor="text1"/>
                <w:szCs w:val="21"/>
                <w:highlight w:val="none"/>
                <w14:textFill>
                  <w14:solidFill>
                    <w14:schemeClr w14:val="tx1"/>
                  </w14:solidFill>
                </w14:textFill>
              </w:rPr>
              <w:t>要求</w:t>
            </w:r>
          </w:p>
        </w:tc>
        <w:tc>
          <w:tcPr>
            <w:tcW w:w="6242" w:type="dxa"/>
            <w:vAlign w:val="center"/>
          </w:tcPr>
          <w:p w14:paraId="71EB6288">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须符合</w:t>
            </w:r>
            <w:r>
              <w:rPr>
                <w:rFonts w:hint="eastAsia"/>
                <w:color w:val="000000" w:themeColor="text1"/>
                <w:szCs w:val="21"/>
                <w:highlight w:val="none"/>
                <w14:textFill>
                  <w14:solidFill>
                    <w14:schemeClr w14:val="tx1"/>
                  </w14:solidFill>
                </w14:textFill>
              </w:rPr>
              <w:t>“招标公告”</w:t>
            </w:r>
            <w:r>
              <w:rPr>
                <w:color w:val="000000" w:themeColor="text1"/>
                <w:szCs w:val="21"/>
                <w:highlight w:val="none"/>
                <w14:textFill>
                  <w14:solidFill>
                    <w14:schemeClr w14:val="tx1"/>
                  </w14:solidFill>
                </w14:textFill>
              </w:rPr>
              <w:t>的要求</w:t>
            </w:r>
          </w:p>
        </w:tc>
      </w:tr>
      <w:tr w14:paraId="5CFF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8111A0E">
            <w:pPr>
              <w:spacing w:line="240" w:lineRule="exact"/>
              <w:rPr>
                <w:color w:val="000000" w:themeColor="text1"/>
                <w:szCs w:val="21"/>
                <w:highlight w:val="none"/>
                <w14:textFill>
                  <w14:solidFill>
                    <w14:schemeClr w14:val="tx1"/>
                  </w14:solidFill>
                </w14:textFill>
              </w:rPr>
            </w:pPr>
          </w:p>
        </w:tc>
        <w:tc>
          <w:tcPr>
            <w:tcW w:w="1843" w:type="dxa"/>
            <w:vAlign w:val="center"/>
          </w:tcPr>
          <w:p w14:paraId="6602EA89">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（2）业绩要求</w:t>
            </w:r>
          </w:p>
        </w:tc>
        <w:tc>
          <w:tcPr>
            <w:tcW w:w="6242" w:type="dxa"/>
            <w:vAlign w:val="center"/>
          </w:tcPr>
          <w:p w14:paraId="15FEC023">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须符合</w:t>
            </w:r>
            <w:r>
              <w:rPr>
                <w:rFonts w:hint="eastAsia"/>
                <w:color w:val="000000" w:themeColor="text1"/>
                <w:szCs w:val="21"/>
                <w:highlight w:val="none"/>
                <w14:textFill>
                  <w14:solidFill>
                    <w14:schemeClr w14:val="tx1"/>
                  </w14:solidFill>
                </w14:textFill>
              </w:rPr>
              <w:t>“招标公告”</w:t>
            </w:r>
            <w:r>
              <w:rPr>
                <w:color w:val="000000" w:themeColor="text1"/>
                <w:szCs w:val="21"/>
                <w:highlight w:val="none"/>
                <w14:textFill>
                  <w14:solidFill>
                    <w14:schemeClr w14:val="tx1"/>
                  </w14:solidFill>
                </w14:textFill>
              </w:rPr>
              <w:t>的要求</w:t>
            </w:r>
          </w:p>
        </w:tc>
      </w:tr>
      <w:tr w14:paraId="2CE6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vAlign w:val="center"/>
          </w:tcPr>
          <w:p w14:paraId="196A2400">
            <w:pPr>
              <w:spacing w:line="240" w:lineRule="exact"/>
              <w:jc w:val="left"/>
              <w:rPr>
                <w:color w:val="000000" w:themeColor="text1"/>
                <w:szCs w:val="21"/>
                <w:highlight w:val="none"/>
                <w14:textFill>
                  <w14:solidFill>
                    <w14:schemeClr w14:val="tx1"/>
                  </w14:solidFill>
                </w14:textFill>
              </w:rPr>
            </w:pPr>
          </w:p>
        </w:tc>
        <w:tc>
          <w:tcPr>
            <w:tcW w:w="1843" w:type="dxa"/>
            <w:vAlign w:val="center"/>
          </w:tcPr>
          <w:p w14:paraId="107F92F8">
            <w:pPr>
              <w:spacing w:line="2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）供应商不得参加投标的情形</w:t>
            </w:r>
          </w:p>
        </w:tc>
        <w:tc>
          <w:tcPr>
            <w:tcW w:w="6242" w:type="dxa"/>
            <w:vAlign w:val="center"/>
          </w:tcPr>
          <w:p w14:paraId="73EE705E">
            <w:pPr>
              <w:spacing w:line="240" w:lineRule="exact"/>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000000" w:themeColor="text1"/>
                <w:kern w:val="0"/>
                <w:szCs w:val="21"/>
                <w:highlight w:val="none"/>
                <w14:textFill>
                  <w14:solidFill>
                    <w14:schemeClr w14:val="tx1"/>
                  </w14:solidFill>
                </w14:textFill>
              </w:rPr>
              <w:t>本</w:t>
            </w:r>
            <w:r>
              <w:rPr>
                <w:color w:val="000000" w:themeColor="text1"/>
                <w:kern w:val="0"/>
                <w:szCs w:val="21"/>
                <w:highlight w:val="none"/>
                <w14:textFill>
                  <w14:solidFill>
                    <w14:schemeClr w14:val="tx1"/>
                  </w14:solidFill>
                </w14:textFill>
              </w:rPr>
              <w:t>项目的采购活动。</w:t>
            </w:r>
          </w:p>
          <w:p w14:paraId="03E47992">
            <w:pPr>
              <w:spacing w:line="2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须提供，格式见第六章投标文件格式“</w:t>
            </w:r>
            <w:r>
              <w:rPr>
                <w:rFonts w:hint="eastAsia"/>
                <w:color w:val="000000" w:themeColor="text1"/>
                <w:szCs w:val="21"/>
                <w:highlight w:val="none"/>
                <w14:textFill>
                  <w14:solidFill>
                    <w14:schemeClr w14:val="tx1"/>
                  </w14:solidFill>
                </w14:textFill>
              </w:rPr>
              <w:t>投标人直接控股股东、管理关系信息表</w:t>
            </w:r>
            <w:r>
              <w:rPr>
                <w:color w:val="000000" w:themeColor="text1"/>
                <w:szCs w:val="21"/>
                <w:highlight w:val="none"/>
                <w14:textFill>
                  <w14:solidFill>
                    <w14:schemeClr w14:val="tx1"/>
                  </w14:solidFill>
                </w14:textFill>
              </w:rPr>
              <w:t>”。</w:t>
            </w:r>
          </w:p>
        </w:tc>
      </w:tr>
      <w:tr w14:paraId="6F46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29C7D63F">
            <w:pPr>
              <w:spacing w:line="240" w:lineRule="exact"/>
              <w:jc w:val="left"/>
              <w:rPr>
                <w:color w:val="000000" w:themeColor="text1"/>
                <w:kern w:val="0"/>
                <w:szCs w:val="21"/>
                <w:highlight w:val="none"/>
                <w14:textFill>
                  <w14:solidFill>
                    <w14:schemeClr w14:val="tx1"/>
                  </w14:solidFill>
                </w14:textFill>
              </w:rPr>
            </w:pPr>
          </w:p>
        </w:tc>
        <w:tc>
          <w:tcPr>
            <w:tcW w:w="1843" w:type="dxa"/>
            <w:vAlign w:val="center"/>
          </w:tcPr>
          <w:p w14:paraId="3A3DADAD">
            <w:pPr>
              <w:spacing w:line="240" w:lineRule="exact"/>
              <w:jc w:val="left"/>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）诚信要求</w:t>
            </w:r>
          </w:p>
        </w:tc>
        <w:tc>
          <w:tcPr>
            <w:tcW w:w="6242" w:type="dxa"/>
          </w:tcPr>
          <w:p w14:paraId="07EBAD63">
            <w:pPr>
              <w:spacing w:line="312" w:lineRule="auto"/>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未被列入失信被执行人、重大税收违法失信主体、政府采购严重违法失信行为记录名单。</w:t>
            </w:r>
          </w:p>
        </w:tc>
      </w:tr>
      <w:tr w14:paraId="3845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7B066362">
            <w:pPr>
              <w:spacing w:line="240" w:lineRule="exact"/>
              <w:jc w:val="left"/>
              <w:rPr>
                <w:color w:val="000000" w:themeColor="text1"/>
                <w:kern w:val="0"/>
                <w:szCs w:val="21"/>
                <w:highlight w:val="none"/>
                <w14:textFill>
                  <w14:solidFill>
                    <w14:schemeClr w14:val="tx1"/>
                  </w14:solidFill>
                </w14:textFill>
              </w:rPr>
            </w:pPr>
          </w:p>
        </w:tc>
        <w:tc>
          <w:tcPr>
            <w:tcW w:w="1843" w:type="dxa"/>
            <w:vAlign w:val="center"/>
          </w:tcPr>
          <w:p w14:paraId="29342213">
            <w:pPr>
              <w:spacing w:line="2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（5）分公司</w:t>
            </w:r>
          </w:p>
        </w:tc>
        <w:tc>
          <w:tcPr>
            <w:tcW w:w="6242" w:type="dxa"/>
            <w:vAlign w:val="center"/>
          </w:tcPr>
          <w:p w14:paraId="1A9F19F1">
            <w:pPr>
              <w:spacing w:line="2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允许分公司参与投标的，供应商须提供总公司出具的授权其参与本项目的授权文件或制度。</w:t>
            </w:r>
          </w:p>
        </w:tc>
      </w:tr>
      <w:tr w14:paraId="4A6C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vAlign w:val="center"/>
          </w:tcPr>
          <w:p w14:paraId="1D77AC48">
            <w:pPr>
              <w:spacing w:line="240" w:lineRule="exact"/>
              <w:jc w:val="left"/>
              <w:rPr>
                <w:color w:val="000000" w:themeColor="text1"/>
                <w:kern w:val="0"/>
                <w:szCs w:val="21"/>
                <w:highlight w:val="none"/>
                <w14:textFill>
                  <w14:solidFill>
                    <w14:schemeClr w14:val="tx1"/>
                  </w14:solidFill>
                </w14:textFill>
              </w:rPr>
            </w:pPr>
          </w:p>
        </w:tc>
        <w:tc>
          <w:tcPr>
            <w:tcW w:w="1843" w:type="dxa"/>
            <w:vAlign w:val="center"/>
          </w:tcPr>
          <w:p w14:paraId="7BA0D6FC">
            <w:pPr>
              <w:spacing w:line="2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6</w:t>
            </w:r>
            <w:r>
              <w:rPr>
                <w:rFonts w:hint="eastAsia"/>
                <w:color w:val="000000" w:themeColor="text1"/>
                <w:szCs w:val="21"/>
                <w:highlight w:val="none"/>
                <w14:textFill>
                  <w14:solidFill>
                    <w14:schemeClr w14:val="tx1"/>
                  </w14:solidFill>
                </w14:textFill>
              </w:rPr>
              <w:t>）分包</w:t>
            </w:r>
          </w:p>
        </w:tc>
        <w:tc>
          <w:tcPr>
            <w:tcW w:w="6242" w:type="dxa"/>
            <w:vAlign w:val="center"/>
          </w:tcPr>
          <w:p w14:paraId="5539696C">
            <w:pPr>
              <w:spacing w:line="240" w:lineRule="exact"/>
              <w:rPr>
                <w:color w:val="000000" w:themeColor="text1"/>
                <w:szCs w:val="21"/>
                <w:highlight w:val="none"/>
                <w:lang w:val="zh-CN"/>
                <w14:textFill>
                  <w14:solidFill>
                    <w14:schemeClr w14:val="tx1"/>
                  </w14:solidFill>
                </w14:textFill>
              </w:rPr>
            </w:pPr>
            <w:r>
              <w:rPr>
                <w:color w:val="000000" w:themeColor="text1"/>
                <w:szCs w:val="21"/>
                <w:highlight w:val="none"/>
                <w14:textFill>
                  <w14:solidFill>
                    <w14:schemeClr w14:val="tx1"/>
                  </w14:solidFill>
                </w14:textFill>
              </w:rPr>
              <w:t>须符合</w:t>
            </w:r>
            <w:r>
              <w:rPr>
                <w:rFonts w:hint="eastAsia"/>
                <w:color w:val="000000" w:themeColor="text1"/>
                <w:szCs w:val="21"/>
                <w:highlight w:val="none"/>
                <w14:textFill>
                  <w14:solidFill>
                    <w14:schemeClr w14:val="tx1"/>
                  </w14:solidFill>
                </w14:textFill>
              </w:rPr>
              <w:t>“招标公告”</w:t>
            </w:r>
            <w:r>
              <w:rPr>
                <w:color w:val="000000" w:themeColor="text1"/>
                <w:szCs w:val="21"/>
                <w:highlight w:val="none"/>
                <w14:textFill>
                  <w14:solidFill>
                    <w14:schemeClr w14:val="tx1"/>
                  </w14:solidFill>
                </w14:textFill>
              </w:rPr>
              <w:t>的要求</w:t>
            </w:r>
          </w:p>
        </w:tc>
      </w:tr>
      <w:tr w14:paraId="2EFC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vAlign w:val="center"/>
          </w:tcPr>
          <w:p w14:paraId="090875E7">
            <w:pPr>
              <w:spacing w:line="240" w:lineRule="exact"/>
              <w:jc w:val="left"/>
              <w:rPr>
                <w:color w:val="000000" w:themeColor="text1"/>
                <w:kern w:val="0"/>
                <w:szCs w:val="21"/>
                <w:highlight w:val="none"/>
                <w14:textFill>
                  <w14:solidFill>
                    <w14:schemeClr w14:val="tx1"/>
                  </w14:solidFill>
                </w14:textFill>
              </w:rPr>
            </w:pPr>
          </w:p>
        </w:tc>
        <w:tc>
          <w:tcPr>
            <w:tcW w:w="1843" w:type="dxa"/>
            <w:vAlign w:val="center"/>
          </w:tcPr>
          <w:p w14:paraId="2A5D10F6">
            <w:pPr>
              <w:spacing w:line="2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7</w:t>
            </w:r>
            <w:r>
              <w:rPr>
                <w:rFonts w:hint="eastAsia"/>
                <w:color w:val="000000" w:themeColor="text1"/>
                <w:szCs w:val="21"/>
                <w:highlight w:val="none"/>
                <w14:textFill>
                  <w14:solidFill>
                    <w14:schemeClr w14:val="tx1"/>
                  </w14:solidFill>
                </w14:textFill>
              </w:rPr>
              <w:t>）联合体</w:t>
            </w:r>
          </w:p>
        </w:tc>
        <w:tc>
          <w:tcPr>
            <w:tcW w:w="6242" w:type="dxa"/>
            <w:vAlign w:val="center"/>
          </w:tcPr>
          <w:p w14:paraId="12720C41">
            <w:pPr>
              <w:spacing w:line="240" w:lineRule="exact"/>
              <w:rPr>
                <w:color w:val="000000" w:themeColor="text1"/>
                <w:szCs w:val="21"/>
                <w:highlight w:val="none"/>
                <w14:textFill>
                  <w14:solidFill>
                    <w14:schemeClr w14:val="tx1"/>
                  </w14:solidFill>
                </w14:textFill>
              </w:rPr>
            </w:pPr>
            <w:r>
              <w:rPr>
                <w:rFonts w:hint="eastAsia"/>
                <w:color w:val="000000" w:themeColor="text1"/>
                <w:szCs w:val="21"/>
                <w:highlight w:val="none"/>
                <w:lang w:val="zh-CN"/>
                <w14:textFill>
                  <w14:solidFill>
                    <w14:schemeClr w14:val="tx1"/>
                  </w14:solidFill>
                </w14:textFill>
              </w:rPr>
              <w:t>须符合“招标公告”的要求</w:t>
            </w:r>
          </w:p>
        </w:tc>
      </w:tr>
      <w:tr w14:paraId="0620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vAlign w:val="center"/>
          </w:tcPr>
          <w:p w14:paraId="73C0BF3E">
            <w:pPr>
              <w:spacing w:line="240" w:lineRule="exact"/>
              <w:jc w:val="left"/>
              <w:rPr>
                <w:color w:val="000000" w:themeColor="text1"/>
                <w:kern w:val="0"/>
                <w:szCs w:val="21"/>
                <w:highlight w:val="none"/>
                <w14:textFill>
                  <w14:solidFill>
                    <w14:schemeClr w14:val="tx1"/>
                  </w14:solidFill>
                </w14:textFill>
              </w:rPr>
            </w:pPr>
          </w:p>
        </w:tc>
        <w:tc>
          <w:tcPr>
            <w:tcW w:w="1843" w:type="dxa"/>
            <w:vAlign w:val="center"/>
          </w:tcPr>
          <w:p w14:paraId="66F1099C">
            <w:pPr>
              <w:spacing w:line="2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8</w:t>
            </w:r>
            <w:r>
              <w:rPr>
                <w:rFonts w:hint="eastAsia"/>
                <w:color w:val="000000" w:themeColor="text1"/>
                <w:szCs w:val="21"/>
                <w:highlight w:val="none"/>
                <w14:textFill>
                  <w14:solidFill>
                    <w14:schemeClr w14:val="tx1"/>
                  </w14:solidFill>
                </w14:textFill>
              </w:rPr>
              <w:t>）其他要求</w:t>
            </w:r>
          </w:p>
        </w:tc>
        <w:tc>
          <w:tcPr>
            <w:tcW w:w="6242" w:type="dxa"/>
          </w:tcPr>
          <w:p w14:paraId="7DB676E6">
            <w:pPr>
              <w:spacing w:line="312" w:lineRule="auto"/>
              <w:jc w:val="left"/>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按</w:t>
            </w:r>
            <w:r>
              <w:rPr>
                <w:color w:val="000000" w:themeColor="text1"/>
                <w:kern w:val="0"/>
                <w:szCs w:val="21"/>
                <w:highlight w:val="none"/>
                <w14:textFill>
                  <w14:solidFill>
                    <w14:schemeClr w14:val="tx1"/>
                  </w14:solidFill>
                </w14:textFill>
              </w:rPr>
              <w:t>照招标公告规定获得招标文件。</w:t>
            </w:r>
          </w:p>
        </w:tc>
      </w:tr>
    </w:tbl>
    <w:p w14:paraId="75EAD6AA">
      <w:pPr>
        <w:spacing w:before="120" w:line="320" w:lineRule="atLeast"/>
        <w:ind w:firstLine="413" w:firstLineChars="196"/>
        <w:outlineLvl w:val="1"/>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3</w:t>
      </w:r>
      <w:r>
        <w:rPr>
          <w:rFonts w:hint="eastAsia"/>
          <w:b/>
          <w:bCs/>
          <w:color w:val="000000" w:themeColor="text1"/>
          <w:kern w:val="0"/>
          <w:szCs w:val="21"/>
          <w:highlight w:val="none"/>
          <w14:textFill>
            <w14:solidFill>
              <w14:schemeClr w14:val="tx1"/>
            </w14:solidFill>
          </w14:textFill>
        </w:rPr>
        <w:t>.</w:t>
      </w:r>
      <w:r>
        <w:rPr>
          <w:b/>
          <w:bCs/>
          <w:color w:val="000000" w:themeColor="text1"/>
          <w:kern w:val="0"/>
          <w:szCs w:val="21"/>
          <w:highlight w:val="none"/>
          <w14:textFill>
            <w14:solidFill>
              <w14:schemeClr w14:val="tx1"/>
            </w14:solidFill>
          </w14:textFill>
        </w:rPr>
        <w:t>符合性审查</w:t>
      </w:r>
      <w:r>
        <w:rPr>
          <w:rFonts w:hint="eastAsia"/>
          <w:b/>
          <w:bCs/>
          <w:color w:val="000000" w:themeColor="text1"/>
          <w:kern w:val="0"/>
          <w:szCs w:val="21"/>
          <w:highlight w:val="none"/>
          <w14:textFill>
            <w14:solidFill>
              <w14:schemeClr w14:val="tx1"/>
            </w14:solidFill>
          </w14:textFill>
        </w:rPr>
        <w:t>标准（不满足任何一项审查内容要求，符合性审查即为不合格）</w:t>
      </w:r>
    </w:p>
    <w:tbl>
      <w:tblPr>
        <w:tblStyle w:val="51"/>
        <w:tblW w:w="888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322"/>
        <w:gridCol w:w="5061"/>
      </w:tblGrid>
      <w:tr w14:paraId="2C83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505" w:type="dxa"/>
            <w:vAlign w:val="center"/>
          </w:tcPr>
          <w:p w14:paraId="5471B602">
            <w:pPr>
              <w:spacing w:line="240" w:lineRule="exact"/>
              <w:jc w:val="center"/>
              <w:rPr>
                <w:b/>
                <w:color w:val="000000" w:themeColor="text1"/>
                <w:kern w:val="0"/>
                <w:szCs w:val="21"/>
                <w:highlight w:val="none"/>
                <w14:textFill>
                  <w14:solidFill>
                    <w14:schemeClr w14:val="tx1"/>
                  </w14:solidFill>
                </w14:textFill>
              </w:rPr>
            </w:pPr>
            <w:bookmarkStart w:id="99" w:name="_Hlk92966680"/>
            <w:r>
              <w:rPr>
                <w:rFonts w:hint="eastAsia"/>
                <w:b/>
                <w:color w:val="000000" w:themeColor="text1"/>
                <w:kern w:val="0"/>
                <w:szCs w:val="21"/>
                <w:highlight w:val="none"/>
                <w14:textFill>
                  <w14:solidFill>
                    <w14:schemeClr w14:val="tx1"/>
                  </w14:solidFill>
                </w14:textFill>
              </w:rPr>
              <w:t>审查</w:t>
            </w:r>
            <w:r>
              <w:rPr>
                <w:b/>
                <w:color w:val="000000" w:themeColor="text1"/>
                <w:kern w:val="0"/>
                <w:szCs w:val="21"/>
                <w:highlight w:val="none"/>
                <w14:textFill>
                  <w14:solidFill>
                    <w14:schemeClr w14:val="tx1"/>
                  </w14:solidFill>
                </w14:textFill>
              </w:rPr>
              <w:t>因素</w:t>
            </w:r>
          </w:p>
        </w:tc>
        <w:tc>
          <w:tcPr>
            <w:tcW w:w="2322" w:type="dxa"/>
            <w:vAlign w:val="center"/>
          </w:tcPr>
          <w:p w14:paraId="3EA88C61">
            <w:pPr>
              <w:spacing w:line="240" w:lineRule="exact"/>
              <w:jc w:val="center"/>
              <w:rPr>
                <w:b/>
                <w:color w:val="000000" w:themeColor="text1"/>
                <w:kern w:val="0"/>
                <w:szCs w:val="21"/>
                <w:highlight w:val="none"/>
                <w14:textFill>
                  <w14:solidFill>
                    <w14:schemeClr w14:val="tx1"/>
                  </w14:solidFill>
                </w14:textFill>
              </w:rPr>
            </w:pPr>
            <w:r>
              <w:rPr>
                <w:rFonts w:hint="eastAsia"/>
                <w:b/>
                <w:color w:val="000000" w:themeColor="text1"/>
                <w:kern w:val="0"/>
                <w:szCs w:val="21"/>
                <w:highlight w:val="none"/>
                <w14:textFill>
                  <w14:solidFill>
                    <w14:schemeClr w14:val="tx1"/>
                  </w14:solidFill>
                </w14:textFill>
              </w:rPr>
              <w:t>审查内容</w:t>
            </w:r>
          </w:p>
        </w:tc>
        <w:tc>
          <w:tcPr>
            <w:tcW w:w="5061" w:type="dxa"/>
          </w:tcPr>
          <w:p w14:paraId="1956A8FF">
            <w:pPr>
              <w:spacing w:line="240" w:lineRule="exact"/>
              <w:jc w:val="center"/>
              <w:rPr>
                <w:b/>
                <w:color w:val="000000" w:themeColor="text1"/>
                <w:kern w:val="0"/>
                <w:szCs w:val="21"/>
                <w:highlight w:val="none"/>
                <w14:textFill>
                  <w14:solidFill>
                    <w14:schemeClr w14:val="tx1"/>
                  </w14:solidFill>
                </w14:textFill>
              </w:rPr>
            </w:pPr>
          </w:p>
          <w:p w14:paraId="6B77EBA0">
            <w:pPr>
              <w:spacing w:line="240" w:lineRule="exact"/>
              <w:jc w:val="center"/>
              <w:rPr>
                <w:b/>
                <w:color w:val="000000" w:themeColor="text1"/>
                <w:kern w:val="0"/>
                <w:szCs w:val="21"/>
                <w:highlight w:val="none"/>
                <w14:textFill>
                  <w14:solidFill>
                    <w14:schemeClr w14:val="tx1"/>
                  </w14:solidFill>
                </w14:textFill>
              </w:rPr>
            </w:pPr>
            <w:r>
              <w:rPr>
                <w:rFonts w:hint="eastAsia"/>
                <w:b/>
                <w:color w:val="000000" w:themeColor="text1"/>
                <w:kern w:val="0"/>
                <w:szCs w:val="21"/>
                <w:highlight w:val="none"/>
                <w14:textFill>
                  <w14:solidFill>
                    <w14:schemeClr w14:val="tx1"/>
                  </w14:solidFill>
                </w14:textFill>
              </w:rPr>
              <w:t>说明</w:t>
            </w:r>
          </w:p>
        </w:tc>
      </w:tr>
      <w:tr w14:paraId="0EE6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505" w:type="dxa"/>
            <w:vMerge w:val="restart"/>
            <w:vAlign w:val="center"/>
          </w:tcPr>
          <w:p w14:paraId="6DF96555">
            <w:pPr>
              <w:spacing w:line="240" w:lineRule="exact"/>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商务资信</w:t>
            </w:r>
          </w:p>
        </w:tc>
        <w:tc>
          <w:tcPr>
            <w:tcW w:w="2322" w:type="dxa"/>
            <w:vAlign w:val="center"/>
          </w:tcPr>
          <w:p w14:paraId="0A7BFDFF">
            <w:pPr>
              <w:spacing w:line="24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法定代表人身份证明及授权委托书</w:t>
            </w:r>
          </w:p>
        </w:tc>
        <w:tc>
          <w:tcPr>
            <w:tcW w:w="5061" w:type="dxa"/>
            <w:vAlign w:val="center"/>
          </w:tcPr>
          <w:p w14:paraId="55581A48">
            <w:pPr>
              <w:spacing w:line="2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授权</w:t>
            </w:r>
            <w:r>
              <w:rPr>
                <w:color w:val="000000" w:themeColor="text1"/>
                <w:szCs w:val="21"/>
                <w:highlight w:val="none"/>
                <w14:textFill>
                  <w14:solidFill>
                    <w14:schemeClr w14:val="tx1"/>
                  </w14:solidFill>
                </w14:textFill>
              </w:rPr>
              <w:t>代表</w:t>
            </w:r>
            <w:r>
              <w:rPr>
                <w:rFonts w:hint="eastAsia"/>
                <w:color w:val="000000" w:themeColor="text1"/>
                <w:szCs w:val="21"/>
                <w:highlight w:val="none"/>
                <w14:textFill>
                  <w14:solidFill>
                    <w14:schemeClr w14:val="tx1"/>
                  </w14:solidFill>
                </w14:textFill>
              </w:rPr>
              <w:t>参加投标</w:t>
            </w:r>
            <w:r>
              <w:rPr>
                <w:color w:val="000000" w:themeColor="text1"/>
                <w:szCs w:val="21"/>
                <w:highlight w:val="none"/>
                <w14:textFill>
                  <w14:solidFill>
                    <w14:schemeClr w14:val="tx1"/>
                  </w14:solidFill>
                </w14:textFill>
              </w:rPr>
              <w:t>时审查</w:t>
            </w:r>
            <w:r>
              <w:rPr>
                <w:color w:val="000000" w:themeColor="text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法定代表人授权委托书及附件</w:t>
            </w:r>
            <w:r>
              <w:rPr>
                <w:color w:val="000000" w:themeColor="text1"/>
                <w:szCs w:val="21"/>
                <w:highlight w:val="none"/>
                <w14:textFill>
                  <w14:solidFill>
                    <w14:schemeClr w14:val="tx1"/>
                  </w14:solidFill>
                </w14:textFill>
              </w:rPr>
              <w:t xml:space="preserve"> </w:t>
            </w:r>
          </w:p>
          <w:p w14:paraId="1CC68243">
            <w:pPr>
              <w:spacing w:line="240" w:lineRule="exact"/>
              <w:rPr>
                <w:rFonts w:hint="eastAsia"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法定代表人直接参加投标</w:t>
            </w:r>
            <w:r>
              <w:rPr>
                <w:color w:val="000000" w:themeColor="text1"/>
                <w:szCs w:val="21"/>
                <w:highlight w:val="none"/>
                <w14:textFill>
                  <w14:solidFill>
                    <w14:schemeClr w14:val="tx1"/>
                  </w14:solidFill>
                </w14:textFill>
              </w:rPr>
              <w:t>时审查</w:t>
            </w:r>
            <w:r>
              <w:rPr>
                <w:color w:val="000000" w:themeColor="text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法定代表人身份证明</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附件</w:t>
            </w:r>
          </w:p>
          <w:p w14:paraId="6AB7179E">
            <w:pPr>
              <w:spacing w:line="240" w:lineRule="exact"/>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格式及附件见第六章投标文件格式要求</w:t>
            </w:r>
          </w:p>
        </w:tc>
      </w:tr>
      <w:tr w14:paraId="72B2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05" w:type="dxa"/>
            <w:vMerge w:val="continue"/>
            <w:vAlign w:val="center"/>
          </w:tcPr>
          <w:p w14:paraId="2BD57EEE">
            <w:pPr>
              <w:spacing w:line="240" w:lineRule="exact"/>
              <w:jc w:val="center"/>
              <w:rPr>
                <w:color w:val="000000" w:themeColor="text1"/>
                <w:kern w:val="0"/>
                <w:szCs w:val="21"/>
                <w:highlight w:val="none"/>
                <w14:textFill>
                  <w14:solidFill>
                    <w14:schemeClr w14:val="tx1"/>
                  </w14:solidFill>
                </w14:textFill>
              </w:rPr>
            </w:pPr>
          </w:p>
        </w:tc>
        <w:tc>
          <w:tcPr>
            <w:tcW w:w="2322" w:type="dxa"/>
            <w:vAlign w:val="center"/>
          </w:tcPr>
          <w:p w14:paraId="7CC69041">
            <w:pPr>
              <w:spacing w:line="2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实质性条款响应</w:t>
            </w:r>
          </w:p>
        </w:tc>
        <w:tc>
          <w:tcPr>
            <w:tcW w:w="5061" w:type="dxa"/>
            <w:vAlign w:val="center"/>
          </w:tcPr>
          <w:p w14:paraId="277506C7">
            <w:pPr>
              <w:spacing w:line="240" w:lineRule="exact"/>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招标文件实质性要求响应均无负偏离</w:t>
            </w:r>
          </w:p>
        </w:tc>
      </w:tr>
      <w:tr w14:paraId="6B84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505" w:type="dxa"/>
            <w:vMerge w:val="continue"/>
            <w:vAlign w:val="center"/>
          </w:tcPr>
          <w:p w14:paraId="36EAE820">
            <w:pPr>
              <w:spacing w:line="240" w:lineRule="exact"/>
              <w:jc w:val="center"/>
              <w:rPr>
                <w:color w:val="000000" w:themeColor="text1"/>
                <w:kern w:val="0"/>
                <w:szCs w:val="21"/>
                <w:highlight w:val="none"/>
                <w14:textFill>
                  <w14:solidFill>
                    <w14:schemeClr w14:val="tx1"/>
                  </w14:solidFill>
                </w14:textFill>
              </w:rPr>
            </w:pPr>
          </w:p>
        </w:tc>
        <w:tc>
          <w:tcPr>
            <w:tcW w:w="2322" w:type="dxa"/>
            <w:vAlign w:val="center"/>
          </w:tcPr>
          <w:p w14:paraId="0668B110">
            <w:pPr>
              <w:spacing w:line="2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串通投标</w:t>
            </w:r>
          </w:p>
        </w:tc>
        <w:tc>
          <w:tcPr>
            <w:tcW w:w="5061" w:type="dxa"/>
            <w:vAlign w:val="center"/>
          </w:tcPr>
          <w:p w14:paraId="03B290B2">
            <w:pPr>
              <w:spacing w:line="240" w:lineRule="exact"/>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不属于投标人须知正文第</w:t>
            </w: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.7规定的串通投标情形，见</w:t>
            </w:r>
            <w:r>
              <w:rPr>
                <w:rFonts w:ascii="宋体" w:hAnsi="宋体"/>
                <w:color w:val="000000" w:themeColor="text1"/>
                <w:szCs w:val="21"/>
                <w:highlight w:val="none"/>
                <w14:textFill>
                  <w14:solidFill>
                    <w14:schemeClr w14:val="tx1"/>
                  </w14:solidFill>
                </w14:textFill>
              </w:rPr>
              <w:t>第六章投标文件格式要求</w:t>
            </w:r>
          </w:p>
        </w:tc>
      </w:tr>
      <w:tr w14:paraId="238E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restart"/>
            <w:vAlign w:val="center"/>
          </w:tcPr>
          <w:p w14:paraId="0D6E464B">
            <w:pPr>
              <w:spacing w:line="240" w:lineRule="exact"/>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报价</w:t>
            </w:r>
          </w:p>
        </w:tc>
        <w:tc>
          <w:tcPr>
            <w:tcW w:w="2322" w:type="dxa"/>
            <w:vAlign w:val="center"/>
          </w:tcPr>
          <w:p w14:paraId="716F5C92">
            <w:pPr>
              <w:spacing w:line="2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有效报价</w:t>
            </w:r>
          </w:p>
        </w:tc>
        <w:tc>
          <w:tcPr>
            <w:tcW w:w="5061" w:type="dxa"/>
            <w:vAlign w:val="center"/>
          </w:tcPr>
          <w:p w14:paraId="1CE251AF">
            <w:pPr>
              <w:spacing w:line="240" w:lineRule="exact"/>
              <w:rPr>
                <w:bCs/>
                <w:color w:val="000000" w:themeColor="text1"/>
                <w:kern w:val="0"/>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报价未超出采购预算金额，也未超出最高限价（如有）</w:t>
            </w:r>
          </w:p>
        </w:tc>
      </w:tr>
      <w:tr w14:paraId="3E7E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vAlign w:val="center"/>
          </w:tcPr>
          <w:p w14:paraId="2466258F">
            <w:pPr>
              <w:spacing w:line="240" w:lineRule="exact"/>
              <w:jc w:val="center"/>
              <w:rPr>
                <w:color w:val="000000" w:themeColor="text1"/>
                <w:kern w:val="0"/>
                <w:szCs w:val="21"/>
                <w:highlight w:val="none"/>
                <w14:textFill>
                  <w14:solidFill>
                    <w14:schemeClr w14:val="tx1"/>
                  </w14:solidFill>
                </w14:textFill>
              </w:rPr>
            </w:pPr>
          </w:p>
        </w:tc>
        <w:tc>
          <w:tcPr>
            <w:tcW w:w="2322" w:type="dxa"/>
            <w:vAlign w:val="center"/>
          </w:tcPr>
          <w:p w14:paraId="5F240046">
            <w:pPr>
              <w:spacing w:line="240" w:lineRule="exact"/>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漏项报价</w:t>
            </w:r>
          </w:p>
        </w:tc>
        <w:tc>
          <w:tcPr>
            <w:tcW w:w="5061" w:type="dxa"/>
            <w:vAlign w:val="center"/>
          </w:tcPr>
          <w:p w14:paraId="58B6FC70">
            <w:pPr>
              <w:spacing w:line="240" w:lineRule="exact"/>
              <w:rPr>
                <w:rFonts w:hint="eastAsia"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未就所投分标进行报价或者存在漏项报价；</w:t>
            </w:r>
          </w:p>
        </w:tc>
      </w:tr>
      <w:tr w14:paraId="137E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505" w:type="dxa"/>
            <w:vMerge w:val="continue"/>
            <w:vAlign w:val="center"/>
          </w:tcPr>
          <w:p w14:paraId="4D527775">
            <w:pPr>
              <w:spacing w:line="240" w:lineRule="exact"/>
              <w:jc w:val="center"/>
              <w:rPr>
                <w:color w:val="000000" w:themeColor="text1"/>
                <w:kern w:val="0"/>
                <w:szCs w:val="21"/>
                <w:highlight w:val="none"/>
                <w14:textFill>
                  <w14:solidFill>
                    <w14:schemeClr w14:val="tx1"/>
                  </w14:solidFill>
                </w14:textFill>
              </w:rPr>
            </w:pPr>
          </w:p>
        </w:tc>
        <w:tc>
          <w:tcPr>
            <w:tcW w:w="2322" w:type="dxa"/>
            <w:vAlign w:val="center"/>
          </w:tcPr>
          <w:p w14:paraId="4207B71B">
            <w:pPr>
              <w:spacing w:line="240" w:lineRule="exact"/>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投标报价唯一性</w:t>
            </w:r>
          </w:p>
        </w:tc>
        <w:tc>
          <w:tcPr>
            <w:tcW w:w="5061" w:type="dxa"/>
            <w:vAlign w:val="center"/>
          </w:tcPr>
          <w:p w14:paraId="5F34ABB6">
            <w:pPr>
              <w:spacing w:line="240" w:lineRule="exact"/>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不存在有选择、有条件报价（招标文件允许有备选方案或者其他约定的除外）</w:t>
            </w:r>
          </w:p>
        </w:tc>
      </w:tr>
      <w:tr w14:paraId="587A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1505" w:type="dxa"/>
            <w:vMerge w:val="continue"/>
            <w:vAlign w:val="center"/>
          </w:tcPr>
          <w:p w14:paraId="354D1831">
            <w:pPr>
              <w:spacing w:line="240" w:lineRule="exact"/>
              <w:jc w:val="center"/>
              <w:rPr>
                <w:color w:val="000000" w:themeColor="text1"/>
                <w:kern w:val="0"/>
                <w:szCs w:val="21"/>
                <w:highlight w:val="none"/>
                <w14:textFill>
                  <w14:solidFill>
                    <w14:schemeClr w14:val="tx1"/>
                  </w14:solidFill>
                </w14:textFill>
              </w:rPr>
            </w:pPr>
          </w:p>
        </w:tc>
        <w:tc>
          <w:tcPr>
            <w:tcW w:w="2322" w:type="dxa"/>
            <w:vAlign w:val="center"/>
          </w:tcPr>
          <w:p w14:paraId="0A352651">
            <w:pPr>
              <w:spacing w:line="240" w:lineRule="exact"/>
              <w:rPr>
                <w:color w:val="000000" w:themeColor="text1"/>
                <w:szCs w:val="21"/>
                <w:highlight w:val="none"/>
                <w:lang w:val="zh-CN"/>
                <w14:textFill>
                  <w14:solidFill>
                    <w14:schemeClr w14:val="tx1"/>
                  </w14:solidFill>
                </w14:textFill>
              </w:rPr>
            </w:pPr>
            <w:r>
              <w:rPr>
                <w:rFonts w:hint="eastAsia"/>
                <w:color w:val="000000" w:themeColor="text1"/>
                <w:szCs w:val="21"/>
                <w:highlight w:val="none"/>
                <w:lang w:val="zh-CN"/>
                <w14:textFill>
                  <w14:solidFill>
                    <w14:schemeClr w14:val="tx1"/>
                  </w14:solidFill>
                </w14:textFill>
              </w:rPr>
              <w:t>过低报价合理性</w:t>
            </w:r>
          </w:p>
        </w:tc>
        <w:tc>
          <w:tcPr>
            <w:tcW w:w="5061" w:type="dxa"/>
            <w:vAlign w:val="center"/>
          </w:tcPr>
          <w:p w14:paraId="3308F4CA">
            <w:pPr>
              <w:spacing w:line="240" w:lineRule="exact"/>
              <w:rPr>
                <w:rFonts w:hint="eastAsia"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投标人的报价存在异常低价问题的情形，评审委员会</w:t>
            </w:r>
            <w:r>
              <w:rPr>
                <w:rFonts w:hint="eastAsia"/>
                <w:color w:val="000000" w:themeColor="text1"/>
                <w:szCs w:val="21"/>
                <w:highlight w:val="none"/>
                <w14:textFill>
                  <w14:solidFill>
                    <w14:schemeClr w14:val="tx1"/>
                  </w14:solidFill>
                </w14:textFill>
              </w:rPr>
              <w:t>应当要求其在评标现场合理的时间内提供报价合理性相关的书面说明及必要的证明材料。</w:t>
            </w:r>
            <w:r>
              <w:rPr>
                <w:rFonts w:hint="eastAsia"/>
                <w:color w:val="000000" w:themeColor="text1"/>
                <w:highlight w:val="none"/>
                <w14:textFill>
                  <w14:solidFill>
                    <w14:schemeClr w14:val="tx1"/>
                  </w14:solidFill>
                </w14:textFill>
              </w:rPr>
              <w:t>投标人不能证明其报价合理性的，评审委员会应当将其作为无效投标处理。</w:t>
            </w:r>
          </w:p>
        </w:tc>
      </w:tr>
      <w:tr w14:paraId="2DE6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vAlign w:val="center"/>
          </w:tcPr>
          <w:p w14:paraId="719E1EB2">
            <w:pPr>
              <w:spacing w:line="240" w:lineRule="exact"/>
              <w:jc w:val="center"/>
              <w:rPr>
                <w:color w:val="000000" w:themeColor="text1"/>
                <w:kern w:val="0"/>
                <w:szCs w:val="21"/>
                <w:highlight w:val="none"/>
                <w14:textFill>
                  <w14:solidFill>
                    <w14:schemeClr w14:val="tx1"/>
                  </w14:solidFill>
                </w14:textFill>
              </w:rPr>
            </w:pPr>
          </w:p>
        </w:tc>
        <w:tc>
          <w:tcPr>
            <w:tcW w:w="2322" w:type="dxa"/>
            <w:vAlign w:val="center"/>
          </w:tcPr>
          <w:p w14:paraId="12F27382">
            <w:pPr>
              <w:spacing w:line="240" w:lineRule="exact"/>
              <w:rPr>
                <w:rFonts w:hint="eastAsia"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投标有效期</w:t>
            </w:r>
          </w:p>
        </w:tc>
        <w:tc>
          <w:tcPr>
            <w:tcW w:w="5061" w:type="dxa"/>
            <w:vAlign w:val="center"/>
          </w:tcPr>
          <w:p w14:paraId="11C5B2FE">
            <w:pPr>
              <w:spacing w:line="240" w:lineRule="exact"/>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满足招标文件规定</w:t>
            </w:r>
          </w:p>
        </w:tc>
      </w:tr>
      <w:bookmarkEnd w:id="99"/>
    </w:tbl>
    <w:p w14:paraId="391B782D">
      <w:pPr>
        <w:numPr>
          <w:ilvl w:val="0"/>
          <w:numId w:val="16"/>
        </w:numPr>
        <w:spacing w:before="120" w:line="320" w:lineRule="atLeast"/>
        <w:outlineLvl w:val="1"/>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br w:type="page"/>
      </w:r>
      <w:r>
        <w:rPr>
          <w:rFonts w:hint="eastAsia"/>
          <w:b/>
          <w:bCs/>
          <w:color w:val="000000" w:themeColor="text1"/>
          <w:kern w:val="0"/>
          <w:szCs w:val="21"/>
          <w:highlight w:val="none"/>
          <w14:textFill>
            <w14:solidFill>
              <w14:schemeClr w14:val="tx1"/>
            </w14:solidFill>
          </w14:textFill>
        </w:rPr>
        <w:t>评分</w:t>
      </w:r>
      <w:r>
        <w:rPr>
          <w:b/>
          <w:bCs/>
          <w:color w:val="000000" w:themeColor="text1"/>
          <w:kern w:val="0"/>
          <w:szCs w:val="21"/>
          <w:highlight w:val="none"/>
          <w14:textFill>
            <w14:solidFill>
              <w14:schemeClr w14:val="tx1"/>
            </w14:solidFill>
          </w14:textFill>
        </w:rPr>
        <w:t>标准</w:t>
      </w:r>
    </w:p>
    <w:p w14:paraId="29C82543">
      <w:pPr>
        <w:spacing w:before="120" w:line="320" w:lineRule="atLeast"/>
        <w:jc w:val="center"/>
        <w:outlineLvl w:val="1"/>
        <w:rPr>
          <w:b/>
          <w:bCs/>
          <w:color w:val="000000" w:themeColor="text1"/>
          <w:kern w:val="0"/>
          <w:sz w:val="24"/>
          <w:highlight w:val="none"/>
          <w14:textFill>
            <w14:solidFill>
              <w14:schemeClr w14:val="tx1"/>
            </w14:solidFill>
          </w14:textFill>
        </w:rPr>
      </w:pPr>
      <w:r>
        <w:rPr>
          <w:rFonts w:hint="eastAsia"/>
          <w:b/>
          <w:bCs/>
          <w:color w:val="000000" w:themeColor="text1"/>
          <w:kern w:val="0"/>
          <w:sz w:val="24"/>
          <w:highlight w:val="none"/>
          <w14:textFill>
            <w14:solidFill>
              <w14:schemeClr w14:val="tx1"/>
            </w14:solidFill>
          </w14:textFill>
        </w:rPr>
        <w:t>适用于A分标</w:t>
      </w:r>
    </w:p>
    <w:p w14:paraId="3F1121E1">
      <w:pPr>
        <w:ind w:firstLine="420" w:firstLineChars="200"/>
        <w:rPr>
          <w:rFonts w:ascii="Arial" w:hAnsi="Arial" w:cs="Arial"/>
          <w:color w:val="000000" w:themeColor="text1"/>
          <w:highlight w:val="none"/>
          <w14:textFill>
            <w14:solidFill>
              <w14:schemeClr w14:val="tx1"/>
            </w14:solidFill>
          </w14:textFill>
        </w:rPr>
      </w:pPr>
    </w:p>
    <w:tbl>
      <w:tblPr>
        <w:tblStyle w:val="51"/>
        <w:tblW w:w="9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62"/>
        <w:gridCol w:w="859"/>
        <w:gridCol w:w="7350"/>
      </w:tblGrid>
      <w:tr w14:paraId="1583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2" w:hRule="atLeast"/>
          <w:tblHeader/>
          <w:jc w:val="center"/>
        </w:trPr>
        <w:tc>
          <w:tcPr>
            <w:tcW w:w="710" w:type="dxa"/>
            <w:noWrap/>
            <w:vAlign w:val="center"/>
          </w:tcPr>
          <w:p w14:paraId="084A8D52">
            <w:pPr>
              <w:widowControl/>
              <w:jc w:val="center"/>
              <w:textAlignment w:val="center"/>
              <w:rPr>
                <w:rFonts w:ascii="Arial" w:hAnsi="Arial" w:cs="Arial"/>
                <w:b/>
                <w:bCs/>
                <w:color w:val="000000" w:themeColor="text1"/>
                <w:szCs w:val="21"/>
                <w:highlight w:val="none"/>
                <w14:textFill>
                  <w14:solidFill>
                    <w14:schemeClr w14:val="tx1"/>
                  </w14:solidFill>
                </w14:textFill>
              </w:rPr>
            </w:pPr>
            <w:r>
              <w:rPr>
                <w:rFonts w:ascii="Arial" w:hAnsi="Arial" w:cs="Arial"/>
                <w:b/>
                <w:bCs/>
                <w:color w:val="000000" w:themeColor="text1"/>
                <w:kern w:val="0"/>
                <w:szCs w:val="21"/>
                <w:highlight w:val="none"/>
                <w:lang w:bidi="ar"/>
                <w14:textFill>
                  <w14:solidFill>
                    <w14:schemeClr w14:val="tx1"/>
                  </w14:solidFill>
                </w14:textFill>
              </w:rPr>
              <w:t>序号</w:t>
            </w:r>
          </w:p>
        </w:tc>
        <w:tc>
          <w:tcPr>
            <w:tcW w:w="962" w:type="dxa"/>
            <w:noWrap/>
            <w:vAlign w:val="center"/>
          </w:tcPr>
          <w:p w14:paraId="012BA12E">
            <w:pPr>
              <w:widowControl/>
              <w:jc w:val="center"/>
              <w:textAlignment w:val="center"/>
              <w:rPr>
                <w:rFonts w:ascii="Arial" w:hAnsi="Arial" w:cs="Arial"/>
                <w:b/>
                <w:bCs/>
                <w:color w:val="000000" w:themeColor="text1"/>
                <w:szCs w:val="21"/>
                <w:highlight w:val="none"/>
                <w14:textFill>
                  <w14:solidFill>
                    <w14:schemeClr w14:val="tx1"/>
                  </w14:solidFill>
                </w14:textFill>
              </w:rPr>
            </w:pPr>
            <w:r>
              <w:rPr>
                <w:rFonts w:ascii="Arial" w:hAnsi="Arial" w:cs="Arial"/>
                <w:b/>
                <w:bCs/>
                <w:color w:val="000000" w:themeColor="text1"/>
                <w:kern w:val="0"/>
                <w:szCs w:val="21"/>
                <w:highlight w:val="none"/>
                <w:lang w:bidi="ar"/>
                <w14:textFill>
                  <w14:solidFill>
                    <w14:schemeClr w14:val="tx1"/>
                  </w14:solidFill>
                </w14:textFill>
              </w:rPr>
              <w:t>评分项</w:t>
            </w:r>
          </w:p>
        </w:tc>
        <w:tc>
          <w:tcPr>
            <w:tcW w:w="859" w:type="dxa"/>
            <w:noWrap/>
            <w:vAlign w:val="center"/>
          </w:tcPr>
          <w:p w14:paraId="5953424D">
            <w:pPr>
              <w:widowControl/>
              <w:jc w:val="center"/>
              <w:textAlignment w:val="center"/>
              <w:rPr>
                <w:rFonts w:ascii="Arial" w:hAnsi="Arial" w:cs="Arial"/>
                <w:b/>
                <w:bCs/>
                <w:color w:val="000000" w:themeColor="text1"/>
                <w:szCs w:val="21"/>
                <w:highlight w:val="none"/>
                <w14:textFill>
                  <w14:solidFill>
                    <w14:schemeClr w14:val="tx1"/>
                  </w14:solidFill>
                </w14:textFill>
              </w:rPr>
            </w:pPr>
            <w:r>
              <w:rPr>
                <w:rFonts w:ascii="Arial" w:hAnsi="Arial" w:cs="Arial"/>
                <w:b/>
                <w:bCs/>
                <w:color w:val="000000" w:themeColor="text1"/>
                <w:kern w:val="0"/>
                <w:szCs w:val="21"/>
                <w:highlight w:val="none"/>
                <w:lang w:bidi="ar"/>
                <w14:textFill>
                  <w14:solidFill>
                    <w14:schemeClr w14:val="tx1"/>
                  </w14:solidFill>
                </w14:textFill>
              </w:rPr>
              <w:t>分值</w:t>
            </w:r>
          </w:p>
        </w:tc>
        <w:tc>
          <w:tcPr>
            <w:tcW w:w="7350" w:type="dxa"/>
            <w:noWrap/>
            <w:vAlign w:val="center"/>
          </w:tcPr>
          <w:p w14:paraId="0EF6AA48">
            <w:pPr>
              <w:widowControl/>
              <w:jc w:val="center"/>
              <w:textAlignment w:val="center"/>
              <w:rPr>
                <w:rFonts w:ascii="Arial" w:hAnsi="Arial" w:cs="Arial"/>
                <w:b/>
                <w:bCs/>
                <w:color w:val="000000" w:themeColor="text1"/>
                <w:szCs w:val="21"/>
                <w:highlight w:val="none"/>
                <w14:textFill>
                  <w14:solidFill>
                    <w14:schemeClr w14:val="tx1"/>
                  </w14:solidFill>
                </w14:textFill>
              </w:rPr>
            </w:pPr>
            <w:r>
              <w:rPr>
                <w:rFonts w:ascii="Arial" w:hAnsi="Arial" w:cs="Arial"/>
                <w:b/>
                <w:bCs/>
                <w:color w:val="000000" w:themeColor="text1"/>
                <w:kern w:val="0"/>
                <w:szCs w:val="21"/>
                <w:highlight w:val="none"/>
                <w:lang w:bidi="ar"/>
                <w14:textFill>
                  <w14:solidFill>
                    <w14:schemeClr w14:val="tx1"/>
                  </w14:solidFill>
                </w14:textFill>
              </w:rPr>
              <w:t>评分标准</w:t>
            </w:r>
          </w:p>
        </w:tc>
      </w:tr>
      <w:tr w14:paraId="3EF4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81" w:type="dxa"/>
            <w:gridSpan w:val="4"/>
            <w:noWrap/>
            <w:vAlign w:val="center"/>
          </w:tcPr>
          <w:p w14:paraId="4B59D16D">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价格分【满分</w:t>
            </w:r>
            <w:r>
              <w:rPr>
                <w:rFonts w:hint="eastAsia"/>
                <w:color w:val="000000" w:themeColor="text1"/>
                <w:highlight w:val="none"/>
                <w14:textFill>
                  <w14:solidFill>
                    <w14:schemeClr w14:val="tx1"/>
                  </w14:solidFill>
                </w14:textFill>
              </w:rPr>
              <w:t>30</w:t>
            </w:r>
            <w:r>
              <w:rPr>
                <w:rFonts w:ascii="Arial" w:hAnsi="Arial" w:cs="Arial"/>
                <w:color w:val="000000" w:themeColor="text1"/>
                <w:kern w:val="0"/>
                <w:szCs w:val="21"/>
                <w:highlight w:val="none"/>
                <w:lang w:bidi="ar"/>
                <w14:textFill>
                  <w14:solidFill>
                    <w14:schemeClr w14:val="tx1"/>
                  </w14:solidFill>
                </w14:textFill>
              </w:rPr>
              <w:t>分】</w:t>
            </w:r>
          </w:p>
        </w:tc>
      </w:tr>
      <w:tr w14:paraId="1516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ign w:val="center"/>
          </w:tcPr>
          <w:p w14:paraId="2ABD782B">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1</w:t>
            </w:r>
          </w:p>
        </w:tc>
        <w:tc>
          <w:tcPr>
            <w:tcW w:w="962" w:type="dxa"/>
            <w:noWrap/>
            <w:vAlign w:val="center"/>
          </w:tcPr>
          <w:p w14:paraId="0E8F2787">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报价分</w:t>
            </w:r>
          </w:p>
        </w:tc>
        <w:tc>
          <w:tcPr>
            <w:tcW w:w="859" w:type="dxa"/>
            <w:noWrap/>
            <w:vAlign w:val="center"/>
          </w:tcPr>
          <w:p w14:paraId="78DA5262">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（满分</w:t>
            </w:r>
            <w:r>
              <w:rPr>
                <w:rFonts w:hint="eastAsia" w:ascii="Arial" w:hAnsi="Arial" w:cs="Arial"/>
                <w:color w:val="000000" w:themeColor="text1"/>
                <w:kern w:val="0"/>
                <w:szCs w:val="21"/>
                <w:highlight w:val="none"/>
                <w:lang w:bidi="ar"/>
                <w14:textFill>
                  <w14:solidFill>
                    <w14:schemeClr w14:val="tx1"/>
                  </w14:solidFill>
                </w14:textFill>
              </w:rPr>
              <w:t>3</w:t>
            </w:r>
            <w:r>
              <w:rPr>
                <w:rFonts w:ascii="Arial" w:hAnsi="Arial" w:cs="Arial"/>
                <w:color w:val="000000" w:themeColor="text1"/>
                <w:kern w:val="0"/>
                <w:szCs w:val="21"/>
                <w:highlight w:val="none"/>
                <w:lang w:bidi="ar"/>
                <w14:textFill>
                  <w14:solidFill>
                    <w14:schemeClr w14:val="tx1"/>
                  </w14:solidFill>
                </w14:textFill>
              </w:rPr>
              <w:t>0</w:t>
            </w:r>
            <w:r>
              <w:rPr>
                <w:rFonts w:hint="eastAsia" w:ascii="Arial" w:hAnsi="Arial" w:cs="Arial"/>
                <w:color w:val="000000" w:themeColor="text1"/>
                <w:kern w:val="0"/>
                <w:szCs w:val="21"/>
                <w:highlight w:val="none"/>
                <w:lang w:bidi="ar"/>
                <w14:textFill>
                  <w14:solidFill>
                    <w14:schemeClr w14:val="tx1"/>
                  </w14:solidFill>
                </w14:textFill>
              </w:rPr>
              <w:t>分</w:t>
            </w:r>
            <w:r>
              <w:rPr>
                <w:rFonts w:ascii="Arial" w:hAnsi="Arial" w:cs="Arial"/>
                <w:color w:val="000000" w:themeColor="text1"/>
                <w:kern w:val="0"/>
                <w:szCs w:val="21"/>
                <w:highlight w:val="none"/>
                <w:lang w:bidi="ar"/>
                <w14:textFill>
                  <w14:solidFill>
                    <w14:schemeClr w14:val="tx1"/>
                  </w14:solidFill>
                </w14:textFill>
              </w:rPr>
              <w:t>）</w:t>
            </w:r>
          </w:p>
        </w:tc>
        <w:tc>
          <w:tcPr>
            <w:tcW w:w="7350" w:type="dxa"/>
            <w:vAlign w:val="center"/>
          </w:tcPr>
          <w:p w14:paraId="22AC97A4">
            <w:pPr>
              <w:widowControl/>
              <w:jc w:val="left"/>
              <w:textAlignment w:val="center"/>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满足招标文件要求且报价最低的供应商的价格为基准价，按照下列公式计算供应商的报价得分。</w:t>
            </w:r>
            <w:r>
              <w:rPr>
                <w:rFonts w:ascii="Arial" w:hAnsi="Arial" w:cs="Arial"/>
                <w:color w:val="000000" w:themeColor="text1"/>
                <w:kern w:val="0"/>
                <w:szCs w:val="21"/>
                <w:highlight w:val="none"/>
                <w:lang w:bidi="ar"/>
                <w14:textFill>
                  <w14:solidFill>
                    <w14:schemeClr w14:val="tx1"/>
                  </w14:solidFill>
                </w14:textFill>
              </w:rPr>
              <w:br w:type="textWrapping"/>
            </w:r>
            <w:r>
              <w:rPr>
                <w:rFonts w:ascii="Arial" w:hAnsi="Arial" w:cs="Arial"/>
                <w:color w:val="000000" w:themeColor="text1"/>
                <w:kern w:val="0"/>
                <w:szCs w:val="21"/>
                <w:highlight w:val="none"/>
                <w:lang w:bidi="ar"/>
                <w14:textFill>
                  <w14:solidFill>
                    <w14:schemeClr w14:val="tx1"/>
                  </w14:solidFill>
                </w14:textFill>
              </w:rPr>
              <w:t>报价得分=（基准价/报价）×</w:t>
            </w:r>
            <w:r>
              <w:rPr>
                <w:rFonts w:hint="eastAsia" w:ascii="Arial" w:hAnsi="Arial" w:cs="Arial"/>
                <w:color w:val="000000" w:themeColor="text1"/>
                <w:kern w:val="0"/>
                <w:szCs w:val="21"/>
                <w:highlight w:val="none"/>
                <w:lang w:bidi="ar"/>
                <w14:textFill>
                  <w14:solidFill>
                    <w14:schemeClr w14:val="tx1"/>
                  </w14:solidFill>
                </w14:textFill>
              </w:rPr>
              <w:t>3</w:t>
            </w:r>
            <w:r>
              <w:rPr>
                <w:rFonts w:ascii="Arial" w:hAnsi="Arial" w:cs="Arial"/>
                <w:color w:val="000000" w:themeColor="text1"/>
                <w:kern w:val="0"/>
                <w:szCs w:val="21"/>
                <w:highlight w:val="none"/>
                <w:lang w:bidi="ar"/>
                <w14:textFill>
                  <w14:solidFill>
                    <w14:schemeClr w14:val="tx1"/>
                  </w14:solidFill>
                </w14:textFill>
              </w:rPr>
              <w:t>0</w:t>
            </w:r>
            <w:r>
              <w:rPr>
                <w:rFonts w:ascii="Arial" w:hAnsi="Arial" w:cs="Arial"/>
                <w:color w:val="000000" w:themeColor="text1"/>
                <w:kern w:val="0"/>
                <w:szCs w:val="21"/>
                <w:highlight w:val="none"/>
                <w:lang w:bidi="ar"/>
                <w14:textFill>
                  <w14:solidFill>
                    <w14:schemeClr w14:val="tx1"/>
                  </w14:solidFill>
                </w14:textFill>
              </w:rPr>
              <w:br w:type="textWrapping"/>
            </w:r>
          </w:p>
          <w:p w14:paraId="65273793">
            <w:pPr>
              <w:widowControl/>
              <w:jc w:val="left"/>
              <w:textAlignment w:val="center"/>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注：</w:t>
            </w:r>
            <w:r>
              <w:rPr>
                <w:rFonts w:ascii="Arial" w:hAnsi="Arial" w:cs="Arial"/>
                <w:color w:val="000000" w:themeColor="text1"/>
                <w:kern w:val="0"/>
                <w:szCs w:val="21"/>
                <w:highlight w:val="none"/>
                <w:lang w:bidi="ar"/>
                <w14:textFill>
                  <w14:solidFill>
                    <w14:schemeClr w14:val="tx1"/>
                  </w14:solidFill>
                </w14:textFill>
              </w:rPr>
              <w:t>如有价格扣除时，投标报价分均按供应商实际投标报价进行价格扣除后的价格进行计算，最终中标金额＝投标报价。价格扣除计算方法见后。</w:t>
            </w:r>
          </w:p>
        </w:tc>
      </w:tr>
      <w:tr w14:paraId="6AB4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81" w:type="dxa"/>
            <w:gridSpan w:val="4"/>
            <w:noWrap/>
            <w:vAlign w:val="center"/>
          </w:tcPr>
          <w:p w14:paraId="1EC86B4E">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技术分【满分</w:t>
            </w:r>
            <w:r>
              <w:rPr>
                <w:rFonts w:hint="eastAsia" w:ascii="Arial" w:hAnsi="Arial" w:cs="Arial"/>
                <w:color w:val="000000" w:themeColor="text1"/>
                <w:kern w:val="0"/>
                <w:szCs w:val="21"/>
                <w:highlight w:val="none"/>
                <w:lang w:bidi="ar"/>
                <w14:textFill>
                  <w14:solidFill>
                    <w14:schemeClr w14:val="tx1"/>
                  </w14:solidFill>
                </w14:textFill>
              </w:rPr>
              <w:t>59</w:t>
            </w:r>
            <w:r>
              <w:rPr>
                <w:rFonts w:ascii="Arial" w:hAnsi="Arial" w:cs="Arial"/>
                <w:color w:val="000000" w:themeColor="text1"/>
                <w:kern w:val="0"/>
                <w:szCs w:val="21"/>
                <w:highlight w:val="none"/>
                <w:lang w:bidi="ar"/>
                <w14:textFill>
                  <w14:solidFill>
                    <w14:schemeClr w14:val="tx1"/>
                  </w14:solidFill>
                </w14:textFill>
              </w:rPr>
              <w:t>分】</w:t>
            </w:r>
          </w:p>
        </w:tc>
      </w:tr>
      <w:tr w14:paraId="2A4F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ign w:val="center"/>
          </w:tcPr>
          <w:p w14:paraId="705C1576">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w:t>
            </w:r>
          </w:p>
        </w:tc>
        <w:tc>
          <w:tcPr>
            <w:tcW w:w="962" w:type="dxa"/>
            <w:noWrap/>
            <w:vAlign w:val="center"/>
          </w:tcPr>
          <w:p w14:paraId="58799983">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技术参数响应程度分</w:t>
            </w:r>
          </w:p>
        </w:tc>
        <w:tc>
          <w:tcPr>
            <w:tcW w:w="859" w:type="dxa"/>
            <w:noWrap/>
            <w:vAlign w:val="center"/>
          </w:tcPr>
          <w:p w14:paraId="60CB9635">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（满分</w:t>
            </w:r>
            <w:r>
              <w:rPr>
                <w:rFonts w:hint="eastAsia" w:ascii="Arial" w:hAnsi="Arial" w:cs="Arial"/>
                <w:color w:val="000000" w:themeColor="text1"/>
                <w:kern w:val="0"/>
                <w:szCs w:val="21"/>
                <w:highlight w:val="none"/>
                <w:lang w:bidi="ar"/>
                <w14:textFill>
                  <w14:solidFill>
                    <w14:schemeClr w14:val="tx1"/>
                  </w14:solidFill>
                </w14:textFill>
              </w:rPr>
              <w:t>10</w:t>
            </w:r>
            <w:r>
              <w:rPr>
                <w:rFonts w:ascii="Arial" w:hAnsi="Arial" w:cs="Arial"/>
                <w:color w:val="000000" w:themeColor="text1"/>
                <w:kern w:val="0"/>
                <w:szCs w:val="21"/>
                <w:highlight w:val="none"/>
                <w:lang w:bidi="ar"/>
                <w14:textFill>
                  <w14:solidFill>
                    <w14:schemeClr w14:val="tx1"/>
                  </w14:solidFill>
                </w14:textFill>
              </w:rPr>
              <w:t>分）</w:t>
            </w:r>
          </w:p>
        </w:tc>
        <w:tc>
          <w:tcPr>
            <w:tcW w:w="7350" w:type="dxa"/>
            <w:vAlign w:val="center"/>
          </w:tcPr>
          <w:p w14:paraId="2580FFD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对比有效投标人所投产品条款的技术规格、参数指标，结合投标人产品材料的提供情况进行评比。投标人完全满足招标文件中技术要求的得</w:t>
            </w:r>
            <w:r>
              <w:rPr>
                <w:rFonts w:hint="eastAsia" w:ascii="Arial" w:hAnsi="Arial" w:cs="Arial"/>
                <w:color w:val="000000" w:themeColor="text1"/>
                <w:sz w:val="20"/>
                <w:szCs w:val="18"/>
                <w:highlight w:val="none"/>
                <w14:textFill>
                  <w14:solidFill>
                    <w14:schemeClr w14:val="tx1"/>
                  </w14:solidFill>
                </w14:textFill>
              </w:rPr>
              <w:t>10</w:t>
            </w:r>
            <w:r>
              <w:rPr>
                <w:rFonts w:ascii="Arial" w:hAnsi="Arial" w:cs="Arial"/>
                <w:color w:val="000000" w:themeColor="text1"/>
                <w:sz w:val="20"/>
                <w:szCs w:val="18"/>
                <w:highlight w:val="none"/>
                <w14:textFill>
                  <w14:solidFill>
                    <w14:schemeClr w14:val="tx1"/>
                  </w14:solidFill>
                </w14:textFill>
              </w:rPr>
              <w:t>分。</w:t>
            </w:r>
          </w:p>
          <w:p w14:paraId="09D8F1A1">
            <w:pPr>
              <w:widowControl/>
              <w:spacing w:line="360" w:lineRule="auto"/>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标注“★”参数为重要参数</w:t>
            </w:r>
            <w:r>
              <w:rPr>
                <w:rFonts w:hint="eastAsia" w:ascii="Arial" w:hAnsi="Arial" w:cs="Arial"/>
                <w:color w:val="000000" w:themeColor="text1"/>
                <w:sz w:val="20"/>
                <w:szCs w:val="18"/>
                <w:highlight w:val="none"/>
                <w14:textFill>
                  <w14:solidFill>
                    <w14:schemeClr w14:val="tx1"/>
                  </w14:solidFill>
                </w14:textFill>
              </w:rPr>
              <w:t>，共10项</w:t>
            </w:r>
            <w:r>
              <w:rPr>
                <w:rFonts w:ascii="Arial" w:hAnsi="Arial" w:cs="Arial"/>
                <w:color w:val="000000" w:themeColor="text1"/>
                <w:sz w:val="20"/>
                <w:szCs w:val="18"/>
                <w:highlight w:val="none"/>
                <w14:textFill>
                  <w14:solidFill>
                    <w14:schemeClr w14:val="tx1"/>
                  </w14:solidFill>
                </w14:textFill>
              </w:rPr>
              <w:t>，</w:t>
            </w:r>
            <w:r>
              <w:rPr>
                <w:rFonts w:hint="eastAsia" w:ascii="Arial" w:hAnsi="Arial" w:cs="Arial"/>
                <w:color w:val="000000" w:themeColor="text1"/>
                <w:sz w:val="20"/>
                <w:szCs w:val="18"/>
                <w:highlight w:val="none"/>
                <w14:textFill>
                  <w14:solidFill>
                    <w14:schemeClr w14:val="tx1"/>
                  </w14:solidFill>
                </w14:textFill>
              </w:rPr>
              <w:t>满分10分。每出现1个负偏离（不满足招标文件要求），扣1分，扣完为止</w:t>
            </w:r>
            <w:r>
              <w:rPr>
                <w:rFonts w:ascii="Arial" w:hAnsi="Arial" w:cs="Arial"/>
                <w:color w:val="000000" w:themeColor="text1"/>
                <w:sz w:val="20"/>
                <w:szCs w:val="18"/>
                <w:highlight w:val="none"/>
                <w14:textFill>
                  <w14:solidFill>
                    <w14:schemeClr w14:val="tx1"/>
                  </w14:solidFill>
                </w14:textFill>
              </w:rPr>
              <w:t>。提供虚假参数及证明文件者，取消投标资格，中标后取消中标资格，并依法追究其法律责任。</w:t>
            </w:r>
          </w:p>
        </w:tc>
      </w:tr>
      <w:tr w14:paraId="4C6A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ign w:val="center"/>
          </w:tcPr>
          <w:p w14:paraId="4C9FB80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p>
        </w:tc>
        <w:tc>
          <w:tcPr>
            <w:tcW w:w="962" w:type="dxa"/>
            <w:noWrap/>
            <w:vAlign w:val="center"/>
          </w:tcPr>
          <w:p w14:paraId="23E8C8A5">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模块功能分</w:t>
            </w:r>
          </w:p>
        </w:tc>
        <w:tc>
          <w:tcPr>
            <w:tcW w:w="859" w:type="dxa"/>
            <w:noWrap/>
            <w:vAlign w:val="center"/>
          </w:tcPr>
          <w:p w14:paraId="1B4B28DF">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(满分10分)</w:t>
            </w:r>
          </w:p>
        </w:tc>
        <w:tc>
          <w:tcPr>
            <w:tcW w:w="7350" w:type="dxa"/>
            <w:vAlign w:val="center"/>
          </w:tcPr>
          <w:p w14:paraId="6E16D601">
            <w:pPr>
              <w:widowControl/>
              <w:jc w:val="left"/>
              <w:textAlignment w:val="center"/>
              <w:rPr>
                <w:rFonts w:ascii="Arial" w:hAnsi="Arial" w:cs="Arial"/>
                <w:color w:val="000000" w:themeColor="text1"/>
                <w:kern w:val="0"/>
                <w:szCs w:val="21"/>
                <w:highlight w:val="none"/>
                <w:lang w:bidi="ar"/>
                <w14:textFill>
                  <w14:solidFill>
                    <w14:schemeClr w14:val="tx1"/>
                  </w14:solidFill>
                </w14:textFill>
              </w:rPr>
            </w:pPr>
            <w:r>
              <w:rPr>
                <w:rFonts w:hint="eastAsia" w:ascii="Arial" w:hAnsi="Arial" w:cs="Arial"/>
                <w:color w:val="000000" w:themeColor="text1"/>
                <w:kern w:val="0"/>
                <w:szCs w:val="21"/>
                <w:highlight w:val="none"/>
                <w:lang w:bidi="ar"/>
                <w14:textFill>
                  <w14:solidFill>
                    <w14:schemeClr w14:val="tx1"/>
                  </w14:solidFill>
                </w14:textFill>
              </w:rPr>
              <w:t>投标人</w:t>
            </w:r>
            <w:r>
              <w:rPr>
                <w:rFonts w:ascii="Arial" w:hAnsi="Arial" w:cs="Arial"/>
                <w:color w:val="000000" w:themeColor="text1"/>
                <w:kern w:val="0"/>
                <w:szCs w:val="21"/>
                <w:highlight w:val="none"/>
                <w:lang w:bidi="ar"/>
                <w14:textFill>
                  <w14:solidFill>
                    <w14:schemeClr w14:val="tx1"/>
                  </w14:solidFill>
                </w14:textFill>
              </w:rPr>
              <w:t>对下列内容进行逐项提供对应关键性能点的图片证明，否则不得分，每项0.5分，满分10分。</w:t>
            </w:r>
            <w:r>
              <w:rPr>
                <w:rFonts w:hint="eastAsia" w:ascii="Arial" w:hAnsi="Arial" w:cs="Arial"/>
                <w:color w:val="000000" w:themeColor="text1"/>
                <w:kern w:val="0"/>
                <w:szCs w:val="21"/>
                <w:highlight w:val="none"/>
                <w:lang w:bidi="ar"/>
                <w14:textFill>
                  <w14:solidFill>
                    <w14:schemeClr w14:val="tx1"/>
                  </w14:solidFill>
                </w14:textFill>
              </w:rPr>
              <w:t>投标人所</w:t>
            </w:r>
            <w:r>
              <w:rPr>
                <w:rFonts w:ascii="Arial" w:hAnsi="Arial" w:cs="Arial"/>
                <w:color w:val="000000" w:themeColor="text1"/>
                <w:kern w:val="0"/>
                <w:szCs w:val="21"/>
                <w:highlight w:val="none"/>
                <w:lang w:bidi="ar"/>
                <w14:textFill>
                  <w14:solidFill>
                    <w14:schemeClr w14:val="tx1"/>
                  </w14:solidFill>
                </w14:textFill>
              </w:rPr>
              <w:t>提供的系统截图必须标注完整功能路径(菜单位置、操作步骤)并加盖公章。</w:t>
            </w:r>
          </w:p>
          <w:p w14:paraId="7CF9CED9">
            <w:pPr>
              <w:widowControl/>
              <w:numPr>
                <w:ilvl w:val="0"/>
                <w:numId w:val="17"/>
              </w:numPr>
              <w:jc w:val="left"/>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助教输出的答案支持显示来源，可截取显示与答案有关的原文内容，也可通过来源跳转回原文全文展开学习。</w:t>
            </w:r>
          </w:p>
          <w:p w14:paraId="3F19E75D">
            <w:pPr>
              <w:widowControl/>
              <w:numPr>
                <w:ilvl w:val="0"/>
                <w:numId w:val="17"/>
              </w:numPr>
              <w:jc w:val="left"/>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支持知识图谱自定义编辑功能，系统提供至少8种图谱形态，用户可根据课程性质选择合适的图谱形态进行编辑。</w:t>
            </w:r>
          </w:p>
          <w:p w14:paraId="63469FCD">
            <w:pPr>
              <w:widowControl/>
              <w:numPr>
                <w:ilvl w:val="0"/>
                <w:numId w:val="17"/>
              </w:numPr>
              <w:jc w:val="left"/>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685C1C17">
            <w:pPr>
              <w:widowControl/>
              <w:numPr>
                <w:ilvl w:val="0"/>
                <w:numId w:val="17"/>
              </w:numPr>
              <w:jc w:val="left"/>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上传作品任务适用于学生提交作品型成果，如实验图片、图文混排文档等。支持教师在任务中明确作品要求，设置评估角色与评分标准，结合实际教学目标和评分标准，对学生提交内容进行评阅与打分反馈。</w:t>
            </w:r>
          </w:p>
          <w:p w14:paraId="24992DD7">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支持任务克隆功能，支持克隆给自己和克隆给他人两种方式，提高任务的复用性；</w:t>
            </w:r>
          </w:p>
          <w:p w14:paraId="4E90BFEF">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对平台用户发布的敏感文本、图片、文档、视频等内容的分析和监控功能，可按时间筛选查看、编辑、删除内容以及自定义修改监控内容；支持自定义敏感关键词、敏感忽略词、用户黑白名单、图片名单。支持通过用户风险统计、垃圾发布量、垃圾发布率的维度统计用户风险。</w:t>
            </w:r>
          </w:p>
          <w:p w14:paraId="6C41F9CC">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支持视频的虚拟剪辑，只需要拖动视频播放的起始点、终止点，就可以将视频文件按照课程的要求剪辑成适当长度，教师还可手动输入时间点，进行视频在线虚拟剪辑。</w:t>
            </w:r>
          </w:p>
          <w:p w14:paraId="3A86BA41">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支持创立智慧课程群展示门户，可自定义课程群门户信息包括课程群名称、课程群类型、课程群介绍、教师团队等信息。</w:t>
            </w:r>
          </w:p>
          <w:p w14:paraId="1CD6947A">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支持根据平台学生整体学习数据及专项数据，或者上传excel文档，教师可自定义分析维度，AI自动进行学生学情分析并提供建议提醒。</w:t>
            </w:r>
          </w:p>
          <w:p w14:paraId="7129F416">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比对基础库中的数据包含图书、报纸、期刊、网络文档等多种文献类型；支持选择不同的比对库，包含全部全文比对库、图书全文比对库、非图书全文比对库、法律法规比对库、自建库选择进行检测。</w:t>
            </w:r>
          </w:p>
          <w:p w14:paraId="54FE0091">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将学科知识点转化为可互动的教学剧情，学生通过与故事中的不同AI角色对话还原各类真实专业场景，在沉浸式体验中深化知识理解与应用。</w:t>
            </w:r>
          </w:p>
          <w:p w14:paraId="652E623B">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支持按照章节，教案，文本三种方式AI生成任务基本信息和任务点内容，简化老师任务设计工作，提高任务的建设质量。</w:t>
            </w:r>
          </w:p>
          <w:p w14:paraId="2159C97F">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支持针对任务进行报名设置工作，教师可以选择开启报名，报名需要填写信息，报名需要审批三种方式，邀请学生报名任务，同时支持查看报名信息。</w:t>
            </w:r>
          </w:p>
          <w:p w14:paraId="4D34F526">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支持在任务分组上设置组间闯关条件，学生需要达到组间闯关设置的完成条件后才能够学习下个分组，不同类型任务点闯关条件不同；</w:t>
            </w:r>
          </w:p>
          <w:p w14:paraId="36B0750D">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教师通过知识点、输入文本、上传附件文档和视频、选定章节等多种方式，搭配补充出题要求说明，由AI自动生成相应试题。AI系统可以自动生成对应的题目并且不限制教师使用次数，并支持勾选按知识库出题模式，开启后优先匹配课程知识库出题，更贴课程内容。</w:t>
            </w:r>
          </w:p>
          <w:p w14:paraId="1BAF3EBB">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支持对单个AI知识库进行AI对话；支持对期刊、学者进行AI对话，以交互方式使用户快捷了解期刊或学者某方面研究内容。</w:t>
            </w:r>
          </w:p>
          <w:p w14:paraId="65953B87">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支持多站点创建，每个教学医院可对应独立案例库站点，每个站点为完整的独立网站。系统管理员可创建多站点，并指定相关教师作为站点负责人，同时可对各站点的样式、导航等信息进行统一设置管理。</w:t>
            </w:r>
          </w:p>
          <w:p w14:paraId="7B598C1F">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数据管理：支持查看当前教学医院案例库的各类基础数据，可自由配置数据是否在门户展示。数据涵盖访问量、案例素材总数、相关课程总数、用户总数、资源存储量、试题总量、视频总时长及各类用户数量、资源活跃情况等核心数据，全面反映案例库运行状态。</w:t>
            </w:r>
          </w:p>
          <w:p w14:paraId="7BC6F0D6">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课程管理中，支持按不同条件筛选课程，可通过多种方式添加课程，支持课程模板标记及引用，方便校内教师快速复用优质课程资源，可查看课程引用数据，支持基于示范课程二次建课。</w:t>
            </w:r>
          </w:p>
          <w:p w14:paraId="0E7512F7">
            <w:pPr>
              <w:pStyle w:val="9"/>
              <w:numPr>
                <w:ilvl w:val="0"/>
                <w:numId w:val="17"/>
              </w:numPr>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资源使用设置：可对各类用户及游客的资源使用权限进行配置，涵盖素材浏览、下载、收藏、分享、评论及课程引用等相关权限，保障资源使用的规范性。</w:t>
            </w:r>
          </w:p>
        </w:tc>
      </w:tr>
      <w:tr w14:paraId="3CA5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10" w:type="dxa"/>
            <w:noWrap/>
            <w:vAlign w:val="center"/>
          </w:tcPr>
          <w:p w14:paraId="699B38FC">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3</w:t>
            </w:r>
          </w:p>
        </w:tc>
        <w:tc>
          <w:tcPr>
            <w:tcW w:w="962" w:type="dxa"/>
            <w:vAlign w:val="center"/>
          </w:tcPr>
          <w:p w14:paraId="49385C1D">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项目实施方案分</w:t>
            </w:r>
          </w:p>
        </w:tc>
        <w:tc>
          <w:tcPr>
            <w:tcW w:w="859" w:type="dxa"/>
            <w:noWrap/>
            <w:vAlign w:val="center"/>
          </w:tcPr>
          <w:p w14:paraId="005BE55D">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br w:type="textWrapping"/>
            </w:r>
            <w:r>
              <w:rPr>
                <w:rFonts w:ascii="Arial" w:hAnsi="Arial" w:cs="Arial"/>
                <w:color w:val="000000" w:themeColor="text1"/>
                <w:kern w:val="0"/>
                <w:szCs w:val="21"/>
                <w:highlight w:val="none"/>
                <w:lang w:bidi="ar"/>
                <w14:textFill>
                  <w14:solidFill>
                    <w14:schemeClr w14:val="tx1"/>
                  </w14:solidFill>
                </w14:textFill>
              </w:rPr>
              <w:t>（满分1</w:t>
            </w:r>
            <w:r>
              <w:rPr>
                <w:rFonts w:hint="eastAsia" w:ascii="Arial" w:hAnsi="Arial" w:cs="Arial"/>
                <w:color w:val="000000" w:themeColor="text1"/>
                <w:kern w:val="0"/>
                <w:szCs w:val="21"/>
                <w:highlight w:val="none"/>
                <w:lang w:bidi="ar"/>
                <w14:textFill>
                  <w14:solidFill>
                    <w14:schemeClr w14:val="tx1"/>
                  </w14:solidFill>
                </w14:textFill>
              </w:rPr>
              <w:t>5</w:t>
            </w:r>
            <w:r>
              <w:rPr>
                <w:rFonts w:ascii="Arial" w:hAnsi="Arial" w:cs="Arial"/>
                <w:color w:val="000000" w:themeColor="text1"/>
                <w:kern w:val="0"/>
                <w:szCs w:val="21"/>
                <w:highlight w:val="none"/>
                <w:lang w:bidi="ar"/>
                <w14:textFill>
                  <w14:solidFill>
                    <w14:schemeClr w14:val="tx1"/>
                  </w14:solidFill>
                </w14:textFill>
              </w:rPr>
              <w:t>分）</w:t>
            </w:r>
          </w:p>
        </w:tc>
        <w:tc>
          <w:tcPr>
            <w:tcW w:w="7350" w:type="dxa"/>
            <w:noWrap/>
            <w:vAlign w:val="center"/>
          </w:tcPr>
          <w:p w14:paraId="67F56546">
            <w:pPr>
              <w:widowControl/>
              <w:jc w:val="left"/>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根据供应商对本项目技术参数的理解程度，从方案编制背景、编制思路、编制依据、建设内容、项目目标匹配度、实施规划、人员配置、交付成果、重难点分析、医学教学适配性、质量保障体系等维度综合评定：</w:t>
            </w:r>
          </w:p>
          <w:p w14:paraId="449EEBFD">
            <w:pPr>
              <w:widowControl/>
              <w:ind w:firstLine="422"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b/>
                <w:bCs/>
                <w:color w:val="000000" w:themeColor="text1"/>
                <w:szCs w:val="21"/>
                <w:highlight w:val="none"/>
                <w14:textFill>
                  <w14:solidFill>
                    <w14:schemeClr w14:val="tx1"/>
                  </w14:solidFill>
                </w14:textFill>
              </w:rPr>
              <w:t>一档（5分）：</w:t>
            </w:r>
            <w:r>
              <w:rPr>
                <w:rFonts w:ascii="Arial" w:hAnsi="Arial" w:cs="Arial"/>
                <w:color w:val="000000" w:themeColor="text1"/>
                <w:szCs w:val="21"/>
                <w:highlight w:val="none"/>
                <w14:textFill>
                  <w14:solidFill>
                    <w14:schemeClr w14:val="tx1"/>
                  </w14:solidFill>
                </w14:textFill>
              </w:rPr>
              <w:t>供应商提交的整体实施方案仅简单覆盖项目背景、编制思路、编制依据、基础建设内容，对项目需求认知浅薄，仅对采购文件参数进行片面、简单复述；未结合本校医学专业建设目标开展分析，无清晰实施步骤、无重难点梳理、无人员安排、无交付成果规划，方案框架简陋，大量核心技术需求无对应落地说明，与本医科院校项目适配度低。</w:t>
            </w:r>
          </w:p>
          <w:p w14:paraId="7802FC63">
            <w:pPr>
              <w:widowControl/>
              <w:ind w:firstLine="422"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b/>
                <w:bCs/>
                <w:color w:val="000000" w:themeColor="text1"/>
                <w:szCs w:val="21"/>
                <w:highlight w:val="none"/>
                <w14:textFill>
                  <w14:solidFill>
                    <w14:schemeClr w14:val="tx1"/>
                  </w14:solidFill>
                </w14:textFill>
              </w:rPr>
              <w:t>二档（</w:t>
            </w:r>
            <w:r>
              <w:rPr>
                <w:rFonts w:hint="eastAsia" w:ascii="Arial" w:hAnsi="Arial" w:cs="Arial"/>
                <w:b/>
                <w:bCs/>
                <w:color w:val="000000" w:themeColor="text1"/>
                <w:szCs w:val="21"/>
                <w:highlight w:val="none"/>
                <w14:textFill>
                  <w14:solidFill>
                    <w14:schemeClr w14:val="tx1"/>
                  </w14:solidFill>
                </w14:textFill>
              </w:rPr>
              <w:t>10</w:t>
            </w:r>
            <w:r>
              <w:rPr>
                <w:rFonts w:ascii="Arial" w:hAnsi="Arial" w:cs="Arial"/>
                <w:b/>
                <w:bCs/>
                <w:color w:val="000000" w:themeColor="text1"/>
                <w:szCs w:val="21"/>
                <w:highlight w:val="none"/>
                <w14:textFill>
                  <w14:solidFill>
                    <w14:schemeClr w14:val="tx1"/>
                  </w14:solidFill>
                </w14:textFill>
              </w:rPr>
              <w:t>分）：</w:t>
            </w:r>
            <w:r>
              <w:rPr>
                <w:rFonts w:ascii="Arial" w:hAnsi="Arial" w:cs="Arial"/>
                <w:color w:val="000000" w:themeColor="text1"/>
                <w:szCs w:val="21"/>
                <w:highlight w:val="none"/>
                <w14:textFill>
                  <w14:solidFill>
                    <w14:schemeClr w14:val="tx1"/>
                  </w14:solidFill>
                </w14:textFill>
              </w:rPr>
              <w:t>供应商整体实施方案完整包含项目编制背景、编制思路、编制依据、全模块建设内容；能够结合项目建设目标梳理主要工作内容、基础实施步骤，方案整体基本匹配采购人全部技术与服务参数；可精准梳理并阐述本项目1项重难点工作，理解无偏差；缺少专业技术人员配置、分阶段预期交付成果、完整质量保证体系等关键内容，医学专业群、临床教学场景优化设计不足。</w:t>
            </w:r>
          </w:p>
          <w:p w14:paraId="5571675D">
            <w:pPr>
              <w:widowControl/>
              <w:ind w:firstLine="422"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b/>
                <w:bCs/>
                <w:color w:val="000000" w:themeColor="text1"/>
                <w:szCs w:val="21"/>
                <w:highlight w:val="none"/>
                <w14:textFill>
                  <w14:solidFill>
                    <w14:schemeClr w14:val="tx1"/>
                  </w14:solidFill>
                </w14:textFill>
              </w:rPr>
              <w:t>三档（1</w:t>
            </w:r>
            <w:r>
              <w:rPr>
                <w:rFonts w:hint="eastAsia" w:ascii="Arial" w:hAnsi="Arial" w:cs="Arial"/>
                <w:b/>
                <w:bCs/>
                <w:color w:val="000000" w:themeColor="text1"/>
                <w:szCs w:val="21"/>
                <w:highlight w:val="none"/>
                <w14:textFill>
                  <w14:solidFill>
                    <w14:schemeClr w14:val="tx1"/>
                  </w14:solidFill>
                </w14:textFill>
              </w:rPr>
              <w:t>5</w:t>
            </w:r>
            <w:r>
              <w:rPr>
                <w:rFonts w:ascii="Arial" w:hAnsi="Arial" w:cs="Arial"/>
                <w:b/>
                <w:bCs/>
                <w:color w:val="000000" w:themeColor="text1"/>
                <w:szCs w:val="21"/>
                <w:highlight w:val="none"/>
                <w14:textFill>
                  <w14:solidFill>
                    <w14:schemeClr w14:val="tx1"/>
                  </w14:solidFill>
                </w14:textFill>
              </w:rPr>
              <w:t>分）：</w:t>
            </w:r>
            <w:r>
              <w:rPr>
                <w:rFonts w:ascii="Arial" w:hAnsi="Arial" w:cs="Arial"/>
                <w:color w:val="000000" w:themeColor="text1"/>
                <w:szCs w:val="21"/>
                <w:highlight w:val="none"/>
                <w14:textFill>
                  <w14:solidFill>
                    <w14:schemeClr w14:val="tx1"/>
                  </w14:solidFill>
                </w14:textFill>
              </w:rPr>
              <w:t>供应商对项目建设背景、编制思路、政策及技术依据、两大板块全量建设内容认知全面透彻，逐条响应全部技术参数与现场演示要求；深度结合医学院校专业群发展、临床教学、专业竞争力提升目标展开分析；方案完整涵盖核心工作内容、分阶段实施步骤、专项专业技术团队配置、分批次预期交付成果、全流程质量保证体系；精准梳理并深度解析2项及以上项目重难点，配套完整落地解决措施，方案贴合本校医学教学、临床实训实际场景，建设重点清晰突出，完全满足采购人全部项目服务参数需求。</w:t>
            </w:r>
          </w:p>
          <w:p w14:paraId="4C4AC191">
            <w:pPr>
              <w:widowControl/>
              <w:ind w:firstLine="422" w:firstLineChars="200"/>
              <w:jc w:val="left"/>
              <w:rPr>
                <w:rFonts w:ascii="Arial" w:hAnsi="Arial" w:cs="Arial"/>
                <w:color w:val="000000" w:themeColor="text1"/>
                <w:szCs w:val="21"/>
                <w:highlight w:val="none"/>
                <w14:textFill>
                  <w14:solidFill>
                    <w14:schemeClr w14:val="tx1"/>
                  </w14:solidFill>
                </w14:textFill>
              </w:rPr>
            </w:pPr>
            <w:r>
              <w:rPr>
                <w:rFonts w:hint="eastAsia" w:ascii="Arial" w:hAnsi="Arial" w:cs="Arial"/>
                <w:b/>
                <w:bCs/>
                <w:color w:val="000000" w:themeColor="text1"/>
                <w:kern w:val="0"/>
                <w:szCs w:val="21"/>
                <w:highlight w:val="none"/>
                <w:lang w:bidi="ar"/>
                <w14:textFill>
                  <w14:solidFill>
                    <w14:schemeClr w14:val="tx1"/>
                  </w14:solidFill>
                </w14:textFill>
              </w:rPr>
              <w:t>注：未提供项目实施方案0分</w:t>
            </w:r>
          </w:p>
        </w:tc>
      </w:tr>
      <w:tr w14:paraId="7935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710" w:type="dxa"/>
            <w:noWrap/>
            <w:vAlign w:val="center"/>
          </w:tcPr>
          <w:p w14:paraId="7CA1A360">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w:t>
            </w:r>
          </w:p>
        </w:tc>
        <w:tc>
          <w:tcPr>
            <w:tcW w:w="962" w:type="dxa"/>
            <w:vAlign w:val="center"/>
          </w:tcPr>
          <w:p w14:paraId="33D14681">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售后服务方案</w:t>
            </w:r>
          </w:p>
        </w:tc>
        <w:tc>
          <w:tcPr>
            <w:tcW w:w="859" w:type="dxa"/>
            <w:noWrap/>
            <w:vAlign w:val="center"/>
          </w:tcPr>
          <w:p w14:paraId="36CE9796">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（满分12分）</w:t>
            </w:r>
          </w:p>
        </w:tc>
        <w:tc>
          <w:tcPr>
            <w:tcW w:w="7350" w:type="dxa"/>
            <w:noWrap/>
          </w:tcPr>
          <w:p w14:paraId="440577CF">
            <w:pPr>
              <w:autoSpaceDE w:val="0"/>
              <w:autoSpaceDN w:val="0"/>
              <w:adjustRightInd w:val="0"/>
              <w:ind w:firstLine="422" w:firstLineChars="200"/>
              <w:jc w:val="left"/>
              <w:rPr>
                <w:rFonts w:ascii="Arial" w:hAnsi="Arial" w:cs="Arial"/>
                <w:color w:val="000000" w:themeColor="text1"/>
                <w:kern w:val="0"/>
                <w:szCs w:val="21"/>
                <w:highlight w:val="none"/>
                <w14:textFill>
                  <w14:solidFill>
                    <w14:schemeClr w14:val="tx1"/>
                  </w14:solidFill>
                </w14:textFill>
              </w:rPr>
            </w:pPr>
            <w:r>
              <w:rPr>
                <w:rFonts w:ascii="Arial" w:hAnsi="Arial" w:cs="Arial"/>
                <w:b/>
                <w:bCs/>
                <w:color w:val="000000" w:themeColor="text1"/>
                <w:kern w:val="0"/>
                <w:szCs w:val="21"/>
                <w:highlight w:val="none"/>
                <w14:textFill>
                  <w14:solidFill>
                    <w14:schemeClr w14:val="tx1"/>
                  </w14:solidFill>
                </w14:textFill>
              </w:rPr>
              <w:t>一档（</w:t>
            </w:r>
            <w:r>
              <w:rPr>
                <w:rFonts w:hint="eastAsia" w:ascii="Arial" w:hAnsi="Arial" w:cs="Arial"/>
                <w:b/>
                <w:bCs/>
                <w:color w:val="000000" w:themeColor="text1"/>
                <w:kern w:val="0"/>
                <w:szCs w:val="21"/>
                <w:highlight w:val="none"/>
                <w14:textFill>
                  <w14:solidFill>
                    <w14:schemeClr w14:val="tx1"/>
                  </w14:solidFill>
                </w14:textFill>
              </w:rPr>
              <w:t>6</w:t>
            </w:r>
            <w:r>
              <w:rPr>
                <w:rFonts w:ascii="Arial" w:hAnsi="Arial" w:cs="Arial"/>
                <w:b/>
                <w:bCs/>
                <w:color w:val="000000" w:themeColor="text1"/>
                <w:kern w:val="0"/>
                <w:szCs w:val="21"/>
                <w:highlight w:val="none"/>
                <w14:textFill>
                  <w14:solidFill>
                    <w14:schemeClr w14:val="tx1"/>
                  </w14:solidFill>
                </w14:textFill>
              </w:rPr>
              <w:t>分）：</w:t>
            </w:r>
            <w:r>
              <w:rPr>
                <w:rFonts w:ascii="Arial" w:hAnsi="Arial" w:cs="Arial"/>
                <w:color w:val="000000" w:themeColor="text1"/>
                <w:kern w:val="0"/>
                <w:szCs w:val="21"/>
                <w:highlight w:val="none"/>
                <w14:textFill>
                  <w14:solidFill>
                    <w14:schemeClr w14:val="tx1"/>
                  </w14:solidFill>
                </w14:textFill>
              </w:rPr>
              <w:t>售后服务承诺简单，</w:t>
            </w:r>
            <w:r>
              <w:rPr>
                <w:rFonts w:ascii="Arial" w:hAnsi="Arial" w:cs="Arial"/>
                <w:color w:val="000000" w:themeColor="text1"/>
                <w:szCs w:val="21"/>
                <w:highlight w:val="none"/>
                <w14:textFill>
                  <w14:solidFill>
                    <w14:schemeClr w14:val="tx1"/>
                  </w14:solidFill>
                </w14:textFill>
              </w:rPr>
              <w:t>售后服务团队至少</w:t>
            </w:r>
            <w:r>
              <w:rPr>
                <w:rFonts w:ascii="Arial" w:hAnsi="Arial" w:cs="Arial"/>
                <w:color w:val="000000" w:themeColor="text1"/>
                <w:szCs w:val="21"/>
                <w:highlight w:val="none"/>
                <w:u w:val="single"/>
                <w14:textFill>
                  <w14:solidFill>
                    <w14:schemeClr w14:val="tx1"/>
                  </w14:solidFill>
                </w14:textFill>
              </w:rPr>
              <w:t xml:space="preserve"> 5 </w:t>
            </w:r>
            <w:r>
              <w:rPr>
                <w:rFonts w:ascii="Arial" w:hAnsi="Arial" w:cs="Arial"/>
                <w:color w:val="000000" w:themeColor="text1"/>
                <w:szCs w:val="21"/>
                <w:highlight w:val="none"/>
                <w14:textFill>
                  <w14:solidFill>
                    <w14:schemeClr w14:val="tx1"/>
                  </w14:solidFill>
                </w14:textFill>
              </w:rPr>
              <w:t>人，</w:t>
            </w:r>
            <w:r>
              <w:rPr>
                <w:rFonts w:ascii="Arial" w:hAnsi="Arial" w:cs="Arial"/>
                <w:color w:val="000000" w:themeColor="text1"/>
                <w:kern w:val="0"/>
                <w:szCs w:val="21"/>
                <w:highlight w:val="none"/>
                <w14:textFill>
                  <w14:solidFill>
                    <w14:schemeClr w14:val="tx1"/>
                  </w14:solidFill>
                </w14:textFill>
              </w:rPr>
              <w:t>具有技术支持团队、客服团队，</w:t>
            </w:r>
            <w:r>
              <w:rPr>
                <w:rFonts w:ascii="Arial" w:hAnsi="Arial" w:cs="Arial"/>
                <w:color w:val="000000" w:themeColor="text1"/>
                <w:szCs w:val="21"/>
                <w:highlight w:val="none"/>
                <w14:textFill>
                  <w14:solidFill>
                    <w14:schemeClr w14:val="tx1"/>
                  </w14:solidFill>
                </w14:textFill>
              </w:rPr>
              <w:t>能够承诺对系统进行定期维护和升级，</w:t>
            </w:r>
            <w:r>
              <w:rPr>
                <w:rFonts w:ascii="Arial" w:hAnsi="Arial" w:cs="Arial"/>
                <w:color w:val="000000" w:themeColor="text1"/>
                <w:kern w:val="0"/>
                <w:szCs w:val="21"/>
                <w:highlight w:val="none"/>
                <w14:textFill>
                  <w14:solidFill>
                    <w14:schemeClr w14:val="tx1"/>
                  </w14:solidFill>
                </w14:textFill>
              </w:rPr>
              <w:t>基本满足采购文件要求；</w:t>
            </w:r>
          </w:p>
          <w:p w14:paraId="690C4FD4">
            <w:pPr>
              <w:autoSpaceDE w:val="0"/>
              <w:autoSpaceDN w:val="0"/>
              <w:adjustRightInd w:val="0"/>
              <w:ind w:firstLine="422" w:firstLineChars="200"/>
              <w:jc w:val="left"/>
              <w:rPr>
                <w:rFonts w:ascii="Arial" w:hAnsi="Arial" w:cs="Arial"/>
                <w:color w:val="000000" w:themeColor="text1"/>
                <w:kern w:val="0"/>
                <w:szCs w:val="21"/>
                <w:highlight w:val="none"/>
                <w14:textFill>
                  <w14:solidFill>
                    <w14:schemeClr w14:val="tx1"/>
                  </w14:solidFill>
                </w14:textFill>
              </w:rPr>
            </w:pPr>
            <w:r>
              <w:rPr>
                <w:rFonts w:ascii="Arial" w:hAnsi="Arial" w:cs="Arial"/>
                <w:b/>
                <w:bCs/>
                <w:color w:val="000000" w:themeColor="text1"/>
                <w:kern w:val="0"/>
                <w:szCs w:val="21"/>
                <w:highlight w:val="none"/>
                <w14:textFill>
                  <w14:solidFill>
                    <w14:schemeClr w14:val="tx1"/>
                  </w14:solidFill>
                </w14:textFill>
              </w:rPr>
              <w:t>二档（</w:t>
            </w:r>
            <w:r>
              <w:rPr>
                <w:rFonts w:hint="eastAsia" w:ascii="Arial" w:hAnsi="Arial" w:cs="Arial"/>
                <w:b/>
                <w:bCs/>
                <w:color w:val="000000" w:themeColor="text1"/>
                <w:kern w:val="0"/>
                <w:szCs w:val="21"/>
                <w:highlight w:val="none"/>
                <w14:textFill>
                  <w14:solidFill>
                    <w14:schemeClr w14:val="tx1"/>
                  </w14:solidFill>
                </w14:textFill>
              </w:rPr>
              <w:t>9</w:t>
            </w:r>
            <w:r>
              <w:rPr>
                <w:rFonts w:ascii="Arial" w:hAnsi="Arial" w:cs="Arial"/>
                <w:b/>
                <w:bCs/>
                <w:color w:val="000000" w:themeColor="text1"/>
                <w:kern w:val="0"/>
                <w:szCs w:val="21"/>
                <w:highlight w:val="none"/>
                <w14:textFill>
                  <w14:solidFill>
                    <w14:schemeClr w14:val="tx1"/>
                  </w14:solidFill>
                </w14:textFill>
              </w:rPr>
              <w:t>分）：</w:t>
            </w:r>
            <w:r>
              <w:rPr>
                <w:rFonts w:ascii="Arial" w:hAnsi="Arial" w:cs="Arial"/>
                <w:color w:val="000000" w:themeColor="text1"/>
                <w:kern w:val="0"/>
                <w:szCs w:val="21"/>
                <w:highlight w:val="none"/>
                <w14:textFill>
                  <w14:solidFill>
                    <w14:schemeClr w14:val="tx1"/>
                  </w14:solidFill>
                </w14:textFill>
              </w:rPr>
              <w:t>售后服务内容完整，</w:t>
            </w:r>
            <w:r>
              <w:rPr>
                <w:rFonts w:ascii="Arial" w:hAnsi="Arial" w:cs="Arial"/>
                <w:color w:val="000000" w:themeColor="text1"/>
                <w:szCs w:val="21"/>
                <w:highlight w:val="none"/>
                <w14:textFill>
                  <w14:solidFill>
                    <w14:schemeClr w14:val="tx1"/>
                  </w14:solidFill>
                </w14:textFill>
              </w:rPr>
              <w:t>售后服务团队至少</w:t>
            </w:r>
            <w:r>
              <w:rPr>
                <w:rFonts w:ascii="Arial" w:hAnsi="Arial" w:cs="Arial"/>
                <w:color w:val="000000" w:themeColor="text1"/>
                <w:szCs w:val="21"/>
                <w:highlight w:val="none"/>
                <w:u w:val="single"/>
                <w14:textFill>
                  <w14:solidFill>
                    <w14:schemeClr w14:val="tx1"/>
                  </w14:solidFill>
                </w14:textFill>
              </w:rPr>
              <w:t xml:space="preserve"> 8</w:t>
            </w:r>
            <w:r>
              <w:rPr>
                <w:rFonts w:ascii="Arial" w:hAnsi="Arial" w:cs="Arial"/>
                <w:color w:val="000000" w:themeColor="text1"/>
                <w:szCs w:val="21"/>
                <w:highlight w:val="none"/>
                <w14:textFill>
                  <w14:solidFill>
                    <w14:schemeClr w14:val="tx1"/>
                  </w14:solidFill>
                </w14:textFill>
              </w:rPr>
              <w:t>人，</w:t>
            </w:r>
            <w:r>
              <w:rPr>
                <w:rFonts w:ascii="Arial" w:hAnsi="Arial" w:cs="Arial"/>
                <w:color w:val="000000" w:themeColor="text1"/>
                <w:kern w:val="0"/>
                <w:szCs w:val="21"/>
                <w:highlight w:val="none"/>
                <w14:textFill>
                  <w14:solidFill>
                    <w14:schemeClr w14:val="tx1"/>
                  </w14:solidFill>
                </w14:textFill>
              </w:rPr>
              <w:t>有明确提出必要内容更新、升级维护等服务；</w:t>
            </w:r>
            <w:r>
              <w:rPr>
                <w:rFonts w:ascii="Arial" w:hAnsi="Arial" w:cs="Arial"/>
                <w:bCs/>
                <w:color w:val="000000" w:themeColor="text1"/>
                <w:szCs w:val="21"/>
                <w:highlight w:val="none"/>
                <w14:textFill>
                  <w14:solidFill>
                    <w14:schemeClr w14:val="tx1"/>
                  </w14:solidFill>
                </w14:textFill>
              </w:rPr>
              <w:t>有完善的运行保障方案，包含本项目的售后服务体系，服务内容、服务方式、响应能力、响应时间等内容，</w:t>
            </w:r>
            <w:r>
              <w:rPr>
                <w:rFonts w:ascii="Arial" w:hAnsi="Arial" w:cs="Arial"/>
                <w:color w:val="000000" w:themeColor="text1"/>
                <w:kern w:val="0"/>
                <w:szCs w:val="21"/>
                <w:highlight w:val="none"/>
                <w14:textFill>
                  <w14:solidFill>
                    <w14:schemeClr w14:val="tx1"/>
                  </w14:solidFill>
                </w14:textFill>
              </w:rPr>
              <w:t>接到故障通知后6小时内</w:t>
            </w:r>
            <w:r>
              <w:rPr>
                <w:rFonts w:ascii="Arial" w:hAnsi="Arial" w:cs="Arial"/>
                <w:color w:val="000000" w:themeColor="text1"/>
                <w:szCs w:val="21"/>
                <w:highlight w:val="none"/>
                <w:lang w:bidi="ar"/>
                <w14:textFill>
                  <w14:solidFill>
                    <w14:schemeClr w14:val="tx1"/>
                  </w14:solidFill>
                </w14:textFill>
              </w:rPr>
              <w:t>提供解决问题方案</w:t>
            </w:r>
            <w:r>
              <w:rPr>
                <w:rFonts w:ascii="Arial" w:hAnsi="Arial" w:cs="Arial"/>
                <w:color w:val="000000" w:themeColor="text1"/>
                <w:kern w:val="0"/>
                <w:szCs w:val="21"/>
                <w:highlight w:val="none"/>
                <w14:textFill>
                  <w14:solidFill>
                    <w14:schemeClr w14:val="tx1"/>
                  </w14:solidFill>
                </w14:textFill>
              </w:rPr>
              <w:t>。</w:t>
            </w:r>
          </w:p>
          <w:p w14:paraId="756585B5">
            <w:pPr>
              <w:autoSpaceDE w:val="0"/>
              <w:autoSpaceDN w:val="0"/>
              <w:adjustRightInd w:val="0"/>
              <w:ind w:firstLine="422" w:firstLineChars="200"/>
              <w:jc w:val="left"/>
              <w:rPr>
                <w:color w:val="000000" w:themeColor="text1"/>
                <w:highlight w:val="none"/>
                <w14:textFill>
                  <w14:solidFill>
                    <w14:schemeClr w14:val="tx1"/>
                  </w14:solidFill>
                </w14:textFill>
              </w:rPr>
            </w:pPr>
            <w:r>
              <w:rPr>
                <w:rFonts w:ascii="Arial" w:hAnsi="Arial" w:cs="Arial"/>
                <w:b/>
                <w:bCs/>
                <w:color w:val="000000" w:themeColor="text1"/>
                <w:kern w:val="0"/>
                <w:szCs w:val="21"/>
                <w:highlight w:val="none"/>
                <w14:textFill>
                  <w14:solidFill>
                    <w14:schemeClr w14:val="tx1"/>
                  </w14:solidFill>
                </w14:textFill>
              </w:rPr>
              <w:t>三档（12分）：</w:t>
            </w:r>
            <w:r>
              <w:rPr>
                <w:rFonts w:ascii="Arial" w:hAnsi="Arial" w:cs="Arial"/>
                <w:color w:val="000000" w:themeColor="text1"/>
                <w:kern w:val="0"/>
                <w:szCs w:val="21"/>
                <w:highlight w:val="none"/>
                <w14:textFill>
                  <w14:solidFill>
                    <w14:schemeClr w14:val="tx1"/>
                  </w14:solidFill>
                </w14:textFill>
              </w:rPr>
              <w:t>售后服务内容全面，</w:t>
            </w:r>
            <w:r>
              <w:rPr>
                <w:rFonts w:ascii="Arial" w:hAnsi="Arial" w:cs="Arial"/>
                <w:color w:val="000000" w:themeColor="text1"/>
                <w:szCs w:val="21"/>
                <w:highlight w:val="none"/>
                <w14:textFill>
                  <w14:solidFill>
                    <w14:schemeClr w14:val="tx1"/>
                  </w14:solidFill>
                </w14:textFill>
              </w:rPr>
              <w:t>售后服务团队至少</w:t>
            </w:r>
            <w:r>
              <w:rPr>
                <w:rFonts w:ascii="Arial" w:hAnsi="Arial" w:cs="Arial"/>
                <w:color w:val="000000" w:themeColor="text1"/>
                <w:szCs w:val="21"/>
                <w:highlight w:val="none"/>
                <w:u w:val="single"/>
                <w14:textFill>
                  <w14:solidFill>
                    <w14:schemeClr w14:val="tx1"/>
                  </w14:solidFill>
                </w14:textFill>
              </w:rPr>
              <w:t xml:space="preserve"> 10 </w:t>
            </w:r>
            <w:r>
              <w:rPr>
                <w:rFonts w:ascii="Arial" w:hAnsi="Arial" w:cs="Arial"/>
                <w:color w:val="000000" w:themeColor="text1"/>
                <w:szCs w:val="21"/>
                <w:highlight w:val="none"/>
                <w14:textFill>
                  <w14:solidFill>
                    <w14:schemeClr w14:val="tx1"/>
                  </w14:solidFill>
                </w14:textFill>
              </w:rPr>
              <w:t>人，</w:t>
            </w:r>
            <w:r>
              <w:rPr>
                <w:rFonts w:ascii="Arial" w:hAnsi="Arial" w:cs="Arial"/>
                <w:color w:val="000000" w:themeColor="text1"/>
                <w:kern w:val="0"/>
                <w:szCs w:val="21"/>
                <w:highlight w:val="none"/>
                <w14:textFill>
                  <w14:solidFill>
                    <w14:schemeClr w14:val="tx1"/>
                  </w14:solidFill>
                </w14:textFill>
              </w:rPr>
              <w:t>有明确提出</w:t>
            </w:r>
            <w:bookmarkStart w:id="100" w:name="_Hlk214817942"/>
            <w:r>
              <w:rPr>
                <w:rFonts w:ascii="Arial" w:hAnsi="Arial" w:cs="Arial"/>
                <w:color w:val="000000" w:themeColor="text1"/>
                <w:kern w:val="0"/>
                <w:szCs w:val="21"/>
                <w:highlight w:val="none"/>
                <w14:textFill>
                  <w14:solidFill>
                    <w14:schemeClr w14:val="tx1"/>
                  </w14:solidFill>
                </w14:textFill>
              </w:rPr>
              <w:t>必要内容更新、升级维护等服务</w:t>
            </w:r>
            <w:bookmarkEnd w:id="100"/>
            <w:r>
              <w:rPr>
                <w:rFonts w:ascii="Arial" w:hAnsi="Arial" w:cs="Arial"/>
                <w:color w:val="000000" w:themeColor="text1"/>
                <w:kern w:val="0"/>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有完善的运行保障方案，包含本项目的售后服务体系，服务内容、服务方式、响应能力、响应时间等内容，</w:t>
            </w:r>
            <w:r>
              <w:rPr>
                <w:rFonts w:ascii="Arial" w:hAnsi="Arial" w:cs="Arial"/>
                <w:color w:val="000000" w:themeColor="text1"/>
                <w:kern w:val="0"/>
                <w:szCs w:val="21"/>
                <w:highlight w:val="none"/>
                <w14:textFill>
                  <w14:solidFill>
                    <w14:schemeClr w14:val="tx1"/>
                  </w14:solidFill>
                </w14:textFill>
              </w:rPr>
              <w:t>有教师技术培训服务；承诺提供7×12小时服务，接到故障通知后</w:t>
            </w:r>
            <w:r>
              <w:rPr>
                <w:rFonts w:ascii="Arial" w:hAnsi="Arial" w:cs="Arial"/>
                <w:color w:val="000000" w:themeColor="text1"/>
                <w:szCs w:val="21"/>
                <w:highlight w:val="none"/>
                <w:u w:val="single"/>
                <w14:textFill>
                  <w14:solidFill>
                    <w14:schemeClr w14:val="tx1"/>
                  </w14:solidFill>
                </w14:textFill>
              </w:rPr>
              <w:t xml:space="preserve"> 2 </w:t>
            </w:r>
            <w:r>
              <w:rPr>
                <w:rFonts w:ascii="Arial" w:hAnsi="Arial" w:cs="Arial"/>
                <w:color w:val="000000" w:themeColor="text1"/>
                <w:kern w:val="0"/>
                <w:szCs w:val="21"/>
                <w:highlight w:val="none"/>
                <w14:textFill>
                  <w14:solidFill>
                    <w14:schemeClr w14:val="tx1"/>
                  </w14:solidFill>
                </w14:textFill>
              </w:rPr>
              <w:t>小时内</w:t>
            </w:r>
            <w:r>
              <w:rPr>
                <w:rFonts w:ascii="Arial" w:hAnsi="Arial" w:cs="Arial"/>
                <w:color w:val="000000" w:themeColor="text1"/>
                <w:szCs w:val="21"/>
                <w:highlight w:val="none"/>
                <w:lang w:bidi="ar"/>
                <w14:textFill>
                  <w14:solidFill>
                    <w14:schemeClr w14:val="tx1"/>
                  </w14:solidFill>
                </w14:textFill>
              </w:rPr>
              <w:t>提供解决问题方案</w:t>
            </w:r>
            <w:r>
              <w:rPr>
                <w:rFonts w:ascii="Arial" w:hAnsi="Arial" w:cs="Arial"/>
                <w:color w:val="000000" w:themeColor="text1"/>
                <w:kern w:val="0"/>
                <w:szCs w:val="21"/>
                <w:highlight w:val="none"/>
                <w14:textFill>
                  <w14:solidFill>
                    <w14:schemeClr w14:val="tx1"/>
                  </w14:solidFill>
                </w14:textFill>
              </w:rPr>
              <w:t>。承诺提供备用云服务器；提供定制培训方案，</w:t>
            </w:r>
            <w:bookmarkStart w:id="101" w:name="_Hlk214818361"/>
            <w:r>
              <w:rPr>
                <w:rFonts w:ascii="Arial" w:hAnsi="Arial" w:cs="Arial"/>
                <w:color w:val="000000" w:themeColor="text1"/>
                <w:kern w:val="0"/>
                <w:szCs w:val="21"/>
                <w:highlight w:val="none"/>
                <w14:textFill>
                  <w14:solidFill>
                    <w14:schemeClr w14:val="tx1"/>
                  </w14:solidFill>
                </w14:textFill>
              </w:rPr>
              <w:t>每次投入培训的工作人员不少于</w:t>
            </w:r>
            <w:r>
              <w:rPr>
                <w:rFonts w:ascii="Arial" w:hAnsi="Arial" w:cs="Arial"/>
                <w:color w:val="000000" w:themeColor="text1"/>
                <w:szCs w:val="21"/>
                <w:highlight w:val="none"/>
                <w:u w:val="single"/>
                <w14:textFill>
                  <w14:solidFill>
                    <w14:schemeClr w14:val="tx1"/>
                  </w14:solidFill>
                </w14:textFill>
              </w:rPr>
              <w:t xml:space="preserve"> 3 </w:t>
            </w:r>
            <w:r>
              <w:rPr>
                <w:rFonts w:ascii="Arial" w:hAnsi="Arial" w:cs="Arial"/>
                <w:color w:val="000000" w:themeColor="text1"/>
                <w:kern w:val="0"/>
                <w:szCs w:val="21"/>
                <w:highlight w:val="none"/>
                <w14:textFill>
                  <w14:solidFill>
                    <w14:schemeClr w14:val="tx1"/>
                  </w14:solidFill>
                </w14:textFill>
              </w:rPr>
              <w:t>人，集中培训次数不少于</w:t>
            </w:r>
            <w:r>
              <w:rPr>
                <w:rFonts w:ascii="Arial" w:hAnsi="Arial" w:cs="Arial"/>
                <w:color w:val="000000" w:themeColor="text1"/>
                <w:szCs w:val="21"/>
                <w:highlight w:val="none"/>
                <w:u w:val="single"/>
                <w14:textFill>
                  <w14:solidFill>
                    <w14:schemeClr w14:val="tx1"/>
                  </w14:solidFill>
                </w14:textFill>
              </w:rPr>
              <w:t xml:space="preserve"> 5 </w:t>
            </w:r>
            <w:r>
              <w:rPr>
                <w:rFonts w:ascii="Arial" w:hAnsi="Arial" w:cs="Arial"/>
                <w:color w:val="000000" w:themeColor="text1"/>
                <w:kern w:val="0"/>
                <w:szCs w:val="21"/>
                <w:highlight w:val="none"/>
                <w14:textFill>
                  <w14:solidFill>
                    <w14:schemeClr w14:val="tx1"/>
                  </w14:solidFill>
                </w14:textFill>
              </w:rPr>
              <w:t>次，</w:t>
            </w:r>
            <w:bookmarkEnd w:id="101"/>
            <w:bookmarkStart w:id="102" w:name="_Hlk214818536"/>
            <w:r>
              <w:rPr>
                <w:rFonts w:ascii="Arial" w:hAnsi="Arial" w:cs="Arial"/>
                <w:color w:val="000000" w:themeColor="text1"/>
                <w:kern w:val="0"/>
                <w:szCs w:val="21"/>
                <w:highlight w:val="none"/>
                <w14:textFill>
                  <w14:solidFill>
                    <w14:schemeClr w14:val="tx1"/>
                  </w14:solidFill>
                </w14:textFill>
              </w:rPr>
              <w:t>建立及时沟通指导机制，无条件及时为培训人员解决技术指导。</w:t>
            </w:r>
            <w:bookmarkEnd w:id="102"/>
            <w:r>
              <w:rPr>
                <w:rFonts w:ascii="Arial" w:hAnsi="Arial" w:cs="Arial"/>
                <w:color w:val="000000" w:themeColor="text1"/>
                <w:szCs w:val="21"/>
                <w:highlight w:val="none"/>
                <w14:textFill>
                  <w14:solidFill>
                    <w14:schemeClr w14:val="tx1"/>
                  </w14:solidFill>
                </w14:textFill>
              </w:rPr>
              <w:t>对系统的操作过程中注意事项有详细指引，</w:t>
            </w:r>
            <w:r>
              <w:rPr>
                <w:rFonts w:ascii="Arial" w:hAnsi="Arial" w:cs="Arial"/>
                <w:color w:val="000000" w:themeColor="text1"/>
                <w:szCs w:val="21"/>
                <w:highlight w:val="none"/>
                <w:shd w:val="clear" w:color="auto" w:fill="FFFFFF"/>
                <w14:textFill>
                  <w14:solidFill>
                    <w14:schemeClr w14:val="tx1"/>
                  </w14:solidFill>
                </w14:textFill>
              </w:rPr>
              <w:t>提供用户手册、操作指南、视频教程等培训资料，</w:t>
            </w:r>
            <w:r>
              <w:rPr>
                <w:rFonts w:ascii="Arial" w:hAnsi="Arial" w:cs="Arial"/>
                <w:color w:val="000000" w:themeColor="text1"/>
                <w:szCs w:val="21"/>
                <w:highlight w:val="none"/>
                <w14:textFill>
                  <w14:solidFill>
                    <w14:schemeClr w14:val="tx1"/>
                  </w14:solidFill>
                </w14:textFill>
              </w:rPr>
              <w:t>培训方案详细，满足采购人培训要求。</w:t>
            </w:r>
          </w:p>
          <w:p w14:paraId="25CDDE37">
            <w:pPr>
              <w:autoSpaceDE w:val="0"/>
              <w:autoSpaceDN w:val="0"/>
              <w:adjustRightInd w:val="0"/>
              <w:ind w:firstLine="422" w:firstLineChars="200"/>
              <w:jc w:val="left"/>
              <w:rPr>
                <w:rFonts w:ascii="Arial" w:hAnsi="Arial" w:cs="Arial"/>
                <w:color w:val="000000" w:themeColor="text1"/>
                <w:kern w:val="0"/>
                <w:szCs w:val="21"/>
                <w:highlight w:val="none"/>
                <w:lang w:bidi="ar"/>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ascii="Arial" w:hAnsi="Arial" w:cs="Arial"/>
                <w:b/>
                <w:bCs/>
                <w:color w:val="000000" w:themeColor="text1"/>
                <w:kern w:val="0"/>
                <w:szCs w:val="21"/>
                <w:highlight w:val="none"/>
                <w14:textFill>
                  <w14:solidFill>
                    <w14:schemeClr w14:val="tx1"/>
                  </w14:solidFill>
                </w14:textFill>
              </w:rPr>
              <w:t>未提供售后服务方案0分</w:t>
            </w:r>
          </w:p>
        </w:tc>
      </w:tr>
      <w:tr w14:paraId="10D5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10" w:type="dxa"/>
            <w:noWrap/>
            <w:vAlign w:val="center"/>
          </w:tcPr>
          <w:p w14:paraId="541910B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5</w:t>
            </w:r>
          </w:p>
        </w:tc>
        <w:tc>
          <w:tcPr>
            <w:tcW w:w="962" w:type="dxa"/>
            <w:noWrap/>
            <w:vAlign w:val="center"/>
          </w:tcPr>
          <w:p w14:paraId="10D7EE87">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现场演示分</w:t>
            </w:r>
          </w:p>
        </w:tc>
        <w:tc>
          <w:tcPr>
            <w:tcW w:w="859" w:type="dxa"/>
            <w:noWrap/>
            <w:vAlign w:val="center"/>
          </w:tcPr>
          <w:p w14:paraId="6C107DB3">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p>
          <w:p w14:paraId="060474F0">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（满分</w:t>
            </w:r>
            <w:r>
              <w:rPr>
                <w:rFonts w:hint="eastAsia" w:ascii="Arial" w:hAnsi="Arial" w:cs="Arial"/>
                <w:color w:val="000000" w:themeColor="text1"/>
                <w:kern w:val="0"/>
                <w:szCs w:val="21"/>
                <w:highlight w:val="none"/>
                <w:lang w:bidi="ar"/>
                <w14:textFill>
                  <w14:solidFill>
                    <w14:schemeClr w14:val="tx1"/>
                  </w14:solidFill>
                </w14:textFill>
              </w:rPr>
              <w:t>12</w:t>
            </w:r>
            <w:r>
              <w:rPr>
                <w:rFonts w:ascii="Arial" w:hAnsi="Arial" w:cs="Arial"/>
                <w:color w:val="000000" w:themeColor="text1"/>
                <w:kern w:val="0"/>
                <w:szCs w:val="21"/>
                <w:highlight w:val="none"/>
                <w:lang w:bidi="ar"/>
                <w14:textFill>
                  <w14:solidFill>
                    <w14:schemeClr w14:val="tx1"/>
                  </w14:solidFill>
                </w14:textFill>
              </w:rPr>
              <w:t>分）</w:t>
            </w:r>
          </w:p>
        </w:tc>
        <w:tc>
          <w:tcPr>
            <w:tcW w:w="7350" w:type="dxa"/>
            <w:noWrap/>
            <w:vAlign w:val="center"/>
          </w:tcPr>
          <w:p w14:paraId="4D55996D">
            <w:pPr>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对标演示项条款技术参数进行产品功能实时演示，不演示不得分。</w:t>
            </w:r>
            <w:r>
              <w:rPr>
                <w:rFonts w:hint="eastAsia" w:ascii="Arial" w:hAnsi="Arial" w:cs="Arial"/>
                <w:color w:val="000000" w:themeColor="text1"/>
                <w:szCs w:val="21"/>
                <w:highlight w:val="none"/>
                <w14:textFill>
                  <w14:solidFill>
                    <w14:schemeClr w14:val="tx1"/>
                  </w14:solidFill>
                </w14:textFill>
              </w:rPr>
              <w:t>投标人</w:t>
            </w:r>
            <w:r>
              <w:rPr>
                <w:rFonts w:ascii="Arial" w:hAnsi="Arial" w:cs="Arial"/>
                <w:color w:val="000000" w:themeColor="text1"/>
                <w:szCs w:val="21"/>
                <w:highlight w:val="none"/>
                <w14:textFill>
                  <w14:solidFill>
                    <w14:schemeClr w14:val="tx1"/>
                  </w14:solidFill>
                </w14:textFill>
              </w:rPr>
              <w:t>基于真实平台（不接受PPT、Demo、视频等演示形式）进行</w:t>
            </w:r>
            <w:r>
              <w:rPr>
                <w:rFonts w:hint="eastAsia" w:ascii="Arial" w:hAnsi="Arial" w:cs="Arial"/>
                <w:color w:val="000000" w:themeColor="text1"/>
                <w:szCs w:val="21"/>
                <w:highlight w:val="none"/>
                <w14:textFill>
                  <w14:solidFill>
                    <w14:schemeClr w14:val="tx1"/>
                  </w14:solidFill>
                </w14:textFill>
              </w:rPr>
              <w:t>线上</w:t>
            </w:r>
            <w:r>
              <w:rPr>
                <w:rFonts w:ascii="Arial" w:hAnsi="Arial" w:cs="Arial"/>
                <w:color w:val="000000" w:themeColor="text1"/>
                <w:szCs w:val="21"/>
                <w:highlight w:val="none"/>
                <w14:textFill>
                  <w14:solidFill>
                    <w14:schemeClr w14:val="tx1"/>
                  </w14:solidFill>
                </w14:textFill>
              </w:rPr>
              <w:t>演示，演示控制在25分钟内，逐项展示对应技术参数匹配功能，每项演示必须展示前后页面跳转，全部演示成功得</w:t>
            </w:r>
            <w:r>
              <w:rPr>
                <w:rFonts w:hint="eastAsia" w:ascii="Arial" w:hAnsi="Arial" w:cs="Arial"/>
                <w:color w:val="000000" w:themeColor="text1"/>
                <w:szCs w:val="21"/>
                <w:highlight w:val="none"/>
                <w14:textFill>
                  <w14:solidFill>
                    <w14:schemeClr w14:val="tx1"/>
                  </w14:solidFill>
                </w14:textFill>
              </w:rPr>
              <w:t>12</w:t>
            </w:r>
            <w:r>
              <w:rPr>
                <w:rFonts w:ascii="Arial" w:hAnsi="Arial" w:cs="Arial"/>
                <w:color w:val="000000" w:themeColor="text1"/>
                <w:szCs w:val="21"/>
                <w:highlight w:val="none"/>
                <w14:textFill>
                  <w14:solidFill>
                    <w14:schemeClr w14:val="tx1"/>
                  </w14:solidFill>
                </w14:textFill>
              </w:rPr>
              <w:t>分，每有1项演示功能不全或未演示的扣</w:t>
            </w:r>
            <w:r>
              <w:rPr>
                <w:rFonts w:hint="eastAsia" w:ascii="Arial" w:hAnsi="Arial" w:cs="Arial"/>
                <w:color w:val="000000" w:themeColor="text1"/>
                <w:szCs w:val="21"/>
                <w:highlight w:val="none"/>
                <w14:textFill>
                  <w14:solidFill>
                    <w14:schemeClr w14:val="tx1"/>
                  </w14:solidFill>
                </w14:textFill>
              </w:rPr>
              <w:t>1</w:t>
            </w:r>
            <w:r>
              <w:rPr>
                <w:rFonts w:ascii="Arial" w:hAnsi="Arial" w:cs="Arial"/>
                <w:color w:val="000000" w:themeColor="text1"/>
                <w:szCs w:val="21"/>
                <w:highlight w:val="none"/>
                <w14:textFill>
                  <w14:solidFill>
                    <w14:schemeClr w14:val="tx1"/>
                  </w14:solidFill>
                </w14:textFill>
              </w:rPr>
              <w:t>分，扣完为止</w:t>
            </w:r>
            <w:r>
              <w:rPr>
                <w:rFonts w:hint="eastAsia" w:ascii="Arial" w:hAnsi="Arial" w:cs="Arial"/>
                <w:color w:val="000000" w:themeColor="text1"/>
                <w:szCs w:val="21"/>
                <w:highlight w:val="none"/>
                <w14:textFill>
                  <w14:solidFill>
                    <w14:schemeClr w14:val="tx1"/>
                  </w14:solidFill>
                </w14:textFill>
              </w:rPr>
              <w:t>，如发现任一演示材料为拼凑网页、临时Demo或与实际系统不符，评委可直接认定为无效响应</w:t>
            </w:r>
            <w:r>
              <w:rPr>
                <w:rFonts w:ascii="Arial" w:hAnsi="Arial" w:cs="Arial"/>
                <w:color w:val="000000" w:themeColor="text1"/>
                <w:szCs w:val="21"/>
                <w:highlight w:val="none"/>
                <w14:textFill>
                  <w14:solidFill>
                    <w14:schemeClr w14:val="tx1"/>
                  </w14:solidFill>
                </w14:textFill>
              </w:rPr>
              <w:t>。</w:t>
            </w:r>
          </w:p>
          <w:p w14:paraId="28A04F5D">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1.问答时支持智能推荐问题关联的相关微应用，点击应用可直接跳转到应用界面，实现应用跳转和业务处理。</w:t>
            </w:r>
          </w:p>
          <w:p w14:paraId="13F80AAF">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2.支持按文献类型查看典型相似图书列表、典型相似报纸列表、典型相似期刊列表、典型相似网络文档列表，支持在检测结果中，单独查看两两文献的比对结果。</w:t>
            </w:r>
          </w:p>
          <w:p w14:paraId="45025782">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3.AI思辩擂台：支持设定某一主题的辩论任务，自定义话题、观点、评分标准与对话轮次，学生既可自主选择立场，也可由教师指定。任务开始后，学生将与AI智能体展开实时辩论，各自围绕所选观点进行论证、举证与反驳，以此锻炼学生的逻辑组织、证据运用与多角度分析的能力。辩论结束后，系统将依据教师预先设定的评分标准，由 AI 对学生的整体表现进行评估并给出结果，帮助学生在实践中提升逻辑思维能力、证据意识和多角度分析问题的能力。</w:t>
            </w:r>
          </w:p>
          <w:p w14:paraId="7E1D9168">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支持用户自定义研究兴趣、学术期刊、学者、学术顶会等信息进行AI追踪，系统自动筛选并推送相关的最新优质文献。支持用户通过自然语言输入具体兴趣追踪最新学术文献。支持对推荐文献快捷引用，支持APA、MLA、GB/T7714等引用格式；支持勾选多篇推荐文献进行多文献对话，支持对多篇文献提供观点对比、研究方法对比、结论对比、摘要总结。</w:t>
            </w:r>
          </w:p>
          <w:p w14:paraId="5DF2A40D">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5.支持对学术追踪的内容进行AI总结；支持AI快速解读关注领域的最新科研动态，便于用户快速及时了解最新文献、大批量文献；AI速读支持提取文章结构（研究方法、结论、贡献等）并生成摘要，支持一键生成关键要点，支持生成脑图。</w:t>
            </w:r>
          </w:p>
          <w:p w14:paraId="28257091">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6.支持在任务的分组下添加任务点，任务点类型</w:t>
            </w:r>
            <w:r>
              <w:rPr>
                <w:rFonts w:hint="eastAsia" w:ascii="Arial" w:hAnsi="Arial" w:cs="Arial"/>
                <w:color w:val="000000" w:themeColor="text1"/>
                <w:szCs w:val="21"/>
                <w:highlight w:val="none"/>
                <w:lang w:val="en-US" w:eastAsia="zh-CN"/>
                <w14:textFill>
                  <w14:solidFill>
                    <w14:schemeClr w14:val="tx1"/>
                  </w14:solidFill>
                </w14:textFill>
              </w:rPr>
              <w:t>至少</w:t>
            </w:r>
            <w:r>
              <w:rPr>
                <w:rFonts w:ascii="Arial" w:hAnsi="Arial" w:cs="Arial"/>
                <w:color w:val="000000" w:themeColor="text1"/>
                <w:szCs w:val="21"/>
                <w:highlight w:val="none"/>
                <w14:textFill>
                  <w14:solidFill>
                    <w14:schemeClr w14:val="tx1"/>
                  </w14:solidFill>
                </w14:textFill>
              </w:rPr>
              <w:t>包括：视频，文档（笔记），课程，章节，知识点，线下课堂，线上课堂，主题讨论，AI实践，作业，测验，自测，问卷，审批，任务，自定义等17种</w:t>
            </w:r>
            <w:r>
              <w:rPr>
                <w:rFonts w:hint="eastAsia" w:ascii="宋体" w:hAnsi="宋体" w:cs="宋体"/>
                <w:snapToGrid w:val="0"/>
                <w:color w:val="000000" w:themeColor="text1"/>
                <w:szCs w:val="21"/>
                <w:highlight w:val="none"/>
                <w:lang w:val="en-US" w:eastAsia="zh-CN"/>
                <w14:textFill>
                  <w14:solidFill>
                    <w14:schemeClr w14:val="tx1"/>
                  </w14:solidFill>
                </w14:textFill>
              </w:rPr>
              <w:t>及以上</w:t>
            </w:r>
            <w:r>
              <w:rPr>
                <w:rFonts w:ascii="Arial" w:hAnsi="Arial" w:cs="Arial"/>
                <w:color w:val="000000" w:themeColor="text1"/>
                <w:szCs w:val="21"/>
                <w:highlight w:val="none"/>
                <w14:textFill>
                  <w14:solidFill>
                    <w14:schemeClr w14:val="tx1"/>
                  </w14:solidFill>
                </w14:textFill>
              </w:rPr>
              <w:t>类型。</w:t>
            </w:r>
          </w:p>
          <w:p w14:paraId="13DC8BBC">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7.支持实时咨询、自建私有知识库及订阅公共AI知识库，支持如豆包、deepseek、通义千问等各类主流国产大模型，并具有自研且通过国家网信部门备案的大模型，提供教案生成、论文辅助等功能，公共AI知识库数量至少2000个。</w:t>
            </w:r>
          </w:p>
          <w:p w14:paraId="0661398B">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8.支持督学，有督学和批量督学按钮，支持针对不满足学习进度的学生、单个学生、多个学生进行发放督学通知，督促学生学习。</w:t>
            </w:r>
          </w:p>
          <w:p w14:paraId="2205EDAD">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9.支持针对单个任务点设置“是否选学”开关，开启后学生可自主决定是否学习，同时学习成绩不作任务闯关和任务达标的参考项。</w:t>
            </w:r>
          </w:p>
          <w:p w14:paraId="2321AD46">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10.医学教学案例采集工具：支持新建案例表单、AI对话创建、Excel 批量导入、复制已有案例表单等多方式创建表单开展案例收集；支持字段显隐规则设置，满足条件时显示对应字段；支持动态审批流程配置，可在业务流转中实时获取节点人员，适配管理员、任课教师等开展医学教学案例收集及业务审批需求，可灵活调整审核人员。</w:t>
            </w:r>
          </w:p>
          <w:p w14:paraId="7E08B79D">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11.医学教学案例填写工具：支持AI智能填表，支持粘贴文本或上传文档，由AI自动识别医学教学案例关键信息并精准填充至对应表单字段，提升案例填报效率与准确性；支持AI公式智能编辑，支持通过自然语言对话方式描述公式需求，系统自动完成公式编写、符号匹配及目标字段自动插入，无需人工手动输入公式及符号，保障公式规范性与案例填报准确率。</w:t>
            </w:r>
          </w:p>
          <w:p w14:paraId="66B0CCD0">
            <w:pPr>
              <w:ind w:firstLine="420" w:firstLineChars="20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12.资源与课程联动：教师可将案例库中的资源添加至自身网络课程，用于课堂教学、课后练习等环节；网络教学平台中的资源也可推送至案例库共享，实现双向互通，丰富教学资源。</w:t>
            </w:r>
          </w:p>
        </w:tc>
      </w:tr>
      <w:tr w14:paraId="656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81" w:type="dxa"/>
            <w:gridSpan w:val="4"/>
            <w:noWrap/>
            <w:vAlign w:val="center"/>
          </w:tcPr>
          <w:p w14:paraId="47ED2506">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商务分【满分</w:t>
            </w:r>
            <w:r>
              <w:rPr>
                <w:rFonts w:hint="eastAsia" w:ascii="Arial" w:hAnsi="Arial" w:cs="Arial"/>
                <w:color w:val="000000" w:themeColor="text1"/>
                <w:kern w:val="0"/>
                <w:szCs w:val="21"/>
                <w:highlight w:val="none"/>
                <w:lang w:bidi="ar"/>
                <w14:textFill>
                  <w14:solidFill>
                    <w14:schemeClr w14:val="tx1"/>
                  </w14:solidFill>
                </w14:textFill>
              </w:rPr>
              <w:t>11</w:t>
            </w:r>
            <w:r>
              <w:rPr>
                <w:rFonts w:ascii="Arial" w:hAnsi="Arial" w:cs="Arial"/>
                <w:color w:val="000000" w:themeColor="text1"/>
                <w:kern w:val="0"/>
                <w:szCs w:val="21"/>
                <w:highlight w:val="none"/>
                <w:lang w:bidi="ar"/>
                <w14:textFill>
                  <w14:solidFill>
                    <w14:schemeClr w14:val="tx1"/>
                  </w14:solidFill>
                </w14:textFill>
              </w:rPr>
              <w:t>分】</w:t>
            </w:r>
          </w:p>
        </w:tc>
      </w:tr>
      <w:tr w14:paraId="0929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710" w:type="dxa"/>
            <w:noWrap/>
            <w:vAlign w:val="center"/>
          </w:tcPr>
          <w:p w14:paraId="590B1A64">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w:t>
            </w:r>
          </w:p>
        </w:tc>
        <w:tc>
          <w:tcPr>
            <w:tcW w:w="962" w:type="dxa"/>
            <w:noWrap/>
            <w:vAlign w:val="center"/>
          </w:tcPr>
          <w:p w14:paraId="174D5705">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类似业绩分</w:t>
            </w:r>
          </w:p>
        </w:tc>
        <w:tc>
          <w:tcPr>
            <w:tcW w:w="859" w:type="dxa"/>
            <w:noWrap/>
            <w:vAlign w:val="center"/>
          </w:tcPr>
          <w:p w14:paraId="0B479DE9">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（满分</w:t>
            </w:r>
            <w:r>
              <w:rPr>
                <w:rFonts w:hint="eastAsia" w:ascii="Arial" w:hAnsi="Arial" w:cs="Arial"/>
                <w:color w:val="000000" w:themeColor="text1"/>
                <w:kern w:val="0"/>
                <w:szCs w:val="21"/>
                <w:highlight w:val="none"/>
                <w:lang w:bidi="ar"/>
                <w14:textFill>
                  <w14:solidFill>
                    <w14:schemeClr w14:val="tx1"/>
                  </w14:solidFill>
                </w14:textFill>
              </w:rPr>
              <w:t>7</w:t>
            </w:r>
            <w:r>
              <w:rPr>
                <w:rFonts w:ascii="Arial" w:hAnsi="Arial" w:cs="Arial"/>
                <w:color w:val="000000" w:themeColor="text1"/>
                <w:kern w:val="0"/>
                <w:szCs w:val="21"/>
                <w:highlight w:val="none"/>
                <w:lang w:bidi="ar"/>
                <w14:textFill>
                  <w14:solidFill>
                    <w14:schemeClr w14:val="tx1"/>
                  </w14:solidFill>
                </w14:textFill>
              </w:rPr>
              <w:t>分）</w:t>
            </w:r>
          </w:p>
        </w:tc>
        <w:tc>
          <w:tcPr>
            <w:tcW w:w="7350" w:type="dxa"/>
            <w:vAlign w:val="center"/>
          </w:tcPr>
          <w:p w14:paraId="24EADB7C">
            <w:pPr>
              <w:widowControl/>
              <w:jc w:val="left"/>
              <w:textAlignment w:val="center"/>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1.供应商2023年1月1日至今承担过的同类项目（同类项目是指：智慧课程建设）业绩，每提供一个同类业绩得1分，最高得</w:t>
            </w:r>
            <w:r>
              <w:rPr>
                <w:rFonts w:hint="eastAsia" w:ascii="Arial" w:hAnsi="Arial" w:cs="Arial"/>
                <w:color w:val="000000" w:themeColor="text1"/>
                <w:kern w:val="0"/>
                <w:szCs w:val="21"/>
                <w:highlight w:val="none"/>
                <w:lang w:bidi="ar"/>
                <w14:textFill>
                  <w14:solidFill>
                    <w14:schemeClr w14:val="tx1"/>
                  </w14:solidFill>
                </w14:textFill>
              </w:rPr>
              <w:t>4</w:t>
            </w:r>
            <w:r>
              <w:rPr>
                <w:rFonts w:ascii="Arial" w:hAnsi="Arial" w:cs="Arial"/>
                <w:color w:val="000000" w:themeColor="text1"/>
                <w:kern w:val="0"/>
                <w:szCs w:val="21"/>
                <w:highlight w:val="none"/>
                <w:lang w:bidi="ar"/>
                <w14:textFill>
                  <w14:solidFill>
                    <w14:schemeClr w14:val="tx1"/>
                  </w14:solidFill>
                </w14:textFill>
              </w:rPr>
              <w:t>分。</w:t>
            </w:r>
          </w:p>
          <w:p w14:paraId="0F3BD6BC">
            <w:pPr>
              <w:pStyle w:val="9"/>
              <w:ind w:firstLine="0"/>
              <w:rPr>
                <w:rFonts w:ascii="Arial" w:hAnsi="Arial" w:cs="Arial"/>
                <w:color w:val="000000" w:themeColor="text1"/>
                <w:kern w:val="0"/>
                <w:szCs w:val="21"/>
                <w:highlight w:val="none"/>
                <w:lang w:bidi="ar"/>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2.为保证AI 知识库无版权纠纷，投标人或授权厂商提供出版社版权合作协议的有效证明原件扫描件，每提供 1 份得 0.5 分，最多得 3 分，不提供不得分。</w:t>
            </w:r>
          </w:p>
          <w:p w14:paraId="70F4B800">
            <w:pPr>
              <w:pStyle w:val="9"/>
              <w:ind w:firstLine="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注：须提供有效证明原件扫描件并加盖公章。</w:t>
            </w:r>
          </w:p>
        </w:tc>
      </w:tr>
      <w:tr w14:paraId="528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10" w:type="dxa"/>
            <w:noWrap/>
            <w:vAlign w:val="center"/>
          </w:tcPr>
          <w:p w14:paraId="2FAFF290">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p>
        </w:tc>
        <w:tc>
          <w:tcPr>
            <w:tcW w:w="962" w:type="dxa"/>
            <w:noWrap/>
            <w:vAlign w:val="center"/>
          </w:tcPr>
          <w:p w14:paraId="0B77F2BA">
            <w:pPr>
              <w:widowControl/>
              <w:spacing w:line="360" w:lineRule="auto"/>
              <w:jc w:val="center"/>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拟安排的项目主要团队成员情况</w:t>
            </w:r>
          </w:p>
          <w:p w14:paraId="688AA7FE">
            <w:pPr>
              <w:widowControl/>
              <w:jc w:val="center"/>
              <w:textAlignment w:val="center"/>
              <w:rPr>
                <w:rFonts w:ascii="Arial" w:hAnsi="Arial" w:cs="Arial"/>
                <w:color w:val="000000" w:themeColor="text1"/>
                <w:szCs w:val="21"/>
                <w:highlight w:val="none"/>
                <w14:textFill>
                  <w14:solidFill>
                    <w14:schemeClr w14:val="tx1"/>
                  </w14:solidFill>
                </w14:textFill>
              </w:rPr>
            </w:pPr>
          </w:p>
        </w:tc>
        <w:tc>
          <w:tcPr>
            <w:tcW w:w="859" w:type="dxa"/>
            <w:noWrap/>
            <w:vAlign w:val="center"/>
          </w:tcPr>
          <w:p w14:paraId="608FDEF3">
            <w:pPr>
              <w:widowControl/>
              <w:jc w:val="center"/>
              <w:textAlignment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kern w:val="0"/>
                <w:szCs w:val="21"/>
                <w:highlight w:val="none"/>
                <w:lang w:bidi="ar"/>
                <w14:textFill>
                  <w14:solidFill>
                    <w14:schemeClr w14:val="tx1"/>
                  </w14:solidFill>
                </w14:textFill>
              </w:rPr>
              <w:t>（满分</w:t>
            </w:r>
            <w:r>
              <w:rPr>
                <w:rFonts w:hint="eastAsia" w:ascii="Arial" w:hAnsi="Arial" w:cs="Arial"/>
                <w:color w:val="000000" w:themeColor="text1"/>
                <w:kern w:val="0"/>
                <w:szCs w:val="21"/>
                <w:highlight w:val="none"/>
                <w:lang w:bidi="ar"/>
                <w14:textFill>
                  <w14:solidFill>
                    <w14:schemeClr w14:val="tx1"/>
                  </w14:solidFill>
                </w14:textFill>
              </w:rPr>
              <w:t>4</w:t>
            </w:r>
            <w:r>
              <w:rPr>
                <w:rFonts w:ascii="Arial" w:hAnsi="Arial" w:cs="Arial"/>
                <w:color w:val="000000" w:themeColor="text1"/>
                <w:kern w:val="0"/>
                <w:szCs w:val="21"/>
                <w:highlight w:val="none"/>
                <w:lang w:bidi="ar"/>
                <w14:textFill>
                  <w14:solidFill>
                    <w14:schemeClr w14:val="tx1"/>
                  </w14:solidFill>
                </w14:textFill>
              </w:rPr>
              <w:t>分）</w:t>
            </w:r>
          </w:p>
        </w:tc>
        <w:tc>
          <w:tcPr>
            <w:tcW w:w="7350" w:type="dxa"/>
            <w:vAlign w:val="center"/>
          </w:tcPr>
          <w:p w14:paraId="1E7A23CC">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投标人拟为本项目安排的项目主要团队成员需要</w:t>
            </w:r>
            <w:r>
              <w:rPr>
                <w:rFonts w:hint="eastAsia" w:ascii="Arial" w:hAnsi="Arial" w:cs="Arial"/>
                <w:color w:val="000000" w:themeColor="text1"/>
                <w:sz w:val="20"/>
                <w:szCs w:val="18"/>
                <w:highlight w:val="none"/>
                <w14:textFill>
                  <w14:solidFill>
                    <w14:schemeClr w14:val="tx1"/>
                  </w14:solidFill>
                </w14:textFill>
              </w:rPr>
              <w:t>8</w:t>
            </w:r>
            <w:r>
              <w:rPr>
                <w:rFonts w:ascii="Arial" w:hAnsi="Arial" w:cs="Arial"/>
                <w:color w:val="000000" w:themeColor="text1"/>
                <w:sz w:val="20"/>
                <w:szCs w:val="18"/>
                <w:highlight w:val="none"/>
                <w14:textFill>
                  <w14:solidFill>
                    <w14:schemeClr w14:val="tx1"/>
                  </w14:solidFill>
                </w14:textFill>
              </w:rPr>
              <w:t>人及以上，否则此项不得分，主要团队成员（除项目负责人外）按以下要求累计得分：</w:t>
            </w:r>
          </w:p>
          <w:p w14:paraId="137B5415">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团队成员中</w:t>
            </w:r>
            <w:r>
              <w:rPr>
                <w:rFonts w:hint="eastAsia" w:ascii="Arial" w:hAnsi="Arial" w:cs="Arial"/>
                <w:color w:val="000000" w:themeColor="text1"/>
                <w:sz w:val="20"/>
                <w:szCs w:val="18"/>
                <w:highlight w:val="none"/>
                <w14:textFill>
                  <w14:solidFill>
                    <w14:schemeClr w14:val="tx1"/>
                  </w14:solidFill>
                </w14:textFill>
              </w:rPr>
              <w:t>计算机科学与技术、</w:t>
            </w:r>
            <w:r>
              <w:rPr>
                <w:rFonts w:hint="eastAsia" w:hAnsi="宋体" w:cs="宋体"/>
                <w:color w:val="000000" w:themeColor="text1"/>
                <w:highlight w:val="none"/>
                <w14:textFill>
                  <w14:solidFill>
                    <w14:schemeClr w14:val="tx1"/>
                  </w14:solidFill>
                </w14:textFill>
              </w:rPr>
              <w:t>教育技术</w:t>
            </w:r>
            <w:r>
              <w:rPr>
                <w:rFonts w:hint="eastAsia" w:ascii="Arial" w:hAnsi="Arial" w:cs="Arial"/>
                <w:color w:val="000000" w:themeColor="text1"/>
                <w:sz w:val="20"/>
                <w:szCs w:val="18"/>
                <w:highlight w:val="none"/>
                <w14:textFill>
                  <w14:solidFill>
                    <w14:schemeClr w14:val="tx1"/>
                  </w14:solidFill>
                </w14:textFill>
              </w:rPr>
              <w:t>等相关</w:t>
            </w:r>
            <w:r>
              <w:rPr>
                <w:rFonts w:ascii="Arial" w:hAnsi="Arial" w:cs="Arial"/>
                <w:color w:val="000000" w:themeColor="text1"/>
                <w:sz w:val="20"/>
                <w:szCs w:val="18"/>
                <w:highlight w:val="none"/>
                <w14:textFill>
                  <w14:solidFill>
                    <w14:schemeClr w14:val="tx1"/>
                  </w14:solidFill>
                </w14:textFill>
              </w:rPr>
              <w:t>专业本科及以上学历的，每提供1人得0.5分，最高得</w:t>
            </w:r>
            <w:r>
              <w:rPr>
                <w:rFonts w:hint="eastAsia" w:ascii="Arial" w:hAnsi="Arial" w:cs="Arial"/>
                <w:color w:val="000000" w:themeColor="text1"/>
                <w:sz w:val="20"/>
                <w:szCs w:val="18"/>
                <w:highlight w:val="none"/>
                <w14:textFill>
                  <w14:solidFill>
                    <w14:schemeClr w14:val="tx1"/>
                  </w14:solidFill>
                </w14:textFill>
              </w:rPr>
              <w:t>4</w:t>
            </w:r>
            <w:r>
              <w:rPr>
                <w:rFonts w:ascii="Arial" w:hAnsi="Arial" w:cs="Arial"/>
                <w:color w:val="000000" w:themeColor="text1"/>
                <w:sz w:val="20"/>
                <w:szCs w:val="18"/>
                <w:highlight w:val="none"/>
                <w14:textFill>
                  <w14:solidFill>
                    <w14:schemeClr w14:val="tx1"/>
                  </w14:solidFill>
                </w14:textFill>
              </w:rPr>
              <w:t>分；</w:t>
            </w:r>
          </w:p>
          <w:p w14:paraId="7133031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证明材料：</w:t>
            </w:r>
          </w:p>
          <w:p w14:paraId="74028C76">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提供投标人为人员缴交的近六个月（具体指投标截止日所在月的上一个月起倒算）社保缴交证明材料（证明资料可为社保收缴部门盖章证明资料、社保窗口打印资料或社保官网截图。）扫描件作为得分前提，否则此项不得分。如社保材料因社保部门原因暂时无法取得，则可以往前顺延一个月；或已退休返聘人员无社保的需提供聘用合同。如供应商为新成立企业且成立时间不足六个月可提供加盖公章的情况说明或者证明材料亦视为符合。</w:t>
            </w:r>
          </w:p>
          <w:p w14:paraId="75A4FBE6">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2. 要求提供人员相关学历/资格证书作为得分依据。</w:t>
            </w:r>
          </w:p>
          <w:p w14:paraId="6E2FB816">
            <w:pPr>
              <w:widowControl/>
              <w:spacing w:after="160" w:line="278" w:lineRule="auto"/>
              <w:jc w:val="left"/>
              <w:rPr>
                <w:rFonts w:ascii="Arial" w:hAnsi="Arial" w:cs="Arial"/>
                <w:color w:val="000000" w:themeColor="text1"/>
                <w:kern w:val="0"/>
                <w:szCs w:val="21"/>
                <w:highlight w:val="none"/>
                <w:lang w:bidi="ar"/>
                <w14:textFill>
                  <w14:solidFill>
                    <w14:schemeClr w14:val="tx1"/>
                  </w14:solidFill>
                </w14:textFill>
              </w:rPr>
            </w:pPr>
            <w:r>
              <w:rPr>
                <w:rFonts w:hint="eastAsia" w:ascii="Arial" w:hAnsi="Arial" w:cs="Arial"/>
                <w:color w:val="000000" w:themeColor="text1"/>
                <w:sz w:val="20"/>
                <w:szCs w:val="18"/>
                <w:highlight w:val="none"/>
                <w14:textFill>
                  <w14:solidFill>
                    <w14:schemeClr w14:val="tx1"/>
                  </w14:solidFill>
                </w14:textFill>
              </w:rPr>
              <w:t>3</w:t>
            </w:r>
            <w:r>
              <w:rPr>
                <w:rFonts w:ascii="Arial" w:hAnsi="Arial" w:cs="Arial"/>
                <w:color w:val="000000" w:themeColor="text1"/>
                <w:sz w:val="20"/>
                <w:szCs w:val="18"/>
                <w:highlight w:val="none"/>
                <w14:textFill>
                  <w14:solidFill>
                    <w14:schemeClr w14:val="tx1"/>
                  </w14:solidFill>
                </w14:textFill>
              </w:rPr>
              <w:t>.以上资料均要求提供扫描件，评分中出现无证明资料或专家无法凭所提供资料判断是否得分的情况，一律作不得分处理。</w:t>
            </w:r>
          </w:p>
        </w:tc>
      </w:tr>
    </w:tbl>
    <w:p w14:paraId="27AECD12">
      <w:pPr>
        <w:rPr>
          <w:b/>
          <w:bCs/>
          <w:color w:val="000000" w:themeColor="text1"/>
          <w:kern w:val="0"/>
          <w:szCs w:val="21"/>
          <w:highlight w:val="none"/>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br w:type="page"/>
      </w:r>
    </w:p>
    <w:p w14:paraId="0AD2BC78">
      <w:pPr>
        <w:jc w:val="center"/>
        <w:rPr>
          <w:b/>
          <w:bCs/>
          <w:color w:val="000000" w:themeColor="text1"/>
          <w:kern w:val="0"/>
          <w:sz w:val="24"/>
          <w:highlight w:val="none"/>
          <w14:textFill>
            <w14:solidFill>
              <w14:schemeClr w14:val="tx1"/>
            </w14:solidFill>
          </w14:textFill>
        </w:rPr>
      </w:pPr>
      <w:r>
        <w:rPr>
          <w:rFonts w:hint="eastAsia"/>
          <w:b/>
          <w:bCs/>
          <w:color w:val="000000" w:themeColor="text1"/>
          <w:kern w:val="0"/>
          <w:sz w:val="24"/>
          <w:highlight w:val="none"/>
          <w14:textFill>
            <w14:solidFill>
              <w14:schemeClr w14:val="tx1"/>
            </w14:solidFill>
          </w14:textFill>
        </w:rPr>
        <w:t>适用于B分标</w:t>
      </w:r>
    </w:p>
    <w:tbl>
      <w:tblPr>
        <w:tblStyle w:val="51"/>
        <w:tblpPr w:leftFromText="180" w:rightFromText="180" w:vertAnchor="text" w:horzAnchor="page" w:tblpX="1600" w:tblpY="739"/>
        <w:tblOverlap w:val="never"/>
        <w:tblW w:w="4951"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 w:type="dxa"/>
          <w:bottom w:w="0" w:type="dxa"/>
          <w:right w:w="10" w:type="dxa"/>
        </w:tblCellMar>
      </w:tblPr>
      <w:tblGrid>
        <w:gridCol w:w="738"/>
        <w:gridCol w:w="1316"/>
        <w:gridCol w:w="7265"/>
      </w:tblGrid>
      <w:tr w14:paraId="2A53C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36859300">
            <w:pPr>
              <w:widowControl/>
              <w:spacing w:line="360" w:lineRule="auto"/>
              <w:jc w:val="center"/>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序号</w:t>
            </w:r>
          </w:p>
        </w:tc>
        <w:tc>
          <w:tcPr>
            <w:tcW w:w="706" w:type="pct"/>
            <w:tcMar>
              <w:top w:w="28" w:type="dxa"/>
              <w:left w:w="28" w:type="dxa"/>
              <w:bottom w:w="28" w:type="dxa"/>
              <w:right w:w="28" w:type="dxa"/>
            </w:tcMar>
            <w:vAlign w:val="center"/>
          </w:tcPr>
          <w:p w14:paraId="41383089">
            <w:pPr>
              <w:widowControl/>
              <w:spacing w:line="360" w:lineRule="auto"/>
              <w:jc w:val="center"/>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评分项</w:t>
            </w:r>
          </w:p>
        </w:tc>
        <w:tc>
          <w:tcPr>
            <w:tcW w:w="3896" w:type="pct"/>
            <w:tcMar>
              <w:top w:w="28" w:type="dxa"/>
              <w:left w:w="28" w:type="dxa"/>
              <w:bottom w:w="28" w:type="dxa"/>
              <w:right w:w="28" w:type="dxa"/>
            </w:tcMar>
            <w:vAlign w:val="center"/>
          </w:tcPr>
          <w:p w14:paraId="4D7E90AC">
            <w:pPr>
              <w:widowControl/>
              <w:spacing w:line="360" w:lineRule="auto"/>
              <w:jc w:val="center"/>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评分标准</w:t>
            </w:r>
          </w:p>
        </w:tc>
      </w:tr>
      <w:tr w14:paraId="565FD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5000" w:type="pct"/>
            <w:gridSpan w:val="3"/>
            <w:tcMar>
              <w:top w:w="28" w:type="dxa"/>
              <w:left w:w="28" w:type="dxa"/>
              <w:bottom w:w="28" w:type="dxa"/>
              <w:right w:w="28" w:type="dxa"/>
            </w:tcMar>
            <w:vAlign w:val="center"/>
          </w:tcPr>
          <w:p w14:paraId="59980629">
            <w:pPr>
              <w:widowControl/>
              <w:spacing w:line="360" w:lineRule="auto"/>
              <w:jc w:val="center"/>
              <w:rPr>
                <w:rFonts w:ascii="Arial" w:hAnsi="Arial" w:cs="Arial"/>
                <w:color w:val="000000" w:themeColor="text1"/>
                <w:sz w:val="20"/>
                <w:szCs w:val="18"/>
                <w:highlight w:val="none"/>
                <w14:textFill>
                  <w14:solidFill>
                    <w14:schemeClr w14:val="tx1"/>
                  </w14:solidFill>
                </w14:textFill>
              </w:rPr>
            </w:pPr>
            <w:r>
              <w:rPr>
                <w:rFonts w:hint="eastAsia" w:ascii="Arial" w:hAnsi="Arial" w:cs="Arial"/>
                <w:color w:val="000000" w:themeColor="text1"/>
                <w:sz w:val="20"/>
                <w:szCs w:val="18"/>
                <w:highlight w:val="none"/>
                <w14:textFill>
                  <w14:solidFill>
                    <w14:schemeClr w14:val="tx1"/>
                  </w14:solidFill>
                </w14:textFill>
              </w:rPr>
              <w:t>价格部分评审（</w:t>
            </w:r>
            <w:r>
              <w:rPr>
                <w:rFonts w:ascii="Arial" w:hAnsi="Arial" w:cs="Arial"/>
                <w:color w:val="000000" w:themeColor="text1"/>
                <w:sz w:val="20"/>
                <w:szCs w:val="18"/>
                <w:highlight w:val="none"/>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30</w:t>
            </w:r>
            <w:r>
              <w:rPr>
                <w:rFonts w:ascii="Arial" w:hAnsi="Arial" w:cs="Arial"/>
                <w:color w:val="000000" w:themeColor="text1"/>
                <w:sz w:val="20"/>
                <w:szCs w:val="18"/>
                <w:highlight w:val="none"/>
                <w14:textFill>
                  <w14:solidFill>
                    <w14:schemeClr w14:val="tx1"/>
                  </w14:solidFill>
                </w14:textFill>
              </w:rPr>
              <w:t>分</w:t>
            </w:r>
            <w:r>
              <w:rPr>
                <w:rFonts w:hint="eastAsia" w:ascii="Arial" w:hAnsi="Arial" w:cs="Arial"/>
                <w:color w:val="000000" w:themeColor="text1"/>
                <w:sz w:val="20"/>
                <w:szCs w:val="18"/>
                <w:highlight w:val="none"/>
                <w14:textFill>
                  <w14:solidFill>
                    <w14:schemeClr w14:val="tx1"/>
                  </w14:solidFill>
                </w14:textFill>
              </w:rPr>
              <w:t>）</w:t>
            </w:r>
          </w:p>
        </w:tc>
      </w:tr>
      <w:tr w14:paraId="335F7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432A2A7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w:t>
            </w:r>
          </w:p>
        </w:tc>
        <w:tc>
          <w:tcPr>
            <w:tcW w:w="706" w:type="pct"/>
            <w:tcMar>
              <w:top w:w="28" w:type="dxa"/>
              <w:left w:w="28" w:type="dxa"/>
              <w:bottom w:w="28" w:type="dxa"/>
              <w:right w:w="28" w:type="dxa"/>
            </w:tcMar>
            <w:vAlign w:val="center"/>
          </w:tcPr>
          <w:p w14:paraId="0CA68B97">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投标总价评分</w:t>
            </w:r>
          </w:p>
          <w:p w14:paraId="0F9A9B00">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30</w:t>
            </w:r>
            <w:r>
              <w:rPr>
                <w:rFonts w:ascii="Arial" w:hAnsi="Arial" w:cs="Arial"/>
                <w:color w:val="000000" w:themeColor="text1"/>
                <w:sz w:val="20"/>
                <w:szCs w:val="18"/>
                <w:highlight w:val="none"/>
                <w14:textFill>
                  <w14:solidFill>
                    <w14:schemeClr w14:val="tx1"/>
                  </w14:solidFill>
                </w14:textFill>
              </w:rPr>
              <w:t>分）</w:t>
            </w:r>
          </w:p>
        </w:tc>
        <w:tc>
          <w:tcPr>
            <w:tcW w:w="3896" w:type="pct"/>
            <w:tcMar>
              <w:top w:w="28" w:type="dxa"/>
              <w:left w:w="28" w:type="dxa"/>
              <w:bottom w:w="28" w:type="dxa"/>
              <w:right w:w="28" w:type="dxa"/>
            </w:tcMar>
            <w:vAlign w:val="center"/>
          </w:tcPr>
          <w:p w14:paraId="055645D7">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（1）有效投标人：是指通过资格和符合性审查的投标人。</w:t>
            </w:r>
          </w:p>
          <w:p w14:paraId="005ADA7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（2）评标基准价：投标报价最低的有效投标人的投标报价作为评标基准价。</w:t>
            </w:r>
          </w:p>
          <w:p w14:paraId="7D687DFB">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（3）评审计算公式（满分</w:t>
            </w:r>
            <w:r>
              <w:rPr>
                <w:rFonts w:hint="eastAsia" w:ascii="Arial" w:hAnsi="Arial" w:cs="Arial"/>
                <w:color w:val="000000" w:themeColor="text1"/>
                <w:sz w:val="20"/>
                <w:szCs w:val="18"/>
                <w:highlight w:val="none"/>
                <w14:textFill>
                  <w14:solidFill>
                    <w14:schemeClr w14:val="tx1"/>
                  </w14:solidFill>
                </w14:textFill>
              </w:rPr>
              <w:t>3</w:t>
            </w:r>
            <w:r>
              <w:rPr>
                <w:rFonts w:ascii="Arial" w:hAnsi="Arial" w:cs="Arial"/>
                <w:color w:val="000000" w:themeColor="text1"/>
                <w:sz w:val="20"/>
                <w:szCs w:val="18"/>
                <w:highlight w:val="none"/>
                <w14:textFill>
                  <w14:solidFill>
                    <w14:schemeClr w14:val="tx1"/>
                  </w14:solidFill>
                </w14:textFill>
              </w:rPr>
              <w:t>0分）</w:t>
            </w:r>
          </w:p>
          <w:p w14:paraId="7086788E">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投标报价得分=（评标基准价／投标报价）×</w:t>
            </w:r>
            <w:r>
              <w:rPr>
                <w:rFonts w:hint="eastAsia" w:ascii="Arial" w:hAnsi="Arial" w:cs="Arial"/>
                <w:color w:val="000000" w:themeColor="text1"/>
                <w:sz w:val="20"/>
                <w:szCs w:val="18"/>
                <w:highlight w:val="none"/>
                <w14:textFill>
                  <w14:solidFill>
                    <w14:schemeClr w14:val="tx1"/>
                  </w14:solidFill>
                </w14:textFill>
              </w:rPr>
              <w:t>3</w:t>
            </w:r>
            <w:r>
              <w:rPr>
                <w:rFonts w:ascii="Arial" w:hAnsi="Arial" w:cs="Arial"/>
                <w:color w:val="000000" w:themeColor="text1"/>
                <w:sz w:val="20"/>
                <w:szCs w:val="18"/>
                <w:highlight w:val="none"/>
                <w14:textFill>
                  <w14:solidFill>
                    <w14:schemeClr w14:val="tx1"/>
                  </w14:solidFill>
                </w14:textFill>
              </w:rPr>
              <w:t>0</w:t>
            </w:r>
          </w:p>
          <w:p w14:paraId="5B18FBFA">
            <w:pPr>
              <w:widowControl/>
              <w:spacing w:line="360" w:lineRule="auto"/>
              <w:rPr>
                <w:rFonts w:ascii="Arial" w:hAnsi="Arial" w:cs="Arial"/>
                <w:color w:val="000000" w:themeColor="text1"/>
                <w:sz w:val="20"/>
                <w:szCs w:val="18"/>
                <w:highlight w:val="none"/>
                <w14:textFill>
                  <w14:solidFill>
                    <w14:schemeClr w14:val="tx1"/>
                  </w14:solidFill>
                </w14:textFill>
              </w:rPr>
            </w:pPr>
            <w:r>
              <w:rPr>
                <w:rFonts w:hint="eastAsia" w:ascii="Arial" w:hAnsi="Arial" w:cs="Arial"/>
                <w:color w:val="000000" w:themeColor="text1"/>
                <w:sz w:val="20"/>
                <w:szCs w:val="18"/>
                <w:highlight w:val="none"/>
                <w14:textFill>
                  <w14:solidFill>
                    <w14:schemeClr w14:val="tx1"/>
                  </w14:solidFill>
                </w14:textFill>
              </w:rPr>
              <w:t>注：</w:t>
            </w:r>
            <w:r>
              <w:rPr>
                <w:rFonts w:ascii="Arial" w:hAnsi="Arial" w:cs="Arial"/>
                <w:color w:val="000000" w:themeColor="text1"/>
                <w:sz w:val="20"/>
                <w:szCs w:val="18"/>
                <w:highlight w:val="none"/>
                <w14:textFill>
                  <w14:solidFill>
                    <w14:schemeClr w14:val="tx1"/>
                  </w14:solidFill>
                </w14:textFill>
              </w:rPr>
              <w:t>如有价格扣除时，投标报价分均按供应商实际投标报价进行价格扣除后的价格进行计算，最终中标金额＝投标报价。价格扣除计算方法见后。</w:t>
            </w:r>
          </w:p>
        </w:tc>
      </w:tr>
      <w:tr w14:paraId="5D7B64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5000" w:type="pct"/>
            <w:gridSpan w:val="3"/>
            <w:tcMar>
              <w:top w:w="28" w:type="dxa"/>
              <w:left w:w="28" w:type="dxa"/>
              <w:bottom w:w="28" w:type="dxa"/>
              <w:right w:w="28" w:type="dxa"/>
            </w:tcMar>
            <w:vAlign w:val="center"/>
          </w:tcPr>
          <w:p w14:paraId="0275D049">
            <w:pPr>
              <w:widowControl/>
              <w:spacing w:line="360" w:lineRule="auto"/>
              <w:jc w:val="center"/>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商务部分评审（满分</w:t>
            </w:r>
            <w:r>
              <w:rPr>
                <w:rFonts w:hint="eastAsia" w:ascii="Arial" w:hAnsi="Arial" w:cs="Arial"/>
                <w:color w:val="000000" w:themeColor="text1"/>
                <w:sz w:val="20"/>
                <w:szCs w:val="18"/>
                <w:highlight w:val="none"/>
                <w14:textFill>
                  <w14:solidFill>
                    <w14:schemeClr w14:val="tx1"/>
                  </w14:solidFill>
                </w14:textFill>
              </w:rPr>
              <w:t>28</w:t>
            </w:r>
            <w:r>
              <w:rPr>
                <w:rFonts w:ascii="Arial" w:hAnsi="Arial" w:cs="Arial"/>
                <w:color w:val="000000" w:themeColor="text1"/>
                <w:sz w:val="20"/>
                <w:szCs w:val="18"/>
                <w:highlight w:val="none"/>
                <w14:textFill>
                  <w14:solidFill>
                    <w14:schemeClr w14:val="tx1"/>
                  </w14:solidFill>
                </w14:textFill>
              </w:rPr>
              <w:t>分）</w:t>
            </w:r>
          </w:p>
        </w:tc>
      </w:tr>
      <w:tr w14:paraId="3E77C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107EBA9C">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2</w:t>
            </w:r>
          </w:p>
        </w:tc>
        <w:tc>
          <w:tcPr>
            <w:tcW w:w="706" w:type="pct"/>
            <w:tcMar>
              <w:top w:w="28" w:type="dxa"/>
              <w:left w:w="28" w:type="dxa"/>
              <w:bottom w:w="28" w:type="dxa"/>
              <w:right w:w="28" w:type="dxa"/>
            </w:tcMar>
            <w:vAlign w:val="center"/>
          </w:tcPr>
          <w:p w14:paraId="70682181">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拟派本项目负责人（不少于1人）</w:t>
            </w:r>
          </w:p>
          <w:p w14:paraId="18D69222">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（满分4分）</w:t>
            </w:r>
          </w:p>
        </w:tc>
        <w:tc>
          <w:tcPr>
            <w:tcW w:w="3896" w:type="pct"/>
            <w:tcMar>
              <w:top w:w="28" w:type="dxa"/>
              <w:left w:w="28" w:type="dxa"/>
              <w:bottom w:w="28" w:type="dxa"/>
              <w:right w:w="28" w:type="dxa"/>
            </w:tcMar>
            <w:vAlign w:val="center"/>
          </w:tcPr>
          <w:p w14:paraId="1F3DF660">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评审内容：</w:t>
            </w:r>
            <w:r>
              <w:rPr>
                <w:rFonts w:ascii="Arial" w:hAnsi="Arial" w:cs="Arial"/>
                <w:color w:val="000000" w:themeColor="text1"/>
                <w:sz w:val="20"/>
                <w:szCs w:val="18"/>
                <w:highlight w:val="none"/>
                <w:lang w:eastAsia="zh-Hans"/>
                <w14:textFill>
                  <w14:solidFill>
                    <w14:schemeClr w14:val="tx1"/>
                  </w14:solidFill>
                </w14:textFill>
              </w:rPr>
              <w:t>为保障本项目顺利进行，</w:t>
            </w:r>
            <w:r>
              <w:rPr>
                <w:rFonts w:ascii="Arial" w:hAnsi="Arial" w:cs="Arial"/>
                <w:color w:val="000000" w:themeColor="text1"/>
                <w:sz w:val="20"/>
                <w:szCs w:val="18"/>
                <w:highlight w:val="none"/>
                <w14:textFill>
                  <w14:solidFill>
                    <w14:schemeClr w14:val="tx1"/>
                  </w14:solidFill>
                </w14:textFill>
              </w:rPr>
              <w:t>项目负责人</w:t>
            </w:r>
            <w:r>
              <w:rPr>
                <w:rFonts w:ascii="Arial" w:hAnsi="Arial" w:cs="Arial"/>
                <w:color w:val="000000" w:themeColor="text1"/>
                <w:sz w:val="20"/>
                <w:szCs w:val="18"/>
                <w:highlight w:val="none"/>
                <w:lang w:eastAsia="zh-Hans"/>
                <w14:textFill>
                  <w14:solidFill>
                    <w14:schemeClr w14:val="tx1"/>
                  </w14:solidFill>
                </w14:textFill>
              </w:rPr>
              <w:t>需具备本科（含）以上学历</w:t>
            </w:r>
            <w:r>
              <w:rPr>
                <w:rFonts w:hint="eastAsia" w:ascii="Arial" w:hAnsi="Arial" w:cs="Arial"/>
                <w:color w:val="000000" w:themeColor="text1"/>
                <w:sz w:val="20"/>
                <w:szCs w:val="18"/>
                <w:highlight w:val="none"/>
                <w14:textFill>
                  <w14:solidFill>
                    <w14:schemeClr w14:val="tx1"/>
                  </w14:solidFill>
                </w14:textFill>
              </w:rPr>
              <w:t>的基础上</w:t>
            </w:r>
            <w:r>
              <w:rPr>
                <w:rFonts w:ascii="Arial" w:hAnsi="Arial" w:cs="Arial"/>
                <w:color w:val="000000" w:themeColor="text1"/>
                <w:sz w:val="20"/>
                <w:szCs w:val="18"/>
                <w:highlight w:val="none"/>
                <w:lang w:eastAsia="zh-Hans"/>
                <w14:textFill>
                  <w14:solidFill>
                    <w14:schemeClr w14:val="tx1"/>
                  </w14:solidFill>
                </w14:textFill>
              </w:rPr>
              <w:t>，所派项目负责人持有工信部高级信息系统项目管理师</w:t>
            </w:r>
            <w:r>
              <w:rPr>
                <w:rFonts w:hint="eastAsia" w:ascii="Arial" w:hAnsi="Arial" w:cs="Arial"/>
                <w:color w:val="000000" w:themeColor="text1"/>
                <w:sz w:val="20"/>
                <w:szCs w:val="18"/>
                <w:highlight w:val="none"/>
                <w14:textFill>
                  <w14:solidFill>
                    <w14:schemeClr w14:val="tx1"/>
                  </w14:solidFill>
                </w14:textFill>
              </w:rPr>
              <w:t>得2分，持有</w:t>
            </w:r>
            <w:r>
              <w:rPr>
                <w:rFonts w:ascii="Arial" w:hAnsi="Arial" w:cs="Arial"/>
                <w:color w:val="000000" w:themeColor="text1"/>
                <w:sz w:val="20"/>
                <w:szCs w:val="18"/>
                <w:highlight w:val="none"/>
                <w:lang w:eastAsia="zh-Hans"/>
                <w14:textFill>
                  <w14:solidFill>
                    <w14:schemeClr w14:val="tx1"/>
                  </w14:solidFill>
                </w14:textFill>
              </w:rPr>
              <w:t>工信部高级网络信息安全工程师证书的得</w:t>
            </w:r>
            <w:r>
              <w:rPr>
                <w:rFonts w:hint="eastAsia" w:ascii="Arial" w:hAnsi="Arial" w:cs="Arial"/>
                <w:color w:val="000000" w:themeColor="text1"/>
                <w:sz w:val="20"/>
                <w:szCs w:val="18"/>
                <w:highlight w:val="none"/>
                <w14:textFill>
                  <w14:solidFill>
                    <w14:schemeClr w14:val="tx1"/>
                  </w14:solidFill>
                </w14:textFill>
              </w:rPr>
              <w:t>2</w:t>
            </w:r>
            <w:r>
              <w:rPr>
                <w:rFonts w:ascii="Arial" w:hAnsi="Arial" w:cs="Arial"/>
                <w:color w:val="000000" w:themeColor="text1"/>
                <w:sz w:val="20"/>
                <w:szCs w:val="18"/>
                <w:highlight w:val="none"/>
                <w:lang w:eastAsia="zh-Hans"/>
                <w14:textFill>
                  <w14:solidFill>
                    <w14:schemeClr w14:val="tx1"/>
                  </w14:solidFill>
                </w14:textFill>
              </w:rPr>
              <w:t>分</w:t>
            </w:r>
            <w:r>
              <w:rPr>
                <w:rFonts w:hint="eastAsia" w:ascii="Arial" w:hAnsi="Arial" w:cs="Arial"/>
                <w:color w:val="000000" w:themeColor="text1"/>
                <w:sz w:val="20"/>
                <w:szCs w:val="18"/>
                <w:highlight w:val="none"/>
                <w14:textFill>
                  <w14:solidFill>
                    <w14:schemeClr w14:val="tx1"/>
                  </w14:solidFill>
                </w14:textFill>
              </w:rPr>
              <w:t>，满分4分。</w:t>
            </w:r>
          </w:p>
          <w:p w14:paraId="1029751C">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证明材料：</w:t>
            </w:r>
          </w:p>
          <w:p w14:paraId="47F2C67E">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提供投标人为人员缴交的近六个月（具体指投标截止日所在月的上一个月起倒算）社保缴交证明材料（证明资料可为社保收缴部门盖章证明资料、社保窗口打印资料或社保官网截图。）扫描件作为得分前提，否则此项不得分。如社保材料因社保部门原因暂时无法取得，则可以往前顺延一个月；或已退休返聘人员无社保的需提供聘用合同。如供应商为新成立企业且成立时间不足六个月可提供加盖公章的情况说明或者证明材料亦视为符合。</w:t>
            </w:r>
          </w:p>
          <w:p w14:paraId="17617BBD">
            <w:pPr>
              <w:widowControl/>
              <w:spacing w:line="360" w:lineRule="auto"/>
              <w:rPr>
                <w:rFonts w:ascii="Arial" w:hAnsi="Arial" w:cs="Arial"/>
                <w:color w:val="000000" w:themeColor="text1"/>
                <w:sz w:val="20"/>
                <w:szCs w:val="18"/>
                <w:highlight w:val="none"/>
                <w14:textFill>
                  <w14:solidFill>
                    <w14:schemeClr w14:val="tx1"/>
                  </w14:solidFill>
                </w14:textFill>
              </w:rPr>
            </w:pPr>
            <w:r>
              <w:rPr>
                <w:rFonts w:hint="eastAsia" w:ascii="Arial" w:hAnsi="Arial" w:cs="Arial"/>
                <w:color w:val="000000" w:themeColor="text1"/>
                <w:sz w:val="20"/>
                <w:szCs w:val="18"/>
                <w:highlight w:val="none"/>
                <w14:textFill>
                  <w14:solidFill>
                    <w14:schemeClr w14:val="tx1"/>
                  </w14:solidFill>
                </w14:textFill>
              </w:rPr>
              <w:t>2</w:t>
            </w:r>
            <w:r>
              <w:rPr>
                <w:rFonts w:ascii="Arial" w:hAnsi="Arial" w:cs="Arial"/>
                <w:color w:val="000000" w:themeColor="text1"/>
                <w:sz w:val="20"/>
                <w:szCs w:val="18"/>
                <w:highlight w:val="none"/>
                <w14:textFill>
                  <w14:solidFill>
                    <w14:schemeClr w14:val="tx1"/>
                  </w14:solidFill>
                </w14:textFill>
              </w:rPr>
              <w:t>.以上资料均要求提供扫描件，原件</w:t>
            </w:r>
            <w:r>
              <w:rPr>
                <w:rFonts w:hint="eastAsia" w:ascii="Arial" w:hAnsi="Arial" w:cs="Arial"/>
                <w:color w:val="000000" w:themeColor="text1"/>
                <w:sz w:val="20"/>
                <w:szCs w:val="18"/>
                <w:highlight w:val="none"/>
                <w14:textFill>
                  <w14:solidFill>
                    <w14:schemeClr w14:val="tx1"/>
                  </w14:solidFill>
                </w14:textFill>
              </w:rPr>
              <w:t>中标后供采购人</w:t>
            </w:r>
            <w:r>
              <w:rPr>
                <w:rFonts w:ascii="Arial" w:hAnsi="Arial" w:cs="Arial"/>
                <w:color w:val="000000" w:themeColor="text1"/>
                <w:sz w:val="20"/>
                <w:szCs w:val="18"/>
                <w:highlight w:val="none"/>
                <w14:textFill>
                  <w14:solidFill>
                    <w14:schemeClr w14:val="tx1"/>
                  </w14:solidFill>
                </w14:textFill>
              </w:rPr>
              <w:t>备查。评分中出现无证明资料或专家无法凭所提供资料判断是否得分的情况，一律作不得分处理。</w:t>
            </w:r>
          </w:p>
        </w:tc>
      </w:tr>
      <w:tr w14:paraId="7A7BA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5BED1602">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3</w:t>
            </w:r>
          </w:p>
        </w:tc>
        <w:tc>
          <w:tcPr>
            <w:tcW w:w="706" w:type="pct"/>
            <w:tcMar>
              <w:top w:w="28" w:type="dxa"/>
              <w:left w:w="28" w:type="dxa"/>
              <w:bottom w:w="28" w:type="dxa"/>
              <w:right w:w="28" w:type="dxa"/>
            </w:tcMar>
            <w:vAlign w:val="center"/>
          </w:tcPr>
          <w:p w14:paraId="7C6FAE8F">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拟安排的项目主要团队成员（主要技术人员）情况（项目负责人除外）</w:t>
            </w:r>
          </w:p>
          <w:p w14:paraId="11269BA9">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（满分4分）</w:t>
            </w:r>
          </w:p>
        </w:tc>
        <w:tc>
          <w:tcPr>
            <w:tcW w:w="3896" w:type="pct"/>
            <w:tcMar>
              <w:top w:w="28" w:type="dxa"/>
              <w:left w:w="28" w:type="dxa"/>
              <w:bottom w:w="28" w:type="dxa"/>
              <w:right w:w="28" w:type="dxa"/>
            </w:tcMar>
            <w:vAlign w:val="center"/>
          </w:tcPr>
          <w:p w14:paraId="6110D18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评审内容：</w:t>
            </w:r>
          </w:p>
          <w:p w14:paraId="0FD103A1">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投标人拟为本项目安排的项目主要团队成员（除项目负责人外）需要8人及以上，否则此项不得分，主要团队成员（除项目负责人外）按以下要求累计得分：</w:t>
            </w:r>
          </w:p>
          <w:p w14:paraId="170E2E66">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团队成员中计算机专业本科及以上学历的，每提供1人得0.5分，最高得4分；</w:t>
            </w:r>
          </w:p>
          <w:p w14:paraId="6C0D7FF9">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证明材料：</w:t>
            </w:r>
          </w:p>
          <w:p w14:paraId="51BD7200">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提供投标人为人员缴交的近六个月（具体指投标截止日所在月的上一个月起倒算）社保缴交证明材料（证明资料可为社保收缴部门盖章证明资料、社保窗口打印资料或社保官网截图。）扫描件作为得分前提，否则此项不得分。如社保材料因社保部门原因暂时无法取得，则可以往前顺延一个月；或已退休返聘人员无社保的需提供聘用合同。如供应商为新成立企业且成立时间不足六个月可提供加盖公章的情况说明或者证明材料亦视为符合。</w:t>
            </w:r>
          </w:p>
          <w:p w14:paraId="0544750C">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2. 要求提供人员相关学历/资格证书作为得分依据。</w:t>
            </w:r>
          </w:p>
          <w:p w14:paraId="79A83F93">
            <w:pPr>
              <w:widowControl/>
              <w:spacing w:line="360" w:lineRule="auto"/>
              <w:rPr>
                <w:rFonts w:ascii="Arial" w:hAnsi="Arial" w:cs="Arial"/>
                <w:color w:val="000000" w:themeColor="text1"/>
                <w:sz w:val="20"/>
                <w:szCs w:val="18"/>
                <w:highlight w:val="none"/>
                <w14:textFill>
                  <w14:solidFill>
                    <w14:schemeClr w14:val="tx1"/>
                  </w14:solidFill>
                </w14:textFill>
              </w:rPr>
            </w:pPr>
            <w:r>
              <w:rPr>
                <w:rFonts w:hint="eastAsia" w:ascii="Arial" w:hAnsi="Arial" w:cs="Arial"/>
                <w:color w:val="000000" w:themeColor="text1"/>
                <w:sz w:val="20"/>
                <w:szCs w:val="18"/>
                <w:highlight w:val="none"/>
                <w14:textFill>
                  <w14:solidFill>
                    <w14:schemeClr w14:val="tx1"/>
                  </w14:solidFill>
                </w14:textFill>
              </w:rPr>
              <w:t>3</w:t>
            </w:r>
            <w:r>
              <w:rPr>
                <w:rFonts w:ascii="Arial" w:hAnsi="Arial" w:cs="Arial"/>
                <w:color w:val="000000" w:themeColor="text1"/>
                <w:sz w:val="20"/>
                <w:szCs w:val="18"/>
                <w:highlight w:val="none"/>
                <w14:textFill>
                  <w14:solidFill>
                    <w14:schemeClr w14:val="tx1"/>
                  </w14:solidFill>
                </w14:textFill>
              </w:rPr>
              <w:t>.以上资料均要求提供扫描件，评分中出现无证明资料或专家无法凭所提供资料判断是否得分的情况，一律作不得分处理。</w:t>
            </w:r>
          </w:p>
        </w:tc>
      </w:tr>
      <w:tr w14:paraId="36FB8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5FD5D88D">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4</w:t>
            </w:r>
          </w:p>
        </w:tc>
        <w:tc>
          <w:tcPr>
            <w:tcW w:w="706" w:type="pct"/>
            <w:tcMar>
              <w:top w:w="28" w:type="dxa"/>
              <w:left w:w="28" w:type="dxa"/>
              <w:bottom w:w="28" w:type="dxa"/>
              <w:right w:w="28" w:type="dxa"/>
            </w:tcMar>
            <w:vAlign w:val="center"/>
          </w:tcPr>
          <w:p w14:paraId="6CF06075">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业绩</w:t>
            </w:r>
          </w:p>
          <w:p w14:paraId="534F4689">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5</w:t>
            </w:r>
            <w:r>
              <w:rPr>
                <w:rFonts w:ascii="Arial" w:hAnsi="Arial" w:cs="Arial"/>
                <w:color w:val="000000" w:themeColor="text1"/>
                <w:sz w:val="20"/>
                <w:szCs w:val="18"/>
                <w:highlight w:val="none"/>
                <w14:textFill>
                  <w14:solidFill>
                    <w14:schemeClr w14:val="tx1"/>
                  </w14:solidFill>
                </w14:textFill>
              </w:rPr>
              <w:t>分）</w:t>
            </w:r>
          </w:p>
        </w:tc>
        <w:tc>
          <w:tcPr>
            <w:tcW w:w="3896" w:type="pct"/>
            <w:tcMar>
              <w:top w:w="28" w:type="dxa"/>
              <w:left w:w="28" w:type="dxa"/>
              <w:bottom w:w="28" w:type="dxa"/>
              <w:right w:w="28" w:type="dxa"/>
            </w:tcMar>
          </w:tcPr>
          <w:p w14:paraId="41808633">
            <w:pPr>
              <w:widowControl/>
              <w:spacing w:line="360" w:lineRule="auto"/>
              <w:rPr>
                <w:rFonts w:ascii="Arial" w:hAnsi="Arial" w:cs="Arial"/>
                <w:color w:val="000000" w:themeColor="text1"/>
                <w:sz w:val="20"/>
                <w:szCs w:val="18"/>
                <w:highlight w:val="none"/>
                <w14:textFill>
                  <w14:solidFill>
                    <w14:schemeClr w14:val="tx1"/>
                  </w14:solidFill>
                </w14:textFill>
              </w:rPr>
            </w:pPr>
            <w:r>
              <w:rPr>
                <w:color w:val="000000" w:themeColor="text1"/>
                <w:highlight w:val="none"/>
                <w14:textFill>
                  <w14:solidFill>
                    <w14:schemeClr w14:val="tx1"/>
                  </w14:solidFill>
                </w14:textFill>
              </w:rPr>
              <w:t>供应商2023年1月1日至今承担过的同类项目（同类项目是指：智慧课程建设）业绩，每提供一个同类业绩得1分，最高得</w:t>
            </w:r>
            <w:r>
              <w:rPr>
                <w:rFonts w:hint="eastAsia"/>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t>分</w:t>
            </w:r>
            <w:r>
              <w:rPr>
                <w:rFonts w:ascii="Arial" w:hAnsi="Arial" w:cs="Arial"/>
                <w:color w:val="000000" w:themeColor="text1"/>
                <w:sz w:val="20"/>
                <w:szCs w:val="18"/>
                <w:highlight w:val="none"/>
                <w14:textFill>
                  <w14:solidFill>
                    <w14:schemeClr w14:val="tx1"/>
                  </w14:solidFill>
                </w14:textFill>
              </w:rPr>
              <w:t>，</w:t>
            </w:r>
            <w:r>
              <w:rPr>
                <w:rFonts w:hint="eastAsia" w:ascii="Arial" w:hAnsi="Arial" w:cs="Arial"/>
                <w:color w:val="000000" w:themeColor="text1"/>
                <w:sz w:val="20"/>
                <w:szCs w:val="18"/>
                <w:highlight w:val="none"/>
                <w14:textFill>
                  <w14:solidFill>
                    <w14:schemeClr w14:val="tx1"/>
                  </w14:solidFill>
                </w14:textFill>
              </w:rPr>
              <w:t>提供中标/成交通知书或合同复印件加盖供应商公章，</w:t>
            </w:r>
            <w:r>
              <w:rPr>
                <w:rFonts w:ascii="Arial" w:hAnsi="Arial" w:cs="Arial"/>
                <w:color w:val="000000" w:themeColor="text1"/>
                <w:sz w:val="20"/>
                <w:szCs w:val="18"/>
                <w:highlight w:val="none"/>
                <w14:textFill>
                  <w14:solidFill>
                    <w14:schemeClr w14:val="tx1"/>
                  </w14:solidFill>
                </w14:textFill>
              </w:rPr>
              <w:t>不提供不得分。</w:t>
            </w:r>
          </w:p>
        </w:tc>
      </w:tr>
      <w:tr w14:paraId="00B24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4F171C01">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5</w:t>
            </w:r>
          </w:p>
        </w:tc>
        <w:tc>
          <w:tcPr>
            <w:tcW w:w="706" w:type="pct"/>
            <w:tcMar>
              <w:top w:w="28" w:type="dxa"/>
              <w:left w:w="28" w:type="dxa"/>
              <w:bottom w:w="28" w:type="dxa"/>
              <w:right w:w="28" w:type="dxa"/>
            </w:tcMar>
            <w:vAlign w:val="center"/>
          </w:tcPr>
          <w:p w14:paraId="306D446E">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lang w:eastAsia="zh-Hans"/>
                <w14:textFill>
                  <w14:solidFill>
                    <w14:schemeClr w14:val="tx1"/>
                  </w14:solidFill>
                </w14:textFill>
              </w:rPr>
              <w:t>国家级课程建设</w:t>
            </w:r>
            <w:r>
              <w:rPr>
                <w:rFonts w:ascii="Arial" w:hAnsi="Arial" w:cs="Arial"/>
                <w:color w:val="000000" w:themeColor="text1"/>
                <w:sz w:val="20"/>
                <w:szCs w:val="18"/>
                <w:highlight w:val="none"/>
                <w14:textFill>
                  <w14:solidFill>
                    <w14:schemeClr w14:val="tx1"/>
                  </w14:solidFill>
                </w14:textFill>
              </w:rPr>
              <w:t>经验</w:t>
            </w:r>
          </w:p>
          <w:p w14:paraId="3906045C">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5</w:t>
            </w:r>
            <w:r>
              <w:rPr>
                <w:rFonts w:ascii="Arial" w:hAnsi="Arial" w:cs="Arial"/>
                <w:color w:val="000000" w:themeColor="text1"/>
                <w:sz w:val="20"/>
                <w:szCs w:val="18"/>
                <w:highlight w:val="none"/>
                <w14:textFill>
                  <w14:solidFill>
                    <w14:schemeClr w14:val="tx1"/>
                  </w14:solidFill>
                </w14:textFill>
              </w:rPr>
              <w:t>分）</w:t>
            </w:r>
          </w:p>
        </w:tc>
        <w:tc>
          <w:tcPr>
            <w:tcW w:w="3896" w:type="pct"/>
            <w:tcMar>
              <w:top w:w="28" w:type="dxa"/>
              <w:left w:w="28" w:type="dxa"/>
              <w:bottom w:w="28" w:type="dxa"/>
              <w:right w:w="28" w:type="dxa"/>
            </w:tcMar>
          </w:tcPr>
          <w:p w14:paraId="1D9D1F03">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投标人有自主建设的在线开放课程平台，且有一定数量的课程通过该平台申报认定为</w:t>
            </w:r>
            <w:r>
              <w:rPr>
                <w:rFonts w:ascii="Arial" w:hAnsi="Arial" w:cs="Arial"/>
                <w:color w:val="000000" w:themeColor="text1"/>
                <w:sz w:val="20"/>
                <w:szCs w:val="18"/>
                <w:highlight w:val="none"/>
                <w:lang w:eastAsia="zh-Hans"/>
                <w14:textFill>
                  <w14:solidFill>
                    <w14:schemeClr w14:val="tx1"/>
                  </w14:solidFill>
                </w14:textFill>
              </w:rPr>
              <w:t>本科</w:t>
            </w:r>
            <w:r>
              <w:rPr>
                <w:rFonts w:ascii="Arial" w:hAnsi="Arial" w:cs="Arial"/>
                <w:color w:val="000000" w:themeColor="text1"/>
                <w:sz w:val="20"/>
                <w:szCs w:val="18"/>
                <w:highlight w:val="none"/>
                <w14:textFill>
                  <w14:solidFill>
                    <w14:schemeClr w14:val="tx1"/>
                  </w14:solidFill>
                </w14:textFill>
              </w:rPr>
              <w:t>“国家精品在线开放课程”。认定课程</w:t>
            </w:r>
            <w:r>
              <w:rPr>
                <w:rFonts w:hint="eastAsia" w:ascii="Arial" w:hAnsi="Arial" w:cs="Arial"/>
                <w:color w:val="000000" w:themeColor="text1"/>
                <w:sz w:val="20"/>
                <w:szCs w:val="18"/>
                <w:highlight w:val="none"/>
                <w14:textFill>
                  <w14:solidFill>
                    <w14:schemeClr w14:val="tx1"/>
                  </w14:solidFill>
                </w14:textFill>
              </w:rPr>
              <w:t>每门0.025分，满分5分</w:t>
            </w:r>
            <w:r>
              <w:rPr>
                <w:rFonts w:ascii="Arial" w:hAnsi="Arial" w:cs="Arial"/>
                <w:color w:val="000000" w:themeColor="text1"/>
                <w:sz w:val="20"/>
                <w:szCs w:val="18"/>
                <w:highlight w:val="none"/>
                <w14:textFill>
                  <w14:solidFill>
                    <w14:schemeClr w14:val="tx1"/>
                  </w14:solidFill>
                </w14:textFill>
              </w:rPr>
              <w:t>。</w:t>
            </w:r>
          </w:p>
          <w:p w14:paraId="7261B6A1">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注：需提供教育部官网关于2017年以来的国家级精品在线开放课程认定截图以及课程清单。证明文件须加盖投标人公章。不清晰或无法判断的不得分。</w:t>
            </w:r>
          </w:p>
        </w:tc>
      </w:tr>
      <w:tr w14:paraId="2860E0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867" w:hRule="atLeast"/>
        </w:trPr>
        <w:tc>
          <w:tcPr>
            <w:tcW w:w="396" w:type="pct"/>
            <w:tcMar>
              <w:top w:w="28" w:type="dxa"/>
              <w:left w:w="28" w:type="dxa"/>
              <w:bottom w:w="28" w:type="dxa"/>
              <w:right w:w="28" w:type="dxa"/>
            </w:tcMar>
            <w:vAlign w:val="center"/>
          </w:tcPr>
          <w:p w14:paraId="1B2AB46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6</w:t>
            </w:r>
          </w:p>
        </w:tc>
        <w:tc>
          <w:tcPr>
            <w:tcW w:w="706" w:type="pct"/>
            <w:tcMar>
              <w:top w:w="28" w:type="dxa"/>
              <w:left w:w="28" w:type="dxa"/>
              <w:bottom w:w="28" w:type="dxa"/>
              <w:right w:w="28" w:type="dxa"/>
            </w:tcMar>
            <w:vAlign w:val="center"/>
          </w:tcPr>
          <w:p w14:paraId="039F84E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运营实力</w:t>
            </w:r>
          </w:p>
          <w:p w14:paraId="4F9986DD">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5</w:t>
            </w:r>
            <w:r>
              <w:rPr>
                <w:rFonts w:ascii="Arial" w:hAnsi="Arial" w:cs="Arial"/>
                <w:color w:val="000000" w:themeColor="text1"/>
                <w:sz w:val="20"/>
                <w:szCs w:val="18"/>
                <w:highlight w:val="none"/>
                <w14:textFill>
                  <w14:solidFill>
                    <w14:schemeClr w14:val="tx1"/>
                  </w14:solidFill>
                </w14:textFill>
              </w:rPr>
              <w:t>分)</w:t>
            </w:r>
          </w:p>
        </w:tc>
        <w:tc>
          <w:tcPr>
            <w:tcW w:w="3896" w:type="pct"/>
            <w:tcMar>
              <w:top w:w="28" w:type="dxa"/>
              <w:left w:w="28" w:type="dxa"/>
              <w:bottom w:w="28" w:type="dxa"/>
              <w:right w:w="28" w:type="dxa"/>
            </w:tcMar>
          </w:tcPr>
          <w:p w14:paraId="42EA9533">
            <w:pPr>
              <w:widowControl/>
              <w:spacing w:line="360" w:lineRule="auto"/>
              <w:rPr>
                <w:rFonts w:ascii="Arial" w:hAnsi="Arial" w:cs="Arial"/>
                <w:b/>
                <w:bCs/>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评分内容：</w:t>
            </w:r>
          </w:p>
          <w:p w14:paraId="62BC25D7">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投标人提供的AI课程运行平台具有课程国际化推广运营的实力，提供投标人</w:t>
            </w:r>
            <w:r>
              <w:rPr>
                <w:rFonts w:ascii="Arial" w:hAnsi="Arial" w:cs="Arial"/>
                <w:color w:val="000000" w:themeColor="text1"/>
                <w:sz w:val="20"/>
                <w:szCs w:val="18"/>
                <w:highlight w:val="none"/>
                <w:lang w:eastAsia="zh-Hans"/>
                <w14:textFill>
                  <w14:solidFill>
                    <w14:schemeClr w14:val="tx1"/>
                  </w14:solidFill>
                </w14:textFill>
              </w:rPr>
              <w:t>与</w:t>
            </w:r>
            <w:r>
              <w:rPr>
                <w:rFonts w:ascii="Arial" w:hAnsi="Arial" w:cs="Arial"/>
                <w:color w:val="000000" w:themeColor="text1"/>
                <w:sz w:val="20"/>
                <w:szCs w:val="18"/>
                <w:highlight w:val="none"/>
                <w14:textFill>
                  <w14:solidFill>
                    <w14:schemeClr w14:val="tx1"/>
                  </w14:solidFill>
                </w14:textFill>
              </w:rPr>
              <w:t>国际课程平台等</w:t>
            </w:r>
            <w:r>
              <w:rPr>
                <w:rFonts w:hint="eastAsia" w:ascii="Arial" w:hAnsi="Arial" w:cs="Arial"/>
                <w:color w:val="000000" w:themeColor="text1"/>
                <w:sz w:val="20"/>
                <w:szCs w:val="18"/>
                <w:highlight w:val="none"/>
                <w14:textFill>
                  <w14:solidFill>
                    <w14:schemeClr w14:val="tx1"/>
                  </w14:solidFill>
                </w14:textFill>
              </w:rPr>
              <w:t>（如edx、法国FUN平台、韩国kmooc、泰国Thai-mooc、印尼网络教育平台、俄国圣彼得堡国立大学慕课平台）</w:t>
            </w:r>
            <w:r>
              <w:rPr>
                <w:rFonts w:ascii="Arial" w:hAnsi="Arial" w:cs="Arial"/>
                <w:color w:val="000000" w:themeColor="text1"/>
                <w:sz w:val="20"/>
                <w:szCs w:val="18"/>
                <w:highlight w:val="none"/>
                <w14:textFill>
                  <w14:solidFill>
                    <w14:schemeClr w14:val="tx1"/>
                  </w14:solidFill>
                </w14:textFill>
              </w:rPr>
              <w:t>签署的战略合作协议，每提供一份战略合作协议（协议中需要体现国际课程平台的名称）得</w:t>
            </w:r>
            <w:r>
              <w:rPr>
                <w:rFonts w:hint="eastAsia" w:ascii="Arial" w:hAnsi="Arial" w:cs="Arial"/>
                <w:color w:val="000000" w:themeColor="text1"/>
                <w:sz w:val="20"/>
                <w:szCs w:val="18"/>
                <w:highlight w:val="none"/>
                <w14:textFill>
                  <w14:solidFill>
                    <w14:schemeClr w14:val="tx1"/>
                  </w14:solidFill>
                </w14:textFill>
              </w:rPr>
              <w:t>1</w:t>
            </w:r>
            <w:r>
              <w:rPr>
                <w:rFonts w:ascii="Arial" w:hAnsi="Arial" w:cs="Arial"/>
                <w:color w:val="000000" w:themeColor="text1"/>
                <w:sz w:val="20"/>
                <w:szCs w:val="18"/>
                <w:highlight w:val="none"/>
                <w14:textFill>
                  <w14:solidFill>
                    <w14:schemeClr w14:val="tx1"/>
                  </w14:solidFill>
                </w14:textFill>
              </w:rPr>
              <w:t>分，最多得</w:t>
            </w:r>
            <w:r>
              <w:rPr>
                <w:rFonts w:hint="eastAsia" w:ascii="Arial" w:hAnsi="Arial" w:cs="Arial"/>
                <w:color w:val="000000" w:themeColor="text1"/>
                <w:sz w:val="20"/>
                <w:szCs w:val="18"/>
                <w:highlight w:val="none"/>
                <w14:textFill>
                  <w14:solidFill>
                    <w14:schemeClr w14:val="tx1"/>
                  </w14:solidFill>
                </w14:textFill>
              </w:rPr>
              <w:t>5</w:t>
            </w:r>
            <w:r>
              <w:rPr>
                <w:rFonts w:ascii="Arial" w:hAnsi="Arial" w:cs="Arial"/>
                <w:color w:val="000000" w:themeColor="text1"/>
                <w:sz w:val="20"/>
                <w:szCs w:val="18"/>
                <w:highlight w:val="none"/>
                <w14:textFill>
                  <w14:solidFill>
                    <w14:schemeClr w14:val="tx1"/>
                  </w14:solidFill>
                </w14:textFill>
              </w:rPr>
              <w:t>分。</w:t>
            </w:r>
          </w:p>
          <w:p w14:paraId="221CDDFF">
            <w:pPr>
              <w:widowControl/>
              <w:spacing w:line="360" w:lineRule="auto"/>
              <w:rPr>
                <w:rFonts w:ascii="Arial" w:hAnsi="Arial" w:cs="Arial"/>
                <w:b/>
                <w:bCs/>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评分依据：</w:t>
            </w:r>
          </w:p>
          <w:p w14:paraId="407E1DF2">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1.提供合同关键信息，通过合同关键信息无法判断是否得分的，须提供能证明得分的其它证明资料，如合同甲方出具的证明文件等。</w:t>
            </w:r>
          </w:p>
          <w:p w14:paraId="37CABB3E">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2.以上资料要求扫描件或复印件并加盖投标人公章，原件备查。</w:t>
            </w:r>
          </w:p>
        </w:tc>
      </w:tr>
      <w:tr w14:paraId="71E78A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175" w:hRule="atLeast"/>
        </w:trPr>
        <w:tc>
          <w:tcPr>
            <w:tcW w:w="396" w:type="pct"/>
            <w:tcMar>
              <w:top w:w="28" w:type="dxa"/>
              <w:left w:w="28" w:type="dxa"/>
              <w:bottom w:w="28" w:type="dxa"/>
              <w:right w:w="28" w:type="dxa"/>
            </w:tcMar>
            <w:vAlign w:val="center"/>
          </w:tcPr>
          <w:p w14:paraId="4D25EEF3">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7</w:t>
            </w:r>
          </w:p>
        </w:tc>
        <w:tc>
          <w:tcPr>
            <w:tcW w:w="706" w:type="pct"/>
            <w:tcMar>
              <w:top w:w="28" w:type="dxa"/>
              <w:left w:w="28" w:type="dxa"/>
              <w:bottom w:w="28" w:type="dxa"/>
              <w:right w:w="28" w:type="dxa"/>
            </w:tcMar>
            <w:vAlign w:val="center"/>
          </w:tcPr>
          <w:p w14:paraId="5A95CE65">
            <w:pPr>
              <w:widowControl/>
              <w:spacing w:line="360" w:lineRule="auto"/>
              <w:rPr>
                <w:rFonts w:ascii="Arial" w:hAnsi="Arial" w:cs="Arial"/>
                <w:color w:val="000000" w:themeColor="text1"/>
                <w:sz w:val="20"/>
                <w:szCs w:val="18"/>
                <w:highlight w:val="none"/>
                <w:lang w:eastAsia="zh-Hans"/>
                <w14:textFill>
                  <w14:solidFill>
                    <w14:schemeClr w14:val="tx1"/>
                  </w14:solidFill>
                </w14:textFill>
              </w:rPr>
            </w:pPr>
            <w:r>
              <w:rPr>
                <w:rFonts w:ascii="Arial" w:hAnsi="Arial" w:cs="Arial"/>
                <w:color w:val="000000" w:themeColor="text1"/>
                <w:sz w:val="20"/>
                <w:szCs w:val="18"/>
                <w:highlight w:val="none"/>
                <w:lang w:eastAsia="zh-Hans"/>
                <w14:textFill>
                  <w14:solidFill>
                    <w14:schemeClr w14:val="tx1"/>
                  </w14:solidFill>
                </w14:textFill>
              </w:rPr>
              <w:t>资源丰富度</w:t>
            </w:r>
          </w:p>
          <w:p w14:paraId="1C5E8355">
            <w:pPr>
              <w:widowControl/>
              <w:spacing w:line="360" w:lineRule="auto"/>
              <w:jc w:val="left"/>
              <w:rPr>
                <w:rFonts w:ascii="Arial" w:hAnsi="Arial" w:cs="Arial"/>
                <w:color w:val="000000" w:themeColor="text1"/>
                <w:sz w:val="20"/>
                <w:szCs w:val="18"/>
                <w:highlight w:val="none"/>
                <w:lang w:eastAsia="zh-Hans"/>
                <w14:textFill>
                  <w14:solidFill>
                    <w14:schemeClr w14:val="tx1"/>
                  </w14:solidFill>
                </w14:textFill>
              </w:rPr>
            </w:pPr>
            <w:r>
              <w:rPr>
                <w:rFonts w:ascii="Arial" w:hAnsi="Arial" w:cs="Arial"/>
                <w:color w:val="000000" w:themeColor="text1"/>
                <w:sz w:val="20"/>
                <w:szCs w:val="18"/>
                <w:highlight w:val="none"/>
                <w:lang w:eastAsia="zh-Hans"/>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5</w:t>
            </w:r>
            <w:r>
              <w:rPr>
                <w:rFonts w:ascii="Arial" w:hAnsi="Arial" w:cs="Arial"/>
                <w:color w:val="000000" w:themeColor="text1"/>
                <w:sz w:val="20"/>
                <w:szCs w:val="18"/>
                <w:highlight w:val="none"/>
                <w:lang w:eastAsia="zh-Hans"/>
                <w14:textFill>
                  <w14:solidFill>
                    <w14:schemeClr w14:val="tx1"/>
                  </w14:solidFill>
                </w14:textFill>
              </w:rPr>
              <w:t>分）</w:t>
            </w:r>
          </w:p>
        </w:tc>
        <w:tc>
          <w:tcPr>
            <w:tcW w:w="3896" w:type="pct"/>
            <w:tcMar>
              <w:top w:w="28" w:type="dxa"/>
              <w:left w:w="28" w:type="dxa"/>
              <w:bottom w:w="28" w:type="dxa"/>
              <w:right w:w="28" w:type="dxa"/>
            </w:tcMar>
          </w:tcPr>
          <w:p w14:paraId="4D58F2BA">
            <w:pPr>
              <w:widowControl/>
              <w:spacing w:line="360" w:lineRule="auto"/>
              <w:jc w:val="left"/>
              <w:rPr>
                <w:rFonts w:ascii="Arial" w:hAnsi="Arial" w:cs="Arial"/>
                <w:color w:val="000000" w:themeColor="text1"/>
                <w:sz w:val="20"/>
                <w:szCs w:val="20"/>
                <w:highlight w:val="none"/>
                <w14:textFill>
                  <w14:solidFill>
                    <w14:schemeClr w14:val="tx1"/>
                  </w14:solidFill>
                </w14:textFill>
              </w:rPr>
            </w:pPr>
            <w:r>
              <w:rPr>
                <w:rFonts w:ascii="Arial" w:hAnsi="Arial" w:cs="Arial"/>
                <w:color w:val="000000" w:themeColor="text1"/>
                <w:sz w:val="20"/>
                <w:szCs w:val="20"/>
                <w:highlight w:val="none"/>
                <w14:textFill>
                  <w14:solidFill>
                    <w14:schemeClr w14:val="tx1"/>
                  </w14:solidFill>
                </w14:textFill>
              </w:rPr>
              <w:t>投标人拟为本项目</w:t>
            </w:r>
            <w:r>
              <w:rPr>
                <w:rFonts w:ascii="Arial" w:hAnsi="Arial" w:cs="Arial"/>
                <w:color w:val="000000" w:themeColor="text1"/>
                <w:sz w:val="20"/>
                <w:szCs w:val="20"/>
                <w:highlight w:val="none"/>
                <w:lang w:eastAsia="zh-Hans"/>
                <w14:textFill>
                  <w14:solidFill>
                    <w14:schemeClr w14:val="tx1"/>
                  </w14:solidFill>
                </w14:textFill>
              </w:rPr>
              <w:t>提供的优质</w:t>
            </w:r>
            <w:r>
              <w:rPr>
                <w:rFonts w:ascii="Arial" w:hAnsi="Arial" w:cs="Arial"/>
                <w:color w:val="000000" w:themeColor="text1"/>
                <w:sz w:val="20"/>
                <w:szCs w:val="20"/>
                <w:highlight w:val="none"/>
                <w14:textFill>
                  <w14:solidFill>
                    <w14:schemeClr w14:val="tx1"/>
                  </w14:solidFill>
                </w14:textFill>
              </w:rPr>
              <w:t>慕课资源：</w:t>
            </w:r>
          </w:p>
          <w:p w14:paraId="6EF2CBAB">
            <w:pPr>
              <w:widowControl/>
              <w:spacing w:line="360" w:lineRule="auto"/>
              <w:jc w:val="left"/>
              <w:rPr>
                <w:rFonts w:ascii="Arial" w:hAnsi="Arial" w:cs="Arial"/>
                <w:color w:val="000000" w:themeColor="text1"/>
                <w:sz w:val="20"/>
                <w:szCs w:val="20"/>
                <w:highlight w:val="none"/>
                <w14:textFill>
                  <w14:solidFill>
                    <w14:schemeClr w14:val="tx1"/>
                  </w14:solidFill>
                </w14:textFill>
              </w:rPr>
            </w:pPr>
            <w:r>
              <w:rPr>
                <w:rFonts w:ascii="Arial" w:hAnsi="Arial" w:cs="Arial"/>
                <w:color w:val="000000" w:themeColor="text1"/>
                <w:sz w:val="20"/>
                <w:szCs w:val="20"/>
                <w:highlight w:val="none"/>
                <w:lang w:eastAsia="zh-Hans"/>
                <w14:textFill>
                  <w14:solidFill>
                    <w14:schemeClr w14:val="tx1"/>
                  </w14:solidFill>
                </w14:textFill>
              </w:rPr>
              <w:t>1.国内完整慕课课程资源：</w:t>
            </w:r>
            <w:r>
              <w:rPr>
                <w:rFonts w:hint="eastAsia" w:ascii="Arial" w:hAnsi="Arial" w:cs="Arial"/>
                <w:color w:val="000000" w:themeColor="text1"/>
                <w:sz w:val="20"/>
                <w:szCs w:val="20"/>
                <w:highlight w:val="none"/>
                <w14:textFill>
                  <w14:solidFill>
                    <w14:schemeClr w14:val="tx1"/>
                  </w14:solidFill>
                </w14:textFill>
              </w:rPr>
              <w:t>每门0.015分，满分3分；</w:t>
            </w:r>
            <w:r>
              <w:rPr>
                <w:rFonts w:ascii="Arial" w:hAnsi="Arial" w:cs="Arial"/>
                <w:color w:val="000000" w:themeColor="text1"/>
                <w:sz w:val="20"/>
                <w:szCs w:val="20"/>
                <w:highlight w:val="none"/>
                <w14:textFill>
                  <w14:solidFill>
                    <w14:schemeClr w14:val="tx1"/>
                  </w14:solidFill>
                </w14:textFill>
              </w:rPr>
              <w:t>注：免于版权纠纷问题，需提供课程清单以及开课学校课程授权证明，加盖投标人公章。</w:t>
            </w:r>
          </w:p>
          <w:p w14:paraId="25043BDD">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20"/>
                <w:highlight w:val="none"/>
                <w:lang w:eastAsia="zh-Hans"/>
                <w14:textFill>
                  <w14:solidFill>
                    <w14:schemeClr w14:val="tx1"/>
                  </w14:solidFill>
                </w14:textFill>
              </w:rPr>
              <w:t>2.国外完整慕课课程资源：</w:t>
            </w:r>
            <w:r>
              <w:rPr>
                <w:rFonts w:hint="eastAsia" w:ascii="Arial" w:hAnsi="Arial" w:cs="Arial"/>
                <w:color w:val="000000" w:themeColor="text1"/>
                <w:sz w:val="20"/>
                <w:szCs w:val="20"/>
                <w:highlight w:val="none"/>
                <w14:textFill>
                  <w14:solidFill>
                    <w14:schemeClr w14:val="tx1"/>
                  </w14:solidFill>
                </w14:textFill>
              </w:rPr>
              <w:t>每门0.02分，满分2分</w:t>
            </w:r>
            <w:r>
              <w:rPr>
                <w:rFonts w:ascii="Arial" w:hAnsi="Arial" w:cs="Arial"/>
                <w:color w:val="000000" w:themeColor="text1"/>
                <w:sz w:val="20"/>
                <w:szCs w:val="20"/>
                <w:highlight w:val="none"/>
                <w14:textFill>
                  <w14:solidFill>
                    <w14:schemeClr w14:val="tx1"/>
                  </w14:solidFill>
                </w14:textFill>
              </w:rPr>
              <w:t>；需提供课程清单</w:t>
            </w:r>
            <w:r>
              <w:rPr>
                <w:rFonts w:ascii="Arial" w:hAnsi="Arial" w:cs="Arial"/>
                <w:color w:val="000000" w:themeColor="text1"/>
                <w:sz w:val="20"/>
                <w:szCs w:val="18"/>
                <w:highlight w:val="none"/>
                <w14:textFill>
                  <w14:solidFill>
                    <w14:schemeClr w14:val="tx1"/>
                  </w14:solidFill>
                </w14:textFill>
              </w:rPr>
              <w:t>、</w:t>
            </w:r>
            <w:r>
              <w:rPr>
                <w:rFonts w:ascii="Arial" w:hAnsi="Arial" w:cs="Arial"/>
                <w:color w:val="000000" w:themeColor="text1"/>
                <w:sz w:val="20"/>
                <w:szCs w:val="20"/>
                <w:highlight w:val="none"/>
                <w:lang w:eastAsia="zh-Hans"/>
                <w14:textFill>
                  <w14:solidFill>
                    <w14:schemeClr w14:val="tx1"/>
                  </w14:solidFill>
                </w14:textFill>
              </w:rPr>
              <w:t>课程网址</w:t>
            </w:r>
            <w:r>
              <w:rPr>
                <w:rFonts w:ascii="Arial" w:hAnsi="Arial" w:cs="Arial"/>
                <w:color w:val="000000" w:themeColor="text1"/>
                <w:sz w:val="20"/>
                <w:szCs w:val="18"/>
                <w:highlight w:val="none"/>
                <w14:textFill>
                  <w14:solidFill>
                    <w14:schemeClr w14:val="tx1"/>
                  </w14:solidFill>
                </w14:textFill>
              </w:rPr>
              <w:t>、</w:t>
            </w:r>
            <w:r>
              <w:rPr>
                <w:rFonts w:ascii="Arial" w:hAnsi="Arial" w:cs="Arial"/>
                <w:color w:val="000000" w:themeColor="text1"/>
                <w:sz w:val="20"/>
                <w:szCs w:val="18"/>
                <w:highlight w:val="none"/>
                <w:lang w:eastAsia="zh-Hans"/>
                <w14:textFill>
                  <w14:solidFill>
                    <w14:schemeClr w14:val="tx1"/>
                  </w14:solidFill>
                </w14:textFill>
              </w:rPr>
              <w:t>课程截图，以及</w:t>
            </w:r>
            <w:r>
              <w:rPr>
                <w:rFonts w:ascii="Arial" w:hAnsi="Arial" w:cs="Arial"/>
                <w:color w:val="000000" w:themeColor="text1"/>
                <w:sz w:val="20"/>
                <w:szCs w:val="20"/>
                <w:highlight w:val="none"/>
                <w14:textFill>
                  <w14:solidFill>
                    <w14:schemeClr w14:val="tx1"/>
                  </w14:solidFill>
                </w14:textFill>
              </w:rPr>
              <w:t>开课学校</w:t>
            </w:r>
            <w:r>
              <w:rPr>
                <w:rFonts w:ascii="Arial" w:hAnsi="Arial" w:cs="Arial"/>
                <w:color w:val="000000" w:themeColor="text1"/>
                <w:sz w:val="20"/>
                <w:szCs w:val="20"/>
                <w:highlight w:val="none"/>
                <w:lang w:eastAsia="zh-Hans"/>
                <w14:textFill>
                  <w14:solidFill>
                    <w14:schemeClr w14:val="tx1"/>
                  </w14:solidFill>
                </w14:textFill>
              </w:rPr>
              <w:t>或机构的</w:t>
            </w:r>
            <w:r>
              <w:rPr>
                <w:rFonts w:ascii="Arial" w:hAnsi="Arial" w:cs="Arial"/>
                <w:color w:val="000000" w:themeColor="text1"/>
                <w:sz w:val="20"/>
                <w:szCs w:val="20"/>
                <w:highlight w:val="none"/>
                <w14:textFill>
                  <w14:solidFill>
                    <w14:schemeClr w14:val="tx1"/>
                  </w14:solidFill>
                </w14:textFill>
              </w:rPr>
              <w:t>课程授权证明，加盖投标人公章。（</w:t>
            </w:r>
            <w:r>
              <w:rPr>
                <w:rFonts w:ascii="Arial" w:hAnsi="Arial" w:cs="Arial"/>
                <w:color w:val="000000" w:themeColor="text1"/>
                <w:sz w:val="20"/>
                <w:szCs w:val="20"/>
                <w:highlight w:val="none"/>
                <w:lang w:eastAsia="zh-Hans"/>
                <w14:textFill>
                  <w14:solidFill>
                    <w14:schemeClr w14:val="tx1"/>
                  </w14:solidFill>
                </w14:textFill>
              </w:rPr>
              <w:t>资料提供不全不得分</w:t>
            </w:r>
            <w:r>
              <w:rPr>
                <w:rFonts w:ascii="Arial" w:hAnsi="Arial" w:cs="Arial"/>
                <w:color w:val="000000" w:themeColor="text1"/>
                <w:sz w:val="20"/>
                <w:szCs w:val="20"/>
                <w:highlight w:val="none"/>
                <w14:textFill>
                  <w14:solidFill>
                    <w14:schemeClr w14:val="tx1"/>
                  </w14:solidFill>
                </w14:textFill>
              </w:rPr>
              <w:t>）</w:t>
            </w:r>
          </w:p>
        </w:tc>
      </w:tr>
      <w:tr w14:paraId="1ED52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626" w:hRule="atLeast"/>
        </w:trPr>
        <w:tc>
          <w:tcPr>
            <w:tcW w:w="5000" w:type="pct"/>
            <w:gridSpan w:val="3"/>
            <w:tcMar>
              <w:top w:w="28" w:type="dxa"/>
              <w:left w:w="28" w:type="dxa"/>
              <w:bottom w:w="28" w:type="dxa"/>
              <w:right w:w="28" w:type="dxa"/>
            </w:tcMar>
            <w:vAlign w:val="center"/>
          </w:tcPr>
          <w:p w14:paraId="1170F412">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技术部分评审（满分</w:t>
            </w:r>
            <w:r>
              <w:rPr>
                <w:rFonts w:hint="eastAsia" w:ascii="Arial" w:hAnsi="Arial" w:cs="Arial"/>
                <w:color w:val="000000" w:themeColor="text1"/>
                <w:sz w:val="20"/>
                <w:szCs w:val="18"/>
                <w:highlight w:val="none"/>
                <w14:textFill>
                  <w14:solidFill>
                    <w14:schemeClr w14:val="tx1"/>
                  </w14:solidFill>
                </w14:textFill>
              </w:rPr>
              <w:t>42</w:t>
            </w:r>
            <w:r>
              <w:rPr>
                <w:rFonts w:ascii="Arial" w:hAnsi="Arial" w:cs="Arial"/>
                <w:color w:val="000000" w:themeColor="text1"/>
                <w:sz w:val="20"/>
                <w:szCs w:val="18"/>
                <w:highlight w:val="none"/>
                <w14:textFill>
                  <w14:solidFill>
                    <w14:schemeClr w14:val="tx1"/>
                  </w14:solidFill>
                </w14:textFill>
              </w:rPr>
              <w:t>分）</w:t>
            </w:r>
          </w:p>
        </w:tc>
      </w:tr>
      <w:tr w14:paraId="0B43C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652C2E02">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8</w:t>
            </w:r>
          </w:p>
        </w:tc>
        <w:tc>
          <w:tcPr>
            <w:tcW w:w="706" w:type="pct"/>
            <w:tcMar>
              <w:top w:w="28" w:type="dxa"/>
              <w:left w:w="28" w:type="dxa"/>
              <w:bottom w:w="28" w:type="dxa"/>
              <w:right w:w="28" w:type="dxa"/>
            </w:tcMar>
            <w:vAlign w:val="center"/>
          </w:tcPr>
          <w:p w14:paraId="5A2B63A6">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技术偏离情况</w:t>
            </w:r>
          </w:p>
          <w:p w14:paraId="1757298B">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（满分15分）</w:t>
            </w:r>
          </w:p>
        </w:tc>
        <w:tc>
          <w:tcPr>
            <w:tcW w:w="3896" w:type="pct"/>
            <w:tcMar>
              <w:top w:w="28" w:type="dxa"/>
              <w:left w:w="28" w:type="dxa"/>
              <w:bottom w:w="28" w:type="dxa"/>
              <w:right w:w="28" w:type="dxa"/>
            </w:tcMar>
            <w:vAlign w:val="center"/>
          </w:tcPr>
          <w:p w14:paraId="30AC7C8D">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对比有效投标人所投产品条款的技术规格、参数指标，结合投标人产品材料的提供情况进行评比。投标人完全满足招标文件中技术要求的得15分。</w:t>
            </w:r>
          </w:p>
          <w:p w14:paraId="7373225F">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标注“</w:t>
            </w:r>
            <w:r>
              <w:rPr>
                <w:rFonts w:hint="eastAsia" w:ascii="Arial" w:hAnsi="Arial" w:cs="Arial"/>
                <w:color w:val="000000" w:themeColor="text1"/>
                <w:sz w:val="20"/>
                <w:szCs w:val="18"/>
                <w:highlight w:val="none"/>
                <w14:textFill>
                  <w14:solidFill>
                    <w14:schemeClr w14:val="tx1"/>
                  </w14:solidFill>
                </w14:textFill>
              </w:rPr>
              <w:t>●</w:t>
            </w:r>
            <w:r>
              <w:rPr>
                <w:rFonts w:ascii="Arial" w:hAnsi="Arial" w:cs="Arial"/>
                <w:color w:val="000000" w:themeColor="text1"/>
                <w:sz w:val="20"/>
                <w:szCs w:val="18"/>
                <w:highlight w:val="none"/>
                <w14:textFill>
                  <w14:solidFill>
                    <w14:schemeClr w14:val="tx1"/>
                  </w14:solidFill>
                </w14:textFill>
              </w:rPr>
              <w:t>”参数为重要参数，</w:t>
            </w:r>
            <w:r>
              <w:rPr>
                <w:rFonts w:hint="eastAsia" w:ascii="Arial" w:hAnsi="Arial" w:cs="Arial"/>
                <w:color w:val="000000" w:themeColor="text1"/>
                <w:sz w:val="20"/>
                <w:szCs w:val="18"/>
                <w:highlight w:val="none"/>
                <w14:textFill>
                  <w14:solidFill>
                    <w14:schemeClr w14:val="tx1"/>
                  </w14:solidFill>
                </w14:textFill>
              </w:rPr>
              <w:t>满分15分。每出现1个负偏离（不满足招标文件要求），扣分，扣完为止。</w:t>
            </w:r>
          </w:p>
          <w:p w14:paraId="0E777682">
            <w:pPr>
              <w:widowControl/>
              <w:spacing w:line="360" w:lineRule="auto"/>
              <w:rPr>
                <w:rFonts w:ascii="Arial" w:hAnsi="Arial" w:cs="Arial"/>
                <w:color w:val="000000" w:themeColor="text1"/>
                <w:sz w:val="20"/>
                <w:szCs w:val="18"/>
                <w:highlight w:val="none"/>
                <w14:textFill>
                  <w14:solidFill>
                    <w14:schemeClr w14:val="tx1"/>
                  </w14:solidFill>
                </w14:textFill>
              </w:rPr>
            </w:pPr>
            <w:r>
              <w:rPr>
                <w:rFonts w:hint="eastAsia" w:ascii="Arial" w:hAnsi="Arial" w:cs="Arial"/>
                <w:color w:val="000000" w:themeColor="text1"/>
                <w:sz w:val="20"/>
                <w:szCs w:val="18"/>
                <w:highlight w:val="none"/>
                <w14:textFill>
                  <w14:solidFill>
                    <w14:schemeClr w14:val="tx1"/>
                  </w14:solidFill>
                </w14:textFill>
              </w:rPr>
              <w:t>要求提供功能截图的证明：供应商提交的系统截图必须标注完整功能路径（菜单位置、操作步骤），所有截图应呈现系统网址，且所有网址应为同一二级域名，否则不得分。</w:t>
            </w:r>
          </w:p>
          <w:p w14:paraId="13B41A4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。提供虚假参数及证明文件者，取消投标资格，中标后取消中标资格，并依法追究其法律责任。</w:t>
            </w:r>
          </w:p>
        </w:tc>
      </w:tr>
      <w:tr w14:paraId="0B2605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2D6A81DB">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9</w:t>
            </w:r>
          </w:p>
        </w:tc>
        <w:tc>
          <w:tcPr>
            <w:tcW w:w="706" w:type="pct"/>
            <w:tcMar>
              <w:top w:w="28" w:type="dxa"/>
              <w:left w:w="28" w:type="dxa"/>
              <w:bottom w:w="28" w:type="dxa"/>
              <w:right w:w="28" w:type="dxa"/>
            </w:tcMar>
            <w:vAlign w:val="center"/>
          </w:tcPr>
          <w:p w14:paraId="259D930D">
            <w:pPr>
              <w:widowControl/>
              <w:spacing w:line="360" w:lineRule="auto"/>
              <w:rPr>
                <w:rFonts w:ascii="Arial" w:hAnsi="Arial" w:cs="Arial"/>
                <w:color w:val="000000" w:themeColor="text1"/>
                <w:sz w:val="20"/>
                <w:szCs w:val="18"/>
                <w:highlight w:val="none"/>
                <w:lang w:bidi="mn-Mong-CN"/>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AI功能演示</w:t>
            </w:r>
          </w:p>
          <w:p w14:paraId="6DF3F89C">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演示时间：不得超过20分钟。</w:t>
            </w:r>
          </w:p>
          <w:p w14:paraId="7A7C5978">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（每项</w:t>
            </w:r>
            <w:r>
              <w:rPr>
                <w:rFonts w:hint="eastAsia" w:ascii="Arial" w:hAnsi="Arial" w:cs="Arial"/>
                <w:color w:val="000000" w:themeColor="text1"/>
                <w:sz w:val="20"/>
                <w:szCs w:val="18"/>
                <w:highlight w:val="none"/>
                <w14:textFill>
                  <w14:solidFill>
                    <w14:schemeClr w14:val="tx1"/>
                  </w14:solidFill>
                </w14:textFill>
              </w:rPr>
              <w:t>1</w:t>
            </w:r>
            <w:r>
              <w:rPr>
                <w:rFonts w:ascii="Arial" w:hAnsi="Arial" w:cs="Arial"/>
                <w:color w:val="000000" w:themeColor="text1"/>
                <w:sz w:val="20"/>
                <w:szCs w:val="18"/>
                <w:highlight w:val="none"/>
                <w14:textFill>
                  <w14:solidFill>
                    <w14:schemeClr w14:val="tx1"/>
                  </w14:solidFill>
                </w14:textFill>
              </w:rPr>
              <w:t>分，满分</w:t>
            </w:r>
            <w:r>
              <w:rPr>
                <w:rFonts w:hint="eastAsia" w:ascii="Arial" w:hAnsi="Arial" w:cs="Arial"/>
                <w:color w:val="000000" w:themeColor="text1"/>
                <w:sz w:val="20"/>
                <w:szCs w:val="18"/>
                <w:highlight w:val="none"/>
                <w14:textFill>
                  <w14:solidFill>
                    <w14:schemeClr w14:val="tx1"/>
                  </w14:solidFill>
                </w14:textFill>
              </w:rPr>
              <w:t>10</w:t>
            </w:r>
            <w:r>
              <w:rPr>
                <w:rFonts w:ascii="Arial" w:hAnsi="Arial" w:cs="Arial"/>
                <w:color w:val="000000" w:themeColor="text1"/>
                <w:sz w:val="20"/>
                <w:szCs w:val="18"/>
                <w:highlight w:val="none"/>
                <w14:textFill>
                  <w14:solidFill>
                    <w14:schemeClr w14:val="tx1"/>
                  </w14:solidFill>
                </w14:textFill>
              </w:rPr>
              <w:t>分）</w:t>
            </w:r>
          </w:p>
        </w:tc>
        <w:tc>
          <w:tcPr>
            <w:tcW w:w="3896" w:type="pct"/>
            <w:tcMar>
              <w:top w:w="28" w:type="dxa"/>
              <w:left w:w="28" w:type="dxa"/>
              <w:bottom w:w="28" w:type="dxa"/>
              <w:right w:w="28" w:type="dxa"/>
            </w:tcMar>
          </w:tcPr>
          <w:p w14:paraId="6A5AB99E">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供应商按要求提供AI</w:t>
            </w:r>
            <w:r>
              <w:rPr>
                <w:rFonts w:ascii="Arial" w:hAnsi="Arial" w:cs="Arial"/>
                <w:color w:val="000000" w:themeColor="text1"/>
                <w:sz w:val="20"/>
                <w:szCs w:val="18"/>
                <w:highlight w:val="none"/>
                <w:lang w:eastAsia="zh-Hans"/>
                <w14:textFill>
                  <w14:solidFill>
                    <w14:schemeClr w14:val="tx1"/>
                  </w14:solidFill>
                </w14:textFill>
              </w:rPr>
              <w:t>课程案例的</w:t>
            </w:r>
            <w:r>
              <w:rPr>
                <w:rFonts w:ascii="Arial" w:hAnsi="Arial" w:cs="Arial"/>
                <w:color w:val="000000" w:themeColor="text1"/>
                <w:sz w:val="20"/>
                <w:szCs w:val="18"/>
                <w:highlight w:val="none"/>
                <w14:textFill>
                  <w14:solidFill>
                    <w14:schemeClr w14:val="tx1"/>
                  </w14:solidFill>
                </w14:textFill>
              </w:rPr>
              <w:t>原型演示，不参与演示或DEMO模型、PPT、截图、视频等方式演示或不使用</w:t>
            </w:r>
            <w:r>
              <w:rPr>
                <w:rFonts w:ascii="Arial" w:hAnsi="Arial" w:cs="Arial"/>
                <w:color w:val="000000" w:themeColor="text1"/>
                <w:sz w:val="20"/>
                <w:szCs w:val="18"/>
                <w:highlight w:val="none"/>
                <w:lang w:eastAsia="zh-Hans"/>
                <w14:textFill>
                  <w14:solidFill>
                    <w14:schemeClr w14:val="tx1"/>
                  </w14:solidFill>
                </w14:textFill>
              </w:rPr>
              <w:t>课程</w:t>
            </w:r>
            <w:r>
              <w:rPr>
                <w:rFonts w:ascii="Arial" w:hAnsi="Arial" w:cs="Arial"/>
                <w:color w:val="000000" w:themeColor="text1"/>
                <w:sz w:val="20"/>
                <w:szCs w:val="18"/>
                <w:highlight w:val="none"/>
                <w14:textFill>
                  <w14:solidFill>
                    <w14:schemeClr w14:val="tx1"/>
                  </w14:solidFill>
                </w14:textFill>
              </w:rPr>
              <w:t>原型进行演示的得0分，演示时间不超过20分钟。</w:t>
            </w:r>
          </w:p>
          <w:p w14:paraId="0B7D6B6B">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每演示一项且完全满足功能要求得</w:t>
            </w:r>
            <w:r>
              <w:rPr>
                <w:rFonts w:hint="eastAsia" w:ascii="Arial" w:hAnsi="Arial" w:cs="Arial"/>
                <w:color w:val="000000" w:themeColor="text1"/>
                <w:sz w:val="20"/>
                <w:szCs w:val="18"/>
                <w:highlight w:val="none"/>
                <w14:textFill>
                  <w14:solidFill>
                    <w14:schemeClr w14:val="tx1"/>
                  </w14:solidFill>
                </w14:textFill>
              </w:rPr>
              <w:t>1</w:t>
            </w:r>
            <w:r>
              <w:rPr>
                <w:rFonts w:ascii="Arial" w:hAnsi="Arial" w:cs="Arial"/>
                <w:color w:val="000000" w:themeColor="text1"/>
                <w:sz w:val="20"/>
                <w:szCs w:val="18"/>
                <w:highlight w:val="none"/>
                <w14:textFill>
                  <w14:solidFill>
                    <w14:schemeClr w14:val="tx1"/>
                  </w14:solidFill>
                </w14:textFill>
              </w:rPr>
              <w:t>分，全部满足得</w:t>
            </w:r>
            <w:r>
              <w:rPr>
                <w:rFonts w:hint="eastAsia" w:ascii="Arial" w:hAnsi="Arial" w:cs="Arial"/>
                <w:color w:val="000000" w:themeColor="text1"/>
                <w:sz w:val="20"/>
                <w:szCs w:val="18"/>
                <w:highlight w:val="none"/>
                <w14:textFill>
                  <w14:solidFill>
                    <w14:schemeClr w14:val="tx1"/>
                  </w14:solidFill>
                </w14:textFill>
              </w:rPr>
              <w:t>10</w:t>
            </w:r>
            <w:r>
              <w:rPr>
                <w:rFonts w:ascii="Arial" w:hAnsi="Arial" w:cs="Arial"/>
                <w:color w:val="000000" w:themeColor="text1"/>
                <w:sz w:val="20"/>
                <w:szCs w:val="18"/>
                <w:highlight w:val="none"/>
                <w14:textFill>
                  <w14:solidFill>
                    <w14:schemeClr w14:val="tx1"/>
                  </w14:solidFill>
                </w14:textFill>
              </w:rPr>
              <w:t>分。以下为演示项：</w:t>
            </w:r>
          </w:p>
          <w:p w14:paraId="0E56821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（1）根据知识图谱已有的多个或所有知识点，将多个或所有知识点需关联的资源进行一次性批量导入，批量导入的资源自动关联到各知识点上，至少支持：pdf / jpg / jpeg / png / gif / dox / docx / ppt /pptx / xls / xlsx / MP4 / MOV / AVI / WMV / MKV / RMVB类型文件；</w:t>
            </w:r>
          </w:p>
          <w:p w14:paraId="2D73BE68">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2）支持选择不同的智能批改规则，对学生的作业进行在线智能批改，生成评分与评语；支持选中部分的作业文本逐条展示对应的AI详细批注、改进建议等，支持根据教师设定的智能批改规则显示每项细则的详细评分；</w:t>
            </w:r>
          </w:p>
          <w:p w14:paraId="24291EBF">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3）支持教师设置主题讨论类型的多轮对话AI互动任务，设置AI对话任务开场白和主题内容，支持教师在授课过程中同时将多个AI对话任务发送给学生，支持学生手机端收到AI对话任务提醒，可自由选择其中一个或多个AI任务展开对话，支持教师在大屏上实时查看任何一个对话任务中每一个学生的AI对话情况；</w:t>
            </w:r>
          </w:p>
          <w:p w14:paraId="7BA3F78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4）支持课堂汇报场景记录与智能点评：支持按学生或小组选择汇报人，支持语音输入智能搜索汇报人；支持选择汇报的课件进行放映，支持对汇报过程进行计时、语音记录；结束汇报后支持AI对学生汇报内容进行智能评分、智能总结、智能点评；</w:t>
            </w:r>
          </w:p>
          <w:p w14:paraId="7DEDB4F9">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5）支持教师授课结束后立即通过人工智能进行课堂内容分析总结发送至教师和学生手机端，至少包括课堂分析报告、课堂讲稿、课堂导引、课堂回顾思维导图；支持教师在移动端编辑思维导图，支持教师分别设置课堂讲稿、课堂导引、课堂思维导图是否开放给学生；</w:t>
            </w:r>
          </w:p>
          <w:p w14:paraId="2BAB7E9D">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6）支持在PPT插件功能中使用人工智能一键出题，出题前需要解析PPT内容，根据PPT内容智能出题，每道题都可以有推荐插入PPT的位置，可以单题插入PPT也可以一键全部插入，支持全部题目重新生成，也支持单题重新生成，全流程不能使用PPT以外的其他程序，也不能使用网页形式，以便于教师在PPT备课时的一站式备课体验；</w:t>
            </w:r>
          </w:p>
          <w:p w14:paraId="1AD08B38">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7）支持按学习标签统计学生数量、展示学生列表，教师可查看学习标签的详细说明，学习标签包括频繁使用AI或未使用、学习完成进度良好或落后、教学互动活跃或未参与、课堂全勤或频繁缺勤、成绩优秀或落后等；支持查看相应标签的所有学生记录及个人画像，包括每个学生的AI使用次数、AI使用时长、学习活动完成情况、课堂缺勤与出勤情况、教学互动次数、成绩等数据，支持按照各项学习情况进行排序查看；</w:t>
            </w:r>
          </w:p>
          <w:p w14:paraId="1A404D0D">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（8）需支持将AI能力应用到教学班，在应用时可以浏览不同学期的教学班，需支持每个AI功能分别应用到不同的教学班，满足教学设计需要；</w:t>
            </w:r>
          </w:p>
          <w:p w14:paraId="2CCEA1C2">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（9）支持教师课上发起分组讨论活动，支持系统自动分组和学生自由分组；学生分组讨论完成后AI自动总结分组讨论的内容，并分析分组讨论中的学生参与情况，包括分析积极发言的学生、有效参与讨论的学生；</w:t>
            </w:r>
          </w:p>
          <w:p w14:paraId="1F424920">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（10）在教师授课过程中，学生在移动端实时查看教师放映完成及正在放映的PPT课件，针对每一页的课件页内容不懂，可一键将当前课件页发送给AI，AI将实时针对当前PPT课件页进行内容解析并智能答疑。</w:t>
            </w:r>
          </w:p>
          <w:p w14:paraId="25C39F86">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评分标准：</w:t>
            </w:r>
            <w:r>
              <w:rPr>
                <w:rFonts w:ascii="Arial" w:hAnsi="Arial" w:cs="Arial"/>
                <w:color w:val="000000" w:themeColor="text1"/>
                <w:sz w:val="20"/>
                <w:szCs w:val="18"/>
                <w:highlight w:val="none"/>
                <w14:textFill>
                  <w14:solidFill>
                    <w14:schemeClr w14:val="tx1"/>
                  </w14:solidFill>
                </w14:textFill>
              </w:rPr>
              <w:t>专家根据各供应商的具体响应内容进行评审，每满足一项得2分；最高得20分。</w:t>
            </w:r>
          </w:p>
        </w:tc>
      </w:tr>
      <w:tr w14:paraId="0D21E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30F93FD7">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10</w:t>
            </w:r>
          </w:p>
        </w:tc>
        <w:tc>
          <w:tcPr>
            <w:tcW w:w="706" w:type="pct"/>
            <w:tcMar>
              <w:top w:w="28" w:type="dxa"/>
              <w:left w:w="28" w:type="dxa"/>
              <w:bottom w:w="28" w:type="dxa"/>
              <w:right w:w="28" w:type="dxa"/>
            </w:tcMar>
            <w:vAlign w:val="center"/>
          </w:tcPr>
          <w:p w14:paraId="2A73BF95">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实施方案</w:t>
            </w:r>
          </w:p>
          <w:p w14:paraId="10E080D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6</w:t>
            </w:r>
            <w:r>
              <w:rPr>
                <w:rFonts w:ascii="Arial" w:hAnsi="Arial" w:cs="Arial"/>
                <w:color w:val="000000" w:themeColor="text1"/>
                <w:sz w:val="20"/>
                <w:szCs w:val="18"/>
                <w:highlight w:val="none"/>
                <w14:textFill>
                  <w14:solidFill>
                    <w14:schemeClr w14:val="tx1"/>
                  </w14:solidFill>
                </w14:textFill>
              </w:rPr>
              <w:t>分）</w:t>
            </w:r>
          </w:p>
        </w:tc>
        <w:tc>
          <w:tcPr>
            <w:tcW w:w="3896" w:type="pct"/>
            <w:tcMar>
              <w:top w:w="28" w:type="dxa"/>
              <w:left w:w="28" w:type="dxa"/>
              <w:bottom w:w="28" w:type="dxa"/>
              <w:right w:w="28" w:type="dxa"/>
            </w:tcMar>
          </w:tcPr>
          <w:p w14:paraId="2DD0FF22">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评审内容</w:t>
            </w:r>
            <w:r>
              <w:rPr>
                <w:rFonts w:ascii="Arial" w:hAnsi="Arial" w:cs="Arial"/>
                <w:color w:val="000000" w:themeColor="text1"/>
                <w:sz w:val="20"/>
                <w:szCs w:val="18"/>
                <w:highlight w:val="none"/>
                <w14:textFill>
                  <w14:solidFill>
                    <w14:schemeClr w14:val="tx1"/>
                  </w14:solidFill>
                </w14:textFill>
              </w:rPr>
              <w:t>：投标人制定符合本项目特点的实施方案，内容包括但不限于：总体服务方案、AI课程策划方案、AI课程设计方案、AI课程建设实施方案、AI课程使用培训方案、AI课程运行及推广方案等。专家根据以上内容对投标人所提供的响应文件进行打分。</w:t>
            </w:r>
          </w:p>
          <w:p w14:paraId="70E00A3F">
            <w:pPr>
              <w:widowControl/>
              <w:spacing w:line="360" w:lineRule="auto"/>
              <w:rPr>
                <w:rFonts w:ascii="Arial" w:hAnsi="Arial" w:cs="Arial"/>
                <w:b/>
                <w:bCs/>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评分标准：</w:t>
            </w:r>
          </w:p>
          <w:p w14:paraId="14A4640F">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每有一项内容详细、重点突出、阐述全面、条理清晰、思路清晰能够有效指导保障项目实施的，得</w:t>
            </w:r>
            <w:r>
              <w:rPr>
                <w:rFonts w:hint="eastAsia" w:ascii="Arial" w:hAnsi="Arial" w:cs="Arial"/>
                <w:color w:val="000000" w:themeColor="text1"/>
                <w:sz w:val="20"/>
                <w:szCs w:val="18"/>
                <w:highlight w:val="none"/>
                <w14:textFill>
                  <w14:solidFill>
                    <w14:schemeClr w14:val="tx1"/>
                  </w14:solidFill>
                </w14:textFill>
              </w:rPr>
              <w:t>6</w:t>
            </w:r>
            <w:r>
              <w:rPr>
                <w:rFonts w:ascii="Arial" w:hAnsi="Arial" w:cs="Arial"/>
                <w:color w:val="000000" w:themeColor="text1"/>
                <w:sz w:val="20"/>
                <w:szCs w:val="18"/>
                <w:highlight w:val="none"/>
                <w14:textFill>
                  <w14:solidFill>
                    <w14:schemeClr w14:val="tx1"/>
                  </w14:solidFill>
                </w14:textFill>
              </w:rPr>
              <w:t>分；</w:t>
            </w:r>
          </w:p>
          <w:p w14:paraId="4A5565A3">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每有一项内容全面合理但不详细、条理和思路不清晰、能保障项目实施的，得3分；</w:t>
            </w:r>
          </w:p>
          <w:p w14:paraId="6F890990">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每有一项内容简单、不全面但不影响项目实施的，得1分；</w:t>
            </w:r>
          </w:p>
          <w:p w14:paraId="7F7EAED1">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实施方案内容未提及的，该项不得分。</w:t>
            </w:r>
          </w:p>
        </w:tc>
      </w:tr>
      <w:tr w14:paraId="7AB4C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3E2EB217">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11</w:t>
            </w:r>
          </w:p>
        </w:tc>
        <w:tc>
          <w:tcPr>
            <w:tcW w:w="706" w:type="pct"/>
            <w:tcMar>
              <w:top w:w="28" w:type="dxa"/>
              <w:left w:w="28" w:type="dxa"/>
              <w:bottom w:w="28" w:type="dxa"/>
              <w:right w:w="28" w:type="dxa"/>
            </w:tcMar>
            <w:vAlign w:val="center"/>
          </w:tcPr>
          <w:p w14:paraId="251EBFF8">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项目重点难点分析、应对措施及相关的合理化建议</w:t>
            </w:r>
          </w:p>
          <w:p w14:paraId="3D8BA355">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w:t>
            </w:r>
            <w:r>
              <w:rPr>
                <w:rFonts w:hint="eastAsia" w:ascii="Arial" w:hAnsi="Arial" w:cs="Arial"/>
                <w:color w:val="000000" w:themeColor="text1"/>
                <w:sz w:val="20"/>
                <w:szCs w:val="18"/>
                <w:highlight w:val="none"/>
                <w14:textFill>
                  <w14:solidFill>
                    <w14:schemeClr w14:val="tx1"/>
                  </w14:solidFill>
                </w14:textFill>
              </w:rPr>
              <w:t>6</w:t>
            </w:r>
            <w:r>
              <w:rPr>
                <w:rFonts w:ascii="Arial" w:hAnsi="Arial" w:cs="Arial"/>
                <w:color w:val="000000" w:themeColor="text1"/>
                <w:sz w:val="20"/>
                <w:szCs w:val="18"/>
                <w:highlight w:val="none"/>
                <w14:textFill>
                  <w14:solidFill>
                    <w14:schemeClr w14:val="tx1"/>
                  </w14:solidFill>
                </w14:textFill>
              </w:rPr>
              <w:t>分）</w:t>
            </w:r>
          </w:p>
        </w:tc>
        <w:tc>
          <w:tcPr>
            <w:tcW w:w="3896" w:type="pct"/>
            <w:tcMar>
              <w:top w:w="28" w:type="dxa"/>
              <w:left w:w="28" w:type="dxa"/>
              <w:bottom w:w="28" w:type="dxa"/>
              <w:right w:w="28" w:type="dxa"/>
            </w:tcMar>
          </w:tcPr>
          <w:p w14:paraId="4584D5E0">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评审内容：</w:t>
            </w:r>
            <w:r>
              <w:rPr>
                <w:rFonts w:ascii="Arial" w:hAnsi="Arial" w:cs="Arial"/>
                <w:color w:val="000000" w:themeColor="text1"/>
                <w:sz w:val="20"/>
                <w:szCs w:val="18"/>
                <w:highlight w:val="none"/>
                <w14:textFill>
                  <w14:solidFill>
                    <w14:schemeClr w14:val="tx1"/>
                  </w14:solidFill>
                </w14:textFill>
              </w:rPr>
              <w:t>投标人制定符合本项目特点的项目重点难点分析，对本项目的具体需求有针对性的给出应对措施和合理化建议等，内容包括但不限于：</w:t>
            </w:r>
          </w:p>
          <w:p w14:paraId="7A74019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AI课程建设中需全流程专属服务，包括：应用场景确认、课程资源收集清洗、课程增强模型建设、使用培训、AI课程测试调优、课程上线试运行等六个主要阶段。根据客户业务场景的需求，帮助以及促进客户更好的使用；</w:t>
            </w:r>
          </w:p>
          <w:p w14:paraId="26B55B13">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2、需提供稳定、高效的AI课程在线学习平台，支持多种终端设备访问，确保学生能够随时随地学习；</w:t>
            </w:r>
          </w:p>
          <w:p w14:paraId="79B4838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3、需向学校提供当前AI课程的使用数据分析报告，包含所有应用场景的阶段性使用数据与学期数据分析，提供相关指导性意见优化AI课程使用场景，辅助客户了解AI课程使用情况、落地效果，进一步发挥AI课程建设价值；</w:t>
            </w:r>
          </w:p>
          <w:p w14:paraId="2D2DDC35">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 xml:space="preserve">4、提供及时、专业的技术支持和客户服务，解决教师在使用上的问题和学生在学习过程中遇到的问题。 </w:t>
            </w:r>
          </w:p>
          <w:p w14:paraId="1D173638">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评分标准：</w:t>
            </w:r>
          </w:p>
          <w:p w14:paraId="04002E07">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项目重点、难点问题清晰明确；针对重点、难点问题提出的解决思路和应对措施科学合理；项目实施相关的思路、措施与建议合理、有针对性，得</w:t>
            </w:r>
            <w:r>
              <w:rPr>
                <w:rFonts w:hint="eastAsia" w:ascii="Arial" w:hAnsi="Arial" w:cs="Arial"/>
                <w:color w:val="000000" w:themeColor="text1"/>
                <w:sz w:val="20"/>
                <w:szCs w:val="18"/>
                <w:highlight w:val="none"/>
                <w14:textFill>
                  <w14:solidFill>
                    <w14:schemeClr w14:val="tx1"/>
                  </w14:solidFill>
                </w14:textFill>
              </w:rPr>
              <w:t>6</w:t>
            </w:r>
            <w:r>
              <w:rPr>
                <w:rFonts w:ascii="Arial" w:hAnsi="Arial" w:cs="Arial"/>
                <w:color w:val="000000" w:themeColor="text1"/>
                <w:sz w:val="20"/>
                <w:szCs w:val="18"/>
                <w:highlight w:val="none"/>
                <w14:textFill>
                  <w14:solidFill>
                    <w14:schemeClr w14:val="tx1"/>
                  </w14:solidFill>
                </w14:textFill>
              </w:rPr>
              <w:t>分；</w:t>
            </w:r>
          </w:p>
          <w:p w14:paraId="507341E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项目重点、难点问题较为清晰明确；内容全面合理但不详细、条理和思路不清晰、能保障项目实施，得3分；</w:t>
            </w:r>
          </w:p>
          <w:p w14:paraId="589A0CD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项目重点、难点问题清晰明确度一般，内容简单、不全面但不影响项目实施的，得1分；</w:t>
            </w:r>
          </w:p>
          <w:p w14:paraId="0477686A">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项目重点、难点问题清晰明确度差，未对重点、难点问题提出的解决思路和应对措施；未有项目实施相关的思路、措施与建议，该项不得分；</w:t>
            </w:r>
          </w:p>
        </w:tc>
      </w:tr>
      <w:tr w14:paraId="77B84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23" w:hRule="atLeast"/>
        </w:trPr>
        <w:tc>
          <w:tcPr>
            <w:tcW w:w="396" w:type="pct"/>
            <w:tcMar>
              <w:top w:w="28" w:type="dxa"/>
              <w:left w:w="28" w:type="dxa"/>
              <w:bottom w:w="28" w:type="dxa"/>
              <w:right w:w="28" w:type="dxa"/>
            </w:tcMar>
            <w:vAlign w:val="center"/>
          </w:tcPr>
          <w:p w14:paraId="0B98D3E9">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12</w:t>
            </w:r>
          </w:p>
        </w:tc>
        <w:tc>
          <w:tcPr>
            <w:tcW w:w="706" w:type="pct"/>
            <w:tcMar>
              <w:top w:w="28" w:type="dxa"/>
              <w:left w:w="28" w:type="dxa"/>
              <w:bottom w:w="28" w:type="dxa"/>
              <w:right w:w="28" w:type="dxa"/>
            </w:tcMar>
            <w:vAlign w:val="center"/>
          </w:tcPr>
          <w:p w14:paraId="6051F6DB">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工作周期安排及服务质量保障措施与方案</w:t>
            </w:r>
          </w:p>
          <w:p w14:paraId="171D1D89">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（满分5分）</w:t>
            </w:r>
          </w:p>
        </w:tc>
        <w:tc>
          <w:tcPr>
            <w:tcW w:w="3896" w:type="pct"/>
            <w:tcMar>
              <w:top w:w="28" w:type="dxa"/>
              <w:left w:w="28" w:type="dxa"/>
              <w:bottom w:w="28" w:type="dxa"/>
              <w:right w:w="28" w:type="dxa"/>
            </w:tcMar>
          </w:tcPr>
          <w:p w14:paraId="148497D3">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评审内容</w:t>
            </w:r>
            <w:r>
              <w:rPr>
                <w:rFonts w:ascii="Arial" w:hAnsi="Arial" w:cs="Arial"/>
                <w:color w:val="000000" w:themeColor="text1"/>
                <w:sz w:val="20"/>
                <w:szCs w:val="18"/>
                <w:highlight w:val="none"/>
                <w14:textFill>
                  <w14:solidFill>
                    <w14:schemeClr w14:val="tx1"/>
                  </w14:solidFill>
                </w14:textFill>
              </w:rPr>
              <w:t>：针对本项目制定工作周期安排与质量保障方案，内容包含：项目实施周期安排、项目建设人员安排、课程资源收集进度安排、课程知识库建设进度安排、课程增强模型建设进度安排、课程上线测试进度安排、课程运行及推广服务进度安排等，服务质量保障措施需包含质量管理、安全保障、售后服务等方案。</w:t>
            </w:r>
          </w:p>
          <w:p w14:paraId="78B24D1F">
            <w:pPr>
              <w:widowControl/>
              <w:spacing w:line="360" w:lineRule="auto"/>
              <w:rPr>
                <w:rFonts w:ascii="Arial" w:hAnsi="Arial" w:cs="Arial"/>
                <w:b/>
                <w:bCs/>
                <w:color w:val="000000" w:themeColor="text1"/>
                <w:sz w:val="20"/>
                <w:szCs w:val="18"/>
                <w:highlight w:val="none"/>
                <w14:textFill>
                  <w14:solidFill>
                    <w14:schemeClr w14:val="tx1"/>
                  </w14:solidFill>
                </w14:textFill>
              </w:rPr>
            </w:pPr>
            <w:r>
              <w:rPr>
                <w:rFonts w:ascii="Arial" w:hAnsi="Arial" w:cs="Arial"/>
                <w:b/>
                <w:bCs/>
                <w:color w:val="000000" w:themeColor="text1"/>
                <w:sz w:val="20"/>
                <w:szCs w:val="18"/>
                <w:highlight w:val="none"/>
                <w14:textFill>
                  <w14:solidFill>
                    <w14:schemeClr w14:val="tx1"/>
                  </w14:solidFill>
                </w14:textFill>
              </w:rPr>
              <w:t>评分标准：</w:t>
            </w:r>
          </w:p>
          <w:p w14:paraId="02DF2126">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工作周期安排及服务质量保障措施与方案完善具体，有切实可行、详细的项目实施时间表，工作安排及保证措施合理、科学、可行、步骤清晰，对本项目有较强的针对性，保障措施有力、切实可行，故障响应及处理时间短，有具体完整齐全的软件服务质量违约责任承诺的，得5分；</w:t>
            </w:r>
          </w:p>
          <w:p w14:paraId="3CFD3B94">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工作周期安排及服务质量保障措施与方案具体，有详细的项目实施时间表，工作安排及保证措施合理、可行，对本项目有一定针对性，故障响应及处理时间及时，软件服务质量违约责任承诺内容简单的，得</w:t>
            </w:r>
            <w:r>
              <w:rPr>
                <w:rFonts w:hint="eastAsia" w:ascii="Arial" w:hAnsi="Arial" w:cs="Arial"/>
                <w:color w:val="000000" w:themeColor="text1"/>
                <w:sz w:val="20"/>
                <w:szCs w:val="18"/>
                <w:highlight w:val="none"/>
                <w14:textFill>
                  <w14:solidFill>
                    <w14:schemeClr w14:val="tx1"/>
                  </w14:solidFill>
                </w14:textFill>
              </w:rPr>
              <w:t>4</w:t>
            </w:r>
            <w:r>
              <w:rPr>
                <w:rFonts w:ascii="Arial" w:hAnsi="Arial" w:cs="Arial"/>
                <w:color w:val="000000" w:themeColor="text1"/>
                <w:sz w:val="20"/>
                <w:szCs w:val="18"/>
                <w:highlight w:val="none"/>
                <w14:textFill>
                  <w14:solidFill>
                    <w14:schemeClr w14:val="tx1"/>
                  </w14:solidFill>
                </w14:textFill>
              </w:rPr>
              <w:t xml:space="preserve">分； </w:t>
            </w:r>
          </w:p>
          <w:p w14:paraId="38E35269">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 xml:space="preserve">有简单的项目实施时间表，工作周期安排及服务质量保障措施可行，对本项目有一定针对性，项目建设进度控制措施内容简单的，故障响应及处理时间较长，软件服务质量违约责任承诺不齐全的，得3分； </w:t>
            </w:r>
          </w:p>
          <w:p w14:paraId="11C76986">
            <w:pPr>
              <w:widowControl/>
              <w:spacing w:line="360" w:lineRule="auto"/>
              <w:rPr>
                <w:rFonts w:ascii="Arial" w:hAnsi="Arial" w:cs="Arial"/>
                <w:color w:val="000000" w:themeColor="text1"/>
                <w:sz w:val="20"/>
                <w:szCs w:val="18"/>
                <w:highlight w:val="none"/>
                <w14:textFill>
                  <w14:solidFill>
                    <w14:schemeClr w14:val="tx1"/>
                  </w14:solidFill>
                </w14:textFill>
              </w:rPr>
            </w:pPr>
            <w:r>
              <w:rPr>
                <w:rFonts w:ascii="Arial" w:hAnsi="Arial" w:cs="Arial"/>
                <w:color w:val="000000" w:themeColor="text1"/>
                <w:sz w:val="20"/>
                <w:szCs w:val="18"/>
                <w:highlight w:val="none"/>
                <w14:textFill>
                  <w14:solidFill>
                    <w14:schemeClr w14:val="tx1"/>
                  </w14:solidFill>
                </w14:textFill>
              </w:rPr>
              <w:t xml:space="preserve">未提供工作周期安排及质量保障措施的，该项不得分。 </w:t>
            </w:r>
          </w:p>
        </w:tc>
      </w:tr>
    </w:tbl>
    <w:p w14:paraId="3145FBCB">
      <w:pPr>
        <w:rPr>
          <w:b/>
          <w:bCs/>
          <w:color w:val="000000" w:themeColor="text1"/>
          <w:kern w:val="0"/>
          <w:szCs w:val="21"/>
          <w:highlight w:val="none"/>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br w:type="page"/>
      </w:r>
    </w:p>
    <w:p w14:paraId="0CD2DFA8">
      <w:pPr>
        <w:spacing w:before="120" w:line="320" w:lineRule="atLeast"/>
        <w:ind w:firstLine="316" w:firstLineChars="150"/>
        <w:rPr>
          <w:b/>
          <w:bCs/>
          <w:color w:val="000000" w:themeColor="text1"/>
          <w:kern w:val="0"/>
          <w:szCs w:val="21"/>
          <w:highlight w:val="none"/>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t>注：涉及政府采购价格评审优惠政策叠加的，按照相关政策要求统一从对应报价的基础上进行价格扣除，用投标总价减去扣除金额之和的价格参加评审。</w:t>
      </w:r>
    </w:p>
    <w:p w14:paraId="2AD2BEE7">
      <w:pPr>
        <w:spacing w:before="120" w:line="320" w:lineRule="atLeast"/>
        <w:ind w:firstLine="316" w:firstLineChars="150"/>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政策性扣除计算方法</w:t>
      </w:r>
      <w:r>
        <w:rPr>
          <w:rFonts w:hint="eastAsia"/>
          <w:color w:val="000000" w:themeColor="text1"/>
          <w:highlight w:val="none"/>
          <w14:textFill>
            <w14:solidFill>
              <w14:schemeClr w14:val="tx1"/>
            </w14:solidFill>
          </w14:textFill>
        </w:rPr>
        <w:t>：</w:t>
      </w:r>
    </w:p>
    <w:p w14:paraId="0B1856C3">
      <w:pPr>
        <w:spacing w:before="120" w:line="320" w:lineRule="atLeast"/>
        <w:ind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1）小微企业的价格扣除计算:供应商投标</w:t>
      </w:r>
      <w:r>
        <w:rPr>
          <w:color w:val="000000" w:themeColor="text1"/>
          <w:szCs w:val="21"/>
          <w:highlight w:val="none"/>
          <w14:textFill>
            <w14:solidFill>
              <w14:schemeClr w14:val="tx1"/>
            </w14:solidFill>
          </w14:textFill>
        </w:rPr>
        <w:t>报价将按相应比例进行扣除，用扣除后的价格参与评审（计算价格分）</w:t>
      </w:r>
      <w:r>
        <w:rPr>
          <w:rFonts w:hint="eastAsia"/>
          <w:color w:val="000000" w:themeColor="text1"/>
          <w:szCs w:val="21"/>
          <w:highlight w:val="none"/>
          <w14:textFill>
            <w14:solidFill>
              <w14:schemeClr w14:val="tx1"/>
            </w14:solidFill>
          </w14:textFill>
        </w:rPr>
        <w:t>，价格扣除比例分别如下：</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07F5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7F61BE0E">
            <w:pPr>
              <w:spacing w:before="120" w:line="320" w:lineRule="atLeas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独立投标</w:t>
            </w:r>
          </w:p>
        </w:tc>
        <w:tc>
          <w:tcPr>
            <w:tcW w:w="4962" w:type="dxa"/>
          </w:tcPr>
          <w:p w14:paraId="77A91F93">
            <w:pPr>
              <w:spacing w:before="120" w:line="320" w:lineRule="atLeas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供应商均为所列企业之一（小型企业、微型企业、残疾人福利企业、监狱企业）</w:t>
            </w:r>
          </w:p>
        </w:tc>
        <w:tc>
          <w:tcPr>
            <w:tcW w:w="2551" w:type="dxa"/>
          </w:tcPr>
          <w:p w14:paraId="39FE1F08">
            <w:pPr>
              <w:spacing w:before="120" w:line="320" w:lineRule="atLeas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价格扣除响应报价的10%</w:t>
            </w:r>
          </w:p>
        </w:tc>
      </w:tr>
      <w:tr w14:paraId="3359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5053CAE5">
            <w:pPr>
              <w:spacing w:before="120" w:line="320" w:lineRule="atLeas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联合体或</w:t>
            </w:r>
          </w:p>
          <w:p w14:paraId="0FBF7E54">
            <w:pPr>
              <w:spacing w:before="120" w:line="320" w:lineRule="atLeas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分包</w:t>
            </w:r>
          </w:p>
        </w:tc>
        <w:tc>
          <w:tcPr>
            <w:tcW w:w="4962" w:type="dxa"/>
          </w:tcPr>
          <w:p w14:paraId="3536A371">
            <w:pPr>
              <w:spacing w:before="120" w:line="320" w:lineRule="atLeas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小微企业承接的金额比例为1</w:t>
            </w:r>
            <w:r>
              <w:rPr>
                <w:color w:val="000000" w:themeColor="text1"/>
                <w:szCs w:val="21"/>
                <w:highlight w:val="none"/>
                <w14:textFill>
                  <w14:solidFill>
                    <w14:schemeClr w14:val="tx1"/>
                  </w14:solidFill>
                </w14:textFill>
              </w:rPr>
              <w:t>00</w:t>
            </w:r>
            <w:r>
              <w:rPr>
                <w:rFonts w:hint="eastAsia"/>
                <w:color w:val="000000" w:themeColor="text1"/>
                <w:szCs w:val="21"/>
                <w:highlight w:val="none"/>
                <w14:textFill>
                  <w14:solidFill>
                    <w14:schemeClr w14:val="tx1"/>
                  </w14:solidFill>
                </w14:textFill>
              </w:rPr>
              <w:t>%</w:t>
            </w:r>
          </w:p>
        </w:tc>
        <w:tc>
          <w:tcPr>
            <w:tcW w:w="2551" w:type="dxa"/>
          </w:tcPr>
          <w:p w14:paraId="7DC7AEED">
            <w:pPr>
              <w:spacing w:before="120" w:line="320" w:lineRule="atLeas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价格扣除响应报价的10%</w:t>
            </w:r>
          </w:p>
        </w:tc>
      </w:tr>
      <w:tr w14:paraId="6F9C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075833EA">
            <w:pPr>
              <w:spacing w:before="120" w:line="320" w:lineRule="atLeast"/>
              <w:rPr>
                <w:color w:val="000000" w:themeColor="text1"/>
                <w:szCs w:val="21"/>
                <w:highlight w:val="none"/>
                <w14:textFill>
                  <w14:solidFill>
                    <w14:schemeClr w14:val="tx1"/>
                  </w14:solidFill>
                </w14:textFill>
              </w:rPr>
            </w:pPr>
          </w:p>
        </w:tc>
        <w:tc>
          <w:tcPr>
            <w:tcW w:w="4962" w:type="dxa"/>
          </w:tcPr>
          <w:p w14:paraId="0530D932">
            <w:pPr>
              <w:spacing w:before="120" w:line="320" w:lineRule="atLeas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小微企业承接的金额比例达到合同总金额3</w:t>
            </w:r>
            <w:r>
              <w:rPr>
                <w:color w:val="000000" w:themeColor="text1"/>
                <w:szCs w:val="21"/>
                <w:highlight w:val="none"/>
                <w14:textFill>
                  <w14:solidFill>
                    <w14:schemeClr w14:val="tx1"/>
                  </w14:solidFill>
                </w14:textFill>
              </w:rPr>
              <w:t>0%</w:t>
            </w:r>
            <w:r>
              <w:rPr>
                <w:rFonts w:hint="eastAsia"/>
                <w:color w:val="000000" w:themeColor="text1"/>
                <w:szCs w:val="21"/>
                <w:highlight w:val="none"/>
                <w14:textFill>
                  <w14:solidFill>
                    <w14:schemeClr w14:val="tx1"/>
                  </w14:solidFill>
                </w14:textFill>
              </w:rPr>
              <w:t>以上</w:t>
            </w:r>
          </w:p>
        </w:tc>
        <w:tc>
          <w:tcPr>
            <w:tcW w:w="2551" w:type="dxa"/>
          </w:tcPr>
          <w:p w14:paraId="24CB5699">
            <w:pPr>
              <w:spacing w:before="120" w:line="320" w:lineRule="atLeas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价格扣除响应报价的</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w:t>
            </w:r>
          </w:p>
        </w:tc>
      </w:tr>
      <w:tr w14:paraId="4EF8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0E4D147E">
            <w:pPr>
              <w:spacing w:before="120" w:line="320" w:lineRule="atLeas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注：未提供《中小企业声明函》、《分包意向协议书》或《联合体协议书》或不符合条件的，不享受价格扣除优惠。</w:t>
            </w:r>
          </w:p>
        </w:tc>
      </w:tr>
    </w:tbl>
    <w:p w14:paraId="40FDF3E3">
      <w:pPr>
        <w:rPr>
          <w:color w:val="000000" w:themeColor="text1"/>
          <w:highlight w:val="none"/>
          <w14:textFill>
            <w14:solidFill>
              <w14:schemeClr w14:val="tx1"/>
            </w14:solidFill>
          </w14:textFill>
        </w:rPr>
      </w:pPr>
    </w:p>
    <w:p w14:paraId="52751929">
      <w:pPr>
        <w:ind w:firstLine="420" w:firstLineChars="200"/>
        <w:rPr>
          <w:rFonts w:eastAsia="楷体_GB2312"/>
          <w:b/>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2）本国产品的价格扣除计算：供应商投标</w:t>
      </w:r>
      <w:r>
        <w:rPr>
          <w:color w:val="000000" w:themeColor="text1"/>
          <w:highlight w:val="none"/>
          <w14:textFill>
            <w14:solidFill>
              <w14:schemeClr w14:val="tx1"/>
            </w14:solidFill>
          </w14:textFill>
        </w:rPr>
        <w:t>报价将按相应比例进行扣除，用扣除后的价格参与评审（计算价格分）</w:t>
      </w:r>
      <w:r>
        <w:rPr>
          <w:rFonts w:hint="eastAsia"/>
          <w:color w:val="000000" w:themeColor="text1"/>
          <w:highlight w:val="none"/>
          <w14:textFill>
            <w14:solidFill>
              <w14:schemeClr w14:val="tx1"/>
            </w14:solidFill>
          </w14:textFill>
        </w:rPr>
        <w:t>，价格扣除比例分别如下：</w:t>
      </w:r>
      <w:r>
        <w:rPr>
          <w:rFonts w:hint="eastAsia" w:ascii="宋体" w:hAnsi="Courier New" w:eastAsia="楷体_GB2312" w:cs="Courier New"/>
          <w:b/>
          <w:color w:val="000000" w:themeColor="text1"/>
          <w:sz w:val="24"/>
          <w:highlight w:val="none"/>
          <w14:textFill>
            <w14:solidFill>
              <w14:schemeClr w14:val="tx1"/>
            </w14:solidFill>
          </w14:textFill>
        </w:rPr>
        <w:t>【备注：本项目不适用】</w:t>
      </w:r>
    </w:p>
    <w:p w14:paraId="0D009C8B">
      <w:pPr>
        <w:ind w:firstLine="420" w:firstLineChars="200"/>
        <w:rPr>
          <w:color w:val="000000" w:themeColor="text1"/>
          <w:highlight w:val="none"/>
          <w14:textFill>
            <w14:solidFill>
              <w14:schemeClr w14:val="tx1"/>
            </w14:solidFill>
          </w14:textFill>
        </w:rPr>
      </w:pP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62E0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095601AA">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采购项目或者采购包中为单一产品</w:t>
            </w:r>
          </w:p>
        </w:tc>
        <w:tc>
          <w:tcPr>
            <w:tcW w:w="4550" w:type="dxa"/>
          </w:tcPr>
          <w:p w14:paraId="6BD78735">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若本项目既有本国产品又有非本国产品参与竞争的，供应商所提供符合本国产品标准的产品</w:t>
            </w:r>
          </w:p>
        </w:tc>
        <w:tc>
          <w:tcPr>
            <w:tcW w:w="2551" w:type="dxa"/>
            <w:vMerge w:val="restart"/>
          </w:tcPr>
          <w:p w14:paraId="4E922FEA">
            <w:pPr>
              <w:rPr>
                <w:color w:val="000000" w:themeColor="text1"/>
                <w:highlight w:val="none"/>
                <w14:textFill>
                  <w14:solidFill>
                    <w14:schemeClr w14:val="tx1"/>
                  </w14:solidFill>
                </w14:textFill>
              </w:rPr>
            </w:pPr>
          </w:p>
          <w:p w14:paraId="72B056EA">
            <w:pPr>
              <w:rPr>
                <w:color w:val="000000" w:themeColor="text1"/>
                <w:highlight w:val="none"/>
                <w14:textFill>
                  <w14:solidFill>
                    <w14:schemeClr w14:val="tx1"/>
                  </w14:solidFill>
                </w14:textFill>
              </w:rPr>
            </w:pPr>
          </w:p>
          <w:p w14:paraId="3E761402">
            <w:pPr>
              <w:rPr>
                <w:color w:val="000000" w:themeColor="text1"/>
                <w:highlight w:val="none"/>
                <w14:textFill>
                  <w14:solidFill>
                    <w14:schemeClr w14:val="tx1"/>
                  </w14:solidFill>
                </w14:textFill>
              </w:rPr>
            </w:pPr>
          </w:p>
          <w:p w14:paraId="1EF00454">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价格扣除全部产品的</w:t>
            </w:r>
            <w:r>
              <w:rPr>
                <w:rFonts w:hint="eastAsia"/>
                <w:b/>
                <w:bCs/>
                <w:color w:val="000000" w:themeColor="text1"/>
                <w:highlight w:val="none"/>
                <w14:textFill>
                  <w14:solidFill>
                    <w14:schemeClr w14:val="tx1"/>
                  </w14:solidFill>
                </w14:textFill>
              </w:rPr>
              <w:t>总</w:t>
            </w:r>
            <w:r>
              <w:rPr>
                <w:rFonts w:hint="eastAsia"/>
                <w:color w:val="000000" w:themeColor="text1"/>
                <w:highlight w:val="none"/>
                <w14:textFill>
                  <w14:solidFill>
                    <w14:schemeClr w14:val="tx1"/>
                  </w14:solidFill>
                </w14:textFill>
              </w:rPr>
              <w:t>报价的20%</w:t>
            </w:r>
          </w:p>
        </w:tc>
      </w:tr>
      <w:tr w14:paraId="2EE0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1597E3F6">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采购项目或者采购包中含有多种产品</w:t>
            </w:r>
          </w:p>
        </w:tc>
        <w:tc>
          <w:tcPr>
            <w:tcW w:w="4550" w:type="dxa"/>
          </w:tcPr>
          <w:p w14:paraId="553634EF">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若本项目既有本国产品又有非本国产品参与竞争的，供应商提供符合本国产品标准的产品成本之和占该供应商提供的全部产品成本之和的比例达到80%以上时。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供应商须在投标文件提交《关于符合本国产品标准的成本占比承诺函》。如供应商所有产品均为本国产品且填写《关于符合本国产品标准的声明函》的，无须填写《关于符合本国产品标准的成本占比承诺函》。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tcPr>
          <w:p w14:paraId="2DC15A84">
            <w:pPr>
              <w:ind w:firstLine="420" w:firstLineChars="200"/>
              <w:rPr>
                <w:color w:val="000000" w:themeColor="text1"/>
                <w:highlight w:val="none"/>
                <w14:textFill>
                  <w14:solidFill>
                    <w14:schemeClr w14:val="tx1"/>
                  </w14:solidFill>
                </w14:textFill>
              </w:rPr>
            </w:pPr>
          </w:p>
        </w:tc>
      </w:tr>
      <w:tr w14:paraId="7877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398C48D1">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注：未提供《关于符合本国产品标准的声明函》、</w:t>
            </w:r>
            <w:r>
              <w:rPr>
                <w:rFonts w:hint="eastAsia"/>
                <w:color w:val="000000" w:themeColor="text1"/>
                <w:szCs w:val="21"/>
                <w:highlight w:val="none"/>
                <w14:textFill>
                  <w14:solidFill>
                    <w14:schemeClr w14:val="tx1"/>
                  </w14:solidFill>
                </w14:textFill>
              </w:rPr>
              <w:t>《关于符合本国产品标准的成本占比承诺函》（如适用）</w:t>
            </w:r>
            <w:r>
              <w:rPr>
                <w:rFonts w:hint="eastAsia"/>
                <w:color w:val="000000" w:themeColor="text1"/>
                <w:highlight w:val="none"/>
                <w14:textFill>
                  <w14:solidFill>
                    <w14:schemeClr w14:val="tx1"/>
                  </w14:solidFill>
                </w14:textFill>
              </w:rPr>
              <w:t>或不符合条件的，不享受价格扣除优惠。</w:t>
            </w:r>
          </w:p>
        </w:tc>
      </w:tr>
    </w:tbl>
    <w:p w14:paraId="6E3CB9A1">
      <w:pPr>
        <w:ind w:firstLine="420" w:firstLineChars="200"/>
        <w:rPr>
          <w:color w:val="000000" w:themeColor="text1"/>
          <w:highlight w:val="none"/>
          <w14:textFill>
            <w14:solidFill>
              <w14:schemeClr w14:val="tx1"/>
            </w14:solidFill>
          </w14:textFill>
        </w:rPr>
      </w:pPr>
    </w:p>
    <w:p w14:paraId="2004A8F6">
      <w:pPr>
        <w:pStyle w:val="2"/>
        <w:ind w:firstLine="420" w:firstLineChars="200"/>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3）评审报价计算示例：</w:t>
      </w:r>
    </w:p>
    <w:p w14:paraId="324F0FED">
      <w:pPr>
        <w:spacing w:before="120" w:line="320" w:lineRule="atLeas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a.供应商若符合中小企业支持政策的要求，计算公式具体为：评审报价＝投标总报价－（投标总报价*小微企业价格扣除比例）</w:t>
      </w:r>
    </w:p>
    <w:p w14:paraId="26D52B04">
      <w:pPr>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b.供应商若符合本国产品支持政策的要求，计算公式具体为：评审报价＝投标总报价－（全部产品的总报价*20%）</w:t>
      </w:r>
    </w:p>
    <w:p w14:paraId="14821371">
      <w:pPr>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c.供应商若同时符合中小企业、本国产品扶持政策的要求，计算公式具体为：评审报价＝投标总报价－（投标总报价*小微企业价格扣除比例）－（全部产品的总报价*20%）</w:t>
      </w:r>
    </w:p>
    <w:p w14:paraId="2137679D">
      <w:pPr>
        <w:pStyle w:val="2"/>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备注：全部产品是指货物或服务采购项目或采购包中包含的全部货物、服务产品。</w:t>
      </w:r>
    </w:p>
    <w:p w14:paraId="11A89971">
      <w:pPr>
        <w:rPr>
          <w:color w:val="000000" w:themeColor="text1"/>
          <w:highlight w:val="none"/>
          <w14:textFill>
            <w14:solidFill>
              <w14:schemeClr w14:val="tx1"/>
            </w14:solidFill>
          </w14:textFill>
        </w:rPr>
      </w:pPr>
    </w:p>
    <w:p w14:paraId="18C4E501">
      <w:pPr>
        <w:rPr>
          <w:color w:val="000000" w:themeColor="text1"/>
          <w:highlight w:val="none"/>
          <w14:textFill>
            <w14:solidFill>
              <w14:schemeClr w14:val="tx1"/>
            </w14:solidFill>
          </w14:textFill>
        </w:rPr>
      </w:pPr>
    </w:p>
    <w:bookmarkEnd w:id="74"/>
    <w:bookmarkEnd w:id="75"/>
    <w:p w14:paraId="44F14808">
      <w:pPr>
        <w:spacing w:before="120" w:line="320" w:lineRule="atLeast"/>
        <w:ind w:firstLine="420" w:firstLineChars="200"/>
        <w:rPr>
          <w:color w:val="000000" w:themeColor="text1"/>
          <w:highlight w:val="none"/>
          <w14:textFill>
            <w14:solidFill>
              <w14:schemeClr w14:val="tx1"/>
            </w14:solidFill>
          </w14:textFill>
        </w:rPr>
      </w:pPr>
      <w:bookmarkStart w:id="103" w:name="_Hlk132879660"/>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1偏离认定说明</w:t>
      </w:r>
    </w:p>
    <w:p w14:paraId="372B22C1">
      <w:pPr>
        <w:spacing w:before="120" w:line="320" w:lineRule="atLeast"/>
        <w:ind w:firstLine="420" w:firstLineChars="200"/>
        <w:rPr>
          <w:color w:val="000000" w:themeColor="text1"/>
          <w:szCs w:val="21"/>
          <w:highlight w:val="none"/>
          <w14:textFill>
            <w14:solidFill>
              <w14:schemeClr w14:val="tx1"/>
            </w14:solidFill>
          </w14:textFill>
        </w:rPr>
      </w:pPr>
      <w:bookmarkStart w:id="104" w:name="_Hlk132881389"/>
      <w:r>
        <w:rPr>
          <w:rFonts w:hint="eastAsia"/>
          <w:color w:val="000000" w:themeColor="text1"/>
          <w:szCs w:val="21"/>
          <w:highlight w:val="none"/>
          <w14:textFill>
            <w14:solidFill>
              <w14:schemeClr w14:val="tx1"/>
            </w14:solidFill>
          </w14:textFill>
        </w:rPr>
        <w:t>供应商根据采购需求中技术参数为基准，填写响应表，对于响应表或证明材料与技术参数不符的，按如下规定：</w:t>
      </w:r>
    </w:p>
    <w:p w14:paraId="2DB94BE0">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46559FA1">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（2）响应表中响应的内容与证明材料不一致的，以证明材料为准作为评审依据。</w:t>
      </w:r>
    </w:p>
    <w:p w14:paraId="4F4BEC97">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（3）同时出现以上两种情况的，按照（1）-（2）顺序认定。</w:t>
      </w:r>
    </w:p>
    <w:p w14:paraId="21D22CF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）响应表与采购需求中技术参数比较有漏项的，如为实质性参数漏项，视为未响应；如为非实质性参数漏项，视为负偏离。</w:t>
      </w:r>
    </w:p>
    <w:p w14:paraId="1CA9099C">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）一项技术参数有多条小项要求的，必须全部响应。如只响应部分参数，视为漏项，按照（4）判定。评审时以每一条技术参数为评审依据。</w:t>
      </w:r>
    </w:p>
    <w:p w14:paraId="6B0EAF24">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6</w:t>
      </w:r>
      <w:r>
        <w:rPr>
          <w:rFonts w:hint="eastAsia"/>
          <w:color w:val="000000" w:themeColor="text1"/>
          <w:szCs w:val="21"/>
          <w:highlight w:val="none"/>
          <w14:textFill>
            <w14:solidFill>
              <w14:schemeClr w14:val="tx1"/>
            </w14:solidFill>
          </w14:textFill>
        </w:rPr>
        <w:t>）对于区间涵盖值参数，例：电压“测量范围</w:t>
      </w:r>
      <w:r>
        <w:rPr>
          <w:color w:val="000000" w:themeColor="text1"/>
          <w:szCs w:val="21"/>
          <w:highlight w:val="none"/>
          <w14:textFill>
            <w14:solidFill>
              <w14:schemeClr w14:val="tx1"/>
            </w14:solidFill>
          </w14:textFill>
        </w:rPr>
        <w:t>3V-5V</w:t>
      </w:r>
      <w:r>
        <w:rPr>
          <w:rFonts w:hint="eastAsia"/>
          <w:color w:val="000000" w:themeColor="text1"/>
          <w:szCs w:val="21"/>
          <w:highlight w:val="none"/>
          <w14:textFill>
            <w14:solidFill>
              <w14:schemeClr w14:val="tx1"/>
            </w14:solidFill>
          </w14:textFill>
        </w:rPr>
        <w:t>”，同时满足下限值更低及上限值更高才视为正偏离，例：响应为“测量范围</w:t>
      </w:r>
      <w:r>
        <w:rPr>
          <w:color w:val="000000" w:themeColor="text1"/>
          <w:szCs w:val="21"/>
          <w:highlight w:val="none"/>
          <w14:textFill>
            <w14:solidFill>
              <w14:schemeClr w14:val="tx1"/>
            </w14:solidFill>
          </w14:textFill>
        </w:rPr>
        <w:t>2V-6V”</w:t>
      </w:r>
      <w:r>
        <w:rPr>
          <w:rFonts w:hint="eastAsia"/>
          <w:color w:val="000000" w:themeColor="text1"/>
          <w:szCs w:val="21"/>
          <w:highlight w:val="none"/>
          <w14:textFill>
            <w14:solidFill>
              <w14:schemeClr w14:val="tx1"/>
            </w14:solidFill>
          </w14:textFill>
        </w:rPr>
        <w:t>。如有一端负偏离，不管另一端如何，均视为负偏离，例：响应为“测量范围4</w:t>
      </w:r>
      <w:r>
        <w:rPr>
          <w:color w:val="000000" w:themeColor="text1"/>
          <w:szCs w:val="21"/>
          <w:highlight w:val="none"/>
          <w14:textFill>
            <w14:solidFill>
              <w14:schemeClr w14:val="tx1"/>
            </w14:solidFill>
          </w14:textFill>
        </w:rPr>
        <w:t>V-6V</w:t>
      </w:r>
      <w:r>
        <w:rPr>
          <w:rFonts w:hint="eastAsia"/>
          <w:color w:val="000000" w:themeColor="text1"/>
          <w:szCs w:val="21"/>
          <w:highlight w:val="none"/>
          <w14:textFill>
            <w14:solidFill>
              <w14:schemeClr w14:val="tx1"/>
            </w14:solidFill>
          </w14:textFill>
        </w:rPr>
        <w:t>”。</w:t>
      </w:r>
    </w:p>
    <w:p w14:paraId="5021638B">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7</w:t>
      </w:r>
      <w:r>
        <w:rPr>
          <w:rFonts w:hint="eastAsia"/>
          <w:color w:val="000000" w:themeColor="text1"/>
          <w:szCs w:val="21"/>
          <w:highlight w:val="none"/>
          <w14:textFill>
            <w14:solidFill>
              <w14:schemeClr w14:val="tx1"/>
            </w14:solidFill>
          </w14:textFill>
        </w:rPr>
        <w:t>）对于区间任意值参数，例“</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m</w:t>
      </w:r>
      <w:r>
        <w:rPr>
          <w:color w:val="000000" w:themeColor="text1"/>
          <w:szCs w:val="21"/>
          <w:highlight w:val="none"/>
          <w14:textFill>
            <w14:solidFill>
              <w14:schemeClr w14:val="tx1"/>
            </w14:solidFill>
          </w14:textFill>
        </w:rPr>
        <w:t>m</w:t>
      </w:r>
      <w:r>
        <w:rPr>
          <w:rFonts w:hint="eastAsia"/>
          <w:color w:val="000000" w:themeColor="text1"/>
          <w:szCs w:val="21"/>
          <w:highlight w:val="none"/>
          <w14:textFill>
            <w14:solidFill>
              <w14:schemeClr w14:val="tx1"/>
            </w14:solidFill>
          </w14:textFill>
        </w:rPr>
        <w:t>≤间距≤1</w:t>
      </w:r>
      <w:r>
        <w:rPr>
          <w:color w:val="000000" w:themeColor="text1"/>
          <w:szCs w:val="21"/>
          <w:highlight w:val="none"/>
          <w14:textFill>
            <w14:solidFill>
              <w14:schemeClr w14:val="tx1"/>
            </w14:solidFill>
          </w14:textFill>
        </w:rPr>
        <w:t>0</w:t>
      </w:r>
      <w:r>
        <w:rPr>
          <w:rFonts w:hint="eastAsia"/>
          <w:color w:val="000000" w:themeColor="text1"/>
          <w:szCs w:val="21"/>
          <w:highlight w:val="none"/>
          <w14:textFill>
            <w14:solidFill>
              <w14:schemeClr w14:val="tx1"/>
            </w14:solidFill>
          </w14:textFill>
        </w:rPr>
        <w:t>m</w:t>
      </w:r>
      <w:r>
        <w:rPr>
          <w:color w:val="000000" w:themeColor="text1"/>
          <w:szCs w:val="21"/>
          <w:highlight w:val="none"/>
          <w14:textFill>
            <w14:solidFill>
              <w14:schemeClr w14:val="tx1"/>
            </w14:solidFill>
          </w14:textFill>
        </w:rPr>
        <w:t>m</w:t>
      </w:r>
      <w:r>
        <w:rPr>
          <w:rFonts w:hint="eastAsia"/>
          <w:color w:val="000000" w:themeColor="text1"/>
          <w:szCs w:val="21"/>
          <w:highlight w:val="none"/>
          <w14:textFill>
            <w14:solidFill>
              <w14:schemeClr w14:val="tx1"/>
            </w14:solidFill>
          </w14:textFill>
        </w:rPr>
        <w:t>”或“间距7.5±2.5mm”，若间距响应值为</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m</w:t>
      </w:r>
      <w:r>
        <w:rPr>
          <w:color w:val="000000" w:themeColor="text1"/>
          <w:szCs w:val="21"/>
          <w:highlight w:val="none"/>
          <w14:textFill>
            <w14:solidFill>
              <w14:schemeClr w14:val="tx1"/>
            </w14:solidFill>
          </w14:textFill>
        </w:rPr>
        <w:t>m-10mm</w:t>
      </w:r>
      <w:r>
        <w:rPr>
          <w:rFonts w:hint="eastAsia"/>
          <w:color w:val="000000" w:themeColor="text1"/>
          <w:szCs w:val="21"/>
          <w:highlight w:val="none"/>
          <w14:textFill>
            <w14:solidFill>
              <w14:schemeClr w14:val="tx1"/>
            </w14:solidFill>
          </w14:textFill>
        </w:rPr>
        <w:t>中任意区间值或任意一个数值（含本数）时为无偏离，例：“6m</w:t>
      </w:r>
      <w:r>
        <w:rPr>
          <w:color w:val="000000" w:themeColor="text1"/>
          <w:szCs w:val="21"/>
          <w:highlight w:val="none"/>
          <w14:textFill>
            <w14:solidFill>
              <w14:schemeClr w14:val="tx1"/>
            </w14:solidFill>
          </w14:textFill>
        </w:rPr>
        <w:t>m</w:t>
      </w:r>
      <w:r>
        <w:rPr>
          <w:rFonts w:hint="eastAsia"/>
          <w:color w:val="000000" w:themeColor="text1"/>
          <w:szCs w:val="21"/>
          <w:highlight w:val="none"/>
          <w14:textFill>
            <w14:solidFill>
              <w14:schemeClr w14:val="tx1"/>
            </w14:solidFill>
          </w14:textFill>
        </w:rPr>
        <w:t>≤间距≤8m</w:t>
      </w:r>
      <w:r>
        <w:rPr>
          <w:color w:val="000000" w:themeColor="text1"/>
          <w:szCs w:val="21"/>
          <w:highlight w:val="none"/>
          <w14:textFill>
            <w14:solidFill>
              <w14:schemeClr w14:val="tx1"/>
            </w14:solidFill>
          </w14:textFill>
        </w:rPr>
        <w:t>m</w:t>
      </w:r>
      <w:r>
        <w:rPr>
          <w:rFonts w:hint="eastAsia"/>
          <w:color w:val="000000" w:themeColor="text1"/>
          <w:szCs w:val="21"/>
          <w:highlight w:val="none"/>
          <w14:textFill>
            <w14:solidFill>
              <w14:schemeClr w14:val="tx1"/>
            </w14:solidFill>
          </w14:textFill>
        </w:rPr>
        <w:t>”、“8±2mm”、“8mm”。超过区间范围视为负偏离，例：“3m</w:t>
      </w:r>
      <w:r>
        <w:rPr>
          <w:color w:val="000000" w:themeColor="text1"/>
          <w:szCs w:val="21"/>
          <w:highlight w:val="none"/>
          <w14:textFill>
            <w14:solidFill>
              <w14:schemeClr w14:val="tx1"/>
            </w14:solidFill>
          </w14:textFill>
        </w:rPr>
        <w:t>m</w:t>
      </w:r>
      <w:r>
        <w:rPr>
          <w:rFonts w:hint="eastAsia"/>
          <w:color w:val="000000" w:themeColor="text1"/>
          <w:szCs w:val="21"/>
          <w:highlight w:val="none"/>
          <w14:textFill>
            <w14:solidFill>
              <w14:schemeClr w14:val="tx1"/>
            </w14:solidFill>
          </w14:textFill>
        </w:rPr>
        <w:t>≤间距≤12m</w:t>
      </w:r>
      <w:r>
        <w:rPr>
          <w:color w:val="000000" w:themeColor="text1"/>
          <w:szCs w:val="21"/>
          <w:highlight w:val="none"/>
          <w14:textFill>
            <w14:solidFill>
              <w14:schemeClr w14:val="tx1"/>
            </w14:solidFill>
          </w14:textFill>
        </w:rPr>
        <w:t>m</w:t>
      </w:r>
      <w:r>
        <w:rPr>
          <w:rFonts w:hint="eastAsia"/>
          <w:color w:val="000000" w:themeColor="text1"/>
          <w:szCs w:val="21"/>
          <w:highlight w:val="none"/>
          <w14:textFill>
            <w14:solidFill>
              <w14:schemeClr w14:val="tx1"/>
            </w14:solidFill>
          </w14:textFill>
        </w:rPr>
        <w:t>”、“8±4mm”、“3-12mm”、“3mm”。此类参数不存在正偏离。</w:t>
      </w:r>
    </w:p>
    <w:p w14:paraId="2D40060D">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8</w:t>
      </w:r>
      <w:r>
        <w:rPr>
          <w:rFonts w:hint="eastAsia"/>
          <w:color w:val="000000" w:themeColor="text1"/>
          <w:szCs w:val="21"/>
          <w:highlight w:val="none"/>
          <w14:textFill>
            <w14:solidFill>
              <w14:schemeClr w14:val="tx1"/>
            </w14:solidFill>
          </w14:textFill>
        </w:rPr>
        <w:t>）对于单边任意参数的要求，例“长度≥5</w:t>
      </w:r>
      <w:r>
        <w:rPr>
          <w:color w:val="000000" w:themeColor="text1"/>
          <w:szCs w:val="21"/>
          <w:highlight w:val="none"/>
          <w14:textFill>
            <w14:solidFill>
              <w14:schemeClr w14:val="tx1"/>
            </w14:solidFill>
          </w14:textFill>
        </w:rPr>
        <w:t>0cm”</w:t>
      </w:r>
      <w:r>
        <w:rPr>
          <w:rFonts w:hint="eastAsia"/>
          <w:color w:val="000000" w:themeColor="text1"/>
          <w:szCs w:val="21"/>
          <w:highlight w:val="none"/>
          <w14:textFill>
            <w14:solidFill>
              <w14:schemeClr w14:val="tx1"/>
            </w14:solidFill>
          </w14:textFill>
        </w:rPr>
        <w:t>，若响应为5</w:t>
      </w:r>
      <w:r>
        <w:rPr>
          <w:color w:val="000000" w:themeColor="text1"/>
          <w:szCs w:val="21"/>
          <w:highlight w:val="none"/>
          <w14:textFill>
            <w14:solidFill>
              <w14:schemeClr w14:val="tx1"/>
            </w14:solidFill>
          </w14:textFill>
        </w:rPr>
        <w:t>0 cm</w:t>
      </w:r>
      <w:r>
        <w:rPr>
          <w:rFonts w:hint="eastAsia"/>
          <w:color w:val="000000" w:themeColor="text1"/>
          <w:szCs w:val="21"/>
          <w:highlight w:val="none"/>
          <w14:textFill>
            <w14:solidFill>
              <w14:schemeClr w14:val="tx1"/>
            </w14:solidFill>
          </w14:textFill>
        </w:rPr>
        <w:t>及5</w:t>
      </w:r>
      <w:r>
        <w:rPr>
          <w:color w:val="000000" w:themeColor="text1"/>
          <w:szCs w:val="21"/>
          <w:highlight w:val="none"/>
          <w14:textFill>
            <w14:solidFill>
              <w14:schemeClr w14:val="tx1"/>
            </w14:solidFill>
          </w14:textFill>
        </w:rPr>
        <w:t>0cm</w:t>
      </w:r>
      <w:r>
        <w:rPr>
          <w:rFonts w:hint="eastAsia"/>
          <w:color w:val="000000" w:themeColor="text1"/>
          <w:szCs w:val="21"/>
          <w:highlight w:val="none"/>
          <w14:textFill>
            <w14:solidFill>
              <w14:schemeClr w14:val="tx1"/>
            </w14:solidFill>
          </w14:textFill>
        </w:rPr>
        <w:t>以上任意一个数值，均视为无偏离；若响应小于5</w:t>
      </w:r>
      <w:r>
        <w:rPr>
          <w:color w:val="000000" w:themeColor="text1"/>
          <w:szCs w:val="21"/>
          <w:highlight w:val="none"/>
          <w14:textFill>
            <w14:solidFill>
              <w14:schemeClr w14:val="tx1"/>
            </w14:solidFill>
          </w14:textFill>
        </w:rPr>
        <w:t>0cm</w:t>
      </w:r>
      <w:r>
        <w:rPr>
          <w:rFonts w:hint="eastAsia"/>
          <w:color w:val="000000" w:themeColor="text1"/>
          <w:szCs w:val="21"/>
          <w:highlight w:val="none"/>
          <w14:textFill>
            <w14:solidFill>
              <w14:schemeClr w14:val="tx1"/>
            </w14:solidFill>
          </w14:textFill>
        </w:rPr>
        <w:t>，视为负偏离。此类参数无正偏离。</w:t>
      </w:r>
    </w:p>
    <w:p w14:paraId="00ECFE05">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9</w:t>
      </w:r>
      <w:r>
        <w:rPr>
          <w:rFonts w:hint="eastAsia"/>
          <w:color w:val="000000" w:themeColor="text1"/>
          <w:szCs w:val="21"/>
          <w:highlight w:val="none"/>
          <w14:textFill>
            <w14:solidFill>
              <w14:schemeClr w14:val="tx1"/>
            </w14:solidFill>
          </w14:textFill>
        </w:rPr>
        <w:t>）对于固定参数，响应与采购需求中技术参数一致，视为无偏离，其他均视为负偏离，此类参数无正偏离。</w:t>
      </w:r>
    </w:p>
    <w:p w14:paraId="1F30B308">
      <w:pPr>
        <w:spacing w:before="120" w:line="320" w:lineRule="atLeas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）如采购需求中技术参数有特殊要求与上述说明不一致的，以特殊要求为准。</w:t>
      </w:r>
    </w:p>
    <w:bookmarkEnd w:id="103"/>
    <w:bookmarkEnd w:id="104"/>
    <w:p w14:paraId="2ABB2769">
      <w:pPr>
        <w:spacing w:before="120" w:line="320" w:lineRule="atLeast"/>
        <w:ind w:firstLine="420" w:firstLineChars="200"/>
        <w:rPr>
          <w:color w:val="000000" w:themeColor="text1"/>
          <w:szCs w:val="21"/>
          <w:highlight w:val="none"/>
          <w14:textFill>
            <w14:solidFill>
              <w14:schemeClr w14:val="tx1"/>
            </w14:solidFill>
          </w14:textFill>
        </w:rPr>
      </w:pPr>
    </w:p>
    <w:p w14:paraId="33BD1CFD">
      <w:pPr>
        <w:pStyle w:val="27"/>
        <w:snapToGrid w:val="0"/>
        <w:spacing w:before="120" w:after="120" w:line="320" w:lineRule="exact"/>
        <w:jc w:val="center"/>
        <w:outlineLvl w:val="0"/>
        <w:rPr>
          <w:rFonts w:ascii="Times New Roman" w:hAnsi="Times New Roman" w:cs="Times New Roman"/>
          <w:color w:val="000000" w:themeColor="text1"/>
          <w:sz w:val="32"/>
          <w:szCs w:val="32"/>
          <w:highlight w:val="none"/>
          <w14:textFill>
            <w14:solidFill>
              <w14:schemeClr w14:val="tx1"/>
            </w14:solidFill>
          </w14:textFill>
        </w:rPr>
        <w:sectPr>
          <w:headerReference r:id="rId14" w:type="first"/>
          <w:headerReference r:id="rId13" w:type="default"/>
          <w:footerReference r:id="rId15" w:type="default"/>
          <w:pgSz w:w="11906" w:h="16838"/>
          <w:pgMar w:top="1418" w:right="1133" w:bottom="1246" w:left="1418" w:header="851" w:footer="992" w:gutter="0"/>
          <w:cols w:space="720" w:num="1"/>
          <w:docGrid w:linePitch="312" w:charSpace="0"/>
        </w:sectPr>
      </w:pPr>
    </w:p>
    <w:p w14:paraId="50B0EE7F">
      <w:pPr>
        <w:pStyle w:val="27"/>
        <w:snapToGrid w:val="0"/>
        <w:spacing w:before="120" w:after="120" w:line="320" w:lineRule="exact"/>
        <w:jc w:val="center"/>
        <w:outlineLvl w:val="0"/>
        <w:rPr>
          <w:rFonts w:ascii="Times New Roman" w:hAnsi="Times New Roman" w:cs="Times New Roman"/>
          <w:color w:val="000000" w:themeColor="text1"/>
          <w:sz w:val="32"/>
          <w:szCs w:val="32"/>
          <w:highlight w:val="none"/>
          <w14:textFill>
            <w14:solidFill>
              <w14:schemeClr w14:val="tx1"/>
            </w14:solidFill>
          </w14:textFill>
        </w:rPr>
      </w:pPr>
      <w:bookmarkStart w:id="105" w:name="_Toc665"/>
      <w:bookmarkStart w:id="106" w:name="_Hlk132881438"/>
      <w:bookmarkStart w:id="107" w:name="_Hlk132879681"/>
      <w:bookmarkStart w:id="108" w:name="_Hlk132879714"/>
      <w:r>
        <w:rPr>
          <w:rFonts w:ascii="Times New Roman" w:hAnsi="Times New Roman" w:cs="Times New Roman"/>
          <w:color w:val="000000" w:themeColor="text1"/>
          <w:sz w:val="32"/>
          <w:szCs w:val="32"/>
          <w:highlight w:val="none"/>
          <w14:textFill>
            <w14:solidFill>
              <w14:schemeClr w14:val="tx1"/>
            </w14:solidFill>
          </w14:textFill>
        </w:rPr>
        <w:t xml:space="preserve">第五章  </w:t>
      </w:r>
      <w:bookmarkStart w:id="146" w:name="_GoBack"/>
      <w:r>
        <w:rPr>
          <w:rFonts w:ascii="Times New Roman" w:hAnsi="Times New Roman" w:cs="Times New Roman"/>
          <w:color w:val="000000" w:themeColor="text1"/>
          <w:sz w:val="32"/>
          <w:szCs w:val="32"/>
          <w:highlight w:val="none"/>
          <w14:textFill>
            <w14:solidFill>
              <w14:schemeClr w14:val="tx1"/>
            </w14:solidFill>
          </w14:textFill>
        </w:rPr>
        <w:t>合同主要条款格式</w:t>
      </w:r>
      <w:bookmarkEnd w:id="105"/>
    </w:p>
    <w:p w14:paraId="5B00DDD2">
      <w:pPr>
        <w:snapToGrid w:val="0"/>
        <w:spacing w:line="360" w:lineRule="exact"/>
        <w:ind w:right="480" w:firstLine="5985" w:firstLineChars="285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合同编号：</w:t>
      </w:r>
    </w:p>
    <w:p w14:paraId="0C61FEA9">
      <w:pPr>
        <w:snapToGrid w:val="0"/>
        <w:spacing w:line="360" w:lineRule="exact"/>
        <w:rPr>
          <w:rFonts w:hint="eastAsia" w:ascii="宋体" w:hAnsi="宋体"/>
          <w:color w:val="000000" w:themeColor="text1"/>
          <w:szCs w:val="21"/>
          <w:highlight w:val="none"/>
          <w14:textFill>
            <w14:solidFill>
              <w14:schemeClr w14:val="tx1"/>
            </w14:solidFill>
          </w14:textFill>
        </w:rPr>
      </w:pPr>
    </w:p>
    <w:p w14:paraId="231DDF36">
      <w:pPr>
        <w:snapToGrid w:val="0"/>
        <w:spacing w:line="34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采购单位（甲方）</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pacing w:val="-20"/>
          <w:szCs w:val="21"/>
          <w:highlight w:val="none"/>
          <w14:textFill>
            <w14:solidFill>
              <w14:schemeClr w14:val="tx1"/>
            </w14:solidFill>
          </w14:textFill>
        </w:rPr>
        <w:t>采 购 计 划 号</w:t>
      </w:r>
      <w:r>
        <w:rPr>
          <w:rFonts w:hint="eastAsia" w:ascii="宋体" w:hAnsi="宋体"/>
          <w:color w:val="000000" w:themeColor="text1"/>
          <w:szCs w:val="21"/>
          <w:highlight w:val="none"/>
          <w:u w:val="single"/>
          <w14:textFill>
            <w14:solidFill>
              <w14:schemeClr w14:val="tx1"/>
            </w14:solidFill>
          </w14:textFill>
        </w:rPr>
        <w:t xml:space="preserve">                        </w:t>
      </w:r>
    </w:p>
    <w:p w14:paraId="20126D29">
      <w:pPr>
        <w:snapToGrid w:val="0"/>
        <w:spacing w:line="34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 应 商（乙方）</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项目名称编号</w:t>
      </w:r>
      <w:r>
        <w:rPr>
          <w:rFonts w:hint="eastAsia" w:ascii="宋体" w:hAnsi="宋体"/>
          <w:color w:val="000000" w:themeColor="text1"/>
          <w:szCs w:val="21"/>
          <w:highlight w:val="none"/>
          <w:u w:val="single"/>
          <w14:textFill>
            <w14:solidFill>
              <w14:schemeClr w14:val="tx1"/>
            </w14:solidFill>
          </w14:textFill>
        </w:rPr>
        <w:t xml:space="preserve">                       </w:t>
      </w:r>
    </w:p>
    <w:p w14:paraId="7F1B34CF">
      <w:pPr>
        <w:snapToGrid w:val="0"/>
        <w:spacing w:line="34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  订  地  点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 订 时 间</w:t>
      </w:r>
      <w:r>
        <w:rPr>
          <w:rFonts w:hint="eastAsia" w:ascii="宋体" w:hAnsi="宋体"/>
          <w:color w:val="000000" w:themeColor="text1"/>
          <w:szCs w:val="21"/>
          <w:highlight w:val="none"/>
          <w:u w:val="single"/>
          <w14:textFill>
            <w14:solidFill>
              <w14:schemeClr w14:val="tx1"/>
            </w14:solidFill>
          </w14:textFill>
        </w:rPr>
        <w:t xml:space="preserve">                       </w:t>
      </w:r>
    </w:p>
    <w:p w14:paraId="3305C506">
      <w:pPr>
        <w:snapToGrid w:val="0"/>
        <w:spacing w:line="340" w:lineRule="exact"/>
        <w:ind w:firstLine="420" w:firstLineChars="200"/>
        <w:rPr>
          <w:rFonts w:hint="eastAsia" w:ascii="宋体" w:hAnsi="宋体"/>
          <w:color w:val="000000" w:themeColor="text1"/>
          <w:szCs w:val="21"/>
          <w:highlight w:val="none"/>
          <w14:textFill>
            <w14:solidFill>
              <w14:schemeClr w14:val="tx1"/>
            </w14:solidFill>
          </w14:textFill>
        </w:rPr>
      </w:pPr>
    </w:p>
    <w:p w14:paraId="77661F55">
      <w:pPr>
        <w:pStyle w:val="173"/>
        <w:spacing w:line="34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根据《中华人民共和国政府采购法》、《中华人民共和国民法典》等法律、法规规定，按照招标文件规定条款和中标人投标文件及其承诺，甲乙双方签订本合同。</w:t>
      </w:r>
    </w:p>
    <w:p w14:paraId="2B62D098">
      <w:pPr>
        <w:numPr>
          <w:ilvl w:val="0"/>
          <w:numId w:val="18"/>
        </w:numPr>
        <w:snapToGrid w:val="0"/>
        <w:spacing w:line="340" w:lineRule="exact"/>
        <w:outlineLvl w:val="0"/>
        <w:rPr>
          <w:rFonts w:hint="eastAsia" w:ascii="宋体" w:hAnsi="宋体"/>
          <w:b/>
          <w:color w:val="000000" w:themeColor="text1"/>
          <w:szCs w:val="21"/>
          <w:highlight w:val="none"/>
          <w14:textFill>
            <w14:solidFill>
              <w14:schemeClr w14:val="tx1"/>
            </w14:solidFill>
          </w14:textFill>
        </w:rPr>
      </w:pPr>
      <w:bookmarkStart w:id="109" w:name="_Toc13003"/>
      <w:r>
        <w:rPr>
          <w:rFonts w:hint="eastAsia" w:ascii="宋体" w:hAnsi="宋体"/>
          <w:b/>
          <w:color w:val="000000" w:themeColor="text1"/>
          <w:szCs w:val="21"/>
          <w:highlight w:val="none"/>
          <w14:textFill>
            <w14:solidFill>
              <w14:schemeClr w14:val="tx1"/>
            </w14:solidFill>
          </w14:textFill>
        </w:rPr>
        <w:t>合同标的</w:t>
      </w:r>
      <w:bookmarkEnd w:id="109"/>
    </w:p>
    <w:p w14:paraId="5C200D30">
      <w:pPr>
        <w:snapToGrid w:val="0"/>
        <w:spacing w:line="340" w:lineRule="exact"/>
        <w:ind w:firstLine="422" w:firstLineChars="200"/>
        <w:outlineLvl w:val="0"/>
        <w:rPr>
          <w:rFonts w:hint="eastAsia" w:ascii="宋体" w:hAnsi="宋体"/>
          <w:b/>
          <w:color w:val="000000" w:themeColor="text1"/>
          <w:szCs w:val="21"/>
          <w:highlight w:val="none"/>
          <w14:textFill>
            <w14:solidFill>
              <w14:schemeClr w14:val="tx1"/>
            </w14:solidFill>
          </w14:textFill>
        </w:rPr>
      </w:pPr>
      <w:bookmarkStart w:id="110" w:name="_Toc23255"/>
      <w:r>
        <w:rPr>
          <w:rFonts w:hint="eastAsia" w:ascii="宋体" w:hAnsi="宋体"/>
          <w:b/>
          <w:color w:val="000000" w:themeColor="text1"/>
          <w:szCs w:val="21"/>
          <w:highlight w:val="none"/>
          <w14:textFill>
            <w14:solidFill>
              <w14:schemeClr w14:val="tx1"/>
            </w14:solidFill>
          </w14:textFill>
        </w:rPr>
        <w:t>1、服务名称:</w:t>
      </w:r>
      <w:bookmarkEnd w:id="110"/>
    </w:p>
    <w:p w14:paraId="423645F6">
      <w:pPr>
        <w:snapToGrid w:val="0"/>
        <w:spacing w:line="340" w:lineRule="exact"/>
        <w:ind w:firstLine="422" w:firstLineChars="200"/>
        <w:outlineLvl w:val="0"/>
        <w:rPr>
          <w:rFonts w:hint="eastAsia" w:ascii="宋体" w:hAnsi="宋体"/>
          <w:b/>
          <w:color w:val="000000" w:themeColor="text1"/>
          <w:szCs w:val="21"/>
          <w:highlight w:val="none"/>
          <w14:textFill>
            <w14:solidFill>
              <w14:schemeClr w14:val="tx1"/>
            </w14:solidFill>
          </w14:textFill>
        </w:rPr>
      </w:pPr>
      <w:bookmarkStart w:id="111" w:name="_Toc21304"/>
      <w:r>
        <w:rPr>
          <w:rFonts w:hint="eastAsia" w:ascii="宋体" w:hAnsi="宋体"/>
          <w:b/>
          <w:color w:val="000000" w:themeColor="text1"/>
          <w:szCs w:val="21"/>
          <w:highlight w:val="none"/>
          <w14:textFill>
            <w14:solidFill>
              <w14:schemeClr w14:val="tx1"/>
            </w14:solidFill>
          </w14:textFill>
        </w:rPr>
        <w:t>2、服务数量:</w:t>
      </w:r>
      <w:bookmarkEnd w:id="111"/>
    </w:p>
    <w:p w14:paraId="1787B00E">
      <w:pPr>
        <w:snapToGrid w:val="0"/>
        <w:spacing w:line="340" w:lineRule="exact"/>
        <w:ind w:firstLine="422" w:firstLineChars="200"/>
        <w:outlineLvl w:val="0"/>
        <w:rPr>
          <w:rFonts w:hint="eastAsia" w:ascii="宋体" w:hAnsi="宋体"/>
          <w:b/>
          <w:color w:val="000000" w:themeColor="text1"/>
          <w:szCs w:val="21"/>
          <w:highlight w:val="none"/>
          <w14:textFill>
            <w14:solidFill>
              <w14:schemeClr w14:val="tx1"/>
            </w14:solidFill>
          </w14:textFill>
        </w:rPr>
      </w:pPr>
      <w:bookmarkStart w:id="112" w:name="_Toc2358"/>
      <w:r>
        <w:rPr>
          <w:rFonts w:hint="eastAsia" w:ascii="宋体" w:hAnsi="宋体"/>
          <w:b/>
          <w:color w:val="000000" w:themeColor="text1"/>
          <w:szCs w:val="21"/>
          <w:highlight w:val="none"/>
          <w14:textFill>
            <w14:solidFill>
              <w14:schemeClr w14:val="tx1"/>
            </w14:solidFill>
          </w14:textFill>
        </w:rPr>
        <w:t>3、服务内容:</w:t>
      </w:r>
      <w:bookmarkEnd w:id="112"/>
    </w:p>
    <w:p w14:paraId="310ED2C6">
      <w:pPr>
        <w:snapToGrid w:val="0"/>
        <w:spacing w:line="34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第二条　合同金额</w:t>
      </w:r>
    </w:p>
    <w:p w14:paraId="0FF76846">
      <w:pPr>
        <w:snapToGrid w:val="0"/>
        <w:spacing w:line="34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本项目(分标)合同金额(大写)人民币_________________(</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元 )</w:t>
      </w:r>
      <w:r>
        <w:rPr>
          <w:rFonts w:hint="eastAsia" w:ascii="宋体" w:hAnsi="宋体"/>
          <w:color w:val="000000" w:themeColor="text1"/>
          <w:szCs w:val="21"/>
          <w:highlight w:val="none"/>
          <w14:textFill>
            <w14:solidFill>
              <w14:schemeClr w14:val="tx1"/>
            </w14:solidFill>
          </w14:textFill>
        </w:rPr>
        <w:t>。</w:t>
      </w:r>
    </w:p>
    <w:p w14:paraId="32E15E73">
      <w:pPr>
        <w:snapToGrid w:val="0"/>
        <w:spacing w:line="340" w:lineRule="exact"/>
        <w:ind w:firstLine="422" w:firstLineChars="200"/>
        <w:outlineLvl w:val="0"/>
        <w:rPr>
          <w:rFonts w:hint="eastAsia" w:ascii="宋体" w:hAnsi="宋体"/>
          <w:b/>
          <w:color w:val="000000" w:themeColor="text1"/>
          <w:szCs w:val="21"/>
          <w:highlight w:val="none"/>
          <w14:textFill>
            <w14:solidFill>
              <w14:schemeClr w14:val="tx1"/>
            </w14:solidFill>
          </w14:textFill>
        </w:rPr>
      </w:pPr>
      <w:bookmarkStart w:id="113" w:name="_Toc30660"/>
      <w:r>
        <w:rPr>
          <w:rFonts w:hint="eastAsia" w:ascii="宋体" w:hAnsi="宋体"/>
          <w:b/>
          <w:color w:val="000000" w:themeColor="text1"/>
          <w:szCs w:val="21"/>
          <w:highlight w:val="none"/>
          <w14:textFill>
            <w14:solidFill>
              <w14:schemeClr w14:val="tx1"/>
            </w14:solidFill>
          </w14:textFill>
        </w:rPr>
        <w:t>第三条　交付时间及地点</w:t>
      </w:r>
      <w:bookmarkEnd w:id="113"/>
    </w:p>
    <w:p w14:paraId="7A76EA65">
      <w:pPr>
        <w:snapToGrid w:val="0"/>
        <w:spacing w:line="340" w:lineRule="exact"/>
        <w:ind w:firstLine="422" w:firstLineChars="200"/>
        <w:outlineLvl w:val="0"/>
        <w:rPr>
          <w:rFonts w:hint="eastAsia" w:ascii="宋体" w:hAnsi="宋体"/>
          <w:b/>
          <w:color w:val="000000" w:themeColor="text1"/>
          <w:szCs w:val="21"/>
          <w:highlight w:val="none"/>
          <w14:textFill>
            <w14:solidFill>
              <w14:schemeClr w14:val="tx1"/>
            </w14:solidFill>
          </w14:textFill>
        </w:rPr>
      </w:pPr>
      <w:bookmarkStart w:id="114" w:name="_Toc28852"/>
      <w:r>
        <w:rPr>
          <w:rFonts w:hint="eastAsia" w:ascii="宋体" w:hAnsi="宋体"/>
          <w:b/>
          <w:color w:val="000000" w:themeColor="text1"/>
          <w:szCs w:val="21"/>
          <w:highlight w:val="none"/>
          <w14:textFill>
            <w14:solidFill>
              <w14:schemeClr w14:val="tx1"/>
            </w14:solidFill>
          </w14:textFill>
        </w:rPr>
        <w:t>1、交付时间:</w:t>
      </w:r>
      <w:r>
        <w:rPr>
          <w:rFonts w:hint="eastAsia" w:ascii="宋体" w:hAnsi="宋体" w:cs="宋体"/>
          <w:snapToGrid w:val="0"/>
          <w:color w:val="000000" w:themeColor="text1"/>
          <w:spacing w:val="-2"/>
          <w:kern w:val="0"/>
          <w:szCs w:val="21"/>
          <w:highlight w:val="none"/>
          <w:lang w:val="zh-CN" w:bidi="zh-CN"/>
          <w14:textFill>
            <w14:solidFill>
              <w14:schemeClr w14:val="tx1"/>
            </w14:solidFill>
          </w14:textFill>
        </w:rPr>
        <w:t>自签订合同之日起</w:t>
      </w:r>
      <w:r>
        <w:rPr>
          <w:rFonts w:hint="eastAsia" w:ascii="宋体" w:hAnsi="宋体" w:cs="宋体"/>
          <w:snapToGrid w:val="0"/>
          <w:color w:val="000000" w:themeColor="text1"/>
          <w:spacing w:val="-2"/>
          <w:kern w:val="0"/>
          <w:szCs w:val="21"/>
          <w:highlight w:val="none"/>
          <w:u w:val="single"/>
          <w:lang w:val="zh-CN" w:bidi="zh-CN"/>
          <w14:textFill>
            <w14:solidFill>
              <w14:schemeClr w14:val="tx1"/>
            </w14:solidFill>
          </w14:textFill>
        </w:rPr>
        <w:t xml:space="preserve"> </w:t>
      </w:r>
      <w:r>
        <w:rPr>
          <w:rFonts w:hint="eastAsia" w:ascii="宋体" w:hAnsi="宋体" w:cs="宋体"/>
          <w:snapToGrid w:val="0"/>
          <w:color w:val="000000" w:themeColor="text1"/>
          <w:spacing w:val="-2"/>
          <w:kern w:val="0"/>
          <w:szCs w:val="21"/>
          <w:highlight w:val="none"/>
          <w:u w:val="single"/>
          <w:lang w:bidi="zh-CN"/>
          <w14:textFill>
            <w14:solidFill>
              <w14:schemeClr w14:val="tx1"/>
            </w14:solidFill>
          </w14:textFill>
        </w:rPr>
        <w:t xml:space="preserve"> 180 </w:t>
      </w:r>
      <w:r>
        <w:rPr>
          <w:rFonts w:hint="eastAsia" w:ascii="宋体" w:hAnsi="宋体" w:cs="宋体"/>
          <w:snapToGrid w:val="0"/>
          <w:color w:val="000000" w:themeColor="text1"/>
          <w:spacing w:val="-2"/>
          <w:kern w:val="0"/>
          <w:szCs w:val="21"/>
          <w:highlight w:val="none"/>
          <w:u w:val="single"/>
          <w:lang w:val="zh-CN" w:bidi="zh-CN"/>
          <w14:textFill>
            <w14:solidFill>
              <w14:schemeClr w14:val="tx1"/>
            </w14:solidFill>
          </w14:textFill>
        </w:rPr>
        <w:t xml:space="preserve"> </w:t>
      </w:r>
      <w:r>
        <w:rPr>
          <w:rFonts w:hint="eastAsia" w:ascii="宋体" w:hAnsi="宋体" w:cs="宋体"/>
          <w:snapToGrid w:val="0"/>
          <w:color w:val="000000" w:themeColor="text1"/>
          <w:spacing w:val="-2"/>
          <w:kern w:val="0"/>
          <w:szCs w:val="21"/>
          <w:highlight w:val="none"/>
          <w:lang w:val="zh-CN" w:bidi="zh-CN"/>
          <w14:textFill>
            <w14:solidFill>
              <w14:schemeClr w14:val="tx1"/>
            </w14:solidFill>
          </w14:textFill>
        </w:rPr>
        <w:t>日历日内全部交付完成并验收合格</w:t>
      </w:r>
      <w:r>
        <w:rPr>
          <w:rFonts w:hint="eastAsia" w:ascii="宋体" w:hAnsi="宋体" w:cs="宋体"/>
          <w:color w:val="000000" w:themeColor="text1"/>
          <w:szCs w:val="21"/>
          <w:highlight w:val="none"/>
          <w14:textFill>
            <w14:solidFill>
              <w14:schemeClr w14:val="tx1"/>
            </w14:solidFill>
          </w14:textFill>
        </w:rPr>
        <w:t>。</w:t>
      </w:r>
      <w:bookmarkEnd w:id="114"/>
    </w:p>
    <w:p w14:paraId="51CA81CD">
      <w:pPr>
        <w:snapToGrid w:val="0"/>
        <w:spacing w:line="340" w:lineRule="exact"/>
        <w:ind w:firstLine="422" w:firstLineChars="200"/>
        <w:outlineLvl w:val="0"/>
        <w:rPr>
          <w:rFonts w:hint="eastAsia" w:ascii="宋体" w:hAnsi="宋体"/>
          <w:color w:val="000000" w:themeColor="text1"/>
          <w:szCs w:val="21"/>
          <w:highlight w:val="none"/>
          <w14:textFill>
            <w14:solidFill>
              <w14:schemeClr w14:val="tx1"/>
            </w14:solidFill>
          </w14:textFill>
        </w:rPr>
      </w:pPr>
      <w:bookmarkStart w:id="115" w:name="_Toc5515"/>
      <w:r>
        <w:rPr>
          <w:rFonts w:hint="eastAsia" w:ascii="宋体" w:hAnsi="宋体"/>
          <w:b/>
          <w:color w:val="000000" w:themeColor="text1"/>
          <w:szCs w:val="21"/>
          <w:highlight w:val="none"/>
          <w14:textFill>
            <w14:solidFill>
              <w14:schemeClr w14:val="tx1"/>
            </w14:solidFill>
          </w14:textFill>
        </w:rPr>
        <w:t>2、地点:</w:t>
      </w:r>
      <w:r>
        <w:rPr>
          <w:rFonts w:hint="eastAsia" w:ascii="宋体" w:hAnsi="宋体" w:cs="宋体"/>
          <w:color w:val="000000" w:themeColor="text1"/>
          <w:szCs w:val="21"/>
          <w:highlight w:val="none"/>
          <w14:textFill>
            <w14:solidFill>
              <w14:schemeClr w14:val="tx1"/>
            </w14:solidFill>
          </w14:textFill>
        </w:rPr>
        <w:t>甲方指定地点。</w:t>
      </w:r>
      <w:bookmarkEnd w:id="115"/>
    </w:p>
    <w:p w14:paraId="5E1660AC">
      <w:pPr>
        <w:snapToGrid w:val="0"/>
        <w:spacing w:line="340" w:lineRule="exact"/>
        <w:ind w:firstLine="422" w:firstLineChars="200"/>
        <w:outlineLvl w:val="0"/>
        <w:rPr>
          <w:rFonts w:hint="eastAsia" w:ascii="宋体" w:hAnsi="宋体"/>
          <w:b/>
          <w:color w:val="000000" w:themeColor="text1"/>
          <w:szCs w:val="21"/>
          <w:highlight w:val="none"/>
          <w14:textFill>
            <w14:solidFill>
              <w14:schemeClr w14:val="tx1"/>
            </w14:solidFill>
          </w14:textFill>
        </w:rPr>
      </w:pPr>
      <w:bookmarkStart w:id="116" w:name="_Toc8130"/>
      <w:r>
        <w:rPr>
          <w:rFonts w:hint="eastAsia" w:ascii="宋体" w:hAnsi="宋体"/>
          <w:b/>
          <w:color w:val="000000" w:themeColor="text1"/>
          <w:szCs w:val="21"/>
          <w:highlight w:val="none"/>
          <w14:textFill>
            <w14:solidFill>
              <w14:schemeClr w14:val="tx1"/>
            </w14:solidFill>
          </w14:textFill>
        </w:rPr>
        <w:t>第四条　售后服务、质保期</w:t>
      </w:r>
      <w:bookmarkEnd w:id="116"/>
    </w:p>
    <w:p w14:paraId="4DD726D6">
      <w:pPr>
        <w:snapToGrid w:val="0"/>
        <w:spacing w:line="340" w:lineRule="exact"/>
        <w:ind w:firstLine="420" w:firstLineChars="2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乙方所提供的服务必须与招投标文件和承诺相一致且符合相应的服务规范及标准。</w:t>
      </w:r>
    </w:p>
    <w:p w14:paraId="474962E2">
      <w:pPr>
        <w:snapToGrid w:val="0"/>
        <w:spacing w:line="340" w:lineRule="exact"/>
        <w:ind w:firstLine="422" w:firstLineChars="200"/>
        <w:outlineLvl w:val="0"/>
        <w:rPr>
          <w:rFonts w:hint="eastAsia" w:ascii="宋体" w:hAnsi="宋体"/>
          <w:color w:val="000000" w:themeColor="text1"/>
          <w:szCs w:val="21"/>
          <w:highlight w:val="none"/>
          <w14:textFill>
            <w14:solidFill>
              <w14:schemeClr w14:val="tx1"/>
            </w14:solidFill>
          </w14:textFill>
        </w:rPr>
      </w:pPr>
      <w:bookmarkStart w:id="117" w:name="_Toc24534"/>
      <w:r>
        <w:rPr>
          <w:rFonts w:hint="eastAsia" w:ascii="宋体" w:hAnsi="宋体"/>
          <w:b/>
          <w:color w:val="000000" w:themeColor="text1"/>
          <w:szCs w:val="21"/>
          <w:highlight w:val="none"/>
          <w14:textFill>
            <w14:solidFill>
              <w14:schemeClr w14:val="tx1"/>
            </w14:solidFill>
          </w14:textFill>
        </w:rPr>
        <w:t>第五条　付款方式</w:t>
      </w:r>
      <w:bookmarkEnd w:id="117"/>
    </w:p>
    <w:p w14:paraId="57020D0C">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_______________</w:t>
      </w:r>
      <w:r>
        <w:rPr>
          <w:rFonts w:hint="eastAsia" w:ascii="宋体" w:hAnsi="宋体"/>
          <w:b/>
          <w:color w:val="000000" w:themeColor="text1"/>
          <w:szCs w:val="21"/>
          <w:highlight w:val="none"/>
          <w:u w:val="singl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__</w:t>
      </w:r>
    </w:p>
    <w:p w14:paraId="3F70F34E">
      <w:pPr>
        <w:pStyle w:val="46"/>
        <w:keepNext w:val="0"/>
        <w:keepLines w:val="0"/>
        <w:widowControl/>
        <w:suppressLineNumbers w:val="0"/>
        <w:shd w:val="clear" w:fill="FFFFFF"/>
        <w:spacing w:before="0" w:beforeAutospacing="0" w:after="0" w:afterAutospacing="0" w:line="18" w:lineRule="atLeast"/>
        <w:ind w:left="0" w:right="0" w:firstLine="420"/>
        <w:jc w:val="left"/>
        <w:textAlignment w:val="baseline"/>
        <w:rPr>
          <w:rFonts w:hint="default" w:ascii="Times New Roman" w:hAnsi="Times New Roman" w:cs="Times New Roman"/>
          <w:i w:val="0"/>
          <w:iCs w:val="0"/>
          <w:caps w:val="0"/>
          <w:color w:val="000000" w:themeColor="text1"/>
          <w:spacing w:val="0"/>
          <w:sz w:val="2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第六条　履约保证金：</w:t>
      </w:r>
      <w:r>
        <w:rPr>
          <w:rFonts w:ascii="Arial" w:hAnsi="Arial" w:cs="Arial"/>
          <w:i w:val="0"/>
          <w:iCs w:val="0"/>
          <w:caps w:val="0"/>
          <w:color w:val="000000" w:themeColor="text1"/>
          <w:spacing w:val="0"/>
          <w:sz w:val="21"/>
          <w:szCs w:val="21"/>
          <w:highlight w:val="none"/>
          <w:shd w:val="clear" w:fill="FFFFFF"/>
          <w:vertAlign w:val="baseline"/>
          <w14:textFill>
            <w14:solidFill>
              <w14:schemeClr w14:val="tx1"/>
            </w14:solidFill>
          </w14:textFill>
        </w:rPr>
        <w:t>履约保证金金额（人民币）：按</w:t>
      </w:r>
      <w:r>
        <w:rPr>
          <w:rFonts w:hint="eastAsia" w:ascii="Arial" w:hAnsi="Arial" w:cs="Arial"/>
          <w:i w:val="0"/>
          <w:iCs w:val="0"/>
          <w:caps w:val="0"/>
          <w:color w:val="000000" w:themeColor="text1"/>
          <w:spacing w:val="0"/>
          <w:sz w:val="21"/>
          <w:szCs w:val="21"/>
          <w:highlight w:val="none"/>
          <w:shd w:val="clear" w:fill="FFFFFF"/>
          <w:vertAlign w:val="baseline"/>
          <w:lang w:val="en-US" w:eastAsia="zh-CN"/>
          <w14:textFill>
            <w14:solidFill>
              <w14:schemeClr w14:val="tx1"/>
            </w14:solidFill>
          </w14:textFill>
        </w:rPr>
        <w:t>中标</w:t>
      </w:r>
      <w:r>
        <w:rPr>
          <w:rFonts w:ascii="Arial" w:hAnsi="Arial" w:cs="Arial"/>
          <w:i w:val="0"/>
          <w:iCs w:val="0"/>
          <w:caps w:val="0"/>
          <w:color w:val="000000" w:themeColor="text1"/>
          <w:spacing w:val="0"/>
          <w:sz w:val="21"/>
          <w:szCs w:val="21"/>
          <w:highlight w:val="none"/>
          <w:shd w:val="clear" w:fill="FFFFFF"/>
          <w:vertAlign w:val="baseline"/>
          <w14:textFill>
            <w14:solidFill>
              <w14:schemeClr w14:val="tx1"/>
            </w14:solidFill>
          </w14:textFill>
        </w:rPr>
        <w:t>金额的5%</w:t>
      </w:r>
      <w:r>
        <w:rPr>
          <w:rFonts w:hint="eastAsia" w:ascii="Arial" w:hAnsi="Arial" w:cs="Arial"/>
          <w:i w:val="0"/>
          <w:iCs w:val="0"/>
          <w:caps w:val="0"/>
          <w:color w:val="000000" w:themeColor="text1"/>
          <w:spacing w:val="0"/>
          <w:sz w:val="21"/>
          <w:szCs w:val="21"/>
          <w:highlight w:val="none"/>
          <w:shd w:val="clear" w:fill="FFFFFF"/>
          <w:vertAlign w:val="baseline"/>
          <w:lang w:eastAsia="zh-CN"/>
          <w14:textFill>
            <w14:solidFill>
              <w14:schemeClr w14:val="tx1"/>
            </w14:solidFill>
          </w14:textFill>
        </w:rPr>
        <w:t>，</w:t>
      </w:r>
      <w:r>
        <w:rPr>
          <w:rFonts w:hint="eastAsia" w:ascii="Arial" w:hAnsi="Arial" w:cs="Arial"/>
          <w:i w:val="0"/>
          <w:iCs w:val="0"/>
          <w:caps w:val="0"/>
          <w:color w:val="000000" w:themeColor="text1"/>
          <w:spacing w:val="0"/>
          <w:sz w:val="21"/>
          <w:szCs w:val="21"/>
          <w:highlight w:val="none"/>
          <w:shd w:val="clear" w:fill="FFFFFF"/>
          <w:vertAlign w:val="baseline"/>
          <w:lang w:val="en-US" w:eastAsia="zh-CN"/>
          <w14:textFill>
            <w14:solidFill>
              <w14:schemeClr w14:val="tx1"/>
            </w14:solidFill>
          </w14:textFill>
        </w:rPr>
        <w:t>中小企业按中标金额的2%</w:t>
      </w:r>
      <w:r>
        <w:rPr>
          <w:rFonts w:ascii="Arial" w:hAnsi="Arial" w:cs="Arial"/>
          <w:i w:val="0"/>
          <w:iCs w:val="0"/>
          <w:caps w:val="0"/>
          <w:color w:val="000000" w:themeColor="text1"/>
          <w:spacing w:val="0"/>
          <w:sz w:val="21"/>
          <w:szCs w:val="21"/>
          <w:highlight w:val="none"/>
          <w:shd w:val="clear" w:fill="FFFFFF"/>
          <w:vertAlign w:val="baseline"/>
          <w14:textFill>
            <w14:solidFill>
              <w14:schemeClr w14:val="tx1"/>
            </w14:solidFill>
          </w14:textFill>
        </w:rPr>
        <w:t>。履约保证金递交方式：以转账或电汇等非现金形式在领取</w:t>
      </w:r>
      <w:r>
        <w:rPr>
          <w:rFonts w:hint="eastAsia" w:ascii="Arial" w:hAnsi="Arial" w:cs="Arial"/>
          <w:i w:val="0"/>
          <w:iCs w:val="0"/>
          <w:caps w:val="0"/>
          <w:color w:val="000000" w:themeColor="text1"/>
          <w:spacing w:val="0"/>
          <w:sz w:val="21"/>
          <w:szCs w:val="21"/>
          <w:highlight w:val="none"/>
          <w:shd w:val="clear" w:fill="FFFFFF"/>
          <w:vertAlign w:val="baseline"/>
          <w:lang w:val="en-US" w:eastAsia="zh-CN"/>
          <w14:textFill>
            <w14:solidFill>
              <w14:schemeClr w14:val="tx1"/>
            </w14:solidFill>
          </w14:textFill>
        </w:rPr>
        <w:t>中标</w:t>
      </w:r>
      <w:r>
        <w:rPr>
          <w:rFonts w:ascii="Arial" w:hAnsi="Arial" w:cs="Arial"/>
          <w:i w:val="0"/>
          <w:iCs w:val="0"/>
          <w:caps w:val="0"/>
          <w:color w:val="000000" w:themeColor="text1"/>
          <w:spacing w:val="0"/>
          <w:sz w:val="21"/>
          <w:szCs w:val="21"/>
          <w:highlight w:val="none"/>
          <w:shd w:val="clear" w:fill="FFFFFF"/>
          <w:vertAlign w:val="baseline"/>
          <w14:textFill>
            <w14:solidFill>
              <w14:schemeClr w14:val="tx1"/>
            </w14:solidFill>
          </w14:textFill>
        </w:rPr>
        <w:t>通知书前从乙方基本账户交至以下账户：</w:t>
      </w:r>
      <w:r>
        <w:rPr>
          <w:rFonts w:hint="default" w:ascii="Arial" w:hAnsi="Arial" w:cs="Arial"/>
          <w:b/>
          <w:bCs/>
          <w:i w:val="0"/>
          <w:iCs w:val="0"/>
          <w:caps w:val="0"/>
          <w:color w:val="000000" w:themeColor="text1"/>
          <w:spacing w:val="0"/>
          <w:sz w:val="21"/>
          <w:szCs w:val="21"/>
          <w:highlight w:val="none"/>
          <w:shd w:val="clear" w:fill="FFFFFF"/>
          <w:vertAlign w:val="baseline"/>
          <w14:textFill>
            <w14:solidFill>
              <w14:schemeClr w14:val="tx1"/>
            </w14:solidFill>
          </w14:textFill>
        </w:rPr>
        <w:t>开户名称：</w:t>
      </w:r>
      <w:r>
        <w:rPr>
          <w:rFonts w:hint="default" w:ascii="Arial" w:hAnsi="Arial" w:cs="Arial"/>
          <w:b/>
          <w:bCs/>
          <w:i w:val="0"/>
          <w:iCs w:val="0"/>
          <w:caps w:val="0"/>
          <w:color w:val="000000" w:themeColor="text1"/>
          <w:spacing w:val="0"/>
          <w:sz w:val="21"/>
          <w:szCs w:val="21"/>
          <w:highlight w:val="none"/>
          <w:shd w:val="clear" w:fill="FFFFFF"/>
          <w:vertAlign w:val="baseline"/>
          <w:lang w:val="en-US"/>
          <w14:textFill>
            <w14:solidFill>
              <w14:schemeClr w14:val="tx1"/>
            </w14:solidFill>
          </w14:textFill>
        </w:rPr>
        <w:t>桂林医科大学</w:t>
      </w:r>
      <w:r>
        <w:rPr>
          <w:rFonts w:hint="default" w:ascii="Arial" w:hAnsi="Arial" w:cs="Arial"/>
          <w:b/>
          <w:bCs/>
          <w:i w:val="0"/>
          <w:iCs w:val="0"/>
          <w:caps w:val="0"/>
          <w:color w:val="000000" w:themeColor="text1"/>
          <w:spacing w:val="0"/>
          <w:sz w:val="21"/>
          <w:szCs w:val="21"/>
          <w:highlight w:val="none"/>
          <w:shd w:val="clear" w:fill="FFFFFF"/>
          <w:vertAlign w:val="baseline"/>
          <w14:textFill>
            <w14:solidFill>
              <w14:schemeClr w14:val="tx1"/>
            </w14:solidFill>
          </w14:textFill>
        </w:rPr>
        <w:t>。开户银行：中国建设银行股份有限公司桂林致和路支行。账号：4500 1635 4130 5050 0589。本项目履约保证金，</w:t>
      </w:r>
      <w:r>
        <w:rPr>
          <w:rFonts w:hint="default" w:ascii="Arial" w:hAnsi="Arial" w:cs="Arial"/>
          <w:b/>
          <w:bCs/>
          <w:i w:val="0"/>
          <w:iCs w:val="0"/>
          <w:caps w:val="0"/>
          <w:color w:val="000000" w:themeColor="text1"/>
          <w:spacing w:val="0"/>
          <w:sz w:val="21"/>
          <w:szCs w:val="21"/>
          <w:highlight w:val="none"/>
          <w:shd w:val="clear" w:fill="FFFFFF"/>
          <w:vertAlign w:val="baseline"/>
          <w:lang w:val="en-US"/>
          <w14:textFill>
            <w14:solidFill>
              <w14:schemeClr w14:val="tx1"/>
            </w14:solidFill>
          </w14:textFill>
        </w:rPr>
        <w:t>项目</w:t>
      </w:r>
      <w:r>
        <w:rPr>
          <w:rFonts w:hint="default" w:ascii="Arial" w:hAnsi="Arial" w:cs="Arial"/>
          <w:b/>
          <w:bCs/>
          <w:i w:val="0"/>
          <w:iCs w:val="0"/>
          <w:caps w:val="0"/>
          <w:color w:val="000000" w:themeColor="text1"/>
          <w:spacing w:val="0"/>
          <w:sz w:val="21"/>
          <w:szCs w:val="21"/>
          <w:highlight w:val="none"/>
          <w:shd w:val="clear" w:fill="FFFFFF"/>
          <w:vertAlign w:val="baseline"/>
          <w14:textFill>
            <w14:solidFill>
              <w14:schemeClr w14:val="tx1"/>
            </w14:solidFill>
          </w14:textFill>
        </w:rPr>
        <w:t>验收</w:t>
      </w:r>
      <w:r>
        <w:rPr>
          <w:rFonts w:hint="default" w:ascii="Arial" w:hAnsi="Arial" w:cs="Arial"/>
          <w:b/>
          <w:bCs/>
          <w:i w:val="0"/>
          <w:iCs w:val="0"/>
          <w:caps w:val="0"/>
          <w:color w:val="000000" w:themeColor="text1"/>
          <w:spacing w:val="0"/>
          <w:sz w:val="21"/>
          <w:szCs w:val="21"/>
          <w:highlight w:val="none"/>
          <w:shd w:val="clear" w:fill="FFFFFF"/>
          <w:vertAlign w:val="baseline"/>
          <w:lang w:val="en-US"/>
          <w14:textFill>
            <w14:solidFill>
              <w14:schemeClr w14:val="tx1"/>
            </w14:solidFill>
          </w14:textFill>
        </w:rPr>
        <w:t>合格后</w:t>
      </w:r>
      <w:r>
        <w:rPr>
          <w:rFonts w:hint="default" w:ascii="Arial" w:hAnsi="Arial" w:cs="Arial"/>
          <w:b/>
          <w:bCs/>
          <w:i w:val="0"/>
          <w:iCs w:val="0"/>
          <w:caps w:val="0"/>
          <w:color w:val="000000" w:themeColor="text1"/>
          <w:spacing w:val="0"/>
          <w:sz w:val="21"/>
          <w:szCs w:val="21"/>
          <w:highlight w:val="none"/>
          <w:shd w:val="clear" w:fill="FFFFFF"/>
          <w:vertAlign w:val="baseline"/>
          <w14:textFill>
            <w14:solidFill>
              <w14:schemeClr w14:val="tx1"/>
            </w14:solidFill>
          </w14:textFill>
        </w:rPr>
        <w:t>乙方如无违约行为，甲方收到乙方提交退还履约保证金申请书后20个工作日内将履约保证金无息退回乙方。</w:t>
      </w:r>
    </w:p>
    <w:p w14:paraId="413721B2">
      <w:pPr>
        <w:pStyle w:val="46"/>
        <w:keepNext w:val="0"/>
        <w:keepLines w:val="0"/>
        <w:widowControl/>
        <w:suppressLineNumbers w:val="0"/>
        <w:shd w:val="clear" w:fill="FFFFFF"/>
        <w:spacing w:before="0" w:beforeAutospacing="0" w:after="0" w:afterAutospacing="0" w:line="18" w:lineRule="atLeast"/>
        <w:ind w:left="0" w:right="0" w:firstLine="420"/>
        <w:jc w:val="left"/>
        <w:textAlignment w:val="baseline"/>
        <w:rPr>
          <w:rFonts w:hint="default" w:ascii="Times New Roman" w:hAnsi="Times New Roman" w:cs="Times New Roman"/>
          <w:i w:val="0"/>
          <w:iCs w:val="0"/>
          <w:caps w:val="0"/>
          <w:color w:val="000000" w:themeColor="text1"/>
          <w:spacing w:val="0"/>
          <w:sz w:val="21"/>
          <w:szCs w:val="21"/>
          <w:highlight w:val="none"/>
          <w14:textFill>
            <w14:solidFill>
              <w14:schemeClr w14:val="tx1"/>
            </w14:solidFill>
          </w14:textFill>
        </w:rPr>
      </w:pPr>
      <w:r>
        <w:rPr>
          <w:rFonts w:hint="default" w:ascii="Arial" w:hAnsi="Arial" w:cs="Arial"/>
          <w:i w:val="0"/>
          <w:iCs w:val="0"/>
          <w:caps w:val="0"/>
          <w:color w:val="000000" w:themeColor="text1"/>
          <w:spacing w:val="0"/>
          <w:sz w:val="21"/>
          <w:szCs w:val="21"/>
          <w:highlight w:val="none"/>
          <w:shd w:val="clear" w:fill="FFFFFF"/>
          <w:vertAlign w:val="baseline"/>
          <w14:textFill>
            <w14:solidFill>
              <w14:schemeClr w14:val="tx1"/>
            </w14:solidFill>
          </w14:textFill>
        </w:rPr>
        <w:t>履约保证金退还方式及时间、条件、不予退还的情形：履约保证金自合同生效之日起生效至合同材料验收证书28天后失效，质保期满后，乙方可向甲方申请办理履约保证金的退付手续；如果乙方不履行合同约定的义务或其履行不符合合同的约定，甲方有权扣划全部或相应金额的履约保证金。</w:t>
      </w:r>
    </w:p>
    <w:p w14:paraId="12C9DCFD">
      <w:pPr>
        <w:pStyle w:val="46"/>
        <w:keepNext w:val="0"/>
        <w:keepLines w:val="0"/>
        <w:widowControl/>
        <w:suppressLineNumbers w:val="0"/>
        <w:shd w:val="clear" w:fill="FFFFFF"/>
        <w:spacing w:before="0" w:beforeAutospacing="0" w:after="0" w:afterAutospacing="0" w:line="18" w:lineRule="atLeast"/>
        <w:ind w:left="0" w:right="0" w:firstLine="420"/>
        <w:jc w:val="left"/>
        <w:textAlignment w:val="baseline"/>
        <w:rPr>
          <w:rFonts w:hint="default" w:ascii="Times New Roman" w:hAnsi="Times New Roman" w:cs="Times New Roman"/>
          <w:i w:val="0"/>
          <w:iCs w:val="0"/>
          <w:caps w:val="0"/>
          <w:color w:val="000000" w:themeColor="text1"/>
          <w:spacing w:val="0"/>
          <w:sz w:val="21"/>
          <w:szCs w:val="21"/>
          <w:highlight w:val="none"/>
          <w14:textFill>
            <w14:solidFill>
              <w14:schemeClr w14:val="tx1"/>
            </w14:solidFill>
          </w14:textFill>
        </w:rPr>
      </w:pPr>
      <w:r>
        <w:rPr>
          <w:rFonts w:hint="default" w:ascii="Arial" w:hAnsi="Arial" w:cs="Arial"/>
          <w:i w:val="0"/>
          <w:iCs w:val="0"/>
          <w:caps w:val="0"/>
          <w:color w:val="000000" w:themeColor="text1"/>
          <w:spacing w:val="0"/>
          <w:sz w:val="21"/>
          <w:szCs w:val="21"/>
          <w:highlight w:val="none"/>
          <w:shd w:val="clear" w:fill="FFFFFF"/>
          <w:vertAlign w:val="baseline"/>
          <w14:textFill>
            <w14:solidFill>
              <w14:schemeClr w14:val="tx1"/>
            </w14:solidFill>
          </w14:textFill>
        </w:rPr>
        <w:t>履约保证金符合退还条件的，甲方在收到乙方提交的履约保证金退付申请之日起 20个工作日内退还履约保证金，如未在规定时间内退还的，乙方可予以催告，经乙方催告后30天内仍未退还履约保证金的，甲方应按中国人民银行发布的同期同类贷款基准利率向乙方支付自催告日期起的利息。</w:t>
      </w:r>
    </w:p>
    <w:p w14:paraId="279FA63A">
      <w:pPr>
        <w:snapToGrid w:val="0"/>
        <w:spacing w:line="340" w:lineRule="exact"/>
        <w:ind w:left="-61" w:leftChars="-29"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第七条  税费本合同执行中相关的一切税费均由乙方负担。</w:t>
      </w:r>
    </w:p>
    <w:p w14:paraId="5B20B581">
      <w:pPr>
        <w:snapToGrid w:val="0"/>
        <w:spacing w:line="340" w:lineRule="exact"/>
        <w:ind w:left="-61" w:leftChars="-29" w:firstLine="422" w:firstLineChars="200"/>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第八条  验收</w:t>
      </w:r>
    </w:p>
    <w:p w14:paraId="2B470222">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 </w:t>
      </w:r>
      <w:r>
        <w:rPr>
          <w:rFonts w:hint="eastAsia"/>
          <w:bCs/>
          <w:color w:val="000000" w:themeColor="text1"/>
          <w:highlight w:val="none"/>
          <w14:textFill>
            <w14:solidFill>
              <w14:schemeClr w14:val="tx1"/>
            </w14:solidFill>
          </w14:textFill>
        </w:rPr>
        <w:t>甲方收到</w:t>
      </w:r>
      <w:r>
        <w:rPr>
          <w:rFonts w:hint="eastAsia"/>
          <w:color w:val="000000" w:themeColor="text1"/>
          <w:highlight w:val="none"/>
          <w14:textFill>
            <w14:solidFill>
              <w14:schemeClr w14:val="tx1"/>
            </w14:solidFill>
          </w14:textFill>
        </w:rPr>
        <w:t>乙方</w:t>
      </w:r>
      <w:r>
        <w:rPr>
          <w:rFonts w:hint="eastAsia"/>
          <w:bCs/>
          <w:color w:val="000000" w:themeColor="text1"/>
          <w:highlight w:val="none"/>
          <w14:textFill>
            <w14:solidFill>
              <w14:schemeClr w14:val="tx1"/>
            </w14:solidFill>
          </w14:textFill>
        </w:rPr>
        <w:t>的组织验收申请之日起七个工作日内，</w:t>
      </w:r>
      <w:r>
        <w:rPr>
          <w:rFonts w:hint="eastAsia"/>
          <w:color w:val="000000" w:themeColor="text1"/>
          <w:highlight w:val="none"/>
          <w14:textFill>
            <w14:solidFill>
              <w14:schemeClr w14:val="tx1"/>
            </w14:solidFill>
          </w14:textFill>
        </w:rPr>
        <w:t>甲方</w:t>
      </w:r>
      <w:r>
        <w:rPr>
          <w:rFonts w:hint="eastAsia" w:ascii="宋体" w:hAnsi="宋体" w:cs="宋体"/>
          <w:color w:val="000000" w:themeColor="text1"/>
          <w:szCs w:val="21"/>
          <w:highlight w:val="none"/>
          <w:lang w:bidi="ar"/>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招标文件规定、投标文件承诺以及合同约定的质量、规格和性能</w:t>
      </w:r>
      <w:r>
        <w:rPr>
          <w:rFonts w:hint="eastAsia" w:ascii="宋体" w:hAnsi="宋体" w:cs="宋体"/>
          <w:color w:val="000000" w:themeColor="text1"/>
          <w:szCs w:val="21"/>
          <w:highlight w:val="none"/>
          <w:lang w:bidi="ar"/>
          <w14:textFill>
            <w14:solidFill>
              <w14:schemeClr w14:val="tx1"/>
            </w14:solidFill>
          </w14:textFill>
        </w:rPr>
        <w:t>等各项技术指标</w:t>
      </w:r>
      <w:r>
        <w:rPr>
          <w:rFonts w:hint="eastAsia"/>
          <w:color w:val="000000" w:themeColor="text1"/>
          <w:highlight w:val="none"/>
          <w14:textFill>
            <w14:solidFill>
              <w14:schemeClr w14:val="tx1"/>
            </w14:solidFill>
          </w14:textFill>
        </w:rPr>
        <w:t>进行验收。验收时乙方必须指派人员到场，验收过程文件须由双方各自有权代表签字确认，验收报告则须由甲、乙双方盖章确认。</w:t>
      </w:r>
    </w:p>
    <w:p w14:paraId="33C51745">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乙方</w:t>
      </w:r>
      <w:r>
        <w:rPr>
          <w:rFonts w:hint="eastAsia"/>
          <w:bCs/>
          <w:color w:val="000000" w:themeColor="text1"/>
          <w:highlight w:val="none"/>
          <w14:textFill>
            <w14:solidFill>
              <w14:schemeClr w14:val="tx1"/>
            </w14:solidFill>
          </w14:textFill>
        </w:rPr>
        <w:t>申请组织验收之</w:t>
      </w:r>
      <w:r>
        <w:rPr>
          <w:rFonts w:hint="eastAsia"/>
          <w:color w:val="000000" w:themeColor="text1"/>
          <w:highlight w:val="none"/>
          <w14:textFill>
            <w14:solidFill>
              <w14:schemeClr w14:val="tx1"/>
            </w14:solidFill>
          </w14:textFill>
        </w:rPr>
        <w:t>前应对提交的服务成果作出全面检查和对验收文件进行整理，并列出清单，作为甲方验收和使用的技术条件依据，检验结果应随服务成果交给甲方。</w:t>
      </w:r>
    </w:p>
    <w:p w14:paraId="60722D3C">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 对技术复杂的服务，甲方应委托国家认可的专业检测机构参与验收，并由其出具质量检测报告，验收费用由乙方承担。</w:t>
      </w:r>
    </w:p>
    <w:p w14:paraId="1591934E">
      <w:pPr>
        <w:snapToGrid w:val="0"/>
        <w:spacing w:line="340" w:lineRule="exact"/>
        <w:ind w:left="-61" w:leftChars="-29"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第九条　违约责任</w:t>
      </w:r>
    </w:p>
    <w:p w14:paraId="358203FA">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乙方的服务成果经验收后确认为不合格的，应在甲方要求的期限内整改完毕，整改不导致交付期限顺延。未按时完成整改的按逾期交付服务成果处理；因质量问题甲方不同意接收的或特殊情况甲方同意接收的，乙方应向甲方支付违约金额10%违约金并赔偿甲方经济损失。</w:t>
      </w:r>
    </w:p>
    <w:p w14:paraId="37C707E6">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2.乙方提供的服务如侵犯了第三方合法权益而引发的任何纠纷或诉讼，均由乙方负责交涉并承担全部责任。</w:t>
      </w:r>
    </w:p>
    <w:p w14:paraId="6F917FC8">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甲方无故延期接收服务、乙方逾期交付服务成果的，每天向对方偿付违约金额3‰的违约金，但违约金累计不得超过违约金额的5%，超过15天对方有权解除合同，违约方承担因此给对方造成经济损失；若为甲方解除合同的，乙方应在合同解除之日起五日内全额无息退还甲方已付款项；若为乙方解除合同的，乙方有权收回已交付的货物，应在合同解除之日起五日内全额无息退还甲方已付款项。甲方延期付款的，每天向乙方偿付延期应付金额3‰的滞纳金，但滞纳金累计不得超过延期付款金额的5%。</w:t>
      </w:r>
    </w:p>
    <w:p w14:paraId="596C01F3">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4.乙方未按本合同和投标文件中规定的服务承诺提供售后服务的，乙方应按本合同合计金额5%向甲方支付违约金。</w:t>
      </w:r>
    </w:p>
    <w:p w14:paraId="2F452215">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5.乙方提供的服务在质保期内，因质量原因造成的问题，由乙方负责，并赔偿经济损失。</w:t>
      </w:r>
    </w:p>
    <w:p w14:paraId="262C36B8">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6.其它违约行为按违约金额5%收取违约金并赔偿经济损失。</w:t>
      </w:r>
    </w:p>
    <w:p w14:paraId="7AA3CA24">
      <w:pPr>
        <w:snapToGrid w:val="0"/>
        <w:spacing w:line="340" w:lineRule="exact"/>
        <w:ind w:left="-61" w:leftChars="-29" w:firstLine="422" w:firstLineChars="200"/>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第十条 不可抗力事件处理</w:t>
      </w:r>
    </w:p>
    <w:p w14:paraId="0191E38B">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 在合同有效期内，任何一方因不可抗力事件导致不能履行合同，则合同履行期可延长，其延长期与不可抗力影响期相同。</w:t>
      </w:r>
    </w:p>
    <w:p w14:paraId="7B14F244">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不可抗力事件发生后，应立即通知对方，并寄送有关权威机构出具的证明。</w:t>
      </w:r>
    </w:p>
    <w:p w14:paraId="3F0F61D3">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 不可抗力事件延续一百二十天以上，双方应通过友好协商，确定是否继续履行合同。</w:t>
      </w:r>
    </w:p>
    <w:p w14:paraId="3E3B0AD6">
      <w:pPr>
        <w:snapToGrid w:val="0"/>
        <w:spacing w:line="340" w:lineRule="exact"/>
        <w:ind w:left="-61" w:leftChars="-29"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第十一条  合同争议解决</w:t>
      </w:r>
    </w:p>
    <w:p w14:paraId="150DEDBD">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1、因服务成果质量发生争议的，应邀请国家认可的质量检测机构对服务成果质量进行鉴定。服务成果符合</w:t>
      </w:r>
      <w:r>
        <w:rPr>
          <w:rFonts w:hint="eastAsia" w:ascii="宋体" w:hAnsi="宋体" w:cs="宋体"/>
          <w:color w:val="000000" w:themeColor="text1"/>
          <w:szCs w:val="21"/>
          <w:highlight w:val="none"/>
          <w14:textFill>
            <w14:solidFill>
              <w14:schemeClr w14:val="tx1"/>
            </w14:solidFill>
          </w14:textFill>
        </w:rPr>
        <w:t>招标文件规定、投标文件承诺以及合同约定的质量、规格和性能</w:t>
      </w:r>
      <w:r>
        <w:rPr>
          <w:rFonts w:hint="eastAsia" w:ascii="宋体" w:hAnsi="宋体" w:cs="宋体"/>
          <w:color w:val="000000" w:themeColor="text1"/>
          <w:szCs w:val="21"/>
          <w:highlight w:val="none"/>
          <w:lang w:bidi="ar"/>
          <w14:textFill>
            <w14:solidFill>
              <w14:schemeClr w14:val="tx1"/>
            </w14:solidFill>
          </w14:textFill>
        </w:rPr>
        <w:t>等各项技术指标</w:t>
      </w:r>
      <w:r>
        <w:rPr>
          <w:rFonts w:hint="eastAsia" w:ascii="宋体" w:hAnsi="宋体"/>
          <w:color w:val="000000" w:themeColor="text1"/>
          <w:szCs w:val="21"/>
          <w:highlight w:val="none"/>
          <w14:textFill>
            <w14:solidFill>
              <w14:schemeClr w14:val="tx1"/>
            </w14:solidFill>
          </w14:textFill>
        </w:rPr>
        <w:t>的，鉴定费由甲方承担；服务成果不符合标准的，鉴定费由乙方承担。</w:t>
      </w:r>
    </w:p>
    <w:p w14:paraId="0A1E04CE">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2、因履行本合同引起的或与本合同有关的争议协商不能解决的，向甲方所在地人民法院提起诉讼。</w:t>
      </w:r>
    </w:p>
    <w:p w14:paraId="527F81D8">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3、诉讼期间，本合同继续履行。</w:t>
      </w:r>
    </w:p>
    <w:p w14:paraId="0FA5B14E">
      <w:pPr>
        <w:snapToGrid w:val="0"/>
        <w:spacing w:line="340" w:lineRule="exact"/>
        <w:ind w:left="-61" w:leftChars="-29" w:firstLine="422" w:firstLineChars="200"/>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第十二条 合同生效及其它</w:t>
      </w:r>
    </w:p>
    <w:p w14:paraId="04B4C662">
      <w:pPr>
        <w:snapToGrid w:val="0"/>
        <w:spacing w:line="340" w:lineRule="exact"/>
        <w:ind w:left="-61" w:leftChars="-29" w:firstLine="422" w:firstLineChars="200"/>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1．合同经双方法定代表人(负责人)或授权代表签字并加盖单位公章后生效。</w:t>
      </w:r>
    </w:p>
    <w:p w14:paraId="3D9A9B66">
      <w:pPr>
        <w:snapToGrid w:val="0"/>
        <w:spacing w:line="340" w:lineRule="exact"/>
        <w:ind w:left="-61" w:leftChars="-29" w:firstLine="422" w:firstLineChars="200"/>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2．合同执行中涉及采购资金和采购内容修改或补充的，须签书面补充协议报财政部门备案，方可作为主合同不可分割的一部分。</w:t>
      </w:r>
    </w:p>
    <w:p w14:paraId="6E8F00C8">
      <w:pPr>
        <w:snapToGrid w:val="0"/>
        <w:spacing w:line="340" w:lineRule="exact"/>
        <w:ind w:left="-61" w:leftChars="-29" w:firstLine="422" w:firstLineChars="200"/>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3．本合同未尽事宜，遵照《中华人民共和国民法典》有关条文执行。</w:t>
      </w:r>
    </w:p>
    <w:p w14:paraId="789A8EE1">
      <w:pPr>
        <w:snapToGrid w:val="0"/>
        <w:spacing w:line="340" w:lineRule="exact"/>
        <w:ind w:left="-61" w:leftChars="-29"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第十三条　合同的变更、终止与转让</w:t>
      </w:r>
    </w:p>
    <w:p w14:paraId="31C12CC0">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1、除《中华人民共和国政府采购法》第五十条规定的情形外，本合同一经签订，甲乙双方不得擅自变更、中止或终止。</w:t>
      </w:r>
    </w:p>
    <w:p w14:paraId="17D744BA">
      <w:pPr>
        <w:snapToGrid w:val="0"/>
        <w:spacing w:line="340" w:lineRule="exact"/>
        <w:ind w:left="-61" w:leftChars="-29" w:firstLine="420" w:firstLineChars="200"/>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2、乙方不得擅自转让其应</w:t>
      </w:r>
      <w:r>
        <w:rPr>
          <w:rFonts w:hint="eastAsia"/>
          <w:color w:val="000000" w:themeColor="text1"/>
          <w:highlight w:val="none"/>
          <w14:textFill>
            <w14:solidFill>
              <w14:schemeClr w14:val="tx1"/>
            </w14:solidFill>
          </w14:textFill>
        </w:rPr>
        <w:t>履行的合同义务。</w:t>
      </w:r>
    </w:p>
    <w:p w14:paraId="4B56EBFE">
      <w:pPr>
        <w:snapToGrid w:val="0"/>
        <w:spacing w:line="340" w:lineRule="exact"/>
        <w:ind w:left="-61" w:leftChars="-29"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第十四条　签订本合同依据</w:t>
      </w:r>
    </w:p>
    <w:p w14:paraId="10A22075">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1、政府采购招标文件；</w:t>
      </w:r>
    </w:p>
    <w:p w14:paraId="357961C9">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2、乙方提供的投标文件；</w:t>
      </w:r>
    </w:p>
    <w:p w14:paraId="3AECE2B2">
      <w:pPr>
        <w:snapToGrid w:val="0"/>
        <w:spacing w:line="340" w:lineRule="exact"/>
        <w:ind w:left="-61" w:leftChars="-29"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3、中标通知书；</w:t>
      </w:r>
    </w:p>
    <w:p w14:paraId="64DB454A">
      <w:pPr>
        <w:spacing w:line="36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其他约定附件（如有）。</w:t>
      </w:r>
    </w:p>
    <w:p w14:paraId="278EE204">
      <w:pPr>
        <w:snapToGrid w:val="0"/>
        <w:spacing w:line="340" w:lineRule="exact"/>
        <w:ind w:left="-61" w:leftChars="-29"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第十五条　</w:t>
      </w:r>
      <w:r>
        <w:rPr>
          <w:rFonts w:hint="eastAsia" w:ascii="宋体" w:hAnsi="宋体"/>
          <w:color w:val="000000" w:themeColor="text1"/>
          <w:szCs w:val="21"/>
          <w:highlight w:val="none"/>
          <w14:textFill>
            <w14:solidFill>
              <w14:schemeClr w14:val="tx1"/>
            </w14:solidFill>
          </w14:textFill>
        </w:rPr>
        <w:t>本合同一式五份，具有同等法律效力，本合同甲乙双方签字盖章后生效，</w:t>
      </w:r>
      <w:r>
        <w:rPr>
          <w:rFonts w:hint="eastAsia" w:ascii="宋体" w:hAnsi="宋体"/>
          <w:color w:val="000000" w:themeColor="text1"/>
          <w:spacing w:val="4"/>
          <w:szCs w:val="21"/>
          <w:highlight w:val="none"/>
          <w14:textFill>
            <w14:solidFill>
              <w14:schemeClr w14:val="tx1"/>
            </w14:solidFill>
          </w14:textFill>
        </w:rPr>
        <w:t>采购代理机构</w:t>
      </w:r>
      <w:r>
        <w:rPr>
          <w:rFonts w:hint="eastAsia" w:ascii="宋体" w:hAnsi="宋体"/>
          <w:color w:val="000000" w:themeColor="text1"/>
          <w:szCs w:val="21"/>
          <w:highlight w:val="none"/>
          <w14:textFill>
            <w14:solidFill>
              <w14:schemeClr w14:val="tx1"/>
            </w14:solidFill>
          </w14:textFill>
        </w:rPr>
        <w:t>一份，甲方三份，乙方一份。</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6"/>
        <w:gridCol w:w="4941"/>
      </w:tblGrid>
      <w:tr w14:paraId="2DE1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4676" w:type="dxa"/>
            <w:vAlign w:val="center"/>
          </w:tcPr>
          <w:p w14:paraId="43A5911D">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甲方（章）           </w:t>
            </w:r>
          </w:p>
          <w:p w14:paraId="1904621A">
            <w:pPr>
              <w:snapToGrid w:val="0"/>
              <w:spacing w:line="360" w:lineRule="exact"/>
              <w:rPr>
                <w:rFonts w:hint="eastAsia" w:ascii="宋体" w:hAnsi="宋体"/>
                <w:color w:val="000000" w:themeColor="text1"/>
                <w:szCs w:val="21"/>
                <w:highlight w:val="none"/>
                <w14:textFill>
                  <w14:solidFill>
                    <w14:schemeClr w14:val="tx1"/>
                  </w14:solidFill>
                </w14:textFill>
              </w:rPr>
            </w:pPr>
          </w:p>
          <w:p w14:paraId="07BC5918">
            <w:pPr>
              <w:snapToGrid w:val="0"/>
              <w:spacing w:line="360" w:lineRule="exact"/>
              <w:rPr>
                <w:rFonts w:hint="eastAsia" w:ascii="宋体" w:hAnsi="宋体"/>
                <w:color w:val="000000" w:themeColor="text1"/>
                <w:szCs w:val="21"/>
                <w:highlight w:val="none"/>
                <w14:textFill>
                  <w14:solidFill>
                    <w14:schemeClr w14:val="tx1"/>
                  </w14:solidFill>
                </w14:textFill>
              </w:rPr>
            </w:pPr>
          </w:p>
          <w:p w14:paraId="63BBBAF2">
            <w:pPr>
              <w:snapToGrid w:val="0"/>
              <w:spacing w:line="360" w:lineRule="exact"/>
              <w:ind w:firstLine="945" w:firstLineChars="450"/>
              <w:jc w:val="righ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   月   日</w:t>
            </w:r>
          </w:p>
        </w:tc>
        <w:tc>
          <w:tcPr>
            <w:tcW w:w="4941" w:type="dxa"/>
            <w:vAlign w:val="center"/>
          </w:tcPr>
          <w:p w14:paraId="7B91BDB7">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乙方（章）              </w:t>
            </w:r>
          </w:p>
          <w:p w14:paraId="5F449AA3">
            <w:pPr>
              <w:snapToGrid w:val="0"/>
              <w:spacing w:line="360" w:lineRule="exact"/>
              <w:rPr>
                <w:rFonts w:hint="eastAsia" w:ascii="宋体" w:hAnsi="宋体"/>
                <w:color w:val="000000" w:themeColor="text1"/>
                <w:szCs w:val="21"/>
                <w:highlight w:val="none"/>
                <w14:textFill>
                  <w14:solidFill>
                    <w14:schemeClr w14:val="tx1"/>
                  </w14:solidFill>
                </w14:textFill>
              </w:rPr>
            </w:pPr>
          </w:p>
          <w:p w14:paraId="09278909">
            <w:pPr>
              <w:snapToGrid w:val="0"/>
              <w:spacing w:line="360" w:lineRule="exact"/>
              <w:rPr>
                <w:rFonts w:hint="eastAsia" w:ascii="宋体" w:hAnsi="宋体"/>
                <w:color w:val="000000" w:themeColor="text1"/>
                <w:szCs w:val="21"/>
                <w:highlight w:val="none"/>
                <w14:textFill>
                  <w14:solidFill>
                    <w14:schemeClr w14:val="tx1"/>
                  </w14:solidFill>
                </w14:textFill>
              </w:rPr>
            </w:pPr>
          </w:p>
          <w:p w14:paraId="2720FFD6">
            <w:pPr>
              <w:snapToGrid w:val="0"/>
              <w:spacing w:line="360" w:lineRule="exact"/>
              <w:jc w:val="righ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年   月   日</w:t>
            </w:r>
          </w:p>
        </w:tc>
      </w:tr>
      <w:tr w14:paraId="3FAA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3BD9914C">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c>
          <w:tcPr>
            <w:tcW w:w="4941" w:type="dxa"/>
            <w:vAlign w:val="center"/>
          </w:tcPr>
          <w:p w14:paraId="7030E8EE">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r>
      <w:tr w14:paraId="02B6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68B5040A">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w:t>
            </w:r>
          </w:p>
        </w:tc>
        <w:tc>
          <w:tcPr>
            <w:tcW w:w="4941" w:type="dxa"/>
            <w:vAlign w:val="center"/>
          </w:tcPr>
          <w:p w14:paraId="054A47F7">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w:t>
            </w:r>
          </w:p>
        </w:tc>
      </w:tr>
      <w:tr w14:paraId="025C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6E75AC92">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w:t>
            </w:r>
          </w:p>
        </w:tc>
        <w:tc>
          <w:tcPr>
            <w:tcW w:w="4941" w:type="dxa"/>
            <w:vAlign w:val="center"/>
          </w:tcPr>
          <w:p w14:paraId="19FEA294">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w:t>
            </w:r>
          </w:p>
        </w:tc>
      </w:tr>
      <w:tr w14:paraId="2893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39725966">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c>
          <w:tcPr>
            <w:tcW w:w="4941" w:type="dxa"/>
            <w:vAlign w:val="center"/>
          </w:tcPr>
          <w:p w14:paraId="4D1A113C">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r>
      <w:tr w14:paraId="2E49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3FC43E7D">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c>
          <w:tcPr>
            <w:tcW w:w="4941" w:type="dxa"/>
            <w:vAlign w:val="center"/>
          </w:tcPr>
          <w:p w14:paraId="16779EDF">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r>
      <w:tr w14:paraId="6E2D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036EC044">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c>
          <w:tcPr>
            <w:tcW w:w="4941" w:type="dxa"/>
            <w:vAlign w:val="center"/>
          </w:tcPr>
          <w:p w14:paraId="52527CD3">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r>
      <w:tr w14:paraId="6B2F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15C76052">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4941" w:type="dxa"/>
            <w:vAlign w:val="center"/>
          </w:tcPr>
          <w:p w14:paraId="74BF94BA">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r>
      <w:tr w14:paraId="76FF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tcPr>
          <w:p w14:paraId="032CC214">
            <w:pPr>
              <w:snapToGrid w:val="0"/>
              <w:spacing w:line="4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纳税人识别号或统一社会信用代码：</w:t>
            </w:r>
          </w:p>
        </w:tc>
        <w:tc>
          <w:tcPr>
            <w:tcW w:w="4941" w:type="dxa"/>
          </w:tcPr>
          <w:p w14:paraId="541CCB94">
            <w:pPr>
              <w:snapToGrid w:val="0"/>
              <w:spacing w:line="4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纳税人识别号或统一社会信用代码：</w:t>
            </w:r>
          </w:p>
        </w:tc>
      </w:tr>
      <w:tr w14:paraId="6C7E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53B65AFB">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c>
          <w:tcPr>
            <w:tcW w:w="4941" w:type="dxa"/>
            <w:vAlign w:val="center"/>
          </w:tcPr>
          <w:p w14:paraId="6961E7AE">
            <w:pPr>
              <w:snapToGrid w:val="0"/>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r>
    </w:tbl>
    <w:p w14:paraId="4135B666">
      <w:pPr>
        <w:rPr>
          <w:rFonts w:hint="eastAsia"/>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br w:type="page"/>
      </w:r>
    </w:p>
    <w:p w14:paraId="22DEE0CB">
      <w:pPr>
        <w:spacing w:line="720" w:lineRule="auto"/>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合 同 附 件</w:t>
      </w:r>
    </w:p>
    <w:tbl>
      <w:tblPr>
        <w:tblStyle w:val="51"/>
        <w:tblW w:w="9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7"/>
        <w:gridCol w:w="4859"/>
      </w:tblGrid>
      <w:tr w14:paraId="27D5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9826" w:type="dxa"/>
            <w:gridSpan w:val="2"/>
            <w:tcBorders>
              <w:top w:val="single" w:color="auto" w:sz="4" w:space="0"/>
              <w:left w:val="single" w:color="auto" w:sz="4" w:space="0"/>
              <w:right w:val="single" w:color="auto" w:sz="4" w:space="0"/>
            </w:tcBorders>
          </w:tcPr>
          <w:p w14:paraId="32DC1D26">
            <w:pPr>
              <w:snapToGrid w:val="0"/>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1、供应商承诺具体事项：详见</w:t>
            </w:r>
            <w:r>
              <w:rPr>
                <w:rFonts w:hint="eastAsia" w:ascii="宋体" w:hAnsi="宋体"/>
                <w:color w:val="000000" w:themeColor="text1"/>
                <w:szCs w:val="21"/>
                <w:highlight w:val="none"/>
                <w14:textFill>
                  <w14:solidFill>
                    <w14:schemeClr w14:val="tx1"/>
                  </w14:solidFill>
                </w14:textFill>
              </w:rPr>
              <w:t>投标文件。</w:t>
            </w:r>
          </w:p>
        </w:tc>
      </w:tr>
      <w:tr w14:paraId="2A23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9826" w:type="dxa"/>
            <w:gridSpan w:val="2"/>
            <w:tcBorders>
              <w:top w:val="single" w:color="auto" w:sz="4" w:space="0"/>
              <w:left w:val="single" w:color="auto" w:sz="4" w:space="0"/>
              <w:right w:val="single" w:color="auto" w:sz="4" w:space="0"/>
            </w:tcBorders>
          </w:tcPr>
          <w:p w14:paraId="2083CD06">
            <w:pPr>
              <w:snapToGrid w:val="0"/>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2、售后服务具体事项：详见</w:t>
            </w:r>
            <w:r>
              <w:rPr>
                <w:rFonts w:hint="eastAsia" w:ascii="宋体" w:hAnsi="宋体"/>
                <w:color w:val="000000" w:themeColor="text1"/>
                <w:szCs w:val="21"/>
                <w:highlight w:val="none"/>
                <w14:textFill>
                  <w14:solidFill>
                    <w14:schemeClr w14:val="tx1"/>
                  </w14:solidFill>
                </w14:textFill>
              </w:rPr>
              <w:t>投标文件。</w:t>
            </w:r>
          </w:p>
        </w:tc>
      </w:tr>
      <w:tr w14:paraId="27D6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9826" w:type="dxa"/>
            <w:gridSpan w:val="2"/>
            <w:tcBorders>
              <w:top w:val="single" w:color="auto" w:sz="4" w:space="0"/>
              <w:left w:val="single" w:color="auto" w:sz="4" w:space="0"/>
              <w:right w:val="single" w:color="auto" w:sz="4" w:space="0"/>
            </w:tcBorders>
          </w:tcPr>
          <w:p w14:paraId="097AD7B6">
            <w:pPr>
              <w:snapToGrid w:val="0"/>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3、服务期责任：详见</w:t>
            </w:r>
            <w:r>
              <w:rPr>
                <w:rFonts w:hint="eastAsia" w:ascii="宋体" w:hAnsi="宋体"/>
                <w:color w:val="000000" w:themeColor="text1"/>
                <w:szCs w:val="21"/>
                <w:highlight w:val="none"/>
                <w14:textFill>
                  <w14:solidFill>
                    <w14:schemeClr w14:val="tx1"/>
                  </w14:solidFill>
                </w14:textFill>
              </w:rPr>
              <w:t>投标文件。</w:t>
            </w:r>
          </w:p>
        </w:tc>
      </w:tr>
      <w:tr w14:paraId="454B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826" w:type="dxa"/>
            <w:gridSpan w:val="2"/>
            <w:tcBorders>
              <w:top w:val="single" w:color="auto" w:sz="4" w:space="0"/>
              <w:left w:val="single" w:color="auto" w:sz="4" w:space="0"/>
              <w:right w:val="single" w:color="auto" w:sz="4" w:space="0"/>
            </w:tcBorders>
          </w:tcPr>
          <w:p w14:paraId="4DF21BFE">
            <w:pPr>
              <w:snapToGrid w:val="0"/>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4、其他具体事项：详见</w:t>
            </w:r>
            <w:r>
              <w:rPr>
                <w:rFonts w:hint="eastAsia" w:ascii="宋体" w:hAnsi="宋体"/>
                <w:color w:val="000000" w:themeColor="text1"/>
                <w:szCs w:val="21"/>
                <w:highlight w:val="none"/>
                <w14:textFill>
                  <w14:solidFill>
                    <w14:schemeClr w14:val="tx1"/>
                  </w14:solidFill>
                </w14:textFill>
              </w:rPr>
              <w:t>投标文件。</w:t>
            </w:r>
          </w:p>
        </w:tc>
      </w:tr>
      <w:tr w14:paraId="068A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4967" w:type="dxa"/>
            <w:tcBorders>
              <w:top w:val="single" w:color="auto" w:sz="4" w:space="0"/>
              <w:left w:val="single" w:color="auto" w:sz="4" w:space="0"/>
              <w:bottom w:val="single" w:color="auto" w:sz="4" w:space="0"/>
              <w:right w:val="single" w:color="auto" w:sz="4" w:space="0"/>
            </w:tcBorders>
            <w:vAlign w:val="center"/>
          </w:tcPr>
          <w:p w14:paraId="3155B5AB">
            <w:pPr>
              <w:snapToGrid w:val="0"/>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甲方（章）</w:t>
            </w:r>
          </w:p>
          <w:p w14:paraId="782EBA49">
            <w:pPr>
              <w:snapToGrid w:val="0"/>
              <w:spacing w:line="360" w:lineRule="exact"/>
              <w:ind w:firstLine="422"/>
              <w:rPr>
                <w:color w:val="000000" w:themeColor="text1"/>
                <w:szCs w:val="21"/>
                <w:highlight w:val="none"/>
                <w14:textFill>
                  <w14:solidFill>
                    <w14:schemeClr w14:val="tx1"/>
                  </w14:solidFill>
                </w14:textFill>
              </w:rPr>
            </w:pPr>
          </w:p>
          <w:p w14:paraId="1522EE99">
            <w:pPr>
              <w:snapToGrid w:val="0"/>
              <w:spacing w:line="360" w:lineRule="exact"/>
              <w:ind w:firstLine="422"/>
              <w:rPr>
                <w:color w:val="000000" w:themeColor="text1"/>
                <w:szCs w:val="21"/>
                <w:highlight w:val="none"/>
                <w14:textFill>
                  <w14:solidFill>
                    <w14:schemeClr w14:val="tx1"/>
                  </w14:solidFill>
                </w14:textFill>
              </w:rPr>
            </w:pPr>
          </w:p>
          <w:p w14:paraId="2146FBDB">
            <w:pPr>
              <w:snapToGrid w:val="0"/>
              <w:spacing w:line="360" w:lineRule="exact"/>
              <w:ind w:firstLine="42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年   月   日 </w:t>
            </w:r>
          </w:p>
        </w:tc>
        <w:tc>
          <w:tcPr>
            <w:tcW w:w="4858" w:type="dxa"/>
            <w:tcBorders>
              <w:top w:val="single" w:color="auto" w:sz="4" w:space="0"/>
              <w:left w:val="single" w:color="auto" w:sz="4" w:space="0"/>
              <w:bottom w:val="single" w:color="auto" w:sz="4" w:space="0"/>
              <w:right w:val="single" w:color="auto" w:sz="4" w:space="0"/>
            </w:tcBorders>
            <w:vAlign w:val="center"/>
          </w:tcPr>
          <w:p w14:paraId="72DB2D9A">
            <w:pPr>
              <w:snapToGrid w:val="0"/>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乙方（章）</w:t>
            </w:r>
          </w:p>
          <w:p w14:paraId="2E7F1AD5">
            <w:pPr>
              <w:snapToGrid w:val="0"/>
              <w:spacing w:line="360" w:lineRule="exact"/>
              <w:ind w:firstLine="422"/>
              <w:rPr>
                <w:color w:val="000000" w:themeColor="text1"/>
                <w:szCs w:val="21"/>
                <w:highlight w:val="none"/>
                <w14:textFill>
                  <w14:solidFill>
                    <w14:schemeClr w14:val="tx1"/>
                  </w14:solidFill>
                </w14:textFill>
              </w:rPr>
            </w:pPr>
          </w:p>
          <w:p w14:paraId="016F54BF">
            <w:pPr>
              <w:snapToGrid w:val="0"/>
              <w:spacing w:line="360" w:lineRule="exact"/>
              <w:ind w:firstLine="422"/>
              <w:rPr>
                <w:color w:val="000000" w:themeColor="text1"/>
                <w:szCs w:val="21"/>
                <w:highlight w:val="none"/>
                <w14:textFill>
                  <w14:solidFill>
                    <w14:schemeClr w14:val="tx1"/>
                  </w14:solidFill>
                </w14:textFill>
              </w:rPr>
            </w:pPr>
          </w:p>
          <w:p w14:paraId="4A5B42ED">
            <w:pPr>
              <w:snapToGrid w:val="0"/>
              <w:spacing w:line="360" w:lineRule="exact"/>
              <w:ind w:firstLine="42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年   月   日</w:t>
            </w:r>
          </w:p>
        </w:tc>
      </w:tr>
    </w:tbl>
    <w:p w14:paraId="681F8B63">
      <w:pPr>
        <w:snapToGrid w:val="0"/>
        <w:spacing w:line="360" w:lineRule="exac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 xml:space="preserve">  注：售后服务事项填不下时可另加附页。</w:t>
      </w:r>
    </w:p>
    <w:bookmarkEnd w:id="146"/>
    <w:p w14:paraId="42E8ABD3">
      <w:pPr>
        <w:spacing w:line="400" w:lineRule="exact"/>
        <w:jc w:val="center"/>
        <w:rPr>
          <w:rFonts w:ascii="宋体"/>
          <w:color w:val="000000" w:themeColor="text1"/>
          <w:sz w:val="32"/>
          <w:szCs w:val="32"/>
          <w:highlight w:val="none"/>
          <w14:textFill>
            <w14:solidFill>
              <w14:schemeClr w14:val="tx1"/>
            </w14:solidFill>
          </w14:textFill>
        </w:rPr>
      </w:pPr>
    </w:p>
    <w:p w14:paraId="25D5B5DF">
      <w:pPr>
        <w:widowControl/>
        <w:jc w:val="left"/>
        <w:rPr>
          <w:bCs/>
          <w:color w:val="000000" w:themeColor="text1"/>
          <w:sz w:val="24"/>
          <w:highlight w:val="none"/>
          <w14:textFill>
            <w14:solidFill>
              <w14:schemeClr w14:val="tx1"/>
            </w14:solidFill>
          </w14:textFill>
        </w:rPr>
      </w:pPr>
      <w:r>
        <w:rPr>
          <w:color w:val="000000" w:themeColor="text1"/>
          <w:szCs w:val="21"/>
          <w:highlight w:val="none"/>
          <w14:textFill>
            <w14:solidFill>
              <w14:schemeClr w14:val="tx1"/>
            </w14:solidFill>
          </w14:textFill>
        </w:rPr>
        <w:br w:type="page"/>
      </w:r>
    </w:p>
    <w:bookmarkEnd w:id="106"/>
    <w:bookmarkEnd w:id="107"/>
    <w:bookmarkEnd w:id="108"/>
    <w:p w14:paraId="2A6C2250">
      <w:pPr>
        <w:pStyle w:val="27"/>
        <w:snapToGrid w:val="0"/>
        <w:spacing w:before="120" w:after="120" w:line="320" w:lineRule="exact"/>
        <w:jc w:val="center"/>
        <w:outlineLvl w:val="0"/>
        <w:rPr>
          <w:rFonts w:ascii="Times New Roman" w:hAnsi="Times New Roman" w:cs="Times New Roman"/>
          <w:color w:val="000000" w:themeColor="text1"/>
          <w:sz w:val="32"/>
          <w:szCs w:val="32"/>
          <w:highlight w:val="none"/>
          <w14:textFill>
            <w14:solidFill>
              <w14:schemeClr w14:val="tx1"/>
            </w14:solidFill>
          </w14:textFill>
        </w:rPr>
      </w:pPr>
      <w:bookmarkStart w:id="118" w:name="_Toc26786"/>
      <w:r>
        <w:rPr>
          <w:rFonts w:ascii="Times New Roman" w:hAnsi="Times New Roman" w:cs="Times New Roman"/>
          <w:color w:val="000000" w:themeColor="text1"/>
          <w:sz w:val="32"/>
          <w:szCs w:val="32"/>
          <w:highlight w:val="none"/>
          <w14:textFill>
            <w14:solidFill>
              <w14:schemeClr w14:val="tx1"/>
            </w14:solidFill>
          </w14:textFill>
        </w:rPr>
        <w:t>第六章  投标文件格式</w:t>
      </w:r>
      <w:bookmarkEnd w:id="118"/>
    </w:p>
    <w:p w14:paraId="57C74124">
      <w:pPr>
        <w:rPr>
          <w:color w:val="000000" w:themeColor="text1"/>
          <w:sz w:val="28"/>
          <w:szCs w:val="28"/>
          <w:highlight w:val="none"/>
          <w14:textFill>
            <w14:solidFill>
              <w14:schemeClr w14:val="tx1"/>
            </w14:solidFill>
          </w14:textFill>
        </w:rPr>
      </w:pPr>
    </w:p>
    <w:p w14:paraId="78188867">
      <w:pPr>
        <w:rPr>
          <w:color w:val="000000" w:themeColor="text1"/>
          <w:sz w:val="28"/>
          <w:szCs w:val="28"/>
          <w:highlight w:val="none"/>
          <w14:textFill>
            <w14:solidFill>
              <w14:schemeClr w14:val="tx1"/>
            </w14:solidFill>
          </w14:textFill>
        </w:rPr>
      </w:pPr>
    </w:p>
    <w:p w14:paraId="2ADF69AA">
      <w:pPr>
        <w:rPr>
          <w:color w:val="000000" w:themeColor="text1"/>
          <w:sz w:val="28"/>
          <w:szCs w:val="28"/>
          <w:highlight w:val="none"/>
          <w14:textFill>
            <w14:solidFill>
              <w14:schemeClr w14:val="tx1"/>
            </w14:solidFill>
          </w14:textFill>
        </w:rPr>
      </w:pPr>
    </w:p>
    <w:p w14:paraId="2B5AE6B6">
      <w:pPr>
        <w:rPr>
          <w:color w:val="000000" w:themeColor="text1"/>
          <w:sz w:val="28"/>
          <w:szCs w:val="28"/>
          <w:highlight w:val="none"/>
          <w14:textFill>
            <w14:solidFill>
              <w14:schemeClr w14:val="tx1"/>
            </w14:solidFill>
          </w14:textFill>
        </w:rPr>
      </w:pPr>
    </w:p>
    <w:p w14:paraId="106DFC22">
      <w:pPr>
        <w:spacing w:line="500" w:lineRule="exact"/>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注：有签字、盖章要求的应按要求</w:t>
      </w:r>
      <w:bookmarkStart w:id="119" w:name="_Hlk89032274"/>
      <w:r>
        <w:rPr>
          <w:rFonts w:hint="eastAsia"/>
          <w:color w:val="000000" w:themeColor="text1"/>
          <w:sz w:val="28"/>
          <w:szCs w:val="28"/>
          <w:highlight w:val="none"/>
          <w14:textFill>
            <w14:solidFill>
              <w14:schemeClr w14:val="tx1"/>
            </w14:solidFill>
          </w14:textFill>
        </w:rPr>
        <w:t>签字（签章）、盖章（签章）</w:t>
      </w:r>
      <w:bookmarkEnd w:id="119"/>
      <w:r>
        <w:rPr>
          <w:rFonts w:hint="eastAsia"/>
          <w:color w:val="000000" w:themeColor="text1"/>
          <w:sz w:val="28"/>
          <w:szCs w:val="28"/>
          <w:highlight w:val="none"/>
          <w14:textFill>
            <w14:solidFill>
              <w14:schemeClr w14:val="tx1"/>
            </w14:solidFill>
          </w14:textFill>
        </w:rPr>
        <w:t>。</w:t>
      </w:r>
    </w:p>
    <w:p w14:paraId="568F8B27">
      <w:pPr>
        <w:snapToGrid w:val="0"/>
        <w:spacing w:before="120" w:beforeLines="50" w:after="50" w:line="440" w:lineRule="exact"/>
        <w:jc w:val="left"/>
        <w:outlineLvl w:val="1"/>
        <w:rPr>
          <w:bCs/>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20" w:name="_Toc254970557"/>
      <w:bookmarkStart w:id="121" w:name="_Toc254970698"/>
      <w:r>
        <w:rPr>
          <w:rFonts w:hint="eastAsia"/>
          <w:bCs/>
          <w:color w:val="000000" w:themeColor="text1"/>
          <w:sz w:val="24"/>
          <w:highlight w:val="none"/>
          <w14:textFill>
            <w14:solidFill>
              <w14:schemeClr w14:val="tx1"/>
            </w14:solidFill>
          </w14:textFill>
        </w:rPr>
        <w:t>1</w:t>
      </w:r>
      <w:r>
        <w:rPr>
          <w:bCs/>
          <w:color w:val="000000" w:themeColor="text1"/>
          <w:sz w:val="24"/>
          <w:highlight w:val="none"/>
          <w14:textFill>
            <w14:solidFill>
              <w14:schemeClr w14:val="tx1"/>
            </w14:solidFill>
          </w14:textFill>
        </w:rPr>
        <w:t>．投标文件封面参考格式</w:t>
      </w:r>
      <w:r>
        <w:rPr>
          <w:rFonts w:hint="eastAsia"/>
          <w:bCs/>
          <w:color w:val="000000" w:themeColor="text1"/>
          <w:sz w:val="24"/>
          <w:highlight w:val="none"/>
          <w14:textFill>
            <w14:solidFill>
              <w14:schemeClr w14:val="tx1"/>
            </w14:solidFill>
          </w14:textFill>
        </w:rPr>
        <w:t>（资格证明文件）</w:t>
      </w:r>
      <w:r>
        <w:rPr>
          <w:bCs/>
          <w:color w:val="000000" w:themeColor="text1"/>
          <w:sz w:val="24"/>
          <w:highlight w:val="none"/>
          <w14:textFill>
            <w14:solidFill>
              <w14:schemeClr w14:val="tx1"/>
            </w14:solidFill>
          </w14:textFill>
        </w:rPr>
        <w:t xml:space="preserve">： </w:t>
      </w:r>
    </w:p>
    <w:p w14:paraId="5CC3472C">
      <w:pPr>
        <w:snapToGrid w:val="0"/>
        <w:spacing w:before="120" w:beforeLines="50" w:after="50" w:line="360" w:lineRule="exact"/>
        <w:rPr>
          <w:color w:val="000000" w:themeColor="text1"/>
          <w:sz w:val="24"/>
          <w:highlight w:val="none"/>
          <w14:textFill>
            <w14:solidFill>
              <w14:schemeClr w14:val="tx1"/>
            </w14:solidFill>
          </w14:textFill>
        </w:rPr>
      </w:pPr>
    </w:p>
    <w:p w14:paraId="3B56F06C">
      <w:pPr>
        <w:snapToGrid w:val="0"/>
        <w:spacing w:before="120" w:beforeLines="50" w:after="50" w:line="360" w:lineRule="exact"/>
        <w:jc w:val="center"/>
        <w:rPr>
          <w:bCs/>
          <w:color w:val="000000" w:themeColor="text1"/>
          <w:sz w:val="24"/>
          <w:highlight w:val="none"/>
          <w14:textFill>
            <w14:solidFill>
              <w14:schemeClr w14:val="tx1"/>
            </w14:solidFill>
          </w14:textFill>
        </w:rPr>
      </w:pPr>
    </w:p>
    <w:p w14:paraId="72D55E33">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电子</w:t>
      </w:r>
      <w:r>
        <w:rPr>
          <w:b/>
          <w:bCs/>
          <w:color w:val="000000" w:themeColor="text1"/>
          <w:sz w:val="44"/>
          <w:szCs w:val="44"/>
          <w:highlight w:val="none"/>
          <w14:textFill>
            <w14:solidFill>
              <w14:schemeClr w14:val="tx1"/>
            </w14:solidFill>
          </w14:textFill>
        </w:rPr>
        <w:t>投标文件</w:t>
      </w:r>
    </w:p>
    <w:p w14:paraId="080C7A2F">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p>
    <w:p w14:paraId="69AD5B86">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p>
    <w:p w14:paraId="1A2C775C">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r>
        <w:rPr>
          <w:b/>
          <w:bCs/>
          <w:color w:val="000000" w:themeColor="text1"/>
          <w:sz w:val="44"/>
          <w:szCs w:val="44"/>
          <w:highlight w:val="none"/>
          <w14:textFill>
            <w14:solidFill>
              <w14:schemeClr w14:val="tx1"/>
            </w14:solidFill>
          </w14:textFill>
        </w:rPr>
        <w:t>资格</w:t>
      </w:r>
      <w:r>
        <w:rPr>
          <w:rFonts w:hint="eastAsia"/>
          <w:b/>
          <w:bCs/>
          <w:color w:val="000000" w:themeColor="text1"/>
          <w:sz w:val="44"/>
          <w:szCs w:val="44"/>
          <w:highlight w:val="none"/>
          <w14:textFill>
            <w14:solidFill>
              <w14:schemeClr w14:val="tx1"/>
            </w14:solidFill>
          </w14:textFill>
        </w:rPr>
        <w:t>证明</w:t>
      </w:r>
      <w:r>
        <w:rPr>
          <w:b/>
          <w:bCs/>
          <w:color w:val="000000" w:themeColor="text1"/>
          <w:sz w:val="44"/>
          <w:szCs w:val="44"/>
          <w:highlight w:val="none"/>
          <w14:textFill>
            <w14:solidFill>
              <w14:schemeClr w14:val="tx1"/>
            </w14:solidFill>
          </w14:textFill>
        </w:rPr>
        <w:t>文件</w:t>
      </w:r>
    </w:p>
    <w:p w14:paraId="489636D3">
      <w:pPr>
        <w:snapToGrid w:val="0"/>
        <w:spacing w:before="120" w:beforeLines="50" w:after="50" w:line="360" w:lineRule="exact"/>
        <w:rPr>
          <w:bCs/>
          <w:color w:val="000000" w:themeColor="text1"/>
          <w:sz w:val="24"/>
          <w:highlight w:val="none"/>
          <w14:textFill>
            <w14:solidFill>
              <w14:schemeClr w14:val="tx1"/>
            </w14:solidFill>
          </w14:textFill>
        </w:rPr>
      </w:pPr>
    </w:p>
    <w:p w14:paraId="4E94CAC4">
      <w:pPr>
        <w:snapToGrid w:val="0"/>
        <w:spacing w:before="120" w:beforeLines="50" w:after="50" w:line="360" w:lineRule="exact"/>
        <w:rPr>
          <w:bCs/>
          <w:color w:val="000000" w:themeColor="text1"/>
          <w:sz w:val="24"/>
          <w:highlight w:val="none"/>
          <w14:textFill>
            <w14:solidFill>
              <w14:schemeClr w14:val="tx1"/>
            </w14:solidFill>
          </w14:textFill>
        </w:rPr>
      </w:pPr>
    </w:p>
    <w:p w14:paraId="592621E6">
      <w:pPr>
        <w:snapToGrid w:val="0"/>
        <w:spacing w:before="120" w:beforeLines="50" w:after="50" w:line="360" w:lineRule="exact"/>
        <w:rPr>
          <w:bCs/>
          <w:color w:val="000000" w:themeColor="text1"/>
          <w:sz w:val="24"/>
          <w:highlight w:val="none"/>
          <w14:textFill>
            <w14:solidFill>
              <w14:schemeClr w14:val="tx1"/>
            </w14:solidFill>
          </w14:textFill>
        </w:rPr>
      </w:pPr>
    </w:p>
    <w:p w14:paraId="4AD28D3B">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 xml:space="preserve">项目名称： </w:t>
      </w:r>
    </w:p>
    <w:p w14:paraId="72E36ED3">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项目编号：</w:t>
      </w:r>
    </w:p>
    <w:p w14:paraId="560F5BBC">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分标号：（若无</w:t>
      </w:r>
      <w:r>
        <w:rPr>
          <w:rFonts w:hint="eastAsia"/>
          <w:bCs/>
          <w:color w:val="000000" w:themeColor="text1"/>
          <w:sz w:val="24"/>
          <w:highlight w:val="none"/>
          <w14:textFill>
            <w14:solidFill>
              <w14:schemeClr w14:val="tx1"/>
            </w14:solidFill>
          </w14:textFill>
        </w:rPr>
        <w:t>留空或写</w:t>
      </w:r>
      <w:r>
        <w:rPr>
          <w:bCs/>
          <w:color w:val="000000" w:themeColor="text1"/>
          <w:sz w:val="24"/>
          <w:highlight w:val="none"/>
          <w14:textFill>
            <w14:solidFill>
              <w14:schemeClr w14:val="tx1"/>
            </w14:solidFill>
          </w14:textFill>
        </w:rPr>
        <w:t>“/”）</w:t>
      </w:r>
    </w:p>
    <w:p w14:paraId="554DC492">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供应商名称：</w:t>
      </w:r>
    </w:p>
    <w:p w14:paraId="42A6DF7C">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供应商地址：</w:t>
      </w:r>
    </w:p>
    <w:p w14:paraId="6815A231">
      <w:pPr>
        <w:pStyle w:val="9"/>
        <w:snapToGrid w:val="0"/>
        <w:spacing w:before="50" w:after="50" w:line="360" w:lineRule="exact"/>
        <w:ind w:firstLine="960" w:firstLineChars="400"/>
        <w:rPr>
          <w:bCs/>
          <w:color w:val="000000" w:themeColor="text1"/>
          <w:sz w:val="24"/>
          <w:szCs w:val="24"/>
          <w:highlight w:val="none"/>
          <w14:textFill>
            <w14:solidFill>
              <w14:schemeClr w14:val="tx1"/>
            </w14:solidFill>
          </w14:textFill>
        </w:rPr>
      </w:pPr>
    </w:p>
    <w:p w14:paraId="6AC6CC17">
      <w:pPr>
        <w:snapToGrid w:val="0"/>
        <w:spacing w:before="120" w:beforeLines="50" w:after="50" w:line="360" w:lineRule="exac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年  月  日</w:t>
      </w:r>
    </w:p>
    <w:p w14:paraId="7C2E15FD">
      <w:pPr>
        <w:snapToGrid w:val="0"/>
        <w:spacing w:before="120" w:beforeLines="50" w:after="50" w:line="360" w:lineRule="exact"/>
        <w:rPr>
          <w:b/>
          <w:bCs/>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br w:type="page"/>
      </w:r>
      <w:bookmarkEnd w:id="120"/>
      <w:bookmarkEnd w:id="121"/>
      <w:r>
        <w:rPr>
          <w:b/>
          <w:bCs/>
          <w:color w:val="000000" w:themeColor="text1"/>
          <w:sz w:val="24"/>
          <w:highlight w:val="none"/>
          <w14:textFill>
            <w14:solidFill>
              <w14:schemeClr w14:val="tx1"/>
            </w14:solidFill>
          </w14:textFill>
        </w:rPr>
        <w:t xml:space="preserve"> </w:t>
      </w:r>
    </w:p>
    <w:p w14:paraId="49E86297">
      <w:pPr>
        <w:snapToGrid w:val="0"/>
        <w:spacing w:before="50" w:after="50" w:line="440" w:lineRule="exact"/>
        <w:ind w:firstLine="138" w:firstLineChars="49"/>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目录</w:t>
      </w:r>
    </w:p>
    <w:p w14:paraId="3F0B3AF8">
      <w:pPr>
        <w:snapToGrid w:val="0"/>
        <w:spacing w:before="50" w:after="50" w:line="440" w:lineRule="exact"/>
        <w:ind w:firstLine="118" w:firstLineChars="49"/>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（应有页码）</w:t>
      </w:r>
    </w:p>
    <w:p w14:paraId="61FAA035">
      <w:pPr>
        <w:snapToGrid w:val="0"/>
        <w:spacing w:before="50" w:after="50" w:line="440" w:lineRule="exact"/>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br w:type="page"/>
      </w:r>
      <w:r>
        <w:rPr>
          <w:b/>
          <w:color w:val="000000" w:themeColor="text1"/>
          <w:szCs w:val="21"/>
          <w:highlight w:val="none"/>
          <w14:textFill>
            <w14:solidFill>
              <w14:schemeClr w14:val="tx1"/>
            </w14:solidFill>
          </w14:textFill>
        </w:rPr>
        <w:t>1．投标声明书格式：</w:t>
      </w:r>
    </w:p>
    <w:p w14:paraId="6F710C50">
      <w:pPr>
        <w:snapToGrid w:val="0"/>
        <w:spacing w:before="50" w:after="50" w:line="440" w:lineRule="exact"/>
        <w:ind w:firstLine="157" w:firstLineChars="49"/>
        <w:jc w:val="left"/>
        <w:rPr>
          <w:b/>
          <w:bCs/>
          <w:color w:val="000000" w:themeColor="text1"/>
          <w:sz w:val="32"/>
          <w:szCs w:val="32"/>
          <w:highlight w:val="none"/>
          <w14:textFill>
            <w14:solidFill>
              <w14:schemeClr w14:val="tx1"/>
            </w14:solidFill>
          </w14:textFill>
        </w:rPr>
      </w:pPr>
    </w:p>
    <w:p w14:paraId="5E484ECD">
      <w:pPr>
        <w:snapToGrid w:val="0"/>
        <w:spacing w:before="120" w:beforeLines="50" w:after="50" w:line="36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投标声明书</w:t>
      </w:r>
    </w:p>
    <w:p w14:paraId="7FE4DB9B">
      <w:pPr>
        <w:snapToGrid w:val="0"/>
        <w:spacing w:before="120" w:beforeLines="50" w:after="50" w:line="360" w:lineRule="exact"/>
        <w:jc w:val="center"/>
        <w:rPr>
          <w:color w:val="000000" w:themeColor="text1"/>
          <w:szCs w:val="21"/>
          <w:highlight w:val="none"/>
          <w14:textFill>
            <w14:solidFill>
              <w14:schemeClr w14:val="tx1"/>
            </w14:solidFill>
          </w14:textFill>
        </w:rPr>
      </w:pPr>
    </w:p>
    <w:p w14:paraId="29ADDA95">
      <w:pPr>
        <w:snapToGrid w:val="0"/>
        <w:spacing w:before="120" w:beforeLines="50" w:after="50" w:line="36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致：</w:t>
      </w:r>
      <w:r>
        <w:rPr>
          <w:i/>
          <w:iCs/>
          <w:color w:val="000000" w:themeColor="text1"/>
          <w:szCs w:val="21"/>
          <w:highlight w:val="none"/>
          <w:u w:val="single"/>
          <w14:textFill>
            <w14:solidFill>
              <w14:schemeClr w14:val="tx1"/>
            </w14:solidFill>
          </w14:textFill>
        </w:rPr>
        <w:t>（采购</w:t>
      </w:r>
      <w:r>
        <w:rPr>
          <w:rFonts w:hint="eastAsia"/>
          <w:i/>
          <w:iCs/>
          <w:color w:val="000000" w:themeColor="text1"/>
          <w:szCs w:val="21"/>
          <w:highlight w:val="none"/>
          <w:u w:val="single"/>
          <w14:textFill>
            <w14:solidFill>
              <w14:schemeClr w14:val="tx1"/>
            </w14:solidFill>
          </w14:textFill>
        </w:rPr>
        <w:t>人</w:t>
      </w:r>
      <w:r>
        <w:rPr>
          <w:i/>
          <w:iCs/>
          <w:color w:val="000000" w:themeColor="text1"/>
          <w:szCs w:val="21"/>
          <w:highlight w:val="none"/>
          <w:u w:val="single"/>
          <w14:textFill>
            <w14:solidFill>
              <w14:schemeClr w14:val="tx1"/>
            </w14:solidFill>
          </w14:textFill>
        </w:rPr>
        <w:t>名称）</w:t>
      </w:r>
      <w:r>
        <w:rPr>
          <w:color w:val="000000" w:themeColor="text1"/>
          <w:szCs w:val="21"/>
          <w:highlight w:val="none"/>
          <w14:textFill>
            <w14:solidFill>
              <w14:schemeClr w14:val="tx1"/>
            </w14:solidFill>
          </w14:textFill>
        </w:rPr>
        <w:t>：</w:t>
      </w:r>
    </w:p>
    <w:p w14:paraId="28ED298C">
      <w:pPr>
        <w:snapToGrid w:val="0"/>
        <w:spacing w:before="120" w:beforeLines="50" w:after="50" w:line="360" w:lineRule="exact"/>
        <w:ind w:firstLine="630" w:firstLineChars="300"/>
        <w:rPr>
          <w:color w:val="000000" w:themeColor="text1"/>
          <w:szCs w:val="21"/>
          <w:highlight w:val="none"/>
          <w14:textFill>
            <w14:solidFill>
              <w14:schemeClr w14:val="tx1"/>
            </w14:solidFill>
          </w14:textFill>
        </w:rPr>
      </w:pPr>
      <w:r>
        <w:rPr>
          <w:i/>
          <w:iCs/>
          <w:color w:val="000000" w:themeColor="text1"/>
          <w:szCs w:val="21"/>
          <w:highlight w:val="none"/>
          <w:u w:val="single"/>
          <w14:textFill>
            <w14:solidFill>
              <w14:schemeClr w14:val="tx1"/>
            </w14:solidFill>
          </w14:textFill>
        </w:rPr>
        <w:t>（供应商名称）</w:t>
      </w:r>
      <w:r>
        <w:rPr>
          <w:color w:val="000000" w:themeColor="text1"/>
          <w:szCs w:val="21"/>
          <w:highlight w:val="none"/>
          <w14:textFill>
            <w14:solidFill>
              <w14:schemeClr w14:val="tx1"/>
            </w14:solidFill>
          </w14:textFill>
        </w:rPr>
        <w:t>系中华人民共和国合法企业，</w:t>
      </w:r>
      <w:r>
        <w:rPr>
          <w:rFonts w:hint="eastAsia"/>
          <w:color w:val="000000" w:themeColor="text1"/>
          <w:szCs w:val="21"/>
          <w:highlight w:val="none"/>
          <w:u w:val="single"/>
          <w14:textFill>
            <w14:solidFill>
              <w14:schemeClr w14:val="tx1"/>
            </w14:solidFill>
          </w14:textFill>
        </w:rPr>
        <w:t xml:space="preserve"> </w:t>
      </w:r>
      <w:r>
        <w:rPr>
          <w:i/>
          <w:iCs/>
          <w:color w:val="000000" w:themeColor="text1"/>
          <w:szCs w:val="21"/>
          <w:highlight w:val="none"/>
          <w:u w:val="single"/>
          <w14:textFill>
            <w14:solidFill>
              <w14:schemeClr w14:val="tx1"/>
            </w14:solidFill>
          </w14:textFill>
        </w:rPr>
        <w:t xml:space="preserve"> </w:t>
      </w:r>
      <w:r>
        <w:rPr>
          <w:rFonts w:hint="eastAsia"/>
          <w:i/>
          <w:iCs/>
          <w:color w:val="000000" w:themeColor="text1"/>
          <w:szCs w:val="21"/>
          <w:highlight w:val="none"/>
          <w:u w:val="single"/>
          <w14:textFill>
            <w14:solidFill>
              <w14:schemeClr w14:val="tx1"/>
            </w14:solidFill>
          </w14:textFill>
        </w:rPr>
        <w:t>（</w:t>
      </w:r>
      <w:r>
        <w:rPr>
          <w:i/>
          <w:iCs/>
          <w:color w:val="000000" w:themeColor="text1"/>
          <w:szCs w:val="21"/>
          <w:highlight w:val="none"/>
          <w:u w:val="single"/>
          <w14:textFill>
            <w14:solidFill>
              <w14:schemeClr w14:val="tx1"/>
            </w14:solidFill>
          </w14:textFill>
        </w:rPr>
        <w:t>经营地址</w:t>
      </w:r>
      <w:r>
        <w:rPr>
          <w:rFonts w:hint="eastAsia"/>
          <w:i/>
          <w:iCs/>
          <w:color w:val="000000" w:themeColor="text1"/>
          <w:szCs w:val="21"/>
          <w:highlight w:val="none"/>
          <w:u w:val="single"/>
          <w14:textFill>
            <w14:solidFill>
              <w14:schemeClr w14:val="tx1"/>
            </w14:solidFill>
          </w14:textFill>
        </w:rPr>
        <w:t xml:space="preserve">） </w:t>
      </w:r>
      <w:r>
        <w:rPr>
          <w:i/>
          <w:iCs/>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p>
    <w:p w14:paraId="40311F95">
      <w:pPr>
        <w:snapToGrid w:val="0"/>
        <w:spacing w:before="120" w:beforeLines="50" w:after="50" w:line="360" w:lineRule="exact"/>
        <w:ind w:firstLine="645"/>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我</w:t>
      </w:r>
      <w:r>
        <w:rPr>
          <w:i/>
          <w:iCs/>
          <w:color w:val="000000" w:themeColor="text1"/>
          <w:szCs w:val="21"/>
          <w:highlight w:val="none"/>
          <w:u w:val="single"/>
          <w14:textFill>
            <w14:solidFill>
              <w14:schemeClr w14:val="tx1"/>
            </w14:solidFill>
          </w14:textFill>
        </w:rPr>
        <w:t>（姓名）</w:t>
      </w:r>
      <w:r>
        <w:rPr>
          <w:rFonts w:hint="eastAsia"/>
          <w:i/>
          <w:iCs/>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系</w:t>
      </w:r>
      <w:r>
        <w:rPr>
          <w:i/>
          <w:iCs/>
          <w:color w:val="000000" w:themeColor="text1"/>
          <w:szCs w:val="21"/>
          <w:highlight w:val="none"/>
          <w:u w:val="single"/>
          <w14:textFill>
            <w14:solidFill>
              <w14:schemeClr w14:val="tx1"/>
            </w14:solidFill>
          </w14:textFill>
        </w:rPr>
        <w:t>（供应商名称）</w:t>
      </w:r>
      <w:r>
        <w:rPr>
          <w:color w:val="000000" w:themeColor="text1"/>
          <w:szCs w:val="21"/>
          <w:highlight w:val="none"/>
          <w14:textFill>
            <w14:solidFill>
              <w14:schemeClr w14:val="tx1"/>
            </w14:solidFill>
          </w14:textFill>
        </w:rPr>
        <w:t>的法定代表人，我方愿意参加贵方组织的</w:t>
      </w:r>
      <w:r>
        <w:rPr>
          <w:rFonts w:hint="eastAsia"/>
          <w:color w:val="000000" w:themeColor="text1"/>
          <w:szCs w:val="21"/>
          <w:highlight w:val="none"/>
          <w14:textFill>
            <w14:solidFill>
              <w14:schemeClr w14:val="tx1"/>
            </w14:solidFill>
          </w14:textFill>
        </w:rPr>
        <w:t xml:space="preserve"> </w:t>
      </w:r>
      <w:r>
        <w:rPr>
          <w:rFonts w:hint="eastAsia"/>
          <w:i/>
          <w:iCs/>
          <w:color w:val="000000" w:themeColor="text1"/>
          <w:szCs w:val="21"/>
          <w:highlight w:val="none"/>
          <w:u w:val="single"/>
          <w14:textFill>
            <w14:solidFill>
              <w14:schemeClr w14:val="tx1"/>
            </w14:solidFill>
          </w14:textFill>
        </w:rPr>
        <w:t xml:space="preserve">（项目名称） </w:t>
      </w:r>
      <w:r>
        <w:rPr>
          <w:color w:val="000000" w:themeColor="text1"/>
          <w:szCs w:val="21"/>
          <w:highlight w:val="none"/>
          <w14:textFill>
            <w14:solidFill>
              <w14:schemeClr w14:val="tx1"/>
            </w14:solidFill>
          </w14:textFill>
        </w:rPr>
        <w:t>项目的投标，为便于贵方公正、择优地确定中标人及其投标产品和服务，我方就本次投标有关事项郑重声明如下：</w:t>
      </w:r>
    </w:p>
    <w:p w14:paraId="489DE306">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（1）我方向贵方提交的所有投标文件、资料都是准确的和真实的。</w:t>
      </w:r>
    </w:p>
    <w:p w14:paraId="38DB92DF">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（2）我方不是采购人的附属机构；也不是为本项目提供整体设计、规范编制或者项目管理、监理、检测等服务的供应商或其附属机构。</w:t>
      </w:r>
    </w:p>
    <w:p w14:paraId="6720DE4C">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（3）我方承诺在参加本政府采购项目活动前，没有被纳入政府部门或银行认定的失信名单，我方具有良好的商业信誉。</w:t>
      </w:r>
    </w:p>
    <w:p w14:paraId="45851A23">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（4）我方及本人承诺在参加本政府采购项目活动前三年内，在经营活动中没有重大违法记录。重大违法记录是指供</w:t>
      </w:r>
      <w:r>
        <w:rPr>
          <w:rFonts w:hint="eastAsia"/>
          <w:color w:val="000000" w:themeColor="text1"/>
          <w:szCs w:val="21"/>
          <w:highlight w:val="none"/>
          <w14:textFill>
            <w14:solidFill>
              <w14:schemeClr w14:val="tx1"/>
            </w14:solidFill>
          </w14:textFill>
        </w:rPr>
        <w:t>应商</w:t>
      </w:r>
      <w:r>
        <w:rPr>
          <w:color w:val="000000" w:themeColor="text1"/>
          <w:szCs w:val="21"/>
          <w:highlight w:val="none"/>
          <w14:textFill>
            <w14:solidFill>
              <w14:schemeClr w14:val="tx1"/>
            </w14:solidFill>
          </w14:textFill>
        </w:rPr>
        <w:t>因违法经营受到刑事处罚或者责令停产停业、吊销许可证或者执照、较大数额罚款等行政处罚。如我方提供的声明不实，则自愿承担《政府采购法》有关提供虚假材料的规定给予的处罚。</w:t>
      </w:r>
    </w:p>
    <w:p w14:paraId="7DF069B6">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（5）我方承诺具有履行本项目合同所必需的设备和专业技术能力。</w:t>
      </w:r>
    </w:p>
    <w:p w14:paraId="28E372A6">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（6）我方承诺</w:t>
      </w:r>
      <w:r>
        <w:rPr>
          <w:color w:val="000000" w:themeColor="text1"/>
          <w:szCs w:val="21"/>
          <w:highlight w:val="none"/>
          <w14:textFill>
            <w14:solidFill>
              <w14:schemeClr w14:val="tx1"/>
            </w14:solidFill>
          </w14:textFill>
        </w:rPr>
        <w:t>未被列入失信被执行人、重大税收违法失信主体、政府采购严重违法失信行为记录名单</w:t>
      </w:r>
      <w:r>
        <w:rPr>
          <w:rFonts w:hint="eastAsia"/>
          <w:color w:val="000000" w:themeColor="text1"/>
          <w:szCs w:val="21"/>
          <w:highlight w:val="none"/>
          <w14:textFill>
            <w14:solidFill>
              <w14:schemeClr w14:val="tx1"/>
            </w14:solidFill>
          </w14:textFill>
        </w:rPr>
        <w:t>，如我方提供的声明不实，则接受本次投标作为否决投标的处理，</w:t>
      </w:r>
      <w:r>
        <w:rPr>
          <w:color w:val="000000" w:themeColor="text1"/>
          <w:szCs w:val="21"/>
          <w:highlight w:val="none"/>
          <w14:textFill>
            <w14:solidFill>
              <w14:schemeClr w14:val="tx1"/>
            </w14:solidFill>
          </w14:textFill>
        </w:rPr>
        <w:t>并根据财库〔2016〕125号《财政部关于在政府采购活动中查询及使用信用记录有关问题的通知》规定接受失信联合惩戒。</w:t>
      </w:r>
    </w:p>
    <w:p w14:paraId="4D8AB955">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（7）我方承诺中标后按</w:t>
      </w:r>
      <w:r>
        <w:rPr>
          <w:color w:val="000000" w:themeColor="text1"/>
          <w:szCs w:val="21"/>
          <w:highlight w:val="none"/>
          <w14:textFill>
            <w14:solidFill>
              <w14:schemeClr w14:val="tx1"/>
            </w14:solidFill>
          </w14:textFill>
        </w:rPr>
        <w:t>规定缴纳代理服务费</w:t>
      </w:r>
      <w:r>
        <w:rPr>
          <w:rFonts w:hint="eastAsia"/>
          <w:color w:val="000000" w:themeColor="text1"/>
          <w:szCs w:val="21"/>
          <w:highlight w:val="none"/>
          <w14:textFill>
            <w14:solidFill>
              <w14:schemeClr w14:val="tx1"/>
            </w14:solidFill>
          </w14:textFill>
        </w:rPr>
        <w:t>。</w:t>
      </w:r>
    </w:p>
    <w:p w14:paraId="2870F737">
      <w:pPr>
        <w:pStyle w:val="19"/>
        <w:ind w:firstLine="420" w:firstLineChars="2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（8）我方承诺不属于公益一类事业单位、使用事业编制且由财政拨款保障的群团组织，可以作为政府购买服务的承接主体。</w:t>
      </w:r>
      <w:r>
        <w:rPr>
          <w:rFonts w:hint="eastAsia"/>
          <w:color w:val="000000" w:themeColor="text1"/>
          <w:kern w:val="0"/>
          <w:szCs w:val="21"/>
          <w:highlight w:val="none"/>
          <w14:textFill>
            <w14:solidFill>
              <w14:schemeClr w14:val="tx1"/>
            </w14:solidFill>
          </w14:textFill>
        </w:rPr>
        <w:t>【备注：如不属于政府购买服务，则删除】</w:t>
      </w:r>
    </w:p>
    <w:p w14:paraId="3A2E3917">
      <w:pPr>
        <w:snapToGrid w:val="0"/>
        <w:spacing w:before="120" w:beforeLines="50" w:line="36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我方对以上声明负全部法律责任。如有虚假或隐瞒，我方愿意承担一切后果，并不再寻求任何旨在减轻或免除法律责任的辩解。</w:t>
      </w:r>
    </w:p>
    <w:p w14:paraId="23557E3E">
      <w:pPr>
        <w:snapToGrid w:val="0"/>
        <w:spacing w:before="120" w:beforeLines="50" w:line="360" w:lineRule="exact"/>
        <w:ind w:firstLine="420" w:firstLineChars="200"/>
        <w:rPr>
          <w:color w:val="000000" w:themeColor="text1"/>
          <w:szCs w:val="21"/>
          <w:highlight w:val="none"/>
          <w14:textFill>
            <w14:solidFill>
              <w14:schemeClr w14:val="tx1"/>
            </w14:solidFill>
          </w14:textFill>
        </w:rPr>
      </w:pPr>
    </w:p>
    <w:p w14:paraId="40A43373">
      <w:pPr>
        <w:snapToGrid w:val="0"/>
        <w:spacing w:before="120" w:beforeLines="50" w:after="50" w:line="360" w:lineRule="exact"/>
        <w:ind w:firstLine="210" w:firstLineChars="100"/>
        <w:jc w:val="right"/>
        <w:rPr>
          <w:color w:val="000000" w:themeColor="text1"/>
          <w:szCs w:val="21"/>
          <w:highlight w:val="none"/>
          <w14:textFill>
            <w14:solidFill>
              <w14:schemeClr w14:val="tx1"/>
            </w14:solidFill>
          </w14:textFill>
        </w:rPr>
      </w:pPr>
      <w:bookmarkStart w:id="122" w:name="_Hlk88990289"/>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bookmarkEnd w:id="122"/>
      <w:r>
        <w:rPr>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p>
    <w:p w14:paraId="208E39EE">
      <w:pPr>
        <w:snapToGrid w:val="0"/>
        <w:spacing w:before="120" w:beforeLines="50" w:after="50" w:line="360" w:lineRule="exact"/>
        <w:ind w:firstLine="210" w:firstLineChars="100"/>
        <w:jc w:val="righ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    月    日</w:t>
      </w:r>
    </w:p>
    <w:p w14:paraId="7C8D7B16">
      <w:pPr>
        <w:snapToGrid w:val="0"/>
        <w:spacing w:before="120" w:beforeLines="50" w:after="50" w:line="36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br w:type="page"/>
      </w:r>
      <w:r>
        <w:rPr>
          <w:color w:val="000000" w:themeColor="text1"/>
          <w:szCs w:val="21"/>
          <w:highlight w:val="none"/>
          <w14:textFill>
            <w14:solidFill>
              <w14:schemeClr w14:val="tx1"/>
            </w14:solidFill>
          </w14:textFill>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r>
        <w:rPr>
          <w:rFonts w:hint="eastAsia"/>
          <w:color w:val="000000" w:themeColor="text1"/>
          <w:szCs w:val="21"/>
          <w:highlight w:val="none"/>
          <w14:textFill>
            <w14:solidFill>
              <w14:schemeClr w14:val="tx1"/>
            </w14:solidFill>
          </w14:textFill>
        </w:rPr>
        <w:t>供应商电子签章</w:t>
      </w:r>
      <w:r>
        <w:rPr>
          <w:color w:val="000000" w:themeColor="text1"/>
          <w:szCs w:val="21"/>
          <w:highlight w:val="none"/>
          <w14:textFill>
            <w14:solidFill>
              <w14:schemeClr w14:val="tx1"/>
            </w14:solidFill>
          </w14:textFill>
        </w:rPr>
        <w:t>）。</w:t>
      </w:r>
    </w:p>
    <w:p w14:paraId="79C45B49">
      <w:pPr>
        <w:snapToGrid w:val="0"/>
        <w:spacing w:before="120" w:beforeLines="50" w:after="50" w:line="440" w:lineRule="exact"/>
        <w:rPr>
          <w:color w:val="000000" w:themeColor="text1"/>
          <w:sz w:val="18"/>
          <w:szCs w:val="18"/>
          <w:highlight w:val="none"/>
          <w14:textFill>
            <w14:solidFill>
              <w14:schemeClr w14:val="tx1"/>
            </w14:solidFill>
          </w14:textFill>
        </w:rPr>
      </w:pPr>
    </w:p>
    <w:p w14:paraId="62DEB72D">
      <w:pPr>
        <w:snapToGrid w:val="0"/>
        <w:spacing w:before="120" w:beforeLines="50" w:after="50" w:line="440" w:lineRule="exact"/>
        <w:rPr>
          <w:b/>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3．财务状况报告（表）复印件或银行出具的资信证明复印件。</w:t>
      </w:r>
      <w:r>
        <w:rPr>
          <w:color w:val="000000" w:themeColor="text1"/>
          <w:highlight w:val="none"/>
          <w14:textFill>
            <w14:solidFill>
              <w14:schemeClr w14:val="tx1"/>
            </w14:solidFill>
          </w14:textFill>
        </w:rPr>
        <w:t>对于从取得营业执照时间起到截标时间为止不足1年的供应商，只需提交</w:t>
      </w:r>
      <w:r>
        <w:rPr>
          <w:color w:val="000000" w:themeColor="text1"/>
          <w:szCs w:val="21"/>
          <w:highlight w:val="none"/>
          <w14:textFill>
            <w14:solidFill>
              <w14:schemeClr w14:val="tx1"/>
            </w14:solidFill>
          </w14:textFill>
        </w:rPr>
        <w:t>截标时间前一个月的财务状况报告（表）复印件。（按“评审方法及标准” “资格审查表”规定提供）。（加盖</w:t>
      </w:r>
      <w:r>
        <w:rPr>
          <w:rFonts w:hint="eastAsia"/>
          <w:color w:val="000000" w:themeColor="text1"/>
          <w:szCs w:val="21"/>
          <w:highlight w:val="none"/>
          <w14:textFill>
            <w14:solidFill>
              <w14:schemeClr w14:val="tx1"/>
            </w14:solidFill>
          </w14:textFill>
        </w:rPr>
        <w:t>供应商电子签章</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w:t>
      </w:r>
    </w:p>
    <w:p w14:paraId="711FB3A7">
      <w:pPr>
        <w:snapToGrid w:val="0"/>
        <w:spacing w:before="120" w:beforeLines="50" w:after="50" w:line="440" w:lineRule="exact"/>
        <w:rPr>
          <w:color w:val="000000" w:themeColor="text1"/>
          <w:szCs w:val="21"/>
          <w:highlight w:val="none"/>
          <w14:textFill>
            <w14:solidFill>
              <w14:schemeClr w14:val="tx1"/>
            </w14:solidFill>
          </w14:textFill>
        </w:rPr>
      </w:pPr>
    </w:p>
    <w:p w14:paraId="15D1A11C">
      <w:pPr>
        <w:snapToGrid w:val="0"/>
        <w:spacing w:before="120" w:beforeLines="50" w:after="50" w:line="440" w:lineRule="exac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4．依法缴纳税费证明和社会保险缴纳证明材料</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供应商成立不足</w:t>
      </w:r>
      <w:r>
        <w:rPr>
          <w:rFonts w:hint="eastAsia"/>
          <w:color w:val="000000" w:themeColor="text1"/>
          <w:highlight w:val="none"/>
          <w14:textFill>
            <w14:solidFill>
              <w14:schemeClr w14:val="tx1"/>
            </w14:solidFill>
          </w14:textFill>
        </w:rPr>
        <w:t>1个月的，无须提供</w:t>
      </w:r>
      <w:r>
        <w:rPr>
          <w:color w:val="000000" w:themeColor="text1"/>
          <w:highlight w:val="none"/>
          <w14:textFill>
            <w14:solidFill>
              <w14:schemeClr w14:val="tx1"/>
            </w14:solidFill>
          </w14:textFill>
        </w:rPr>
        <w:t>缴纳税费证明及社保缴费证明</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依法免税或不需要缴纳社会保障资金的供应商，须提供相应文件证明其依法免税或不需要缴纳社会保障资金。</w:t>
      </w:r>
      <w:r>
        <w:rPr>
          <w:color w:val="000000" w:themeColor="text1"/>
          <w:szCs w:val="21"/>
          <w:highlight w:val="none"/>
          <w14:textFill>
            <w14:solidFill>
              <w14:schemeClr w14:val="tx1"/>
            </w14:solidFill>
          </w14:textFill>
        </w:rPr>
        <w:t>（按“评审方法及标准” “资格审查表”规定提供）（加盖</w:t>
      </w:r>
      <w:r>
        <w:rPr>
          <w:rFonts w:hint="eastAsia"/>
          <w:color w:val="000000" w:themeColor="text1"/>
          <w:szCs w:val="21"/>
          <w:highlight w:val="none"/>
          <w14:textFill>
            <w14:solidFill>
              <w14:schemeClr w14:val="tx1"/>
            </w14:solidFill>
          </w14:textFill>
        </w:rPr>
        <w:t>供应商电子签章</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w:t>
      </w:r>
    </w:p>
    <w:p w14:paraId="160472FC">
      <w:pPr>
        <w:snapToGrid w:val="0"/>
        <w:spacing w:before="120" w:beforeLines="50" w:after="50" w:line="360" w:lineRule="exact"/>
        <w:rPr>
          <w:color w:val="000000" w:themeColor="text1"/>
          <w:szCs w:val="21"/>
          <w:highlight w:val="none"/>
          <w14:textFill>
            <w14:solidFill>
              <w14:schemeClr w14:val="tx1"/>
            </w14:solidFill>
          </w14:textFill>
        </w:rPr>
      </w:pPr>
    </w:p>
    <w:p w14:paraId="2065A3E5">
      <w:pPr>
        <w:snapToGrid w:val="0"/>
        <w:spacing w:before="50" w:after="120" w:afterLines="50" w:line="440" w:lineRule="exact"/>
        <w:jc w:val="left"/>
        <w:rPr>
          <w:b/>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5．具备法律、行政法规规定的其他要求的证明材料</w:t>
      </w:r>
      <w:r>
        <w:rPr>
          <w:color w:val="000000" w:themeColor="text1"/>
          <w:highlight w:val="none"/>
          <w14:textFill>
            <w14:solidFill>
              <w14:schemeClr w14:val="tx1"/>
            </w14:solidFill>
          </w14:textFill>
        </w:rPr>
        <w:t>（</w:t>
      </w:r>
      <w:r>
        <w:rPr>
          <w:color w:val="000000" w:themeColor="text1"/>
          <w:szCs w:val="21"/>
          <w:highlight w:val="none"/>
          <w14:textFill>
            <w14:solidFill>
              <w14:schemeClr w14:val="tx1"/>
            </w14:solidFill>
          </w14:textFill>
        </w:rPr>
        <w:t>按“评审方法及标准” “资格审查表”规定提供</w:t>
      </w:r>
      <w:r>
        <w:rPr>
          <w:color w:val="000000" w:themeColor="text1"/>
          <w:highlight w:val="none"/>
          <w14:textFill>
            <w14:solidFill>
              <w14:schemeClr w14:val="tx1"/>
            </w14:solidFill>
          </w14:textFill>
        </w:rPr>
        <w:t>）。</w:t>
      </w:r>
      <w:r>
        <w:rPr>
          <w:rFonts w:hint="eastAsia"/>
          <w:b/>
          <w:color w:val="000000" w:themeColor="text1"/>
          <w:szCs w:val="21"/>
          <w:highlight w:val="none"/>
          <w14:textFill>
            <w14:solidFill>
              <w14:schemeClr w14:val="tx1"/>
            </w14:solidFill>
          </w14:textFill>
        </w:rPr>
        <w:t>（如招标文件有要求时提供）</w:t>
      </w:r>
    </w:p>
    <w:p w14:paraId="78AA02EC">
      <w:pPr>
        <w:snapToGrid w:val="0"/>
        <w:spacing w:before="50" w:after="120" w:afterLines="50" w:line="440" w:lineRule="exact"/>
        <w:jc w:val="left"/>
        <w:rPr>
          <w:color w:val="000000" w:themeColor="text1"/>
          <w:szCs w:val="21"/>
          <w:highlight w:val="none"/>
          <w14:textFill>
            <w14:solidFill>
              <w14:schemeClr w14:val="tx1"/>
            </w14:solidFill>
          </w14:textFill>
        </w:rPr>
      </w:pPr>
    </w:p>
    <w:p w14:paraId="3D529182">
      <w:pPr>
        <w:snapToGrid w:val="0"/>
        <w:spacing w:before="50" w:after="120" w:afterLines="50" w:line="440" w:lineRule="exact"/>
        <w:jc w:val="left"/>
        <w:rPr>
          <w:color w:val="000000" w:themeColor="text1"/>
          <w:szCs w:val="21"/>
          <w:highlight w:val="none"/>
          <w14:textFill>
            <w14:solidFill>
              <w14:schemeClr w14:val="tx1"/>
            </w14:solidFill>
          </w14:textFill>
        </w:rPr>
        <w:sectPr>
          <w:pgSz w:w="11906" w:h="16838"/>
          <w:pgMar w:top="1418" w:right="1133" w:bottom="1246" w:left="1418" w:header="851" w:footer="992" w:gutter="0"/>
          <w:cols w:space="720" w:num="1"/>
          <w:docGrid w:linePitch="312" w:charSpace="0"/>
        </w:sectPr>
      </w:pPr>
      <w:bookmarkStart w:id="123" w:name="_Hlk132879806"/>
      <w:r>
        <w:rPr>
          <w:color w:val="000000" w:themeColor="text1"/>
          <w:szCs w:val="21"/>
          <w:highlight w:val="none"/>
          <w14:textFill>
            <w14:solidFill>
              <w14:schemeClr w14:val="tx1"/>
            </w14:solidFill>
          </w14:textFill>
        </w:rPr>
        <w:t>6．</w:t>
      </w:r>
      <w:r>
        <w:rPr>
          <w:rFonts w:hint="eastAsia"/>
          <w:color w:val="000000" w:themeColor="text1"/>
          <w:highlight w:val="none"/>
          <w14:textFill>
            <w14:solidFill>
              <w14:schemeClr w14:val="tx1"/>
            </w14:solidFill>
          </w14:textFill>
        </w:rPr>
        <w:t>落实政府采购政策需满足的资格要求</w:t>
      </w:r>
      <w:r>
        <w:rPr>
          <w:color w:val="000000" w:themeColor="text1"/>
          <w:highlight w:val="none"/>
          <w14:textFill>
            <w14:solidFill>
              <w14:schemeClr w14:val="tx1"/>
            </w14:solidFill>
          </w14:textFill>
        </w:rPr>
        <w:t>（</w:t>
      </w:r>
      <w:r>
        <w:rPr>
          <w:color w:val="000000" w:themeColor="text1"/>
          <w:szCs w:val="21"/>
          <w:highlight w:val="none"/>
          <w14:textFill>
            <w14:solidFill>
              <w14:schemeClr w14:val="tx1"/>
            </w14:solidFill>
          </w14:textFill>
        </w:rPr>
        <w:t>按“评审方法及标准” “资格审查表”规定提供</w:t>
      </w:r>
      <w:r>
        <w:rPr>
          <w:color w:val="000000" w:themeColor="text1"/>
          <w:highlight w:val="none"/>
          <w14:textFill>
            <w14:solidFill>
              <w14:schemeClr w14:val="tx1"/>
            </w14:solidFill>
          </w14:textFill>
        </w:rPr>
        <w:t>）。</w:t>
      </w:r>
      <w:r>
        <w:rPr>
          <w:rFonts w:hint="eastAsia"/>
          <w:b/>
          <w:color w:val="000000" w:themeColor="text1"/>
          <w:szCs w:val="21"/>
          <w:highlight w:val="none"/>
          <w14:textFill>
            <w14:solidFill>
              <w14:schemeClr w14:val="tx1"/>
            </w14:solidFill>
          </w14:textFill>
        </w:rPr>
        <w:t>（如招标文件有要求时提供）</w:t>
      </w:r>
      <w:bookmarkEnd w:id="123"/>
    </w:p>
    <w:p w14:paraId="2A7C49CB">
      <w:pPr>
        <w:pStyle w:val="9"/>
        <w:overflowPunct w:val="0"/>
        <w:ind w:firstLine="0"/>
        <w:rPr>
          <w:b/>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满足供应商特定资格条件的其他证明材料</w:t>
      </w:r>
      <w:r>
        <w:rPr>
          <w:color w:val="000000" w:themeColor="text1"/>
          <w:szCs w:val="21"/>
          <w:highlight w:val="none"/>
          <w14:textFill>
            <w14:solidFill>
              <w14:schemeClr w14:val="tx1"/>
            </w14:solidFill>
          </w14:textFill>
        </w:rPr>
        <w:t>加盖供应商</w:t>
      </w:r>
      <w:r>
        <w:rPr>
          <w:rFonts w:hint="eastAsia"/>
          <w:color w:val="000000" w:themeColor="text1"/>
          <w:szCs w:val="21"/>
          <w:highlight w:val="none"/>
          <w14:textFill>
            <w14:solidFill>
              <w14:schemeClr w14:val="tx1"/>
            </w14:solidFill>
          </w14:textFill>
        </w:rPr>
        <w:t>电子签章</w:t>
      </w:r>
      <w:r>
        <w:rPr>
          <w:color w:val="000000" w:themeColor="text1"/>
          <w:highlight w:val="none"/>
          <w14:textFill>
            <w14:solidFill>
              <w14:schemeClr w14:val="tx1"/>
            </w14:solidFill>
          </w14:textFill>
        </w:rPr>
        <w:t>（</w:t>
      </w:r>
      <w:r>
        <w:rPr>
          <w:color w:val="000000" w:themeColor="text1"/>
          <w:szCs w:val="21"/>
          <w:highlight w:val="none"/>
          <w14:textFill>
            <w14:solidFill>
              <w14:schemeClr w14:val="tx1"/>
            </w14:solidFill>
          </w14:textFill>
        </w:rPr>
        <w:t>按“评审方法及标准” “资格审查表”“</w:t>
      </w:r>
      <w:r>
        <w:rPr>
          <w:color w:val="000000" w:themeColor="text1"/>
          <w:szCs w:val="21"/>
          <w:highlight w:val="none"/>
          <w:lang w:val="zh-CN"/>
          <w14:textFill>
            <w14:solidFill>
              <w14:schemeClr w14:val="tx1"/>
            </w14:solidFill>
          </w14:textFill>
        </w:rPr>
        <w:t xml:space="preserve"> 供应商应符合的</w:t>
      </w:r>
      <w:r>
        <w:rPr>
          <w:color w:val="000000" w:themeColor="text1"/>
          <w:szCs w:val="21"/>
          <w:highlight w:val="none"/>
          <w14:textFill>
            <w14:solidFill>
              <w14:schemeClr w14:val="tx1"/>
            </w14:solidFill>
          </w14:textFill>
        </w:rPr>
        <w:t>特定资格条件”规定提供</w:t>
      </w:r>
      <w:r>
        <w:rPr>
          <w:color w:val="000000" w:themeColor="text1"/>
          <w:highlight w:val="none"/>
          <w14:textFill>
            <w14:solidFill>
              <w14:schemeClr w14:val="tx1"/>
            </w14:solidFill>
          </w14:textFill>
        </w:rPr>
        <w:t>）。</w:t>
      </w:r>
      <w:r>
        <w:rPr>
          <w:rFonts w:hint="eastAsia"/>
          <w:b/>
          <w:color w:val="000000" w:themeColor="text1"/>
          <w:szCs w:val="21"/>
          <w:highlight w:val="none"/>
          <w14:textFill>
            <w14:solidFill>
              <w14:schemeClr w14:val="tx1"/>
            </w14:solidFill>
          </w14:textFill>
        </w:rPr>
        <w:t>（如招标文件有要求时提供）</w:t>
      </w:r>
    </w:p>
    <w:p w14:paraId="0F599F1A">
      <w:pPr>
        <w:snapToGrid w:val="0"/>
        <w:spacing w:before="50" w:after="120" w:afterLines="50" w:line="360" w:lineRule="auto"/>
        <w:jc w:val="left"/>
        <w:rPr>
          <w:color w:val="000000" w:themeColor="text1"/>
          <w:szCs w:val="21"/>
          <w:highlight w:val="none"/>
          <w14:textFill>
            <w14:solidFill>
              <w14:schemeClr w14:val="tx1"/>
            </w14:solidFill>
          </w14:textFill>
        </w:rPr>
        <w:sectPr>
          <w:pgSz w:w="11906" w:h="16838"/>
          <w:pgMar w:top="1418" w:right="1133" w:bottom="1246" w:left="1418" w:header="851" w:footer="992" w:gutter="0"/>
          <w:cols w:space="720" w:num="1"/>
          <w:docGrid w:linePitch="312" w:charSpace="0"/>
        </w:sectPr>
      </w:pPr>
    </w:p>
    <w:p w14:paraId="1A6FB6EF">
      <w:pPr>
        <w:snapToGrid w:val="0"/>
        <w:spacing w:before="50" w:after="120" w:afterLines="50"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投标人直接控股股东信息表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22BBFBE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96B02E8">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0E8E42">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59FE824">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ED03A3">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3B984C">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250A8A5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A5CE12">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8AEF537">
            <w:pPr>
              <w:spacing w:line="360" w:lineRule="auto"/>
              <w:jc w:val="center"/>
              <w:rPr>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1B5B68">
            <w:pPr>
              <w:spacing w:line="360" w:lineRule="auto"/>
              <w:jc w:val="center"/>
              <w:rPr>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7AC3A3">
            <w:pPr>
              <w:spacing w:line="360" w:lineRule="auto"/>
              <w:jc w:val="center"/>
              <w:rPr>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B5B11EC">
            <w:pPr>
              <w:spacing w:line="360" w:lineRule="auto"/>
              <w:jc w:val="center"/>
              <w:rPr>
                <w:color w:val="000000" w:themeColor="text1"/>
                <w:szCs w:val="21"/>
                <w:highlight w:val="none"/>
                <w14:textFill>
                  <w14:solidFill>
                    <w14:schemeClr w14:val="tx1"/>
                  </w14:solidFill>
                </w14:textFill>
              </w:rPr>
            </w:pPr>
          </w:p>
        </w:tc>
      </w:tr>
      <w:tr w14:paraId="1A861F4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533533">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388102C">
            <w:pPr>
              <w:spacing w:line="360" w:lineRule="auto"/>
              <w:jc w:val="center"/>
              <w:rPr>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826F7E">
            <w:pPr>
              <w:spacing w:line="360" w:lineRule="auto"/>
              <w:jc w:val="center"/>
              <w:rPr>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01471A">
            <w:pPr>
              <w:spacing w:line="360" w:lineRule="auto"/>
              <w:jc w:val="center"/>
              <w:rPr>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6A767F">
            <w:pPr>
              <w:spacing w:line="360" w:lineRule="auto"/>
              <w:jc w:val="center"/>
              <w:rPr>
                <w:color w:val="000000" w:themeColor="text1"/>
                <w:szCs w:val="21"/>
                <w:highlight w:val="none"/>
                <w14:textFill>
                  <w14:solidFill>
                    <w14:schemeClr w14:val="tx1"/>
                  </w14:solidFill>
                </w14:textFill>
              </w:rPr>
            </w:pPr>
          </w:p>
        </w:tc>
      </w:tr>
      <w:tr w14:paraId="39E9A19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C20B7A2">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C38958E">
            <w:pPr>
              <w:spacing w:line="360" w:lineRule="auto"/>
              <w:jc w:val="center"/>
              <w:rPr>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AFF2C1">
            <w:pPr>
              <w:spacing w:line="360" w:lineRule="auto"/>
              <w:jc w:val="center"/>
              <w:rPr>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78BAE1">
            <w:pPr>
              <w:spacing w:line="360" w:lineRule="auto"/>
              <w:jc w:val="center"/>
              <w:rPr>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3129CF6">
            <w:pPr>
              <w:spacing w:line="360" w:lineRule="auto"/>
              <w:jc w:val="center"/>
              <w:rPr>
                <w:color w:val="000000" w:themeColor="text1"/>
                <w:szCs w:val="21"/>
                <w:highlight w:val="none"/>
                <w14:textFill>
                  <w14:solidFill>
                    <w14:schemeClr w14:val="tx1"/>
                  </w14:solidFill>
                </w14:textFill>
              </w:rPr>
            </w:pPr>
          </w:p>
        </w:tc>
      </w:tr>
      <w:tr w14:paraId="4D1C1EB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E3C538">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56C64B">
            <w:pPr>
              <w:spacing w:line="360" w:lineRule="auto"/>
              <w:jc w:val="center"/>
              <w:rPr>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3002C43">
            <w:pPr>
              <w:spacing w:line="360" w:lineRule="auto"/>
              <w:jc w:val="center"/>
              <w:rPr>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CF8629">
            <w:pPr>
              <w:spacing w:line="360" w:lineRule="auto"/>
              <w:jc w:val="center"/>
              <w:rPr>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6FBBA53">
            <w:pPr>
              <w:spacing w:line="360" w:lineRule="auto"/>
              <w:jc w:val="center"/>
              <w:rPr>
                <w:color w:val="000000" w:themeColor="text1"/>
                <w:szCs w:val="21"/>
                <w:highlight w:val="none"/>
                <w14:textFill>
                  <w14:solidFill>
                    <w14:schemeClr w14:val="tx1"/>
                  </w14:solidFill>
                </w14:textFill>
              </w:rPr>
            </w:pPr>
          </w:p>
        </w:tc>
      </w:tr>
    </w:tbl>
    <w:p w14:paraId="732D207B">
      <w:pPr>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w:t>
      </w:r>
    </w:p>
    <w:p w14:paraId="3D830B45">
      <w:pPr>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9E6848">
      <w:pPr>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51A8DF2D">
      <w:pPr>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3.供应商不存在直接控股股东的，则填“无”。</w:t>
      </w:r>
    </w:p>
    <w:p w14:paraId="6C622E97">
      <w:pPr>
        <w:snapToGrid w:val="0"/>
        <w:spacing w:line="360" w:lineRule="auto"/>
        <w:jc w:val="left"/>
        <w:rPr>
          <w:color w:val="000000" w:themeColor="text1"/>
          <w:szCs w:val="21"/>
          <w:highlight w:val="none"/>
          <w14:textFill>
            <w14:solidFill>
              <w14:schemeClr w14:val="tx1"/>
            </w14:solidFill>
          </w14:textFill>
        </w:rPr>
      </w:pPr>
    </w:p>
    <w:p w14:paraId="62E0F937">
      <w:pPr>
        <w:snapToGrid w:val="0"/>
        <w:spacing w:line="360" w:lineRule="auto"/>
        <w:jc w:val="left"/>
        <w:rPr>
          <w:color w:val="000000" w:themeColor="text1"/>
          <w:szCs w:val="21"/>
          <w:highlight w:val="none"/>
          <w14:textFill>
            <w14:solidFill>
              <w14:schemeClr w14:val="tx1"/>
            </w14:solidFill>
          </w14:textFill>
        </w:rPr>
      </w:pPr>
    </w:p>
    <w:p w14:paraId="11924AB1">
      <w:pPr>
        <w:snapToGrid w:val="0"/>
        <w:spacing w:line="360" w:lineRule="auto"/>
        <w:jc w:val="left"/>
        <w:rPr>
          <w:color w:val="000000" w:themeColor="text1"/>
          <w:szCs w:val="21"/>
          <w:highlight w:val="none"/>
          <w14:textFill>
            <w14:solidFill>
              <w14:schemeClr w14:val="tx1"/>
            </w14:solidFill>
          </w14:textFill>
        </w:rPr>
      </w:pPr>
    </w:p>
    <w:p w14:paraId="3384F55C">
      <w:pPr>
        <w:snapToGrid w:val="0"/>
        <w:spacing w:line="360" w:lineRule="auto"/>
        <w:jc w:val="left"/>
        <w:rPr>
          <w:color w:val="000000" w:themeColor="text1"/>
          <w:szCs w:val="21"/>
          <w:highlight w:val="none"/>
          <w14:textFill>
            <w14:solidFill>
              <w14:schemeClr w14:val="tx1"/>
            </w14:solidFill>
          </w14:textFill>
        </w:rPr>
      </w:pPr>
    </w:p>
    <w:p w14:paraId="7E248DC7">
      <w:pPr>
        <w:snapToGrid w:val="0"/>
        <w:spacing w:line="360" w:lineRule="auto"/>
        <w:jc w:val="left"/>
        <w:rPr>
          <w:color w:val="000000" w:themeColor="text1"/>
          <w:szCs w:val="21"/>
          <w:highlight w:val="none"/>
          <w14:textFill>
            <w14:solidFill>
              <w14:schemeClr w14:val="tx1"/>
            </w14:solidFill>
          </w14:textFill>
        </w:rPr>
      </w:pPr>
    </w:p>
    <w:p w14:paraId="44DD1EA7">
      <w:pPr>
        <w:snapToGrid w:val="0"/>
        <w:spacing w:line="360" w:lineRule="auto"/>
        <w:ind w:firstLine="4410" w:firstLineChars="21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供应商名称(电子签章)：</w:t>
      </w:r>
    </w:p>
    <w:p w14:paraId="7BE2B36D">
      <w:pPr>
        <w:snapToGrid w:val="0"/>
        <w:spacing w:line="360" w:lineRule="auto"/>
        <w:ind w:firstLine="4515" w:firstLineChars="2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日期：  年  月   日</w:t>
      </w:r>
    </w:p>
    <w:p w14:paraId="1FDAC8A7">
      <w:pPr>
        <w:snapToGrid w:val="0"/>
        <w:spacing w:line="360" w:lineRule="auto"/>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br w:type="page"/>
      </w: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投标人直接管理关系信息表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5EB49F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F10FE2F">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B6D7C9D">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ED73AFE">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65193F7">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1F7A18F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3BFD9E5">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D49B855">
            <w:pPr>
              <w:spacing w:line="360" w:lineRule="auto"/>
              <w:jc w:val="center"/>
              <w:rPr>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D92BA3D">
            <w:pPr>
              <w:spacing w:line="360" w:lineRule="auto"/>
              <w:jc w:val="center"/>
              <w:rPr>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D49F16C">
            <w:pPr>
              <w:spacing w:line="360" w:lineRule="auto"/>
              <w:jc w:val="center"/>
              <w:rPr>
                <w:color w:val="000000" w:themeColor="text1"/>
                <w:szCs w:val="21"/>
                <w:highlight w:val="none"/>
                <w14:textFill>
                  <w14:solidFill>
                    <w14:schemeClr w14:val="tx1"/>
                  </w14:solidFill>
                </w14:textFill>
              </w:rPr>
            </w:pPr>
          </w:p>
        </w:tc>
      </w:tr>
      <w:tr w14:paraId="0CF7D91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DD46E15">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6965FA4">
            <w:pPr>
              <w:spacing w:line="360" w:lineRule="auto"/>
              <w:jc w:val="center"/>
              <w:rPr>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244A178">
            <w:pPr>
              <w:spacing w:line="360" w:lineRule="auto"/>
              <w:jc w:val="center"/>
              <w:rPr>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094E62D">
            <w:pPr>
              <w:spacing w:line="360" w:lineRule="auto"/>
              <w:jc w:val="center"/>
              <w:rPr>
                <w:color w:val="000000" w:themeColor="text1"/>
                <w:szCs w:val="21"/>
                <w:highlight w:val="none"/>
                <w14:textFill>
                  <w14:solidFill>
                    <w14:schemeClr w14:val="tx1"/>
                  </w14:solidFill>
                </w14:textFill>
              </w:rPr>
            </w:pPr>
          </w:p>
        </w:tc>
      </w:tr>
      <w:tr w14:paraId="14797A2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C2C1348">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A983847">
            <w:pPr>
              <w:spacing w:line="360" w:lineRule="auto"/>
              <w:jc w:val="center"/>
              <w:rPr>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E12D0F9">
            <w:pPr>
              <w:spacing w:line="360" w:lineRule="auto"/>
              <w:jc w:val="center"/>
              <w:rPr>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C7616D4">
            <w:pPr>
              <w:spacing w:line="360" w:lineRule="auto"/>
              <w:jc w:val="center"/>
              <w:rPr>
                <w:color w:val="000000" w:themeColor="text1"/>
                <w:szCs w:val="21"/>
                <w:highlight w:val="none"/>
                <w14:textFill>
                  <w14:solidFill>
                    <w14:schemeClr w14:val="tx1"/>
                  </w14:solidFill>
                </w14:textFill>
              </w:rPr>
            </w:pPr>
          </w:p>
        </w:tc>
      </w:tr>
      <w:tr w14:paraId="4AA51F8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ACE6778">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273D3BF">
            <w:pPr>
              <w:spacing w:line="360" w:lineRule="auto"/>
              <w:jc w:val="center"/>
              <w:rPr>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96D5BF6">
            <w:pPr>
              <w:spacing w:line="360" w:lineRule="auto"/>
              <w:jc w:val="center"/>
              <w:rPr>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E9A2796">
            <w:pPr>
              <w:spacing w:line="360" w:lineRule="auto"/>
              <w:jc w:val="center"/>
              <w:rPr>
                <w:color w:val="000000" w:themeColor="text1"/>
                <w:szCs w:val="21"/>
                <w:highlight w:val="none"/>
                <w14:textFill>
                  <w14:solidFill>
                    <w14:schemeClr w14:val="tx1"/>
                  </w14:solidFill>
                </w14:textFill>
              </w:rPr>
            </w:pPr>
          </w:p>
        </w:tc>
      </w:tr>
    </w:tbl>
    <w:p w14:paraId="624B7283">
      <w:pPr>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w:t>
      </w:r>
    </w:p>
    <w:p w14:paraId="6B799D72">
      <w:pPr>
        <w:snapToGrid w:val="0"/>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0512A1C0">
      <w:pPr>
        <w:snapToGrid w:val="0"/>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2.本表所指的管理关系仅限于直接管理关系，不包括间接的管理关系。</w:t>
      </w:r>
    </w:p>
    <w:p w14:paraId="29AC4935">
      <w:pPr>
        <w:snapToGrid w:val="0"/>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3.供应商不存在直接管理关系的，则填“无”。</w:t>
      </w:r>
    </w:p>
    <w:p w14:paraId="573FA4B2">
      <w:pPr>
        <w:snapToGrid w:val="0"/>
        <w:spacing w:line="360" w:lineRule="auto"/>
        <w:jc w:val="left"/>
        <w:rPr>
          <w:color w:val="000000" w:themeColor="text1"/>
          <w:szCs w:val="21"/>
          <w:highlight w:val="none"/>
          <w14:textFill>
            <w14:solidFill>
              <w14:schemeClr w14:val="tx1"/>
            </w14:solidFill>
          </w14:textFill>
        </w:rPr>
      </w:pPr>
    </w:p>
    <w:p w14:paraId="4AA4AD99">
      <w:pPr>
        <w:snapToGrid w:val="0"/>
        <w:spacing w:line="360" w:lineRule="auto"/>
        <w:jc w:val="left"/>
        <w:rPr>
          <w:color w:val="000000" w:themeColor="text1"/>
          <w:szCs w:val="21"/>
          <w:highlight w:val="none"/>
          <w14:textFill>
            <w14:solidFill>
              <w14:schemeClr w14:val="tx1"/>
            </w14:solidFill>
          </w14:textFill>
        </w:rPr>
      </w:pPr>
    </w:p>
    <w:p w14:paraId="1AD7ECE0">
      <w:pPr>
        <w:snapToGrid w:val="0"/>
        <w:spacing w:line="360" w:lineRule="auto"/>
        <w:jc w:val="left"/>
        <w:rPr>
          <w:color w:val="000000" w:themeColor="text1"/>
          <w:szCs w:val="21"/>
          <w:highlight w:val="none"/>
          <w14:textFill>
            <w14:solidFill>
              <w14:schemeClr w14:val="tx1"/>
            </w14:solidFill>
          </w14:textFill>
        </w:rPr>
      </w:pPr>
    </w:p>
    <w:p w14:paraId="540A0A2E">
      <w:pPr>
        <w:snapToGrid w:val="0"/>
        <w:spacing w:line="360" w:lineRule="auto"/>
        <w:jc w:val="left"/>
        <w:rPr>
          <w:color w:val="000000" w:themeColor="text1"/>
          <w:szCs w:val="21"/>
          <w:highlight w:val="none"/>
          <w14:textFill>
            <w14:solidFill>
              <w14:schemeClr w14:val="tx1"/>
            </w14:solidFill>
          </w14:textFill>
        </w:rPr>
      </w:pPr>
    </w:p>
    <w:p w14:paraId="2BDCEED5">
      <w:pPr>
        <w:snapToGrid w:val="0"/>
        <w:spacing w:line="360" w:lineRule="auto"/>
        <w:jc w:val="left"/>
        <w:rPr>
          <w:color w:val="000000" w:themeColor="text1"/>
          <w:szCs w:val="21"/>
          <w:highlight w:val="none"/>
          <w14:textFill>
            <w14:solidFill>
              <w14:schemeClr w14:val="tx1"/>
            </w14:solidFill>
          </w14:textFill>
        </w:rPr>
      </w:pPr>
    </w:p>
    <w:p w14:paraId="06E287A5">
      <w:pPr>
        <w:snapToGrid w:val="0"/>
        <w:spacing w:line="360" w:lineRule="auto"/>
        <w:jc w:val="left"/>
        <w:rPr>
          <w:color w:val="000000" w:themeColor="text1"/>
          <w:szCs w:val="21"/>
          <w:highlight w:val="none"/>
          <w14:textFill>
            <w14:solidFill>
              <w14:schemeClr w14:val="tx1"/>
            </w14:solidFill>
          </w14:textFill>
        </w:rPr>
      </w:pPr>
    </w:p>
    <w:p w14:paraId="57069E66">
      <w:pPr>
        <w:snapToGrid w:val="0"/>
        <w:spacing w:line="360" w:lineRule="auto"/>
        <w:jc w:val="left"/>
        <w:rPr>
          <w:color w:val="000000" w:themeColor="text1"/>
          <w:szCs w:val="21"/>
          <w:highlight w:val="none"/>
          <w14:textFill>
            <w14:solidFill>
              <w14:schemeClr w14:val="tx1"/>
            </w14:solidFill>
          </w14:textFill>
        </w:rPr>
      </w:pPr>
    </w:p>
    <w:p w14:paraId="25FAB40F">
      <w:pPr>
        <w:snapToGrid w:val="0"/>
        <w:spacing w:line="360" w:lineRule="auto"/>
        <w:jc w:val="left"/>
        <w:rPr>
          <w:color w:val="000000" w:themeColor="text1"/>
          <w:szCs w:val="21"/>
          <w:highlight w:val="none"/>
          <w14:textFill>
            <w14:solidFill>
              <w14:schemeClr w14:val="tx1"/>
            </w14:solidFill>
          </w14:textFill>
        </w:rPr>
      </w:pPr>
    </w:p>
    <w:p w14:paraId="636AD3C8">
      <w:pPr>
        <w:snapToGrid w:val="0"/>
        <w:spacing w:line="360" w:lineRule="auto"/>
        <w:ind w:firstLine="4410" w:firstLineChars="21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供应商名称(电子签章)：</w:t>
      </w:r>
    </w:p>
    <w:p w14:paraId="329D2CC2">
      <w:pPr>
        <w:snapToGrid w:val="0"/>
        <w:spacing w:line="360" w:lineRule="auto"/>
        <w:ind w:firstLine="4515" w:firstLineChars="2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日期：  年  月   日</w:t>
      </w:r>
    </w:p>
    <w:p w14:paraId="39BA04CD">
      <w:pPr>
        <w:snapToGrid w:val="0"/>
        <w:spacing w:before="50" w:after="120" w:afterLines="50" w:line="440" w:lineRule="exact"/>
        <w:jc w:val="left"/>
        <w:rPr>
          <w:b/>
          <w:color w:val="000000" w:themeColor="text1"/>
          <w:szCs w:val="21"/>
          <w:highlight w:val="none"/>
          <w14:textFill>
            <w14:solidFill>
              <w14:schemeClr w14:val="tx1"/>
            </w14:solidFill>
          </w14:textFill>
        </w:rPr>
      </w:pPr>
    </w:p>
    <w:p w14:paraId="1B7F5DB3">
      <w:pPr>
        <w:snapToGrid w:val="0"/>
        <w:spacing w:before="50" w:after="120" w:afterLines="50"/>
        <w:jc w:val="left"/>
        <w:rPr>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br w:type="page"/>
      </w: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．供应商认为应当要提交的</w:t>
      </w:r>
      <w:r>
        <w:rPr>
          <w:rFonts w:hint="eastAsia"/>
          <w:color w:val="000000" w:themeColor="text1"/>
          <w:szCs w:val="21"/>
          <w:highlight w:val="none"/>
          <w14:textFill>
            <w14:solidFill>
              <w14:schemeClr w14:val="tx1"/>
            </w14:solidFill>
          </w14:textFill>
        </w:rPr>
        <w:t>其他</w:t>
      </w:r>
      <w:r>
        <w:rPr>
          <w:color w:val="000000" w:themeColor="text1"/>
          <w:szCs w:val="21"/>
          <w:highlight w:val="none"/>
          <w14:textFill>
            <w14:solidFill>
              <w14:schemeClr w14:val="tx1"/>
            </w14:solidFill>
          </w14:textFill>
        </w:rPr>
        <w:t>资格证明材料。</w:t>
      </w:r>
      <w:r>
        <w:rPr>
          <w:bCs/>
          <w:color w:val="000000" w:themeColor="text1"/>
          <w:sz w:val="24"/>
          <w:highlight w:val="none"/>
          <w14:textFill>
            <w14:solidFill>
              <w14:schemeClr w14:val="tx1"/>
            </w14:solidFill>
          </w14:textFill>
        </w:rPr>
        <w:t xml:space="preserve"> </w:t>
      </w:r>
    </w:p>
    <w:p w14:paraId="59945FED">
      <w:pPr>
        <w:spacing w:line="276" w:lineRule="auto"/>
        <w:rPr>
          <w:bCs/>
          <w:color w:val="000000" w:themeColor="text1"/>
          <w:sz w:val="24"/>
          <w:highlight w:val="none"/>
          <w14:textFill>
            <w14:solidFill>
              <w14:schemeClr w14:val="tx1"/>
            </w14:solidFill>
          </w14:textFill>
        </w:rPr>
      </w:pPr>
    </w:p>
    <w:p w14:paraId="4C8812DD">
      <w:pPr>
        <w:snapToGrid w:val="0"/>
        <w:spacing w:before="120" w:beforeLines="50" w:after="50" w:line="440" w:lineRule="exact"/>
        <w:jc w:val="left"/>
        <w:outlineLvl w:val="1"/>
        <w:rPr>
          <w:bCs/>
          <w:color w:val="000000" w:themeColor="text1"/>
          <w:sz w:val="24"/>
          <w:highlight w:val="none"/>
          <w14:textFill>
            <w14:solidFill>
              <w14:schemeClr w14:val="tx1"/>
            </w14:solidFill>
          </w14:textFill>
        </w:rPr>
      </w:pPr>
      <w:r>
        <w:rPr>
          <w:color w:val="000000" w:themeColor="text1"/>
          <w:szCs w:val="21"/>
          <w:highlight w:val="none"/>
          <w14:textFill>
            <w14:solidFill>
              <w14:schemeClr w14:val="tx1"/>
            </w14:solidFill>
          </w14:textFill>
        </w:rPr>
        <w:br w:type="page"/>
      </w:r>
      <w:r>
        <w:rPr>
          <w:rFonts w:hint="eastAsia"/>
          <w:bCs/>
          <w:color w:val="000000" w:themeColor="text1"/>
          <w:sz w:val="24"/>
          <w:highlight w:val="none"/>
          <w14:textFill>
            <w14:solidFill>
              <w14:schemeClr w14:val="tx1"/>
            </w14:solidFill>
          </w14:textFill>
        </w:rPr>
        <w:t>2</w:t>
      </w:r>
      <w:r>
        <w:rPr>
          <w:bCs/>
          <w:color w:val="000000" w:themeColor="text1"/>
          <w:sz w:val="24"/>
          <w:highlight w:val="none"/>
          <w14:textFill>
            <w14:solidFill>
              <w14:schemeClr w14:val="tx1"/>
            </w14:solidFill>
          </w14:textFill>
        </w:rPr>
        <w:t>．投标文件封面参考格式</w:t>
      </w:r>
      <w:r>
        <w:rPr>
          <w:rFonts w:hint="eastAsia"/>
          <w:bCs/>
          <w:color w:val="000000" w:themeColor="text1"/>
          <w:sz w:val="24"/>
          <w:highlight w:val="none"/>
          <w14:textFill>
            <w14:solidFill>
              <w14:schemeClr w14:val="tx1"/>
            </w14:solidFill>
          </w14:textFill>
        </w:rPr>
        <w:t>（商务技术文件）</w:t>
      </w:r>
      <w:r>
        <w:rPr>
          <w:bCs/>
          <w:color w:val="000000" w:themeColor="text1"/>
          <w:sz w:val="24"/>
          <w:highlight w:val="none"/>
          <w14:textFill>
            <w14:solidFill>
              <w14:schemeClr w14:val="tx1"/>
            </w14:solidFill>
          </w14:textFill>
        </w:rPr>
        <w:t>：</w:t>
      </w:r>
    </w:p>
    <w:p w14:paraId="18581276">
      <w:pPr>
        <w:snapToGrid w:val="0"/>
        <w:spacing w:before="120" w:beforeLines="50" w:after="50" w:line="360" w:lineRule="exact"/>
        <w:rPr>
          <w:color w:val="000000" w:themeColor="text1"/>
          <w:sz w:val="24"/>
          <w:highlight w:val="none"/>
          <w14:textFill>
            <w14:solidFill>
              <w14:schemeClr w14:val="tx1"/>
            </w14:solidFill>
          </w14:textFill>
        </w:rPr>
      </w:pPr>
    </w:p>
    <w:p w14:paraId="10BB7322">
      <w:pPr>
        <w:snapToGrid w:val="0"/>
        <w:spacing w:before="120" w:beforeLines="50" w:after="50" w:line="360" w:lineRule="exact"/>
        <w:jc w:val="center"/>
        <w:rPr>
          <w:bCs/>
          <w:color w:val="000000" w:themeColor="text1"/>
          <w:sz w:val="24"/>
          <w:highlight w:val="none"/>
          <w14:textFill>
            <w14:solidFill>
              <w14:schemeClr w14:val="tx1"/>
            </w14:solidFill>
          </w14:textFill>
        </w:rPr>
      </w:pPr>
    </w:p>
    <w:p w14:paraId="7FB68A99">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电子</w:t>
      </w:r>
      <w:r>
        <w:rPr>
          <w:b/>
          <w:bCs/>
          <w:color w:val="000000" w:themeColor="text1"/>
          <w:sz w:val="44"/>
          <w:szCs w:val="44"/>
          <w:highlight w:val="none"/>
          <w14:textFill>
            <w14:solidFill>
              <w14:schemeClr w14:val="tx1"/>
            </w14:solidFill>
          </w14:textFill>
        </w:rPr>
        <w:t>投标文件</w:t>
      </w:r>
    </w:p>
    <w:p w14:paraId="4CA593B7">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p>
    <w:p w14:paraId="58DF8A81">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p>
    <w:p w14:paraId="7115AE05">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r>
        <w:rPr>
          <w:b/>
          <w:bCs/>
          <w:color w:val="000000" w:themeColor="text1"/>
          <w:sz w:val="44"/>
          <w:szCs w:val="44"/>
          <w:highlight w:val="none"/>
          <w14:textFill>
            <w14:solidFill>
              <w14:schemeClr w14:val="tx1"/>
            </w14:solidFill>
          </w14:textFill>
        </w:rPr>
        <w:t>商务技术文件</w:t>
      </w:r>
    </w:p>
    <w:p w14:paraId="10FA7E5B">
      <w:pPr>
        <w:snapToGrid w:val="0"/>
        <w:spacing w:before="120" w:beforeLines="50" w:after="50" w:line="360" w:lineRule="exact"/>
        <w:rPr>
          <w:bCs/>
          <w:color w:val="000000" w:themeColor="text1"/>
          <w:sz w:val="24"/>
          <w:highlight w:val="none"/>
          <w14:textFill>
            <w14:solidFill>
              <w14:schemeClr w14:val="tx1"/>
            </w14:solidFill>
          </w14:textFill>
        </w:rPr>
      </w:pPr>
    </w:p>
    <w:p w14:paraId="0209E1CB">
      <w:pPr>
        <w:snapToGrid w:val="0"/>
        <w:spacing w:before="120" w:beforeLines="50" w:after="50" w:line="360" w:lineRule="exact"/>
        <w:rPr>
          <w:bCs/>
          <w:color w:val="000000" w:themeColor="text1"/>
          <w:sz w:val="24"/>
          <w:highlight w:val="none"/>
          <w14:textFill>
            <w14:solidFill>
              <w14:schemeClr w14:val="tx1"/>
            </w14:solidFill>
          </w14:textFill>
        </w:rPr>
      </w:pPr>
    </w:p>
    <w:p w14:paraId="744BAB15">
      <w:pPr>
        <w:snapToGrid w:val="0"/>
        <w:spacing w:before="120" w:beforeLines="50" w:after="50" w:line="360" w:lineRule="exact"/>
        <w:rPr>
          <w:bCs/>
          <w:color w:val="000000" w:themeColor="text1"/>
          <w:sz w:val="24"/>
          <w:highlight w:val="none"/>
          <w14:textFill>
            <w14:solidFill>
              <w14:schemeClr w14:val="tx1"/>
            </w14:solidFill>
          </w14:textFill>
        </w:rPr>
      </w:pPr>
    </w:p>
    <w:p w14:paraId="6955A173">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 xml:space="preserve">项目名称： </w:t>
      </w:r>
    </w:p>
    <w:p w14:paraId="73E13EBA">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项目编号：</w:t>
      </w:r>
    </w:p>
    <w:p w14:paraId="2F3B5D47">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分标号：（若无</w:t>
      </w:r>
      <w:r>
        <w:rPr>
          <w:rFonts w:hint="eastAsia"/>
          <w:bCs/>
          <w:color w:val="000000" w:themeColor="text1"/>
          <w:sz w:val="24"/>
          <w:highlight w:val="none"/>
          <w14:textFill>
            <w14:solidFill>
              <w14:schemeClr w14:val="tx1"/>
            </w14:solidFill>
          </w14:textFill>
        </w:rPr>
        <w:t>留空或写</w:t>
      </w:r>
      <w:r>
        <w:rPr>
          <w:bCs/>
          <w:color w:val="000000" w:themeColor="text1"/>
          <w:sz w:val="24"/>
          <w:highlight w:val="none"/>
          <w14:textFill>
            <w14:solidFill>
              <w14:schemeClr w14:val="tx1"/>
            </w14:solidFill>
          </w14:textFill>
        </w:rPr>
        <w:t>“/”）</w:t>
      </w:r>
    </w:p>
    <w:p w14:paraId="33DC21CA">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供应商名称：</w:t>
      </w:r>
    </w:p>
    <w:p w14:paraId="3F032245">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供应商地址：</w:t>
      </w:r>
    </w:p>
    <w:p w14:paraId="2E40ED99">
      <w:pPr>
        <w:pStyle w:val="9"/>
        <w:snapToGrid w:val="0"/>
        <w:spacing w:before="50" w:after="50" w:line="360" w:lineRule="exact"/>
        <w:ind w:firstLine="960" w:firstLineChars="400"/>
        <w:rPr>
          <w:bCs/>
          <w:color w:val="000000" w:themeColor="text1"/>
          <w:sz w:val="24"/>
          <w:szCs w:val="24"/>
          <w:highlight w:val="none"/>
          <w14:textFill>
            <w14:solidFill>
              <w14:schemeClr w14:val="tx1"/>
            </w14:solidFill>
          </w14:textFill>
        </w:rPr>
      </w:pPr>
    </w:p>
    <w:p w14:paraId="2F086A86">
      <w:pPr>
        <w:snapToGrid w:val="0"/>
        <w:spacing w:before="120" w:beforeLines="50" w:after="50" w:line="360" w:lineRule="exac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年  月  日</w:t>
      </w:r>
    </w:p>
    <w:p w14:paraId="788742FA">
      <w:pPr>
        <w:snapToGrid w:val="0"/>
        <w:spacing w:before="50" w:after="50" w:line="440" w:lineRule="exact"/>
        <w:ind w:firstLine="102" w:firstLineChars="49"/>
        <w:jc w:val="center"/>
        <w:rPr>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b/>
          <w:color w:val="000000" w:themeColor="text1"/>
          <w:sz w:val="28"/>
          <w:szCs w:val="28"/>
          <w:highlight w:val="none"/>
          <w14:textFill>
            <w14:solidFill>
              <w14:schemeClr w14:val="tx1"/>
            </w14:solidFill>
          </w14:textFill>
        </w:rPr>
        <w:t>目录</w:t>
      </w:r>
    </w:p>
    <w:p w14:paraId="60BBA1D0">
      <w:pPr>
        <w:snapToGrid w:val="0"/>
        <w:spacing w:before="50" w:after="50" w:line="440" w:lineRule="exact"/>
        <w:ind w:firstLine="118" w:firstLineChars="49"/>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（应有页码）</w:t>
      </w:r>
    </w:p>
    <w:p w14:paraId="3D42B61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4530580E">
      <w:pPr>
        <w:rPr>
          <w:b/>
          <w:color w:val="000000" w:themeColor="text1"/>
          <w:szCs w:val="21"/>
          <w:highlight w:val="none"/>
          <w14:textFill>
            <w14:solidFill>
              <w14:schemeClr w14:val="tx1"/>
            </w14:solidFill>
          </w14:textFill>
        </w:rPr>
      </w:pPr>
      <w:bookmarkStart w:id="124" w:name="_Toc462320613"/>
      <w:bookmarkStart w:id="125" w:name="_Toc462223472"/>
      <w:bookmarkStart w:id="126" w:name="_Toc455309222"/>
      <w:r>
        <w:rPr>
          <w:color w:val="000000" w:themeColor="text1"/>
          <w:szCs w:val="21"/>
          <w:highlight w:val="none"/>
          <w14:textFill>
            <w14:solidFill>
              <w14:schemeClr w14:val="tx1"/>
            </w14:solidFill>
          </w14:textFill>
        </w:rPr>
        <w:t>1．法定代表人身份证明</w:t>
      </w:r>
      <w:r>
        <w:rPr>
          <w:rFonts w:hint="eastAsia"/>
          <w:b/>
          <w:color w:val="000000" w:themeColor="text1"/>
          <w:szCs w:val="21"/>
          <w:highlight w:val="none"/>
          <w14:textFill>
            <w14:solidFill>
              <w14:schemeClr w14:val="tx1"/>
            </w14:solidFill>
          </w14:textFill>
        </w:rPr>
        <w:t>（无授权</w:t>
      </w:r>
      <w:r>
        <w:rPr>
          <w:b/>
          <w:color w:val="000000" w:themeColor="text1"/>
          <w:szCs w:val="21"/>
          <w:highlight w:val="none"/>
          <w14:textFill>
            <w14:solidFill>
              <w14:schemeClr w14:val="tx1"/>
            </w14:solidFill>
          </w14:textFill>
        </w:rPr>
        <w:t>代表</w:t>
      </w:r>
      <w:r>
        <w:rPr>
          <w:rFonts w:hint="eastAsia"/>
          <w:b/>
          <w:color w:val="000000" w:themeColor="text1"/>
          <w:szCs w:val="21"/>
          <w:highlight w:val="none"/>
          <w14:textFill>
            <w14:solidFill>
              <w14:schemeClr w14:val="tx1"/>
            </w14:solidFill>
          </w14:textFill>
        </w:rPr>
        <w:t>时提供）</w:t>
      </w:r>
      <w:r>
        <w:rPr>
          <w:b/>
          <w:color w:val="000000" w:themeColor="text1"/>
          <w:szCs w:val="21"/>
          <w:highlight w:val="none"/>
          <w14:textFill>
            <w14:solidFill>
              <w14:schemeClr w14:val="tx1"/>
            </w14:solidFill>
          </w14:textFill>
        </w:rPr>
        <w:t>：</w:t>
      </w:r>
    </w:p>
    <w:p w14:paraId="50A87DAE">
      <w:pPr>
        <w:jc w:val="center"/>
        <w:rPr>
          <w:color w:val="000000" w:themeColor="text1"/>
          <w:highlight w:val="none"/>
          <w14:textFill>
            <w14:solidFill>
              <w14:schemeClr w14:val="tx1"/>
            </w14:solidFill>
          </w14:textFill>
        </w:rPr>
      </w:pPr>
    </w:p>
    <w:bookmarkEnd w:id="124"/>
    <w:bookmarkEnd w:id="125"/>
    <w:bookmarkEnd w:id="126"/>
    <w:p w14:paraId="13D61F1B">
      <w:pPr>
        <w:snapToGrid w:val="0"/>
        <w:spacing w:before="120" w:beforeLines="50" w:after="50" w:line="44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法定代表人身份证明</w:t>
      </w:r>
    </w:p>
    <w:p w14:paraId="1363CE93">
      <w:pPr>
        <w:spacing w:line="360" w:lineRule="auto"/>
        <w:rPr>
          <w:color w:val="000000" w:themeColor="text1"/>
          <w:highlight w:val="none"/>
          <w14:textFill>
            <w14:solidFill>
              <w14:schemeClr w14:val="tx1"/>
            </w14:solidFill>
          </w14:textFill>
        </w:rPr>
      </w:pPr>
    </w:p>
    <w:p w14:paraId="63A695EE">
      <w:pPr>
        <w:spacing w:line="5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供应商名称：</w:t>
      </w:r>
      <w:r>
        <w:rPr>
          <w:color w:val="000000" w:themeColor="text1"/>
          <w:szCs w:val="21"/>
          <w:highlight w:val="none"/>
          <w:u w:val="single"/>
          <w14:textFill>
            <w14:solidFill>
              <w14:schemeClr w14:val="tx1"/>
            </w14:solidFill>
          </w14:textFill>
        </w:rPr>
        <w:t xml:space="preserve">                                         </w:t>
      </w:r>
    </w:p>
    <w:p w14:paraId="4F93DD8E">
      <w:pPr>
        <w:spacing w:line="5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单位性质：</w:t>
      </w:r>
      <w:r>
        <w:rPr>
          <w:color w:val="000000" w:themeColor="text1"/>
          <w:szCs w:val="21"/>
          <w:highlight w:val="none"/>
          <w:u w:val="single"/>
          <w14:textFill>
            <w14:solidFill>
              <w14:schemeClr w14:val="tx1"/>
            </w14:solidFill>
          </w14:textFill>
        </w:rPr>
        <w:t xml:space="preserve">                                           </w:t>
      </w:r>
    </w:p>
    <w:p w14:paraId="6C0C6A38">
      <w:pPr>
        <w:spacing w:line="5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地址：</w:t>
      </w:r>
      <w:r>
        <w:rPr>
          <w:color w:val="000000" w:themeColor="text1"/>
          <w:szCs w:val="21"/>
          <w:highlight w:val="none"/>
          <w:u w:val="single"/>
          <w14:textFill>
            <w14:solidFill>
              <w14:schemeClr w14:val="tx1"/>
            </w14:solidFill>
          </w14:textFill>
        </w:rPr>
        <w:t xml:space="preserve">                                               </w:t>
      </w:r>
    </w:p>
    <w:p w14:paraId="076201C9">
      <w:pPr>
        <w:spacing w:line="540" w:lineRule="exac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成立时间：</w:t>
      </w:r>
      <w:r>
        <w:rPr>
          <w:color w:val="000000" w:themeColor="text1"/>
          <w:szCs w:val="21"/>
          <w:highlight w:val="none"/>
          <w:u w:val="single"/>
          <w14:textFill>
            <w14:solidFill>
              <w14:schemeClr w14:val="tx1"/>
            </w14:solidFill>
          </w14:textFill>
        </w:rPr>
        <w:t xml:space="preserve">          年        月        日</w:t>
      </w:r>
    </w:p>
    <w:p w14:paraId="39D5E96B">
      <w:pPr>
        <w:spacing w:line="5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经营期限：</w:t>
      </w:r>
      <w:r>
        <w:rPr>
          <w:color w:val="000000" w:themeColor="text1"/>
          <w:szCs w:val="21"/>
          <w:highlight w:val="none"/>
          <w:u w:val="single"/>
          <w14:textFill>
            <w14:solidFill>
              <w14:schemeClr w14:val="tx1"/>
            </w14:solidFill>
          </w14:textFill>
        </w:rPr>
        <w:t xml:space="preserve">                                           </w:t>
      </w:r>
    </w:p>
    <w:p w14:paraId="1F105546">
      <w:pPr>
        <w:spacing w:line="5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姓名：</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；性别：</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p>
    <w:p w14:paraId="2EA03336">
      <w:pPr>
        <w:spacing w:line="5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年龄：</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；职务：</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；身份证：</w:t>
      </w:r>
      <w:r>
        <w:rPr>
          <w:color w:val="000000" w:themeColor="text1"/>
          <w:szCs w:val="21"/>
          <w:highlight w:val="none"/>
          <w:u w:val="single"/>
          <w14:textFill>
            <w14:solidFill>
              <w14:schemeClr w14:val="tx1"/>
            </w14:solidFill>
          </w14:textFill>
        </w:rPr>
        <w:t xml:space="preserve">                                      </w:t>
      </w:r>
    </w:p>
    <w:p w14:paraId="44DC3C56">
      <w:pPr>
        <w:spacing w:line="5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系</w:t>
      </w:r>
      <w:r>
        <w:rPr>
          <w:color w:val="000000" w:themeColor="text1"/>
          <w:szCs w:val="21"/>
          <w:highlight w:val="none"/>
          <w:u w:val="single"/>
          <w14:textFill>
            <w14:solidFill>
              <w14:schemeClr w14:val="tx1"/>
            </w14:solidFill>
          </w14:textFill>
        </w:rPr>
        <w:t xml:space="preserve">                                      （ 供应商名称）</w:t>
      </w:r>
      <w:r>
        <w:rPr>
          <w:color w:val="000000" w:themeColor="text1"/>
          <w:szCs w:val="21"/>
          <w:highlight w:val="none"/>
          <w14:textFill>
            <w14:solidFill>
              <w14:schemeClr w14:val="tx1"/>
            </w14:solidFill>
          </w14:textFill>
        </w:rPr>
        <w:t>的法定代表人。</w:t>
      </w:r>
    </w:p>
    <w:p w14:paraId="0CA2538B">
      <w:pPr>
        <w:spacing w:line="540" w:lineRule="exact"/>
        <w:rPr>
          <w:color w:val="000000" w:themeColor="text1"/>
          <w:szCs w:val="21"/>
          <w:highlight w:val="none"/>
          <w14:textFill>
            <w14:solidFill>
              <w14:schemeClr w14:val="tx1"/>
            </w14:solidFill>
          </w14:textFill>
        </w:rPr>
      </w:pPr>
    </w:p>
    <w:p w14:paraId="5E9F068C">
      <w:pPr>
        <w:spacing w:line="54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特此证明。</w:t>
      </w:r>
    </w:p>
    <w:p w14:paraId="4A506CC8">
      <w:pPr>
        <w:spacing w:line="360" w:lineRule="auto"/>
        <w:ind w:firstLine="4830" w:firstLineChars="2300"/>
        <w:rPr>
          <w:color w:val="000000" w:themeColor="text1"/>
          <w:szCs w:val="21"/>
          <w:highlight w:val="none"/>
          <w14:textFill>
            <w14:solidFill>
              <w14:schemeClr w14:val="tx1"/>
            </w14:solidFill>
          </w14:textFill>
        </w:rPr>
      </w:pPr>
    </w:p>
    <w:p w14:paraId="55792AD0">
      <w:pPr>
        <w:spacing w:line="360" w:lineRule="auto"/>
        <w:ind w:firstLine="4830" w:firstLineChars="2300"/>
        <w:rPr>
          <w:color w:val="000000" w:themeColor="text1"/>
          <w:szCs w:val="21"/>
          <w:highlight w:val="none"/>
          <w14:textFill>
            <w14:solidFill>
              <w14:schemeClr w14:val="tx1"/>
            </w14:solidFill>
          </w14:textFill>
        </w:rPr>
      </w:pPr>
    </w:p>
    <w:p w14:paraId="4F3DACC2">
      <w:pPr>
        <w:spacing w:line="360" w:lineRule="auto"/>
        <w:ind w:firstLine="4830" w:firstLineChars="23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r>
        <w:rPr>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p>
    <w:p w14:paraId="0C582E04">
      <w:pPr>
        <w:spacing w:line="360" w:lineRule="auto"/>
        <w:jc w:val="righ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                                                                                              年       月       日 </w:t>
      </w:r>
    </w:p>
    <w:p w14:paraId="0EFF1159">
      <w:pPr>
        <w:spacing w:line="360" w:lineRule="auto"/>
        <w:ind w:firstLine="420" w:firstLineChars="200"/>
        <w:rPr>
          <w:color w:val="000000" w:themeColor="text1"/>
          <w:szCs w:val="21"/>
          <w:highlight w:val="none"/>
          <w14:textFill>
            <w14:solidFill>
              <w14:schemeClr w14:val="tx1"/>
            </w14:solidFill>
          </w14:textFill>
        </w:rPr>
      </w:pPr>
    </w:p>
    <w:p w14:paraId="437AB389">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附件：法定代表人身份证复印件</w:t>
      </w:r>
    </w:p>
    <w:p w14:paraId="1874EBD6">
      <w:pPr>
        <w:spacing w:line="360" w:lineRule="auto"/>
        <w:rPr>
          <w:color w:val="000000" w:themeColor="text1"/>
          <w:szCs w:val="21"/>
          <w:highlight w:val="none"/>
          <w14:textFill>
            <w14:solidFill>
              <w14:schemeClr w14:val="tx1"/>
            </w14:solidFill>
          </w14:textFill>
        </w:rPr>
      </w:pPr>
    </w:p>
    <w:p w14:paraId="1FFB9CEA">
      <w:pPr>
        <w:snapToGrid w:val="0"/>
        <w:spacing w:before="120" w:beforeLines="50" w:after="50" w:line="360" w:lineRule="exact"/>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br w:type="page"/>
      </w:r>
      <w:r>
        <w:rPr>
          <w:rFonts w:hint="eastAsia"/>
          <w:b/>
          <w:color w:val="000000" w:themeColor="text1"/>
          <w:szCs w:val="21"/>
          <w:highlight w:val="none"/>
          <w14:textFill>
            <w14:solidFill>
              <w14:schemeClr w14:val="tx1"/>
            </w14:solidFill>
          </w14:textFill>
        </w:rPr>
        <w:t>1</w:t>
      </w:r>
      <w:r>
        <w:rPr>
          <w:b/>
          <w:color w:val="000000" w:themeColor="text1"/>
          <w:szCs w:val="21"/>
          <w:highlight w:val="none"/>
          <w14:textFill>
            <w14:solidFill>
              <w14:schemeClr w14:val="tx1"/>
            </w14:solidFill>
          </w14:textFill>
        </w:rPr>
        <w:t>．</w:t>
      </w:r>
      <w:r>
        <w:rPr>
          <w:rFonts w:hint="eastAsia"/>
          <w:b/>
          <w:color w:val="000000" w:themeColor="text1"/>
          <w:szCs w:val="21"/>
          <w:highlight w:val="none"/>
          <w14:textFill>
            <w14:solidFill>
              <w14:schemeClr w14:val="tx1"/>
            </w14:solidFill>
          </w14:textFill>
        </w:rPr>
        <w:t>授权</w:t>
      </w:r>
      <w:r>
        <w:rPr>
          <w:b/>
          <w:color w:val="000000" w:themeColor="text1"/>
          <w:szCs w:val="21"/>
          <w:highlight w:val="none"/>
          <w14:textFill>
            <w14:solidFill>
              <w14:schemeClr w14:val="tx1"/>
            </w14:solidFill>
          </w14:textFill>
        </w:rPr>
        <w:t>委托书</w:t>
      </w:r>
      <w:r>
        <w:rPr>
          <w:rFonts w:hint="eastAsia"/>
          <w:b/>
          <w:color w:val="000000" w:themeColor="text1"/>
          <w:szCs w:val="21"/>
          <w:highlight w:val="none"/>
          <w14:textFill>
            <w14:solidFill>
              <w14:schemeClr w14:val="tx1"/>
            </w14:solidFill>
          </w14:textFill>
        </w:rPr>
        <w:t>（有授权</w:t>
      </w:r>
      <w:r>
        <w:rPr>
          <w:b/>
          <w:color w:val="000000" w:themeColor="text1"/>
          <w:szCs w:val="21"/>
          <w:highlight w:val="none"/>
          <w14:textFill>
            <w14:solidFill>
              <w14:schemeClr w14:val="tx1"/>
            </w14:solidFill>
          </w14:textFill>
        </w:rPr>
        <w:t>代表</w:t>
      </w:r>
      <w:r>
        <w:rPr>
          <w:rFonts w:hint="eastAsia"/>
          <w:b/>
          <w:color w:val="000000" w:themeColor="text1"/>
          <w:szCs w:val="21"/>
          <w:highlight w:val="none"/>
          <w14:textFill>
            <w14:solidFill>
              <w14:schemeClr w14:val="tx1"/>
            </w14:solidFill>
          </w14:textFill>
        </w:rPr>
        <w:t>时提供）</w:t>
      </w:r>
      <w:r>
        <w:rPr>
          <w:b/>
          <w:color w:val="000000" w:themeColor="text1"/>
          <w:szCs w:val="21"/>
          <w:highlight w:val="none"/>
          <w14:textFill>
            <w14:solidFill>
              <w14:schemeClr w14:val="tx1"/>
            </w14:solidFill>
          </w14:textFill>
        </w:rPr>
        <w:t>：</w:t>
      </w:r>
    </w:p>
    <w:p w14:paraId="174578F4">
      <w:pPr>
        <w:snapToGrid w:val="0"/>
        <w:spacing w:before="120" w:beforeLines="50" w:after="50" w:line="360" w:lineRule="exact"/>
        <w:rPr>
          <w:b/>
          <w:color w:val="000000" w:themeColor="text1"/>
          <w:szCs w:val="21"/>
          <w:highlight w:val="none"/>
          <w14:textFill>
            <w14:solidFill>
              <w14:schemeClr w14:val="tx1"/>
            </w14:solidFill>
          </w14:textFill>
        </w:rPr>
      </w:pPr>
    </w:p>
    <w:p w14:paraId="17DE8376">
      <w:pPr>
        <w:snapToGrid w:val="0"/>
        <w:spacing w:before="120" w:beforeLines="50" w:after="50" w:line="440" w:lineRule="exact"/>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法定代表人授权委托书</w:t>
      </w:r>
    </w:p>
    <w:p w14:paraId="63275E4E">
      <w:pPr>
        <w:snapToGrid w:val="0"/>
        <w:spacing w:before="120" w:beforeLines="50" w:after="50" w:line="440" w:lineRule="exact"/>
        <w:rPr>
          <w:b/>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致：</w:t>
      </w:r>
      <w:r>
        <w:rPr>
          <w:i/>
          <w:iCs/>
          <w:color w:val="000000" w:themeColor="text1"/>
          <w:szCs w:val="21"/>
          <w:highlight w:val="none"/>
          <w:u w:val="single"/>
          <w14:textFill>
            <w14:solidFill>
              <w14:schemeClr w14:val="tx1"/>
            </w14:solidFill>
          </w14:textFill>
        </w:rPr>
        <w:t>（采购</w:t>
      </w:r>
      <w:r>
        <w:rPr>
          <w:rFonts w:hint="eastAsia"/>
          <w:i/>
          <w:iCs/>
          <w:color w:val="000000" w:themeColor="text1"/>
          <w:szCs w:val="21"/>
          <w:highlight w:val="none"/>
          <w:u w:val="single"/>
          <w14:textFill>
            <w14:solidFill>
              <w14:schemeClr w14:val="tx1"/>
            </w14:solidFill>
          </w14:textFill>
        </w:rPr>
        <w:t>人</w:t>
      </w:r>
      <w:r>
        <w:rPr>
          <w:i/>
          <w:iCs/>
          <w:color w:val="000000" w:themeColor="text1"/>
          <w:szCs w:val="21"/>
          <w:highlight w:val="none"/>
          <w:u w:val="single"/>
          <w14:textFill>
            <w14:solidFill>
              <w14:schemeClr w14:val="tx1"/>
            </w14:solidFill>
          </w14:textFill>
        </w:rPr>
        <w:t>名称）</w:t>
      </w:r>
      <w:r>
        <w:rPr>
          <w:color w:val="000000" w:themeColor="text1"/>
          <w:szCs w:val="21"/>
          <w:highlight w:val="none"/>
          <w14:textFill>
            <w14:solidFill>
              <w14:schemeClr w14:val="tx1"/>
            </w14:solidFill>
          </w14:textFill>
        </w:rPr>
        <w:t>：</w:t>
      </w:r>
    </w:p>
    <w:p w14:paraId="77525BE9">
      <w:pPr>
        <w:snapToGrid w:val="0"/>
        <w:spacing w:before="120" w:beforeLines="50" w:after="50" w:line="440" w:lineRule="exact"/>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我__</w:t>
      </w:r>
      <w:r>
        <w:rPr>
          <w:i/>
          <w:iCs/>
          <w:color w:val="000000" w:themeColor="text1"/>
          <w:szCs w:val="21"/>
          <w:highlight w:val="none"/>
          <w:u w:val="single"/>
          <w14:textFill>
            <w14:solidFill>
              <w14:schemeClr w14:val="tx1"/>
            </w14:solidFill>
          </w14:textFill>
        </w:rPr>
        <w:t>（</w:t>
      </w:r>
      <w:r>
        <w:rPr>
          <w:rFonts w:hint="eastAsia"/>
          <w:i/>
          <w:iCs/>
          <w:color w:val="000000" w:themeColor="text1"/>
          <w:szCs w:val="21"/>
          <w:highlight w:val="none"/>
          <w:u w:val="single"/>
          <w14:textFill>
            <w14:solidFill>
              <w14:schemeClr w14:val="tx1"/>
            </w14:solidFill>
          </w14:textFill>
        </w:rPr>
        <w:t>法定代表人姓名</w:t>
      </w:r>
      <w:r>
        <w:rPr>
          <w:i/>
          <w:iCs/>
          <w:color w:val="000000" w:themeColor="text1"/>
          <w:szCs w:val="21"/>
          <w:highlight w:val="none"/>
          <w:u w:val="single"/>
          <w14:textFill>
            <w14:solidFill>
              <w14:schemeClr w14:val="tx1"/>
            </w14:solidFill>
          </w14:textFill>
        </w:rPr>
        <w:t>）</w:t>
      </w:r>
      <w:r>
        <w:rPr>
          <w:color w:val="000000" w:themeColor="text1"/>
          <w:szCs w:val="21"/>
          <w:highlight w:val="none"/>
          <w14:textFill>
            <w14:solidFill>
              <w14:schemeClr w14:val="tx1"/>
            </w14:solidFill>
          </w14:textFill>
        </w:rPr>
        <w:t>_系_</w:t>
      </w:r>
      <w:r>
        <w:rPr>
          <w:i/>
          <w:iCs/>
          <w:color w:val="000000" w:themeColor="text1"/>
          <w:szCs w:val="21"/>
          <w:highlight w:val="none"/>
          <w:u w:val="single"/>
          <w14:textFill>
            <w14:solidFill>
              <w14:schemeClr w14:val="tx1"/>
            </w14:solidFill>
          </w14:textFill>
        </w:rPr>
        <w:t>（供应商名称）</w:t>
      </w:r>
      <w:r>
        <w:rPr>
          <w:color w:val="000000" w:themeColor="text1"/>
          <w:szCs w:val="21"/>
          <w:highlight w:val="none"/>
          <w14:textFill>
            <w14:solidFill>
              <w14:schemeClr w14:val="tx1"/>
            </w14:solidFill>
          </w14:textFill>
        </w:rPr>
        <w:t xml:space="preserve">_的法定代表人，现授权委托本单位在职职工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（姓名）以我方的名义参加</w:t>
      </w:r>
      <w:r>
        <w:rPr>
          <w:color w:val="000000" w:themeColor="text1"/>
          <w:szCs w:val="21"/>
          <w:highlight w:val="none"/>
          <w:u w:val="single"/>
          <w14:textFill>
            <w14:solidFill>
              <w14:schemeClr w14:val="tx1"/>
            </w14:solidFill>
          </w14:textFill>
        </w:rPr>
        <w:t xml:space="preserve"> </w:t>
      </w:r>
      <w:r>
        <w:rPr>
          <w:rFonts w:hint="eastAsia"/>
          <w:i/>
          <w:iCs/>
          <w:color w:val="000000" w:themeColor="text1"/>
          <w:szCs w:val="21"/>
          <w:highlight w:val="none"/>
          <w:u w:val="single"/>
          <w14:textFill>
            <w14:solidFill>
              <w14:schemeClr w14:val="tx1"/>
            </w14:solidFill>
          </w14:textFill>
        </w:rPr>
        <w:t>（项目名称）</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项目的投标活动，并代表我方全权办理针对上述项目的投标、开标、评审、签约等具体事务和签署相关文件。</w:t>
      </w:r>
    </w:p>
    <w:p w14:paraId="6FCB8DE2">
      <w:pPr>
        <w:snapToGrid w:val="0"/>
        <w:spacing w:before="120" w:beforeLines="50" w:after="50" w:line="4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    我方对被授权人的签名事项负全部责任。</w:t>
      </w:r>
    </w:p>
    <w:p w14:paraId="1D822C75">
      <w:pPr>
        <w:snapToGrid w:val="0"/>
        <w:spacing w:before="120" w:beforeLines="50" w:after="50" w:line="440" w:lineRule="exact"/>
        <w:ind w:firstLine="48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在撤销授权的书面通知以前，本授权书一直有效。被授权人在授权书有效期内签署的所有文件不因授权的撤销而失效。</w:t>
      </w:r>
    </w:p>
    <w:p w14:paraId="02941F53">
      <w:pPr>
        <w:snapToGrid w:val="0"/>
        <w:spacing w:before="120" w:beforeLines="50" w:after="50" w:line="440" w:lineRule="exact"/>
        <w:ind w:firstLine="48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被授权人无转委托权，特此委托。</w:t>
      </w:r>
    </w:p>
    <w:p w14:paraId="4DD8C645">
      <w:pPr>
        <w:snapToGrid w:val="0"/>
        <w:spacing w:before="120" w:beforeLines="50" w:after="50" w:line="440" w:lineRule="exac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被授权人签字或</w:t>
      </w:r>
      <w:r>
        <w:rPr>
          <w:rFonts w:hint="eastAsia"/>
          <w:color w:val="000000" w:themeColor="text1"/>
          <w:szCs w:val="21"/>
          <w:highlight w:val="none"/>
          <w14:textFill>
            <w14:solidFill>
              <w14:schemeClr w14:val="tx1"/>
            </w14:solidFill>
          </w14:textFill>
        </w:rPr>
        <w:t>签章</w:t>
      </w:r>
      <w:r>
        <w:rPr>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法定代表人签字或</w:t>
      </w:r>
      <w:r>
        <w:rPr>
          <w:rFonts w:hint="eastAsia"/>
          <w:color w:val="000000" w:themeColor="text1"/>
          <w:szCs w:val="21"/>
          <w:highlight w:val="none"/>
          <w14:textFill>
            <w14:solidFill>
              <w14:schemeClr w14:val="tx1"/>
            </w14:solidFill>
          </w14:textFill>
        </w:rPr>
        <w:t>签章</w:t>
      </w:r>
      <w:r>
        <w:rPr>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p>
    <w:p w14:paraId="70B57795">
      <w:pPr>
        <w:snapToGrid w:val="0"/>
        <w:spacing w:before="120" w:beforeLines="50" w:after="50" w:line="4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职务：</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职务：</w:t>
      </w:r>
      <w:r>
        <w:rPr>
          <w:color w:val="000000" w:themeColor="text1"/>
          <w:szCs w:val="21"/>
          <w:highlight w:val="none"/>
          <w:u w:val="single"/>
          <w14:textFill>
            <w14:solidFill>
              <w14:schemeClr w14:val="tx1"/>
            </w14:solidFill>
          </w14:textFill>
        </w:rPr>
        <w:t xml:space="preserve">           </w:t>
      </w:r>
    </w:p>
    <w:p w14:paraId="6C891422">
      <w:pPr>
        <w:snapToGrid w:val="0"/>
        <w:spacing w:before="120" w:beforeLines="50" w:after="50" w:line="4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被授权人身份证号码：</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授权人身份证号码：</w:t>
      </w:r>
      <w:r>
        <w:rPr>
          <w:color w:val="000000" w:themeColor="text1"/>
          <w:szCs w:val="21"/>
          <w:highlight w:val="none"/>
          <w:u w:val="single"/>
          <w14:textFill>
            <w14:solidFill>
              <w14:schemeClr w14:val="tx1"/>
            </w14:solidFill>
          </w14:textFill>
        </w:rPr>
        <w:t xml:space="preserve">                 </w:t>
      </w:r>
    </w:p>
    <w:p w14:paraId="3C12A137">
      <w:pPr>
        <w:snapToGrid w:val="0"/>
        <w:spacing w:before="120" w:beforeLines="50" w:after="50" w:line="440" w:lineRule="exact"/>
        <w:rPr>
          <w:color w:val="000000" w:themeColor="text1"/>
          <w:szCs w:val="21"/>
          <w:highlight w:val="none"/>
          <w14:textFill>
            <w14:solidFill>
              <w14:schemeClr w14:val="tx1"/>
            </w14:solidFill>
          </w14:textFill>
        </w:rPr>
      </w:pPr>
      <w:bookmarkStart w:id="127" w:name="_Hlk132880052"/>
      <w:r>
        <w:rPr>
          <w:rFonts w:hint="eastAsia"/>
          <w:color w:val="000000" w:themeColor="text1"/>
          <w:szCs w:val="21"/>
          <w:highlight w:val="none"/>
          <w14:textFill>
            <w14:solidFill>
              <w14:schemeClr w14:val="tx1"/>
            </w14:solidFill>
          </w14:textFill>
        </w:rPr>
        <w:t>被授权人手机号码及邮箱：</w:t>
      </w:r>
      <w:bookmarkEnd w:id="127"/>
      <w:r>
        <w:rPr>
          <w:color w:val="000000" w:themeColor="text1"/>
          <w:szCs w:val="21"/>
          <w:highlight w:val="none"/>
          <w14:textFill>
            <w14:solidFill>
              <w14:schemeClr w14:val="tx1"/>
            </w14:solidFill>
          </w14:textFill>
        </w:rPr>
        <w:t xml:space="preserve">                                 </w:t>
      </w:r>
    </w:p>
    <w:p w14:paraId="1374EB96">
      <w:pPr>
        <w:snapToGrid w:val="0"/>
        <w:spacing w:before="120" w:beforeLines="50" w:after="50" w:line="440" w:lineRule="exact"/>
        <w:ind w:firstLine="5250" w:firstLineChars="2500"/>
        <w:rPr>
          <w:color w:val="000000" w:themeColor="text1"/>
          <w:szCs w:val="21"/>
          <w:highlight w:val="none"/>
          <w14:textFill>
            <w14:solidFill>
              <w14:schemeClr w14:val="tx1"/>
            </w14:solidFill>
          </w14:textFill>
        </w:rPr>
      </w:pPr>
    </w:p>
    <w:p w14:paraId="524A942A">
      <w:pPr>
        <w:snapToGrid w:val="0"/>
        <w:spacing w:before="120" w:beforeLines="50" w:after="50" w:line="440" w:lineRule="exact"/>
        <w:ind w:firstLine="5250" w:firstLineChars="25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r>
        <w:rPr>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p>
    <w:p w14:paraId="57A38ADF">
      <w:pPr>
        <w:snapToGrid w:val="0"/>
        <w:spacing w:before="120" w:beforeLines="50" w:after="50" w:line="44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                                        年    月    日</w:t>
      </w:r>
    </w:p>
    <w:p w14:paraId="26BCA226">
      <w:pPr>
        <w:spacing w:line="360" w:lineRule="auto"/>
        <w:rPr>
          <w:color w:val="000000" w:themeColor="text1"/>
          <w:szCs w:val="21"/>
          <w:highlight w:val="none"/>
          <w14:textFill>
            <w14:solidFill>
              <w14:schemeClr w14:val="tx1"/>
            </w14:solidFill>
          </w14:textFill>
        </w:rPr>
      </w:pPr>
    </w:p>
    <w:p w14:paraId="3DD6F619">
      <w:pPr>
        <w:spacing w:line="360" w:lineRule="auto"/>
        <w:rPr>
          <w:color w:val="000000" w:themeColor="text1"/>
          <w:szCs w:val="21"/>
          <w:highlight w:val="none"/>
          <w14:textFill>
            <w14:solidFill>
              <w14:schemeClr w14:val="tx1"/>
            </w14:solidFill>
          </w14:textFill>
        </w:rPr>
      </w:pPr>
    </w:p>
    <w:p w14:paraId="6478CB01">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附件：法定代表人身份证复印件及授权代表身份证复印件</w:t>
      </w:r>
    </w:p>
    <w:p w14:paraId="14ACB51D">
      <w:pPr>
        <w:snapToGrid w:val="0"/>
        <w:spacing w:before="120" w:beforeLines="50" w:after="50" w:line="440" w:lineRule="exact"/>
        <w:jc w:val="center"/>
        <w:outlineLvl w:val="1"/>
        <w:rPr>
          <w:bCs/>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bCs/>
          <w:color w:val="000000" w:themeColor="text1"/>
          <w:sz w:val="24"/>
          <w:highlight w:val="none"/>
          <w14:textFill>
            <w14:solidFill>
              <w14:schemeClr w14:val="tx1"/>
            </w14:solidFill>
          </w14:textFill>
        </w:rPr>
        <w:t>第一部分 商务文件</w:t>
      </w:r>
    </w:p>
    <w:p w14:paraId="63BEA287">
      <w:pPr>
        <w:jc w:val="center"/>
        <w:rPr>
          <w:bCs/>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t>（本商务文件供应商可自行编写，也可参照下述提纲编写）</w:t>
      </w:r>
    </w:p>
    <w:p w14:paraId="7A35DDC9">
      <w:pPr>
        <w:snapToGrid w:val="0"/>
        <w:spacing w:before="50" w:after="120" w:afterLines="50" w:line="440" w:lineRule="exact"/>
        <w:jc w:val="left"/>
        <w:rPr>
          <w:color w:val="000000" w:themeColor="text1"/>
          <w:szCs w:val="21"/>
          <w:highlight w:val="none"/>
          <w14:textFill>
            <w14:solidFill>
              <w14:schemeClr w14:val="tx1"/>
            </w14:solidFill>
          </w14:textFill>
        </w:rPr>
      </w:pPr>
    </w:p>
    <w:p w14:paraId="2CF8961D">
      <w:pPr>
        <w:snapToGrid w:val="0"/>
        <w:spacing w:before="50" w:after="120" w:afterLines="50" w:line="4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对</w:t>
      </w:r>
      <w:r>
        <w:rPr>
          <w:color w:val="000000" w:themeColor="text1"/>
          <w:szCs w:val="21"/>
          <w:highlight w:val="none"/>
          <w14:textFill>
            <w14:solidFill>
              <w14:schemeClr w14:val="tx1"/>
            </w14:solidFill>
          </w14:textFill>
        </w:rPr>
        <w:t>本项目第</w:t>
      </w:r>
      <w:r>
        <w:rPr>
          <w:rFonts w:hint="eastAsia"/>
          <w:color w:val="000000" w:themeColor="text1"/>
          <w:szCs w:val="21"/>
          <w:highlight w:val="none"/>
          <w14:textFill>
            <w14:solidFill>
              <w14:schemeClr w14:val="tx1"/>
            </w14:solidFill>
          </w14:textFill>
        </w:rPr>
        <w:t>二</w:t>
      </w:r>
      <w:r>
        <w:rPr>
          <w:color w:val="000000" w:themeColor="text1"/>
          <w:szCs w:val="21"/>
          <w:highlight w:val="none"/>
          <w14:textFill>
            <w14:solidFill>
              <w14:schemeClr w14:val="tx1"/>
            </w14:solidFill>
          </w14:textFill>
        </w:rPr>
        <w:t>章</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采购需求</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商务要求</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响应表</w:t>
      </w:r>
      <w:r>
        <w:rPr>
          <w:color w:val="000000" w:themeColor="text1"/>
          <w:szCs w:val="21"/>
          <w:highlight w:val="none"/>
          <w14:textFill>
            <w14:solidFill>
              <w14:schemeClr w14:val="tx1"/>
            </w14:solidFill>
          </w14:textFill>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890"/>
        <w:gridCol w:w="1082"/>
      </w:tblGrid>
      <w:tr w14:paraId="7B23E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9688ADB">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2110" w:type="dxa"/>
            <w:tcBorders>
              <w:top w:val="single" w:color="auto" w:sz="4" w:space="0"/>
              <w:left w:val="single" w:color="auto" w:sz="4" w:space="0"/>
              <w:bottom w:val="single" w:color="auto" w:sz="4" w:space="0"/>
              <w:right w:val="single" w:color="auto" w:sz="4" w:space="0"/>
            </w:tcBorders>
            <w:vAlign w:val="center"/>
          </w:tcPr>
          <w:p w14:paraId="667FF729">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招标文件的商务要求</w:t>
            </w:r>
          </w:p>
        </w:tc>
        <w:tc>
          <w:tcPr>
            <w:tcW w:w="4890" w:type="dxa"/>
            <w:tcBorders>
              <w:top w:val="single" w:color="auto" w:sz="4" w:space="0"/>
              <w:left w:val="single" w:color="auto" w:sz="4" w:space="0"/>
              <w:bottom w:val="single" w:color="auto" w:sz="4" w:space="0"/>
              <w:right w:val="single" w:color="auto" w:sz="4" w:space="0"/>
            </w:tcBorders>
            <w:vAlign w:val="center"/>
          </w:tcPr>
          <w:p w14:paraId="28814706">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02EF07F2">
            <w:pPr>
              <w:snapToGrid w:val="0"/>
              <w:spacing w:before="120" w:beforeLines="50"/>
              <w:jc w:val="center"/>
              <w:rPr>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偏离</w:t>
            </w:r>
            <w:r>
              <w:rPr>
                <w:color w:val="000000" w:themeColor="text1"/>
                <w:szCs w:val="21"/>
                <w:highlight w:val="none"/>
                <w14:textFill>
                  <w14:solidFill>
                    <w14:schemeClr w14:val="tx1"/>
                  </w14:solidFill>
                </w14:textFill>
              </w:rPr>
              <w:t>说明</w:t>
            </w:r>
          </w:p>
        </w:tc>
      </w:tr>
      <w:tr w14:paraId="1640A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4882132">
            <w:pPr>
              <w:snapToGrid w:val="0"/>
              <w:spacing w:before="120" w:beforeLines="50"/>
              <w:jc w:val="center"/>
              <w:rPr>
                <w:color w:val="000000" w:themeColor="text1"/>
                <w:szCs w:val="21"/>
                <w:highlight w:val="none"/>
                <w14:textFill>
                  <w14:solidFill>
                    <w14:schemeClr w14:val="tx1"/>
                  </w14:solidFill>
                </w14:textFill>
              </w:rPr>
            </w:pPr>
          </w:p>
        </w:tc>
        <w:tc>
          <w:tcPr>
            <w:tcW w:w="2110" w:type="dxa"/>
            <w:tcBorders>
              <w:top w:val="single" w:color="auto" w:sz="4" w:space="0"/>
              <w:left w:val="single" w:color="auto" w:sz="4" w:space="0"/>
              <w:bottom w:val="single" w:color="auto" w:sz="4" w:space="0"/>
              <w:right w:val="single" w:color="auto" w:sz="4" w:space="0"/>
            </w:tcBorders>
            <w:vAlign w:val="center"/>
          </w:tcPr>
          <w:p w14:paraId="0137BAB3">
            <w:pPr>
              <w:snapToGrid w:val="0"/>
              <w:spacing w:before="120" w:beforeLines="50"/>
              <w:jc w:val="center"/>
              <w:rPr>
                <w:color w:val="000000" w:themeColor="text1"/>
                <w:szCs w:val="21"/>
                <w:highlight w:val="none"/>
                <w14:textFill>
                  <w14:solidFill>
                    <w14:schemeClr w14:val="tx1"/>
                  </w14:solidFill>
                </w14:textFill>
              </w:rPr>
            </w:pPr>
          </w:p>
        </w:tc>
        <w:tc>
          <w:tcPr>
            <w:tcW w:w="4890" w:type="dxa"/>
            <w:tcBorders>
              <w:top w:val="single" w:color="auto" w:sz="4" w:space="0"/>
              <w:left w:val="single" w:color="auto" w:sz="4" w:space="0"/>
              <w:bottom w:val="single" w:color="auto" w:sz="4" w:space="0"/>
              <w:right w:val="single" w:color="auto" w:sz="4" w:space="0"/>
            </w:tcBorders>
            <w:vAlign w:val="center"/>
          </w:tcPr>
          <w:p w14:paraId="25F7DA18">
            <w:pPr>
              <w:snapToGrid w:val="0"/>
              <w:spacing w:before="120" w:beforeLines="50"/>
              <w:jc w:val="center"/>
              <w:rPr>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61EDFA7D">
            <w:pPr>
              <w:snapToGrid w:val="0"/>
              <w:spacing w:before="120" w:beforeLines="50"/>
              <w:jc w:val="center"/>
              <w:rPr>
                <w:color w:val="000000" w:themeColor="text1"/>
                <w:szCs w:val="21"/>
                <w:highlight w:val="none"/>
                <w14:textFill>
                  <w14:solidFill>
                    <w14:schemeClr w14:val="tx1"/>
                  </w14:solidFill>
                </w14:textFill>
              </w:rPr>
            </w:pPr>
          </w:p>
        </w:tc>
      </w:tr>
      <w:tr w14:paraId="13F2B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BC544DE">
            <w:pPr>
              <w:snapToGrid w:val="0"/>
              <w:spacing w:before="120" w:beforeLines="50"/>
              <w:jc w:val="center"/>
              <w:rPr>
                <w:color w:val="000000" w:themeColor="text1"/>
                <w:szCs w:val="21"/>
                <w:highlight w:val="none"/>
                <w14:textFill>
                  <w14:solidFill>
                    <w14:schemeClr w14:val="tx1"/>
                  </w14:solidFill>
                </w14:textFill>
              </w:rPr>
            </w:pPr>
          </w:p>
        </w:tc>
        <w:tc>
          <w:tcPr>
            <w:tcW w:w="2110" w:type="dxa"/>
            <w:tcBorders>
              <w:top w:val="single" w:color="auto" w:sz="4" w:space="0"/>
              <w:left w:val="single" w:color="auto" w:sz="4" w:space="0"/>
              <w:bottom w:val="single" w:color="auto" w:sz="4" w:space="0"/>
              <w:right w:val="single" w:color="auto" w:sz="4" w:space="0"/>
            </w:tcBorders>
            <w:vAlign w:val="center"/>
          </w:tcPr>
          <w:p w14:paraId="3AC275F3">
            <w:pPr>
              <w:spacing w:line="360" w:lineRule="exact"/>
              <w:jc w:val="center"/>
              <w:rPr>
                <w:color w:val="000000" w:themeColor="text1"/>
                <w:szCs w:val="21"/>
                <w:highlight w:val="none"/>
                <w14:textFill>
                  <w14:solidFill>
                    <w14:schemeClr w14:val="tx1"/>
                  </w14:solidFill>
                </w14:textFill>
              </w:rPr>
            </w:pPr>
          </w:p>
        </w:tc>
        <w:tc>
          <w:tcPr>
            <w:tcW w:w="4890" w:type="dxa"/>
            <w:tcBorders>
              <w:top w:val="single" w:color="auto" w:sz="4" w:space="0"/>
              <w:left w:val="single" w:color="auto" w:sz="4" w:space="0"/>
              <w:bottom w:val="single" w:color="auto" w:sz="4" w:space="0"/>
              <w:right w:val="single" w:color="auto" w:sz="4" w:space="0"/>
            </w:tcBorders>
            <w:vAlign w:val="center"/>
          </w:tcPr>
          <w:p w14:paraId="2F93E14A">
            <w:pPr>
              <w:snapToGrid w:val="0"/>
              <w:spacing w:before="120" w:beforeLines="50"/>
              <w:jc w:val="center"/>
              <w:rPr>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18467426">
            <w:pPr>
              <w:snapToGrid w:val="0"/>
              <w:spacing w:before="120" w:beforeLines="50"/>
              <w:jc w:val="center"/>
              <w:rPr>
                <w:color w:val="000000" w:themeColor="text1"/>
                <w:szCs w:val="21"/>
                <w:highlight w:val="none"/>
                <w14:textFill>
                  <w14:solidFill>
                    <w14:schemeClr w14:val="tx1"/>
                  </w14:solidFill>
                </w14:textFill>
              </w:rPr>
            </w:pPr>
          </w:p>
        </w:tc>
      </w:tr>
      <w:tr w14:paraId="1D435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EA7A805">
            <w:pPr>
              <w:snapToGrid w:val="0"/>
              <w:spacing w:before="120" w:beforeLines="50"/>
              <w:jc w:val="center"/>
              <w:rPr>
                <w:color w:val="000000" w:themeColor="text1"/>
                <w:szCs w:val="21"/>
                <w:highlight w:val="none"/>
                <w14:textFill>
                  <w14:solidFill>
                    <w14:schemeClr w14:val="tx1"/>
                  </w14:solidFill>
                </w14:textFill>
              </w:rPr>
            </w:pPr>
          </w:p>
        </w:tc>
        <w:tc>
          <w:tcPr>
            <w:tcW w:w="2110" w:type="dxa"/>
            <w:tcBorders>
              <w:top w:val="single" w:color="auto" w:sz="4" w:space="0"/>
              <w:left w:val="single" w:color="auto" w:sz="4" w:space="0"/>
              <w:bottom w:val="single" w:color="auto" w:sz="4" w:space="0"/>
              <w:right w:val="single" w:color="auto" w:sz="4" w:space="0"/>
            </w:tcBorders>
            <w:vAlign w:val="center"/>
          </w:tcPr>
          <w:p w14:paraId="1CF5D49A">
            <w:pPr>
              <w:spacing w:line="36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4890" w:type="dxa"/>
            <w:tcBorders>
              <w:top w:val="single" w:color="auto" w:sz="4" w:space="0"/>
              <w:left w:val="single" w:color="auto" w:sz="4" w:space="0"/>
              <w:bottom w:val="single" w:color="auto" w:sz="4" w:space="0"/>
              <w:right w:val="single" w:color="auto" w:sz="4" w:space="0"/>
            </w:tcBorders>
            <w:vAlign w:val="center"/>
          </w:tcPr>
          <w:p w14:paraId="37187EFA">
            <w:pPr>
              <w:snapToGrid w:val="0"/>
              <w:spacing w:before="120" w:beforeLines="50"/>
              <w:jc w:val="center"/>
              <w:rPr>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19958F93">
            <w:pPr>
              <w:snapToGrid w:val="0"/>
              <w:spacing w:before="120" w:beforeLines="50"/>
              <w:jc w:val="center"/>
              <w:rPr>
                <w:color w:val="000000" w:themeColor="text1"/>
                <w:szCs w:val="21"/>
                <w:highlight w:val="none"/>
                <w14:textFill>
                  <w14:solidFill>
                    <w14:schemeClr w14:val="tx1"/>
                  </w14:solidFill>
                </w14:textFill>
              </w:rPr>
            </w:pPr>
          </w:p>
        </w:tc>
      </w:tr>
    </w:tbl>
    <w:p w14:paraId="7E965273">
      <w:pPr>
        <w:pStyle w:val="27"/>
        <w:tabs>
          <w:tab w:val="left" w:pos="2127"/>
        </w:tabs>
        <w:spacing w:line="340" w:lineRule="exact"/>
        <w:ind w:firstLine="420" w:firstLineChars="200"/>
        <w:jc w:val="left"/>
        <w:rPr>
          <w:rFonts w:ascii="Times New Roman" w:hAnsi="Times New Roman" w:cs="Times New Roman"/>
          <w:color w:val="000000" w:themeColor="text1"/>
          <w:highlight w:val="none"/>
          <w14:textFill>
            <w14:solidFill>
              <w14:schemeClr w14:val="tx1"/>
            </w14:solidFill>
          </w14:textFill>
        </w:rPr>
      </w:pPr>
      <w:bookmarkStart w:id="128" w:name="_Hlk48144603"/>
      <w:bookmarkStart w:id="129" w:name="_Hlk88990584"/>
      <w:r>
        <w:rPr>
          <w:rFonts w:ascii="Times New Roman" w:hAnsi="Times New Roman" w:cs="Times New Roman"/>
          <w:color w:val="000000" w:themeColor="text1"/>
          <w:highlight w:val="none"/>
          <w14:textFill>
            <w14:solidFill>
              <w14:schemeClr w14:val="tx1"/>
            </w14:solidFill>
          </w14:textFill>
        </w:rPr>
        <w:t>注：</w:t>
      </w:r>
      <w:bookmarkStart w:id="130" w:name="_Hlk19049081"/>
      <w:r>
        <w:rPr>
          <w:rFonts w:ascii="Times New Roman" w:hAnsi="Times New Roman" w:cs="Times New Roman"/>
          <w:color w:val="000000" w:themeColor="text1"/>
          <w:highlight w:val="none"/>
          <w14:textFill>
            <w14:solidFill>
              <w14:schemeClr w14:val="tx1"/>
            </w14:solidFill>
          </w14:textFill>
        </w:rPr>
        <w:t>（1）本表应对招标文件</w:t>
      </w: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章</w:t>
      </w:r>
      <w:r>
        <w:rPr>
          <w:rFonts w:hint="eastAsia"/>
          <w:color w:val="000000" w:themeColor="text1"/>
          <w:highlight w:val="none"/>
          <w14:textFill>
            <w14:solidFill>
              <w14:schemeClr w14:val="tx1"/>
            </w14:solidFill>
          </w14:textFill>
        </w:rPr>
        <w:t>《采购需求》</w:t>
      </w:r>
      <w:r>
        <w:rPr>
          <w:rFonts w:ascii="Times New Roman" w:hAnsi="Times New Roman" w:cs="Times New Roman"/>
          <w:color w:val="000000" w:themeColor="text1"/>
          <w:highlight w:val="none"/>
          <w14:textFill>
            <w14:solidFill>
              <w14:schemeClr w14:val="tx1"/>
            </w14:solidFill>
          </w14:textFill>
        </w:rPr>
        <w:t>中所列商务要求进行响应，并根据响应情况在“偏离说明”栏填写正偏离或负偏离及原因，完全符合的填写</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无偏离</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w:t>
      </w:r>
    </w:p>
    <w:p w14:paraId="6064E651">
      <w:pPr>
        <w:pStyle w:val="27"/>
        <w:tabs>
          <w:tab w:val="left" w:pos="2127"/>
        </w:tabs>
        <w:spacing w:line="340" w:lineRule="exact"/>
        <w:ind w:firstLine="420" w:firstLineChars="200"/>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章</w:t>
      </w:r>
      <w:r>
        <w:rPr>
          <w:rFonts w:hint="eastAsia"/>
          <w:color w:val="000000" w:themeColor="text1"/>
          <w:highlight w:val="none"/>
          <w14:textFill>
            <w14:solidFill>
              <w14:schemeClr w14:val="tx1"/>
            </w14:solidFill>
          </w14:textFill>
        </w:rPr>
        <w:t>《采购需求》</w:t>
      </w:r>
      <w:r>
        <w:rPr>
          <w:rFonts w:hint="eastAsia" w:ascii="Times New Roman" w:hAnsi="Times New Roman" w:cs="Times New Roman"/>
          <w:color w:val="000000" w:themeColor="text1"/>
          <w:highlight w:val="none"/>
          <w14:textFill>
            <w14:solidFill>
              <w14:schemeClr w14:val="tx1"/>
            </w14:solidFill>
          </w14:textFill>
        </w:rPr>
        <w:t>中的总体要求无需响应。</w:t>
      </w:r>
    </w:p>
    <w:p w14:paraId="76FC5E32">
      <w:pPr>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）偏离认定说明详见评审方法及标准。</w:t>
      </w:r>
    </w:p>
    <w:bookmarkEnd w:id="130"/>
    <w:p w14:paraId="21D0B774">
      <w:pPr>
        <w:pStyle w:val="27"/>
        <w:tabs>
          <w:tab w:val="left" w:pos="2127"/>
        </w:tabs>
        <w:spacing w:line="340" w:lineRule="exact"/>
        <w:ind w:firstLine="420" w:firstLineChars="20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（4）本表可扩展。</w:t>
      </w:r>
    </w:p>
    <w:bookmarkEnd w:id="128"/>
    <w:p w14:paraId="42CE6CB8">
      <w:pPr>
        <w:snapToGrid w:val="0"/>
        <w:spacing w:before="50" w:after="120" w:afterLines="50" w:line="440" w:lineRule="exact"/>
        <w:jc w:val="left"/>
        <w:rPr>
          <w:color w:val="000000" w:themeColor="text1"/>
          <w:spacing w:val="20"/>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r>
        <w:rPr>
          <w:color w:val="000000" w:themeColor="text1"/>
          <w:szCs w:val="21"/>
          <w:highlight w:val="none"/>
          <w14:textFill>
            <w14:solidFill>
              <w14:schemeClr w14:val="tx1"/>
            </w14:solidFill>
          </w14:textFill>
        </w:rPr>
        <w:t>)</w:t>
      </w:r>
      <w:r>
        <w:rPr>
          <w:color w:val="000000" w:themeColor="text1"/>
          <w:spacing w:val="20"/>
          <w:szCs w:val="21"/>
          <w:highlight w:val="none"/>
          <w14:textFill>
            <w14:solidFill>
              <w14:schemeClr w14:val="tx1"/>
            </w14:solidFill>
          </w14:textFill>
        </w:rPr>
        <w:t>：</w:t>
      </w:r>
      <w:r>
        <w:rPr>
          <w:color w:val="000000" w:themeColor="text1"/>
          <w:spacing w:val="20"/>
          <w:szCs w:val="21"/>
          <w:highlight w:val="none"/>
          <w:u w:val="single"/>
          <w14:textFill>
            <w14:solidFill>
              <w14:schemeClr w14:val="tx1"/>
            </w14:solidFill>
          </w14:textFill>
        </w:rPr>
        <w:t xml:space="preserve">            </w:t>
      </w:r>
      <w:r>
        <w:rPr>
          <w:color w:val="000000" w:themeColor="text1"/>
          <w:spacing w:val="20"/>
          <w:szCs w:val="21"/>
          <w:highlight w:val="none"/>
          <w14:textFill>
            <w14:solidFill>
              <w14:schemeClr w14:val="tx1"/>
            </w14:solidFill>
          </w14:textFill>
        </w:rPr>
        <w:t xml:space="preserve">             日  期：</w:t>
      </w:r>
      <w:r>
        <w:rPr>
          <w:color w:val="000000" w:themeColor="text1"/>
          <w:spacing w:val="20"/>
          <w:szCs w:val="21"/>
          <w:highlight w:val="none"/>
          <w:u w:val="single"/>
          <w14:textFill>
            <w14:solidFill>
              <w14:schemeClr w14:val="tx1"/>
            </w14:solidFill>
          </w14:textFill>
        </w:rPr>
        <w:t xml:space="preserve">        </w:t>
      </w:r>
    </w:p>
    <w:bookmarkEnd w:id="129"/>
    <w:p w14:paraId="7030E8AF">
      <w:pPr>
        <w:snapToGrid w:val="0"/>
        <w:spacing w:before="50" w:after="120" w:afterLines="50" w:line="440" w:lineRule="exact"/>
        <w:jc w:val="left"/>
        <w:rPr>
          <w:strike/>
          <w:color w:val="000000" w:themeColor="text1"/>
          <w:szCs w:val="21"/>
          <w:highlight w:val="none"/>
          <w14:textFill>
            <w14:solidFill>
              <w14:schemeClr w14:val="tx1"/>
            </w14:solidFill>
          </w14:textFill>
        </w:rPr>
      </w:pPr>
    </w:p>
    <w:p w14:paraId="3E6540C6">
      <w:pPr>
        <w:snapToGrid w:val="0"/>
        <w:spacing w:before="50" w:after="120" w:afterLines="50" w:line="440" w:lineRule="exact"/>
        <w:jc w:val="left"/>
        <w:rPr>
          <w:color w:val="000000" w:themeColor="text1"/>
          <w:szCs w:val="21"/>
          <w:highlight w:val="none"/>
          <w14:textFill>
            <w14:solidFill>
              <w14:schemeClr w14:val="tx1"/>
            </w14:solidFill>
          </w14:textFill>
        </w:rPr>
      </w:pPr>
    </w:p>
    <w:p w14:paraId="684C7726">
      <w:pPr>
        <w:snapToGrid w:val="0"/>
        <w:spacing w:before="50" w:after="120" w:afterLines="50" w:line="440" w:lineRule="exact"/>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．售后服务方案（如有</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供应商自行编写）</w:t>
      </w:r>
    </w:p>
    <w:p w14:paraId="0168DC73">
      <w:pPr>
        <w:snapToGrid w:val="0"/>
        <w:spacing w:before="50" w:after="120" w:afterLines="50" w:line="440" w:lineRule="exact"/>
        <w:jc w:val="left"/>
        <w:rPr>
          <w:strike/>
          <w:color w:val="000000" w:themeColor="text1"/>
          <w:szCs w:val="21"/>
          <w:highlight w:val="none"/>
          <w14:textFill>
            <w14:solidFill>
              <w14:schemeClr w14:val="tx1"/>
            </w14:solidFill>
          </w14:textFill>
        </w:rPr>
      </w:pPr>
    </w:p>
    <w:p w14:paraId="580123D4">
      <w:pPr>
        <w:snapToGrid w:val="0"/>
        <w:spacing w:before="50" w:after="120" w:afterLines="50" w:line="440" w:lineRule="exact"/>
        <w:jc w:val="left"/>
        <w:rPr>
          <w:color w:val="000000" w:themeColor="text1"/>
          <w:szCs w:val="21"/>
          <w:highlight w:val="none"/>
          <w14:textFill>
            <w14:solidFill>
              <w14:schemeClr w14:val="tx1"/>
            </w14:solidFill>
          </w14:textFill>
        </w:rPr>
      </w:pPr>
    </w:p>
    <w:p w14:paraId="77C25ACA">
      <w:pPr>
        <w:snapToGrid w:val="0"/>
        <w:spacing w:before="50" w:after="120" w:afterLines="50" w:line="440" w:lineRule="exact"/>
        <w:jc w:val="left"/>
        <w:rPr>
          <w:color w:val="000000" w:themeColor="text1"/>
          <w:szCs w:val="21"/>
          <w:highlight w:val="none"/>
          <w14:textFill>
            <w14:solidFill>
              <w14:schemeClr w14:val="tx1"/>
            </w14:solidFill>
          </w14:textFill>
        </w:rPr>
      </w:pPr>
    </w:p>
    <w:p w14:paraId="6BE41843">
      <w:pPr>
        <w:snapToGrid w:val="0"/>
        <w:spacing w:before="50" w:after="120" w:afterLines="50" w:line="440" w:lineRule="exact"/>
        <w:jc w:val="left"/>
        <w:rPr>
          <w:color w:val="000000" w:themeColor="text1"/>
          <w:szCs w:val="21"/>
          <w:highlight w:val="none"/>
          <w14:textFill>
            <w14:solidFill>
              <w14:schemeClr w14:val="tx1"/>
            </w14:solidFill>
          </w14:textFill>
        </w:rPr>
      </w:pPr>
    </w:p>
    <w:p w14:paraId="41623375">
      <w:pPr>
        <w:snapToGrid w:val="0"/>
        <w:spacing w:before="50" w:after="120" w:afterLines="50" w:line="440" w:lineRule="exact"/>
        <w:jc w:val="left"/>
        <w:rPr>
          <w:color w:val="000000" w:themeColor="text1"/>
          <w:szCs w:val="21"/>
          <w:highlight w:val="none"/>
          <w14:textFill>
            <w14:solidFill>
              <w14:schemeClr w14:val="tx1"/>
            </w14:solidFill>
          </w14:textFill>
        </w:rPr>
      </w:pPr>
    </w:p>
    <w:p w14:paraId="481DB1B1">
      <w:pPr>
        <w:snapToGrid w:val="0"/>
        <w:spacing w:before="50" w:after="120" w:afterLines="50" w:line="440" w:lineRule="exact"/>
        <w:jc w:val="left"/>
        <w:rPr>
          <w:color w:val="000000" w:themeColor="text1"/>
          <w:spacing w:val="20"/>
          <w:szCs w:val="21"/>
          <w:highlight w:val="none"/>
          <w:u w:val="single"/>
          <w14:textFill>
            <w14:solidFill>
              <w14:schemeClr w14:val="tx1"/>
            </w14:solidFill>
          </w14:textFill>
        </w:rPr>
      </w:pPr>
    </w:p>
    <w:p w14:paraId="2B876288">
      <w:pPr>
        <w:snapToGrid w:val="0"/>
        <w:spacing w:before="50" w:after="120" w:afterLines="50" w:line="440" w:lineRule="exact"/>
        <w:jc w:val="left"/>
        <w:rPr>
          <w:color w:val="000000" w:themeColor="text1"/>
          <w:spacing w:val="20"/>
          <w:szCs w:val="21"/>
          <w:highlight w:val="none"/>
          <w:u w:val="single"/>
          <w14:textFill>
            <w14:solidFill>
              <w14:schemeClr w14:val="tx1"/>
            </w14:solidFill>
          </w14:textFill>
        </w:rPr>
        <w:sectPr>
          <w:pgSz w:w="11906" w:h="16838"/>
          <w:pgMar w:top="1418" w:right="1133" w:bottom="1246" w:left="1418" w:header="851" w:footer="992" w:gutter="0"/>
          <w:cols w:space="720" w:num="1"/>
          <w:docGrid w:linePitch="312" w:charSpace="0"/>
        </w:sectPr>
      </w:pPr>
    </w:p>
    <w:p w14:paraId="4F7EF65F">
      <w:pPr>
        <w:snapToGrid w:val="0"/>
        <w:spacing w:before="50" w:after="120" w:afterLines="50"/>
        <w:jc w:val="left"/>
        <w:rPr>
          <w:b/>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．近年供应商类似成功案例的业绩证明。</w:t>
      </w:r>
    </w:p>
    <w:p w14:paraId="7E132383">
      <w:pPr>
        <w:snapToGrid w:val="0"/>
        <w:spacing w:before="50" w:after="120" w:afterLines="50"/>
        <w:jc w:val="center"/>
        <w:rPr>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类似成功案例业绩一览表</w:t>
      </w:r>
    </w:p>
    <w:tbl>
      <w:tblPr>
        <w:tblStyle w:val="51"/>
        <w:tblW w:w="1469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2820"/>
        <w:gridCol w:w="4095"/>
        <w:gridCol w:w="1965"/>
        <w:gridCol w:w="1200"/>
        <w:gridCol w:w="1335"/>
        <w:gridCol w:w="2790"/>
      </w:tblGrid>
      <w:tr w14:paraId="7F698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vAlign w:val="center"/>
          </w:tcPr>
          <w:p w14:paraId="5B2FB3EC">
            <w:pPr>
              <w:snapToGrid w:val="0"/>
              <w:spacing w:line="24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2820" w:type="dxa"/>
            <w:tcBorders>
              <w:top w:val="single" w:color="auto" w:sz="4" w:space="0"/>
              <w:left w:val="single" w:color="auto" w:sz="4" w:space="0"/>
              <w:bottom w:val="single" w:color="auto" w:sz="4" w:space="0"/>
              <w:right w:val="single" w:color="auto" w:sz="4" w:space="0"/>
            </w:tcBorders>
            <w:vAlign w:val="center"/>
          </w:tcPr>
          <w:p w14:paraId="79C6B47C">
            <w:pPr>
              <w:snapToGrid w:val="0"/>
              <w:spacing w:line="24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甲方单位名称</w:t>
            </w:r>
          </w:p>
        </w:tc>
        <w:tc>
          <w:tcPr>
            <w:tcW w:w="4095" w:type="dxa"/>
            <w:tcBorders>
              <w:top w:val="single" w:color="auto" w:sz="4" w:space="0"/>
              <w:left w:val="single" w:color="auto" w:sz="4" w:space="0"/>
              <w:bottom w:val="single" w:color="auto" w:sz="4" w:space="0"/>
              <w:right w:val="single" w:color="auto" w:sz="4" w:space="0"/>
            </w:tcBorders>
            <w:vAlign w:val="center"/>
          </w:tcPr>
          <w:p w14:paraId="5E049A43">
            <w:pPr>
              <w:snapToGrid w:val="0"/>
              <w:spacing w:line="24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项目名称或服务内容</w:t>
            </w:r>
          </w:p>
        </w:tc>
        <w:tc>
          <w:tcPr>
            <w:tcW w:w="1965" w:type="dxa"/>
            <w:tcBorders>
              <w:top w:val="single" w:color="auto" w:sz="4" w:space="0"/>
              <w:left w:val="single" w:color="auto" w:sz="4" w:space="0"/>
              <w:bottom w:val="single" w:color="auto" w:sz="4" w:space="0"/>
              <w:right w:val="single" w:color="auto" w:sz="4" w:space="0"/>
            </w:tcBorders>
            <w:vAlign w:val="center"/>
          </w:tcPr>
          <w:p w14:paraId="29522554">
            <w:pPr>
              <w:snapToGrid w:val="0"/>
              <w:spacing w:line="24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服务周期或时间（年/月）</w:t>
            </w:r>
          </w:p>
        </w:tc>
        <w:tc>
          <w:tcPr>
            <w:tcW w:w="1200" w:type="dxa"/>
            <w:tcBorders>
              <w:top w:val="single" w:color="auto" w:sz="4" w:space="0"/>
              <w:left w:val="single" w:color="auto" w:sz="4" w:space="0"/>
              <w:bottom w:val="single" w:color="auto" w:sz="4" w:space="0"/>
              <w:right w:val="single" w:color="auto" w:sz="4" w:space="0"/>
            </w:tcBorders>
            <w:vAlign w:val="center"/>
          </w:tcPr>
          <w:p w14:paraId="33DEDDDA">
            <w:pPr>
              <w:snapToGrid w:val="0"/>
              <w:spacing w:line="24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团队人数</w:t>
            </w:r>
          </w:p>
        </w:tc>
        <w:tc>
          <w:tcPr>
            <w:tcW w:w="1335" w:type="dxa"/>
            <w:tcBorders>
              <w:top w:val="single" w:color="auto" w:sz="4" w:space="0"/>
              <w:left w:val="single" w:color="auto" w:sz="4" w:space="0"/>
              <w:bottom w:val="single" w:color="auto" w:sz="4" w:space="0"/>
              <w:right w:val="single" w:color="auto" w:sz="4" w:space="0"/>
            </w:tcBorders>
            <w:vAlign w:val="center"/>
          </w:tcPr>
          <w:p w14:paraId="54AEE191">
            <w:pPr>
              <w:snapToGrid w:val="0"/>
              <w:spacing w:line="24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合同总价</w:t>
            </w:r>
            <w:r>
              <w:rPr>
                <w:rFonts w:hint="eastAsia"/>
                <w:color w:val="000000" w:themeColor="text1"/>
                <w:szCs w:val="21"/>
                <w:highlight w:val="none"/>
                <w14:textFill>
                  <w14:solidFill>
                    <w14:schemeClr w14:val="tx1"/>
                  </w14:solidFill>
                </w14:textFill>
              </w:rPr>
              <w:t>（元）</w:t>
            </w:r>
          </w:p>
        </w:tc>
        <w:tc>
          <w:tcPr>
            <w:tcW w:w="2790" w:type="dxa"/>
            <w:tcBorders>
              <w:top w:val="single" w:color="auto" w:sz="4" w:space="0"/>
              <w:left w:val="single" w:color="auto" w:sz="4" w:space="0"/>
              <w:bottom w:val="single" w:color="auto" w:sz="4" w:space="0"/>
              <w:right w:val="single" w:color="auto" w:sz="4" w:space="0"/>
            </w:tcBorders>
            <w:vAlign w:val="center"/>
          </w:tcPr>
          <w:p w14:paraId="78BC0B9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采购单位联系人及联系电话</w:t>
            </w:r>
          </w:p>
        </w:tc>
      </w:tr>
      <w:tr w14:paraId="6B6B4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tcPr>
          <w:p w14:paraId="7B1C4B3D">
            <w:pPr>
              <w:snapToGrid w:val="0"/>
              <w:spacing w:line="240" w:lineRule="exact"/>
              <w:jc w:val="left"/>
              <w:rPr>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76612F83">
            <w:pPr>
              <w:snapToGrid w:val="0"/>
              <w:spacing w:line="240" w:lineRule="exact"/>
              <w:jc w:val="left"/>
              <w:rPr>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1E044967">
            <w:pPr>
              <w:snapToGrid w:val="0"/>
              <w:spacing w:line="240" w:lineRule="exact"/>
              <w:jc w:val="left"/>
              <w:rPr>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69608E13">
            <w:pPr>
              <w:snapToGrid w:val="0"/>
              <w:spacing w:line="240" w:lineRule="exact"/>
              <w:jc w:val="left"/>
              <w:rPr>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2A6E0C3B">
            <w:pPr>
              <w:snapToGrid w:val="0"/>
              <w:spacing w:line="240" w:lineRule="exact"/>
              <w:jc w:val="left"/>
              <w:rPr>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4465ADC2">
            <w:pPr>
              <w:snapToGrid w:val="0"/>
              <w:spacing w:line="240" w:lineRule="exact"/>
              <w:jc w:val="left"/>
              <w:rPr>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20AF5FAB">
            <w:pPr>
              <w:snapToGrid w:val="0"/>
              <w:spacing w:line="240" w:lineRule="exact"/>
              <w:jc w:val="left"/>
              <w:rPr>
                <w:color w:val="000000" w:themeColor="text1"/>
                <w:szCs w:val="21"/>
                <w:highlight w:val="none"/>
                <w14:textFill>
                  <w14:solidFill>
                    <w14:schemeClr w14:val="tx1"/>
                  </w14:solidFill>
                </w14:textFill>
              </w:rPr>
            </w:pPr>
          </w:p>
        </w:tc>
      </w:tr>
      <w:tr w14:paraId="1E5C8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7470C216">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00B69FFF">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26913783">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703BA043">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4A0DDC58">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461821B7">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7C080F7C">
            <w:pPr>
              <w:snapToGrid w:val="0"/>
              <w:spacing w:before="50" w:after="120" w:afterLines="50" w:line="400" w:lineRule="exact"/>
              <w:jc w:val="left"/>
              <w:rPr>
                <w:color w:val="000000" w:themeColor="text1"/>
                <w:szCs w:val="21"/>
                <w:highlight w:val="none"/>
                <w14:textFill>
                  <w14:solidFill>
                    <w14:schemeClr w14:val="tx1"/>
                  </w14:solidFill>
                </w14:textFill>
              </w:rPr>
            </w:pPr>
          </w:p>
        </w:tc>
      </w:tr>
      <w:tr w14:paraId="79C37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tcPr>
          <w:p w14:paraId="5EEF7C8C">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59B99396">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747BD5FF">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2ABA0B1A">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4DD7332B">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31C85DD4">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45FCC27C">
            <w:pPr>
              <w:snapToGrid w:val="0"/>
              <w:spacing w:before="50" w:after="120" w:afterLines="50" w:line="400" w:lineRule="exact"/>
              <w:jc w:val="left"/>
              <w:rPr>
                <w:color w:val="000000" w:themeColor="text1"/>
                <w:szCs w:val="21"/>
                <w:highlight w:val="none"/>
                <w14:textFill>
                  <w14:solidFill>
                    <w14:schemeClr w14:val="tx1"/>
                  </w14:solidFill>
                </w14:textFill>
              </w:rPr>
            </w:pPr>
          </w:p>
        </w:tc>
      </w:tr>
      <w:tr w14:paraId="4EEB47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38D2B0CB">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034EAB81">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7FE6FD7B">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2A92850C">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3F64BCCE">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21B7D069">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78C3B506">
            <w:pPr>
              <w:snapToGrid w:val="0"/>
              <w:spacing w:before="50" w:after="120" w:afterLines="50" w:line="400" w:lineRule="exact"/>
              <w:jc w:val="left"/>
              <w:rPr>
                <w:color w:val="000000" w:themeColor="text1"/>
                <w:szCs w:val="21"/>
                <w:highlight w:val="none"/>
                <w14:textFill>
                  <w14:solidFill>
                    <w14:schemeClr w14:val="tx1"/>
                  </w14:solidFill>
                </w14:textFill>
              </w:rPr>
            </w:pPr>
          </w:p>
        </w:tc>
      </w:tr>
      <w:tr w14:paraId="17073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tcPr>
          <w:p w14:paraId="73353623">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119535A9">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14D78448">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3F4E8674">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088E0956">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3B7F860A">
            <w:pPr>
              <w:snapToGrid w:val="0"/>
              <w:spacing w:before="50" w:after="120" w:afterLines="50" w:line="400" w:lineRule="exact"/>
              <w:jc w:val="left"/>
              <w:rPr>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48EB28B3">
            <w:pPr>
              <w:snapToGrid w:val="0"/>
              <w:spacing w:before="50" w:after="120" w:afterLines="50" w:line="400" w:lineRule="exact"/>
              <w:jc w:val="left"/>
              <w:rPr>
                <w:color w:val="000000" w:themeColor="text1"/>
                <w:szCs w:val="21"/>
                <w:highlight w:val="none"/>
                <w14:textFill>
                  <w14:solidFill>
                    <w14:schemeClr w14:val="tx1"/>
                  </w14:solidFill>
                </w14:textFill>
              </w:rPr>
            </w:pPr>
          </w:p>
        </w:tc>
      </w:tr>
    </w:tbl>
    <w:p w14:paraId="1A51023E">
      <w:pPr>
        <w:pStyle w:val="17"/>
        <w:snapToGrid w:val="0"/>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 w:val="21"/>
          <w:szCs w:val="21"/>
          <w:highlight w:val="none"/>
          <w14:textFill>
            <w14:solidFill>
              <w14:schemeClr w14:val="tx1"/>
            </w14:solidFill>
          </w14:textFill>
        </w:rPr>
        <w:t>注：</w:t>
      </w:r>
    </w:p>
    <w:p w14:paraId="255E4CA2">
      <w:pPr>
        <w:pStyle w:val="17"/>
        <w:snapToGrid w:val="0"/>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（1）</w:t>
      </w:r>
      <w:r>
        <w:rPr>
          <w:rFonts w:ascii="Times New Roman" w:hAnsi="Times New Roman" w:eastAsia="宋体" w:cs="Times New Roman"/>
          <w:color w:val="000000" w:themeColor="text1"/>
          <w:sz w:val="21"/>
          <w:szCs w:val="21"/>
          <w:highlight w:val="none"/>
          <w14:textFill>
            <w14:solidFill>
              <w14:schemeClr w14:val="tx1"/>
            </w14:solidFill>
          </w14:textFill>
        </w:rPr>
        <w:t>未附</w:t>
      </w:r>
      <w:r>
        <w:rPr>
          <w:rFonts w:hint="eastAsia" w:ascii="Times New Roman" w:hAnsi="Times New Roman" w:eastAsia="宋体" w:cs="Times New Roman"/>
          <w:color w:val="000000" w:themeColor="text1"/>
          <w:sz w:val="21"/>
          <w:szCs w:val="21"/>
          <w:highlight w:val="none"/>
          <w14:textFill>
            <w14:solidFill>
              <w14:schemeClr w14:val="tx1"/>
            </w14:solidFill>
          </w14:textFill>
        </w:rPr>
        <w:t>证明材料</w:t>
      </w:r>
      <w:r>
        <w:rPr>
          <w:rFonts w:ascii="Times New Roman" w:hAnsi="Times New Roman" w:eastAsia="宋体" w:cs="Times New Roman"/>
          <w:color w:val="000000" w:themeColor="text1"/>
          <w:sz w:val="21"/>
          <w:szCs w:val="21"/>
          <w:highlight w:val="none"/>
          <w14:textFill>
            <w14:solidFill>
              <w14:schemeClr w14:val="tx1"/>
            </w14:solidFill>
          </w14:textFill>
        </w:rPr>
        <w:t>的业绩无效</w:t>
      </w:r>
      <w:r>
        <w:rPr>
          <w:rFonts w:hint="eastAsia" w:ascii="Times New Roman" w:hAnsi="Times New Roman" w:eastAsia="宋体" w:cs="Times New Roman"/>
          <w:color w:val="000000" w:themeColor="text1"/>
          <w:sz w:val="21"/>
          <w:szCs w:val="21"/>
          <w:highlight w:val="none"/>
          <w14:textFill>
            <w14:solidFill>
              <w14:schemeClr w14:val="tx1"/>
            </w14:solidFill>
          </w14:textFill>
        </w:rPr>
        <w:t>，证明材料</w:t>
      </w:r>
      <w:r>
        <w:rPr>
          <w:rFonts w:ascii="Times New Roman" w:hAnsi="Times New Roman" w:eastAsia="宋体" w:cs="Times New Roman"/>
          <w:color w:val="000000" w:themeColor="text1"/>
          <w:sz w:val="21"/>
          <w:szCs w:val="21"/>
          <w:highlight w:val="none"/>
          <w14:textFill>
            <w14:solidFill>
              <w14:schemeClr w14:val="tx1"/>
            </w14:solidFill>
          </w14:textFill>
        </w:rPr>
        <w:t>见第四章《评审方法及标准》规定</w:t>
      </w:r>
    </w:p>
    <w:p w14:paraId="6BAF3D36">
      <w:pPr>
        <w:pStyle w:val="17"/>
        <w:snapToGrid w:val="0"/>
        <w:rPr>
          <w:rFonts w:ascii="Times New Roman" w:hAnsi="Times New Roman" w:eastAsia="宋体" w:cs="Times New Roman"/>
          <w:color w:val="000000" w:themeColor="text1"/>
          <w:sz w:val="2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w:t>
      </w:r>
      <w:r>
        <w:rPr>
          <w:rFonts w:hint="eastAsia" w:ascii="Times New Roman" w:hAnsi="Times New Roman" w:eastAsia="宋体" w:cs="Times New Roman"/>
          <w:color w:val="000000" w:themeColor="text1"/>
          <w:szCs w:val="21"/>
          <w:highlight w:val="none"/>
          <w14:textFill>
            <w14:solidFill>
              <w14:schemeClr w14:val="tx1"/>
            </w14:solidFill>
          </w14:textFill>
        </w:rPr>
        <w:t>2</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 w:val="21"/>
          <w:szCs w:val="21"/>
          <w:highlight w:val="none"/>
          <w14:textFill>
            <w14:solidFill>
              <w14:schemeClr w14:val="tx1"/>
            </w14:solidFill>
          </w14:textFill>
        </w:rPr>
        <w:t>类似项目的定义见第四章《评审方法及标准》规定。</w:t>
      </w:r>
    </w:p>
    <w:p w14:paraId="2E81C204">
      <w:pP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w:t>
      </w:r>
      <w:bookmarkStart w:id="131" w:name="_Hlk19049505"/>
      <w:r>
        <w:rPr>
          <w:color w:val="000000" w:themeColor="text1"/>
          <w:highlight w:val="none"/>
          <w14:textFill>
            <w14:solidFill>
              <w14:schemeClr w14:val="tx1"/>
            </w14:solidFill>
          </w14:textFill>
        </w:rPr>
        <w:t>本表可拓展。</w:t>
      </w:r>
      <w:bookmarkEnd w:id="131"/>
    </w:p>
    <w:p w14:paraId="66CDCBDA">
      <w:pPr>
        <w:snapToGrid w:val="0"/>
        <w:spacing w:before="50"/>
        <w:jc w:val="left"/>
        <w:rPr>
          <w:color w:val="000000" w:themeColor="text1"/>
          <w:szCs w:val="21"/>
          <w:highlight w:val="none"/>
          <w14:textFill>
            <w14:solidFill>
              <w14:schemeClr w14:val="tx1"/>
            </w14:solidFill>
          </w14:textFill>
        </w:rPr>
      </w:pPr>
      <w:bookmarkStart w:id="132" w:name="_Hlk88990617"/>
    </w:p>
    <w:p w14:paraId="50798E34">
      <w:pPr>
        <w:snapToGrid w:val="0"/>
        <w:spacing w:before="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r>
        <w:rPr>
          <w:color w:val="000000" w:themeColor="text1"/>
          <w:szCs w:val="21"/>
          <w:highlight w:val="none"/>
          <w14:textFill>
            <w14:solidFill>
              <w14:schemeClr w14:val="tx1"/>
            </w14:solidFill>
          </w14:textFill>
        </w:rPr>
        <w:t>)：</w:t>
      </w:r>
      <w:bookmarkEnd w:id="132"/>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年    月   日</w:t>
      </w:r>
    </w:p>
    <w:p w14:paraId="2017EAEC">
      <w:pPr>
        <w:snapToGrid w:val="0"/>
        <w:spacing w:before="50"/>
        <w:jc w:val="left"/>
        <w:rPr>
          <w:color w:val="000000" w:themeColor="text1"/>
          <w:szCs w:val="21"/>
          <w:highlight w:val="none"/>
          <w14:textFill>
            <w14:solidFill>
              <w14:schemeClr w14:val="tx1"/>
            </w14:solidFill>
          </w14:textFill>
        </w:rPr>
      </w:pPr>
    </w:p>
    <w:p w14:paraId="60A3C2DE">
      <w:pPr>
        <w:snapToGrid w:val="0"/>
        <w:spacing w:before="50" w:after="120" w:afterLines="50"/>
        <w:jc w:val="left"/>
        <w:rPr>
          <w:color w:val="000000" w:themeColor="text1"/>
          <w:szCs w:val="21"/>
          <w:highlight w:val="none"/>
          <w14:textFill>
            <w14:solidFill>
              <w14:schemeClr w14:val="tx1"/>
            </w14:solidFill>
          </w14:textFill>
        </w:rPr>
        <w:sectPr>
          <w:headerReference r:id="rId16" w:type="default"/>
          <w:pgSz w:w="16838" w:h="11906" w:orient="landscape"/>
          <w:pgMar w:top="1418" w:right="1304" w:bottom="1418" w:left="1304" w:header="851" w:footer="992" w:gutter="0"/>
          <w:cols w:space="720" w:num="1"/>
          <w:docGrid w:linePitch="312" w:charSpace="0"/>
        </w:sectPr>
      </w:pPr>
    </w:p>
    <w:p w14:paraId="15D8D31B">
      <w:pPr>
        <w:snapToGrid w:val="0"/>
        <w:spacing w:before="50" w:after="120" w:afterLines="50"/>
        <w:jc w:val="left"/>
        <w:rPr>
          <w:color w:val="000000" w:themeColor="text1"/>
          <w:szCs w:val="21"/>
          <w:highlight w:val="none"/>
          <w14:textFill>
            <w14:solidFill>
              <w14:schemeClr w14:val="tx1"/>
            </w14:solidFill>
          </w14:textFill>
        </w:rPr>
      </w:pPr>
      <w:bookmarkStart w:id="133" w:name="_Hlk19050322"/>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．符合政府采购政策</w:t>
      </w:r>
      <w:r>
        <w:rPr>
          <w:rFonts w:hint="eastAsia"/>
          <w:color w:val="000000" w:themeColor="text1"/>
          <w:szCs w:val="21"/>
          <w:highlight w:val="none"/>
          <w14:textFill>
            <w14:solidFill>
              <w14:schemeClr w14:val="tx1"/>
            </w14:solidFill>
          </w14:textFill>
        </w:rPr>
        <w:t>的</w:t>
      </w:r>
      <w:r>
        <w:rPr>
          <w:color w:val="000000" w:themeColor="text1"/>
          <w:szCs w:val="21"/>
          <w:highlight w:val="none"/>
          <w14:textFill>
            <w14:solidFill>
              <w14:schemeClr w14:val="tx1"/>
            </w14:solidFill>
          </w14:textFill>
        </w:rPr>
        <w:t>证明材料。</w:t>
      </w:r>
    </w:p>
    <w:p w14:paraId="221481C0">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.1</w:t>
      </w:r>
      <w:r>
        <w:rPr>
          <w:rFonts w:hint="eastAsia"/>
          <w:bCs/>
          <w:color w:val="000000" w:themeColor="text1"/>
          <w:szCs w:val="21"/>
          <w:highlight w:val="none"/>
          <w14:textFill>
            <w14:solidFill>
              <w14:schemeClr w14:val="tx1"/>
            </w14:solidFill>
          </w14:textFill>
        </w:rPr>
        <w:t>中小企业声明函</w:t>
      </w:r>
      <w:r>
        <w:rPr>
          <w:color w:val="000000" w:themeColor="text1"/>
          <w:szCs w:val="21"/>
          <w:highlight w:val="none"/>
          <w14:textFill>
            <w14:solidFill>
              <w14:schemeClr w14:val="tx1"/>
            </w14:solidFill>
          </w14:textFill>
        </w:rPr>
        <w:t>。</w:t>
      </w:r>
    </w:p>
    <w:p w14:paraId="490EAF3E">
      <w:pPr>
        <w:spacing w:line="360" w:lineRule="auto"/>
        <w:ind w:firstLine="3584" w:firstLineChars="1700"/>
        <w:rPr>
          <w:b/>
          <w:color w:val="000000" w:themeColor="text1"/>
          <w:szCs w:val="21"/>
          <w:highlight w:val="none"/>
          <w14:textFill>
            <w14:solidFill>
              <w14:schemeClr w14:val="tx1"/>
            </w14:solidFill>
          </w14:textFill>
        </w:rPr>
      </w:pPr>
      <w:bookmarkStart w:id="134" w:name="_Hlk60649458"/>
    </w:p>
    <w:bookmarkEnd w:id="134"/>
    <w:p w14:paraId="7863D551">
      <w:pPr>
        <w:spacing w:line="360" w:lineRule="auto"/>
        <w:ind w:firstLine="3584" w:firstLineChars="1700"/>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中小企业声明函（服务）</w:t>
      </w:r>
    </w:p>
    <w:p w14:paraId="3FAC8884">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bCs/>
          <w:color w:val="000000" w:themeColor="text1"/>
          <w:szCs w:val="21"/>
          <w:highlight w:val="none"/>
          <w:u w:val="single"/>
          <w14:textFill>
            <w14:solidFill>
              <w14:schemeClr w14:val="tx1"/>
            </w14:solidFill>
          </w14:textFill>
        </w:rPr>
        <w:t>（单位名称）</w:t>
      </w:r>
      <w:r>
        <w:rPr>
          <w:rFonts w:hint="eastAsia"/>
          <w:bCs/>
          <w:color w:val="000000" w:themeColor="text1"/>
          <w:szCs w:val="21"/>
          <w:highlight w:val="none"/>
          <w14:textFill>
            <w14:solidFill>
              <w14:schemeClr w14:val="tx1"/>
            </w14:solidFill>
          </w14:textFill>
        </w:rPr>
        <w:t>的</w:t>
      </w:r>
      <w:r>
        <w:rPr>
          <w:rFonts w:hint="eastAsia"/>
          <w:bCs/>
          <w:color w:val="000000" w:themeColor="text1"/>
          <w:szCs w:val="21"/>
          <w:highlight w:val="none"/>
          <w:u w:val="single"/>
          <w14:textFill>
            <w14:solidFill>
              <w14:schemeClr w14:val="tx1"/>
            </w14:solidFill>
          </w14:textFill>
        </w:rPr>
        <w:t>（项目名称）</w:t>
      </w:r>
      <w:r>
        <w:rPr>
          <w:rFonts w:hint="eastAsia"/>
          <w:bCs/>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 的具体情况如下：</w:t>
      </w:r>
    </w:p>
    <w:p w14:paraId="60A207BF">
      <w:pPr>
        <w:spacing w:line="360" w:lineRule="auto"/>
        <w:ind w:firstLine="420"/>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1.</w:t>
      </w:r>
      <w:r>
        <w:rPr>
          <w:rFonts w:hint="eastAsia"/>
          <w:bCs/>
          <w:color w:val="000000" w:themeColor="text1"/>
          <w:szCs w:val="21"/>
          <w:highlight w:val="none"/>
          <w:u w:val="single"/>
          <w14:textFill>
            <w14:solidFill>
              <w14:schemeClr w14:val="tx1"/>
            </w14:solidFill>
          </w14:textFill>
        </w:rPr>
        <w:t>（标的名称）</w:t>
      </w:r>
      <w:r>
        <w:rPr>
          <w:rFonts w:hint="eastAsia"/>
          <w:bCs/>
          <w:color w:val="000000" w:themeColor="text1"/>
          <w:szCs w:val="21"/>
          <w:highlight w:val="none"/>
          <w14:textFill>
            <w14:solidFill>
              <w14:schemeClr w14:val="tx1"/>
            </w14:solidFill>
          </w14:textFill>
        </w:rPr>
        <w:t>，属于</w:t>
      </w:r>
      <w:r>
        <w:rPr>
          <w:rFonts w:hint="eastAsia"/>
          <w:bCs/>
          <w:color w:val="000000" w:themeColor="text1"/>
          <w:szCs w:val="21"/>
          <w:highlight w:val="none"/>
          <w:u w:val="single"/>
          <w14:textFill>
            <w14:solidFill>
              <w14:schemeClr w14:val="tx1"/>
            </w14:solidFill>
          </w14:textFill>
        </w:rPr>
        <w:t>（招标文件中明确的所属行业）</w:t>
      </w:r>
      <w:r>
        <w:rPr>
          <w:rFonts w:hint="eastAsia"/>
          <w:bCs/>
          <w:color w:val="000000" w:themeColor="text1"/>
          <w:szCs w:val="21"/>
          <w:highlight w:val="none"/>
          <w14:textFill>
            <w14:solidFill>
              <w14:schemeClr w14:val="tx1"/>
            </w14:solidFill>
          </w14:textFill>
        </w:rPr>
        <w:t>行业；承接企业为</w:t>
      </w:r>
      <w:r>
        <w:rPr>
          <w:rFonts w:hint="eastAsia"/>
          <w:bCs/>
          <w:color w:val="000000" w:themeColor="text1"/>
          <w:szCs w:val="21"/>
          <w:highlight w:val="none"/>
          <w:u w:val="single"/>
          <w14:textFill>
            <w14:solidFill>
              <w14:schemeClr w14:val="tx1"/>
            </w14:solidFill>
          </w14:textFill>
        </w:rPr>
        <w:t>（企业名称）</w:t>
      </w:r>
      <w:r>
        <w:rPr>
          <w:rFonts w:hint="eastAsia"/>
          <w:bCs/>
          <w:color w:val="000000" w:themeColor="text1"/>
          <w:szCs w:val="21"/>
          <w:highlight w:val="none"/>
          <w14:textFill>
            <w14:solidFill>
              <w14:schemeClr w14:val="tx1"/>
            </w14:solidFill>
          </w14:textFill>
        </w:rPr>
        <w:t>，从业人员</w:t>
      </w:r>
      <w:r>
        <w:rPr>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人，营业收入为</w:t>
      </w:r>
      <w:r>
        <w:rPr>
          <w:rFonts w:hint="eastAsia"/>
          <w:bCs/>
          <w:color w:val="000000" w:themeColor="text1"/>
          <w:szCs w:val="21"/>
          <w:highlight w:val="none"/>
          <w:u w:val="single"/>
          <w14:textFill>
            <w14:solidFill>
              <w14:schemeClr w14:val="tx1"/>
            </w14:solidFill>
          </w14:textFill>
        </w:rPr>
        <w:t xml:space="preserve"> </w:t>
      </w:r>
      <w:r>
        <w:rPr>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万元，资产总额为</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万元，属于</w:t>
      </w:r>
      <w:r>
        <w:rPr>
          <w:rFonts w:hint="eastAsia"/>
          <w:bCs/>
          <w:color w:val="000000" w:themeColor="text1"/>
          <w:szCs w:val="21"/>
          <w:highlight w:val="none"/>
          <w:u w:val="single"/>
          <w14:textFill>
            <w14:solidFill>
              <w14:schemeClr w14:val="tx1"/>
            </w14:solidFill>
          </w14:textFill>
        </w:rPr>
        <w:t>（中型企业、小型企业、微型企业）</w:t>
      </w:r>
      <w:r>
        <w:rPr>
          <w:rFonts w:hint="eastAsia"/>
          <w:bCs/>
          <w:color w:val="000000" w:themeColor="text1"/>
          <w:szCs w:val="21"/>
          <w:highlight w:val="none"/>
          <w14:textFill>
            <w14:solidFill>
              <w14:schemeClr w14:val="tx1"/>
            </w14:solidFill>
          </w14:textFill>
        </w:rPr>
        <w:t>；</w:t>
      </w:r>
    </w:p>
    <w:p w14:paraId="0695AEA8">
      <w:pPr>
        <w:spacing w:line="360" w:lineRule="auto"/>
        <w:ind w:firstLine="420"/>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2.</w:t>
      </w:r>
      <w:r>
        <w:rPr>
          <w:rFonts w:hint="eastAsia"/>
          <w:bCs/>
          <w:color w:val="000000" w:themeColor="text1"/>
          <w:szCs w:val="21"/>
          <w:highlight w:val="none"/>
          <w:u w:val="single"/>
          <w14:textFill>
            <w14:solidFill>
              <w14:schemeClr w14:val="tx1"/>
            </w14:solidFill>
          </w14:textFill>
        </w:rPr>
        <w:t>（标的名称）</w:t>
      </w:r>
      <w:r>
        <w:rPr>
          <w:rFonts w:hint="eastAsia"/>
          <w:bCs/>
          <w:color w:val="000000" w:themeColor="text1"/>
          <w:szCs w:val="21"/>
          <w:highlight w:val="none"/>
          <w14:textFill>
            <w14:solidFill>
              <w14:schemeClr w14:val="tx1"/>
            </w14:solidFill>
          </w14:textFill>
        </w:rPr>
        <w:t>，属于</w:t>
      </w:r>
      <w:r>
        <w:rPr>
          <w:rFonts w:hint="eastAsia"/>
          <w:bCs/>
          <w:color w:val="000000" w:themeColor="text1"/>
          <w:szCs w:val="21"/>
          <w:highlight w:val="none"/>
          <w:u w:val="single"/>
          <w14:textFill>
            <w14:solidFill>
              <w14:schemeClr w14:val="tx1"/>
            </w14:solidFill>
          </w14:textFill>
        </w:rPr>
        <w:t>（招标文件中明确的所属行业）</w:t>
      </w:r>
      <w:r>
        <w:rPr>
          <w:rFonts w:hint="eastAsia"/>
          <w:bCs/>
          <w:color w:val="000000" w:themeColor="text1"/>
          <w:szCs w:val="21"/>
          <w:highlight w:val="none"/>
          <w14:textFill>
            <w14:solidFill>
              <w14:schemeClr w14:val="tx1"/>
            </w14:solidFill>
          </w14:textFill>
        </w:rPr>
        <w:t>行业；承接企业为</w:t>
      </w:r>
      <w:r>
        <w:rPr>
          <w:rFonts w:hint="eastAsia"/>
          <w:bCs/>
          <w:color w:val="000000" w:themeColor="text1"/>
          <w:szCs w:val="21"/>
          <w:highlight w:val="none"/>
          <w:u w:val="single"/>
          <w14:textFill>
            <w14:solidFill>
              <w14:schemeClr w14:val="tx1"/>
            </w14:solidFill>
          </w14:textFill>
        </w:rPr>
        <w:t>（企业名称）</w:t>
      </w:r>
      <w:r>
        <w:rPr>
          <w:rFonts w:hint="eastAsia"/>
          <w:bCs/>
          <w:color w:val="000000" w:themeColor="text1"/>
          <w:szCs w:val="21"/>
          <w:highlight w:val="none"/>
          <w14:textFill>
            <w14:solidFill>
              <w14:schemeClr w14:val="tx1"/>
            </w14:solidFill>
          </w14:textFill>
        </w:rPr>
        <w:t>，从业人员</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人，营业收入为</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万元，资产总额为</w:t>
      </w:r>
      <w:r>
        <w:rPr>
          <w:rFonts w:hint="eastAsia"/>
          <w:bCs/>
          <w:color w:val="000000" w:themeColor="text1"/>
          <w:szCs w:val="21"/>
          <w:highlight w:val="none"/>
          <w:u w:val="single"/>
          <w14:textFill>
            <w14:solidFill>
              <w14:schemeClr w14:val="tx1"/>
            </w14:solidFill>
          </w14:textFill>
        </w:rPr>
        <w:t xml:space="preserve"> </w:t>
      </w:r>
      <w:r>
        <w:rPr>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万元，属于</w:t>
      </w:r>
      <w:r>
        <w:rPr>
          <w:rFonts w:hint="eastAsia"/>
          <w:bCs/>
          <w:color w:val="000000" w:themeColor="text1"/>
          <w:szCs w:val="21"/>
          <w:highlight w:val="none"/>
          <w:u w:val="single"/>
          <w14:textFill>
            <w14:solidFill>
              <w14:schemeClr w14:val="tx1"/>
            </w14:solidFill>
          </w14:textFill>
        </w:rPr>
        <w:t>（中型企业、小型企业、微型企业）</w:t>
      </w:r>
      <w:r>
        <w:rPr>
          <w:rFonts w:hint="eastAsia"/>
          <w:bCs/>
          <w:color w:val="000000" w:themeColor="text1"/>
          <w:szCs w:val="21"/>
          <w:highlight w:val="none"/>
          <w14:textFill>
            <w14:solidFill>
              <w14:schemeClr w14:val="tx1"/>
            </w14:solidFill>
          </w14:textFill>
        </w:rPr>
        <w:t>；</w:t>
      </w:r>
    </w:p>
    <w:p w14:paraId="6EC3D696">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p>
    <w:p w14:paraId="3D151E83">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3021D826">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本企业对上述声明内容的真实性负责。如有虚假，将依法承担相应责任。</w:t>
      </w:r>
    </w:p>
    <w:p w14:paraId="7E640766">
      <w:pPr>
        <w:spacing w:line="360" w:lineRule="auto"/>
        <w:ind w:firstLine="3150" w:firstLineChars="150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 xml:space="preserve">企业名称（电子签章）： </w:t>
      </w:r>
      <w:r>
        <w:rPr>
          <w:bCs/>
          <w:color w:val="000000" w:themeColor="text1"/>
          <w:szCs w:val="21"/>
          <w:highlight w:val="non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日期：</w:t>
      </w:r>
    </w:p>
    <w:p w14:paraId="0218E2D2">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（1）标的名称按照第二章采购需求一览表中的名称填写，</w:t>
      </w:r>
      <w:r>
        <w:rPr>
          <w:color w:val="000000" w:themeColor="text1"/>
          <w:szCs w:val="21"/>
          <w:highlight w:val="none"/>
          <w14:textFill>
            <w14:solidFill>
              <w14:schemeClr w14:val="tx1"/>
            </w14:solidFill>
          </w14:textFill>
        </w:rPr>
        <w:t>所属行业标明“/”的</w:t>
      </w:r>
      <w:r>
        <w:rPr>
          <w:rFonts w:hint="eastAsia"/>
          <w:bCs/>
          <w:color w:val="000000" w:themeColor="text1"/>
          <w:szCs w:val="21"/>
          <w:highlight w:val="none"/>
          <w14:textFill>
            <w14:solidFill>
              <w14:schemeClr w14:val="tx1"/>
            </w14:solidFill>
          </w14:textFill>
        </w:rPr>
        <w:t>，无需在上表填写。</w:t>
      </w:r>
    </w:p>
    <w:p w14:paraId="3E94DCA1">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2</w:t>
      </w:r>
      <w:r>
        <w:rPr>
          <w:rFonts w:hint="eastAsia"/>
          <w:bCs/>
          <w:color w:val="000000" w:themeColor="text1"/>
          <w:szCs w:val="21"/>
          <w:highlight w:val="none"/>
          <w14:textFill>
            <w14:solidFill>
              <w14:schemeClr w14:val="tx1"/>
            </w14:solidFill>
          </w14:textFill>
        </w:rPr>
        <w:t>）如供应商为联合体或分包的，声明函中“项目名称”应填写联合体中小微企业承担的具体内容或者小微企业具体分包内容。</w:t>
      </w:r>
    </w:p>
    <w:p w14:paraId="5BEF312C">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3</w:t>
      </w:r>
      <w:r>
        <w:rPr>
          <w:rFonts w:hint="eastAsia"/>
          <w:bCs/>
          <w:color w:val="000000" w:themeColor="text1"/>
          <w:szCs w:val="21"/>
          <w:highlight w:val="none"/>
          <w14:textFill>
            <w14:solidFill>
              <w14:schemeClr w14:val="tx1"/>
            </w14:solidFill>
          </w14:textFill>
        </w:rPr>
        <w:t>）从业人员、营业收入、资产总额填报上一年度数据，无上一年度数据的新成立企业参照国务院批准的中小企业划分标准，根据企业自身情况如实判断。</w:t>
      </w:r>
    </w:p>
    <w:p w14:paraId="7F35F3EF">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4</w:t>
      </w:r>
      <w:r>
        <w:rPr>
          <w:rFonts w:hint="eastAsia"/>
          <w:bCs/>
          <w:color w:val="000000" w:themeColor="text1"/>
          <w:szCs w:val="21"/>
          <w:highlight w:val="none"/>
          <w14:textFill>
            <w14:solidFill>
              <w14:schemeClr w14:val="tx1"/>
            </w14:solidFill>
          </w14:textFill>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CBE0AD4">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（5）根据国家统计局《劳动工资统计报表制度》，从业人员数是指本单位工作，并取得工资或其他形式劳动报酬的人员数，是在岗职工、劳务派遣人员及其他从业人员之和。</w:t>
      </w:r>
    </w:p>
    <w:p w14:paraId="01A36047">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6</w:t>
      </w:r>
      <w:r>
        <w:rPr>
          <w:rFonts w:hint="eastAsia"/>
          <w:bCs/>
          <w:color w:val="000000" w:themeColor="text1"/>
          <w:szCs w:val="21"/>
          <w:highlight w:val="none"/>
          <w14:textFill>
            <w14:solidFill>
              <w14:schemeClr w14:val="tx1"/>
            </w14:solidFill>
          </w14:textFill>
        </w:rPr>
        <w:t>）本声明函由供应商填写，供应商应按中小企业划分标准《关于印发中小企业划型标准规定的通知》（工信部联企业〔2011〕300号</w:t>
      </w:r>
      <w:r>
        <w:rPr>
          <w:rFonts w:hint="eastAsia"/>
          <w:color w:val="000000" w:themeColor="text1"/>
          <w:szCs w:val="21"/>
          <w:highlight w:val="none"/>
          <w14:textFill>
            <w14:solidFill>
              <w14:schemeClr w14:val="tx1"/>
            </w14:solidFill>
          </w14:textFill>
        </w:rPr>
        <w:t>以及《金融业企业划型标准规定》（银发〔2015〕309号）</w:t>
      </w:r>
      <w:r>
        <w:rPr>
          <w:rFonts w:hint="eastAsia"/>
          <w:bCs/>
          <w:color w:val="000000" w:themeColor="text1"/>
          <w:szCs w:val="21"/>
          <w:highlight w:val="none"/>
          <w14:textFill>
            <w14:solidFill>
              <w14:schemeClr w14:val="tx1"/>
            </w14:solidFill>
          </w14:textFill>
        </w:rPr>
        <w:t>）判断是否为中小企业。</w:t>
      </w:r>
    </w:p>
    <w:p w14:paraId="3D8CF2F9">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7</w:t>
      </w:r>
      <w:r>
        <w:rPr>
          <w:rFonts w:hint="eastAsia"/>
          <w:bCs/>
          <w:color w:val="000000" w:themeColor="text1"/>
          <w:szCs w:val="21"/>
          <w:highlight w:val="none"/>
          <w14:textFill>
            <w14:solidFill>
              <w14:schemeClr w14:val="tx1"/>
            </w14:solidFill>
          </w14:textFill>
        </w:rPr>
        <w:t>）供应商对《中小企业声明函》的真实性负责，如有虚假则需承担不利后果。依法享受中小企业优惠政策的，采购人或采购代理机构在公告成交结果时，同时公告其《中小企业声明函》，接受社会监督。</w:t>
      </w:r>
    </w:p>
    <w:p w14:paraId="06A31CF5">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8</w:t>
      </w:r>
      <w:r>
        <w:rPr>
          <w:rFonts w:hint="eastAsia"/>
          <w:bCs/>
          <w:color w:val="000000" w:themeColor="text1"/>
          <w:szCs w:val="21"/>
          <w:highlight w:val="none"/>
          <w14:textFill>
            <w14:solidFill>
              <w14:schemeClr w14:val="tx1"/>
            </w14:solidFill>
          </w14:textFill>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63213B6">
      <w:pPr>
        <w:snapToGrid w:val="0"/>
        <w:spacing w:before="50" w:after="120" w:afterLines="50"/>
        <w:jc w:val="left"/>
        <w:rPr>
          <w:color w:val="000000" w:themeColor="text1"/>
          <w:szCs w:val="21"/>
          <w:highlight w:val="none"/>
          <w14:textFill>
            <w14:solidFill>
              <w14:schemeClr w14:val="tx1"/>
            </w14:solidFill>
          </w14:textFill>
        </w:rPr>
      </w:pPr>
    </w:p>
    <w:p w14:paraId="086DB4FE">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.2监狱企业须提供最新一期《XX省监狱企业产品目录》或其他监狱企业证明材料。（非监狱企业无需提供）</w:t>
      </w:r>
    </w:p>
    <w:p w14:paraId="1758E50A">
      <w:pPr>
        <w:snapToGrid w:val="0"/>
        <w:spacing w:before="50" w:after="120" w:afterLines="50"/>
        <w:jc w:val="left"/>
        <w:rPr>
          <w:color w:val="000000" w:themeColor="text1"/>
          <w:szCs w:val="21"/>
          <w:highlight w:val="none"/>
          <w14:textFill>
            <w14:solidFill>
              <w14:schemeClr w14:val="tx1"/>
            </w14:solidFill>
          </w14:textFill>
        </w:rPr>
      </w:pPr>
    </w:p>
    <w:p w14:paraId="6CE6E369">
      <w:pPr>
        <w:snapToGrid w:val="0"/>
        <w:spacing w:before="50" w:after="120" w:afterLines="50"/>
        <w:jc w:val="left"/>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.3</w:t>
      </w:r>
      <w:bookmarkStart w:id="135" w:name="_Hlk19051624"/>
      <w:r>
        <w:rPr>
          <w:color w:val="000000" w:themeColor="text1"/>
          <w:highlight w:val="none"/>
          <w14:textFill>
            <w14:solidFill>
              <w14:schemeClr w14:val="tx1"/>
            </w14:solidFill>
          </w14:textFill>
        </w:rPr>
        <w:t>残疾人福利性单位须提供《残疾人福利性单位声明函》，格式如下。</w:t>
      </w:r>
      <w:r>
        <w:rPr>
          <w:color w:val="000000" w:themeColor="text1"/>
          <w:szCs w:val="21"/>
          <w:highlight w:val="none"/>
          <w14:textFill>
            <w14:solidFill>
              <w14:schemeClr w14:val="tx1"/>
            </w14:solidFill>
          </w14:textFill>
        </w:rPr>
        <w:t>（非残疾人福利性单位无需提供）</w:t>
      </w:r>
    </w:p>
    <w:bookmarkEnd w:id="135"/>
    <w:p w14:paraId="483D9F05">
      <w:pPr>
        <w:spacing w:line="360" w:lineRule="auto"/>
        <w:jc w:val="center"/>
        <w:rPr>
          <w:b/>
          <w:color w:val="000000" w:themeColor="text1"/>
          <w:szCs w:val="21"/>
          <w:highlight w:val="none"/>
          <w14:textFill>
            <w14:solidFill>
              <w14:schemeClr w14:val="tx1"/>
            </w14:solidFill>
          </w14:textFill>
        </w:rPr>
      </w:pPr>
      <w:bookmarkStart w:id="136" w:name="OLE_LINK13"/>
      <w:bookmarkStart w:id="137" w:name="OLE_LINK14"/>
      <w:r>
        <w:rPr>
          <w:b/>
          <w:color w:val="000000" w:themeColor="text1"/>
          <w:szCs w:val="21"/>
          <w:highlight w:val="none"/>
          <w14:textFill>
            <w14:solidFill>
              <w14:schemeClr w14:val="tx1"/>
            </w14:solidFill>
          </w14:textFill>
        </w:rPr>
        <w:t>残疾人福利性单位声明函</w:t>
      </w:r>
      <w:bookmarkEnd w:id="136"/>
      <w:bookmarkEnd w:id="137"/>
    </w:p>
    <w:p w14:paraId="04D959FB">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单位的</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4160112">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本单位对上述声明的真实性负责。如有虚假，将依法承担相应责任。</w:t>
      </w:r>
    </w:p>
    <w:p w14:paraId="14615B18">
      <w:pPr>
        <w:spacing w:line="360" w:lineRule="auto"/>
        <w:ind w:firstLine="420"/>
        <w:rPr>
          <w:color w:val="000000" w:themeColor="text1"/>
          <w:spacing w:val="6"/>
          <w:szCs w:val="21"/>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 </w:t>
      </w:r>
      <w:r>
        <w:rPr>
          <w:color w:val="000000" w:themeColor="text1"/>
          <w:spacing w:val="6"/>
          <w:szCs w:val="21"/>
          <w:highlight w:val="none"/>
          <w14:textFill>
            <w14:solidFill>
              <w14:schemeClr w14:val="tx1"/>
            </w14:solidFill>
          </w14:textFill>
        </w:rPr>
        <w:t xml:space="preserve"> </w:t>
      </w:r>
      <w:r>
        <w:rPr>
          <w:rFonts w:hint="eastAsia"/>
          <w:color w:val="000000" w:themeColor="text1"/>
          <w:spacing w:val="6"/>
          <w:szCs w:val="21"/>
          <w:highlight w:val="none"/>
          <w14:textFill>
            <w14:solidFill>
              <w14:schemeClr w14:val="tx1"/>
            </w14:solidFill>
          </w14:textFill>
        </w:rPr>
        <w:t xml:space="preserve">                                            </w:t>
      </w:r>
    </w:p>
    <w:p w14:paraId="156C127F">
      <w:pPr>
        <w:spacing w:line="360" w:lineRule="auto"/>
        <w:ind w:firstLine="420"/>
        <w:jc w:val="right"/>
        <w:rPr>
          <w:color w:val="000000" w:themeColor="text1"/>
          <w:spacing w:val="6"/>
          <w:szCs w:val="21"/>
          <w:highlight w:val="none"/>
          <w14:textFill>
            <w14:solidFill>
              <w14:schemeClr w14:val="tx1"/>
            </w14:solidFill>
          </w14:textFill>
        </w:rPr>
      </w:pPr>
      <w:r>
        <w:rPr>
          <w:color w:val="000000" w:themeColor="text1"/>
          <w:spacing w:val="6"/>
          <w:szCs w:val="21"/>
          <w:highlight w:val="none"/>
          <w14:textFill>
            <w14:solidFill>
              <w14:schemeClr w14:val="tx1"/>
            </w14:solidFill>
          </w14:textFill>
        </w:rPr>
        <w:t>单位名称（</w:t>
      </w:r>
      <w:r>
        <w:rPr>
          <w:rFonts w:hint="eastAsia"/>
          <w:color w:val="000000" w:themeColor="text1"/>
          <w:spacing w:val="6"/>
          <w:szCs w:val="21"/>
          <w:highlight w:val="none"/>
          <w14:textFill>
            <w14:solidFill>
              <w14:schemeClr w14:val="tx1"/>
            </w14:solidFill>
          </w14:textFill>
        </w:rPr>
        <w:t>电子签章</w:t>
      </w:r>
      <w:r>
        <w:rPr>
          <w:color w:val="000000" w:themeColor="text1"/>
          <w:spacing w:val="6"/>
          <w:szCs w:val="21"/>
          <w:highlight w:val="none"/>
          <w14:textFill>
            <w14:solidFill>
              <w14:schemeClr w14:val="tx1"/>
            </w14:solidFill>
          </w14:textFill>
        </w:rPr>
        <w:t xml:space="preserve">）：          </w:t>
      </w:r>
    </w:p>
    <w:p w14:paraId="43FF3316">
      <w:pPr>
        <w:spacing w:line="360" w:lineRule="auto"/>
        <w:ind w:firstLine="420"/>
        <w:rPr>
          <w:color w:val="000000" w:themeColor="text1"/>
          <w:szCs w:val="21"/>
          <w:highlight w:val="none"/>
          <w14:textFill>
            <w14:solidFill>
              <w14:schemeClr w14:val="tx1"/>
            </w14:solidFill>
          </w14:textFill>
        </w:rPr>
      </w:pPr>
      <w:r>
        <w:rPr>
          <w:color w:val="000000" w:themeColor="text1"/>
          <w:spacing w:val="6"/>
          <w:szCs w:val="21"/>
          <w:highlight w:val="none"/>
          <w14:textFill>
            <w14:solidFill>
              <w14:schemeClr w14:val="tx1"/>
            </w14:solidFill>
          </w14:textFill>
        </w:rPr>
        <w:t xml:space="preserve"> </w:t>
      </w:r>
      <w:r>
        <w:rPr>
          <w:rFonts w:hint="eastAsia"/>
          <w:color w:val="000000" w:themeColor="text1"/>
          <w:spacing w:val="6"/>
          <w:szCs w:val="21"/>
          <w:highlight w:val="none"/>
          <w14:textFill>
            <w14:solidFill>
              <w14:schemeClr w14:val="tx1"/>
            </w14:solidFill>
          </w14:textFill>
        </w:rPr>
        <w:t xml:space="preserve">                                                      </w:t>
      </w:r>
      <w:r>
        <w:rPr>
          <w:color w:val="000000" w:themeColor="text1"/>
          <w:spacing w:val="6"/>
          <w:szCs w:val="21"/>
          <w:highlight w:val="none"/>
          <w14:textFill>
            <w14:solidFill>
              <w14:schemeClr w14:val="tx1"/>
            </w14:solidFill>
          </w14:textFill>
        </w:rPr>
        <w:t>日  期：</w:t>
      </w:r>
    </w:p>
    <w:p w14:paraId="371D57F0">
      <w:pPr>
        <w:rPr>
          <w:color w:val="000000" w:themeColor="text1"/>
          <w:highlight w:val="none"/>
          <w14:textFill>
            <w14:solidFill>
              <w14:schemeClr w14:val="tx1"/>
            </w14:solidFill>
          </w14:textFill>
        </w:rPr>
      </w:pPr>
    </w:p>
    <w:p w14:paraId="2FEF2B76">
      <w:pPr>
        <w:spacing w:line="360" w:lineRule="auto"/>
        <w:rPr>
          <w:color w:val="000000" w:themeColor="text1"/>
          <w:spacing w:val="6"/>
          <w:szCs w:val="21"/>
          <w:highlight w:val="none"/>
          <w14:textFill>
            <w14:solidFill>
              <w14:schemeClr w14:val="tx1"/>
            </w14:solidFill>
          </w14:textFill>
        </w:rPr>
      </w:pPr>
    </w:p>
    <w:p w14:paraId="04489E47">
      <w:pPr>
        <w:snapToGrid w:val="0"/>
        <w:spacing w:before="50" w:after="120" w:afterLines="50"/>
        <w:jc w:val="left"/>
        <w:rPr>
          <w:color w:val="000000" w:themeColor="text1"/>
          <w:szCs w:val="21"/>
          <w:highlight w:val="none"/>
          <w14:textFill>
            <w14:solidFill>
              <w14:schemeClr w14:val="tx1"/>
            </w14:solidFill>
          </w14:textFill>
        </w:rPr>
        <w:sectPr>
          <w:headerReference r:id="rId17" w:type="default"/>
          <w:pgSz w:w="11906" w:h="16838"/>
          <w:pgMar w:top="1418" w:right="1274" w:bottom="1418" w:left="1418" w:header="851" w:footer="992" w:gutter="0"/>
          <w:cols w:space="720" w:num="1"/>
          <w:docGrid w:linePitch="312" w:charSpace="0"/>
        </w:sectPr>
      </w:pPr>
    </w:p>
    <w:p w14:paraId="33F0FA78">
      <w:pPr>
        <w:snapToGrid w:val="0"/>
        <w:spacing w:before="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．供应商认为需提供的其他材料（根据招标文件编写）</w:t>
      </w:r>
    </w:p>
    <w:p w14:paraId="09AA0F4E">
      <w:pPr>
        <w:snapToGrid w:val="0"/>
        <w:spacing w:before="50"/>
        <w:jc w:val="left"/>
        <w:rPr>
          <w:color w:val="000000" w:themeColor="text1"/>
          <w:szCs w:val="21"/>
          <w:highlight w:val="none"/>
          <w14:textFill>
            <w14:solidFill>
              <w14:schemeClr w14:val="tx1"/>
            </w14:solidFill>
          </w14:textFill>
        </w:rPr>
      </w:pPr>
    </w:p>
    <w:p w14:paraId="50B3B1B2">
      <w:pPr>
        <w:snapToGrid w:val="0"/>
        <w:spacing w:before="50"/>
        <w:jc w:val="left"/>
        <w:rPr>
          <w:color w:val="000000" w:themeColor="text1"/>
          <w:szCs w:val="21"/>
          <w:highlight w:val="none"/>
          <w14:textFill>
            <w14:solidFill>
              <w14:schemeClr w14:val="tx1"/>
            </w14:solidFill>
          </w14:textFill>
        </w:rPr>
      </w:pPr>
    </w:p>
    <w:p w14:paraId="3D118B88">
      <w:pPr>
        <w:snapToGrid w:val="0"/>
        <w:spacing w:before="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br w:type="page"/>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无串标行为承诺函</w:t>
      </w:r>
    </w:p>
    <w:p w14:paraId="6E7B7555">
      <w:pPr>
        <w:snapToGrid w:val="0"/>
        <w:spacing w:before="50" w:after="120" w:afterLines="50"/>
        <w:jc w:val="center"/>
        <w:rPr>
          <w:color w:val="000000" w:themeColor="text1"/>
          <w:szCs w:val="21"/>
          <w:highlight w:val="none"/>
          <w14:textFill>
            <w14:solidFill>
              <w14:schemeClr w14:val="tx1"/>
            </w14:solidFill>
          </w14:textFill>
        </w:rPr>
      </w:pPr>
    </w:p>
    <w:p w14:paraId="10AACC66">
      <w:pPr>
        <w:snapToGrid w:val="0"/>
        <w:spacing w:before="50" w:after="120" w:afterLine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投标人参加本项目无围标串标行为的承诺函</w:t>
      </w:r>
    </w:p>
    <w:p w14:paraId="502D4E6D">
      <w:pPr>
        <w:snapToGrid w:val="0"/>
        <w:spacing w:before="50" w:after="120" w:afterLines="50"/>
        <w:jc w:val="left"/>
        <w:rPr>
          <w:color w:val="000000" w:themeColor="text1"/>
          <w:szCs w:val="21"/>
          <w:highlight w:val="none"/>
          <w14:textFill>
            <w14:solidFill>
              <w14:schemeClr w14:val="tx1"/>
            </w14:solidFill>
          </w14:textFill>
        </w:rPr>
      </w:pPr>
    </w:p>
    <w:p w14:paraId="6C5CF45F">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一、我方承诺无下列相互串通投标的情形：</w:t>
      </w:r>
    </w:p>
    <w:p w14:paraId="62030D05">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1.不同投标人的投标文件由同一单位或者个人编制；或者不同投标人报名的IP地址一致的；</w:t>
      </w:r>
    </w:p>
    <w:p w14:paraId="0E123024">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2.不同投标人委托同一单位或者个人办理投标事宜；</w:t>
      </w:r>
    </w:p>
    <w:p w14:paraId="204BA4E9">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3.不同的投标人的投标文件载明的项目管理员为同一个人；</w:t>
      </w:r>
    </w:p>
    <w:p w14:paraId="7AC9F7C5">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4.不同投标人的投标文件异常一致或者投标报价呈规律性差异；</w:t>
      </w:r>
    </w:p>
    <w:p w14:paraId="735A2BA1">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5.不同投标人的投标文件相互混装；</w:t>
      </w:r>
    </w:p>
    <w:p w14:paraId="304299D5">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6.不同投标人的投标保证金从同一单位或者个人账户转出。</w:t>
      </w:r>
    </w:p>
    <w:p w14:paraId="4A654F5F">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二、我方承诺无下列恶意串通的情形：</w:t>
      </w:r>
    </w:p>
    <w:p w14:paraId="61BA8A9D">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1.投标人直接或者间接从采购人或者采购代理机构处获得其他投标人的相关信息并修改其投标文件或者投标文件；</w:t>
      </w:r>
    </w:p>
    <w:p w14:paraId="486F1EDA">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2.投标人按照采购人或者采购代理机构的授意撤换、修改投标文件或者投标文件；</w:t>
      </w:r>
    </w:p>
    <w:p w14:paraId="3E2DB574">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3.投标人之间协商报价、技术方案等投标文件或者投标文件的实质性内容；</w:t>
      </w:r>
    </w:p>
    <w:p w14:paraId="7503B00E">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4.属于同一集团、协会、商会等组织成员的投标人按照该组织要求协同参加政府采购活动；</w:t>
      </w:r>
    </w:p>
    <w:p w14:paraId="7E5FDF3D">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53AF704A">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6.投标人之间商定部分投标人放弃参加政府采购活动或者放弃中标；</w:t>
      </w:r>
    </w:p>
    <w:p w14:paraId="39E795E0">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03115740">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以上情形一经核查属实，我方愿意承担一切后果，并不再寻求任何旨在减轻或者免除法律责任的辩解。</w:t>
      </w:r>
    </w:p>
    <w:p w14:paraId="1DC2B1E2">
      <w:pPr>
        <w:snapToGrid w:val="0"/>
        <w:spacing w:before="50" w:after="120" w:afterLine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p>
    <w:p w14:paraId="1EE14FA0">
      <w:pPr>
        <w:snapToGrid w:val="0"/>
        <w:spacing w:before="50" w:after="120" w:afterLines="50"/>
        <w:jc w:val="center"/>
        <w:rPr>
          <w:color w:val="000000" w:themeColor="text1"/>
          <w:szCs w:val="21"/>
          <w:highlight w:val="none"/>
          <w14:textFill>
            <w14:solidFill>
              <w14:schemeClr w14:val="tx1"/>
            </w14:solidFill>
          </w14:textFill>
        </w:rPr>
      </w:pPr>
    </w:p>
    <w:p w14:paraId="18C9503D">
      <w:pPr>
        <w:snapToGrid w:val="0"/>
        <w:spacing w:before="50" w:after="120" w:afterLines="50"/>
        <w:jc w:val="center"/>
        <w:rPr>
          <w:color w:val="000000" w:themeColor="text1"/>
          <w:szCs w:val="21"/>
          <w:highlight w:val="none"/>
          <w14:textFill>
            <w14:solidFill>
              <w14:schemeClr w14:val="tx1"/>
            </w14:solidFill>
          </w14:textFill>
        </w:rPr>
      </w:pPr>
    </w:p>
    <w:p w14:paraId="08CE9CE7">
      <w:pPr>
        <w:snapToGrid w:val="0"/>
        <w:spacing w:before="50" w:after="120" w:after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w:t>
      </w:r>
    </w:p>
    <w:p w14:paraId="7C23D2FB">
      <w:pPr>
        <w:snapToGrid w:val="0"/>
        <w:spacing w:before="50" w:after="120" w:afterLine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日期：  年  月   日</w:t>
      </w:r>
    </w:p>
    <w:p w14:paraId="000ED568">
      <w:pPr>
        <w:ind w:firstLine="420" w:firstLineChars="200"/>
        <w:rPr>
          <w:color w:val="000000" w:themeColor="text1"/>
          <w:szCs w:val="21"/>
          <w:highlight w:val="none"/>
          <w14:textFill>
            <w14:solidFill>
              <w14:schemeClr w14:val="tx1"/>
            </w14:solidFill>
          </w14:textFill>
        </w:rPr>
        <w:sectPr>
          <w:pgSz w:w="11906" w:h="16838"/>
          <w:pgMar w:top="1304" w:right="1418" w:bottom="1304" w:left="1418" w:header="851" w:footer="992" w:gutter="0"/>
          <w:cols w:space="720" w:num="1"/>
          <w:docGrid w:linePitch="312" w:charSpace="0"/>
        </w:sectPr>
      </w:pPr>
    </w:p>
    <w:bookmarkEnd w:id="133"/>
    <w:p w14:paraId="1BCE45A0">
      <w:pPr>
        <w:snapToGrid w:val="0"/>
        <w:spacing w:before="120" w:beforeLines="50" w:after="50" w:line="440" w:lineRule="exact"/>
        <w:jc w:val="center"/>
        <w:outlineLvl w:val="1"/>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第二部分 技术文件</w:t>
      </w:r>
    </w:p>
    <w:p w14:paraId="281184F9">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w:t>
      </w:r>
      <w:r>
        <w:rPr>
          <w:rFonts w:hint="eastAsia"/>
          <w:color w:val="000000" w:themeColor="text1"/>
          <w:highlight w:val="none"/>
          <w14:textFill>
            <w14:solidFill>
              <w14:schemeClr w14:val="tx1"/>
            </w14:solidFill>
          </w14:textFill>
        </w:rPr>
        <w:t>技术</w:t>
      </w:r>
      <w:r>
        <w:rPr>
          <w:color w:val="000000" w:themeColor="text1"/>
          <w:highlight w:val="none"/>
          <w14:textFill>
            <w14:solidFill>
              <w14:schemeClr w14:val="tx1"/>
            </w14:solidFill>
          </w14:textFill>
        </w:rPr>
        <w:t>文件供应商可自行编写，也可参照下述提纲编写）</w:t>
      </w:r>
    </w:p>
    <w:p w14:paraId="6131CCC5">
      <w:pPr>
        <w:snapToGrid w:val="0"/>
        <w:spacing w:before="50" w:after="120" w:afterLines="50"/>
        <w:jc w:val="left"/>
        <w:rPr>
          <w:color w:val="000000" w:themeColor="text1"/>
          <w:szCs w:val="21"/>
          <w:highlight w:val="none"/>
          <w14:textFill>
            <w14:solidFill>
              <w14:schemeClr w14:val="tx1"/>
            </w14:solidFill>
          </w14:textFill>
        </w:rPr>
      </w:pPr>
    </w:p>
    <w:p w14:paraId="5FF9A1CC">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对</w:t>
      </w:r>
      <w:r>
        <w:rPr>
          <w:color w:val="000000" w:themeColor="text1"/>
          <w:szCs w:val="21"/>
          <w:highlight w:val="none"/>
          <w14:textFill>
            <w14:solidFill>
              <w14:schemeClr w14:val="tx1"/>
            </w14:solidFill>
          </w14:textFill>
        </w:rPr>
        <w:t>本项目第</w:t>
      </w:r>
      <w:r>
        <w:rPr>
          <w:rFonts w:hint="eastAsia"/>
          <w:color w:val="000000" w:themeColor="text1"/>
          <w:szCs w:val="21"/>
          <w:highlight w:val="none"/>
          <w14:textFill>
            <w14:solidFill>
              <w14:schemeClr w14:val="tx1"/>
            </w14:solidFill>
          </w14:textFill>
        </w:rPr>
        <w:t>二</w:t>
      </w:r>
      <w:r>
        <w:rPr>
          <w:color w:val="000000" w:themeColor="text1"/>
          <w:szCs w:val="21"/>
          <w:highlight w:val="none"/>
          <w14:textFill>
            <w14:solidFill>
              <w14:schemeClr w14:val="tx1"/>
            </w14:solidFill>
          </w14:textFill>
        </w:rPr>
        <w:t>章</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采购需求</w:t>
      </w:r>
      <w:r>
        <w:rPr>
          <w:rFonts w:hint="eastAsia"/>
          <w:color w:val="000000" w:themeColor="text1"/>
          <w:szCs w:val="21"/>
          <w:highlight w:val="none"/>
          <w14:textFill>
            <w14:solidFill>
              <w14:schemeClr w14:val="tx1"/>
            </w14:solidFill>
          </w14:textFill>
        </w:rPr>
        <w:t>》技术</w:t>
      </w:r>
      <w:r>
        <w:rPr>
          <w:color w:val="000000" w:themeColor="text1"/>
          <w:szCs w:val="21"/>
          <w:highlight w:val="none"/>
          <w14:textFill>
            <w14:solidFill>
              <w14:schemeClr w14:val="tx1"/>
            </w14:solidFill>
          </w14:textFill>
        </w:rPr>
        <w:t>要求的</w:t>
      </w:r>
      <w:r>
        <w:rPr>
          <w:rFonts w:hint="eastAsia"/>
          <w:color w:val="000000" w:themeColor="text1"/>
          <w:szCs w:val="21"/>
          <w:highlight w:val="none"/>
          <w14:textFill>
            <w14:solidFill>
              <w14:schemeClr w14:val="tx1"/>
            </w14:solidFill>
          </w14:textFill>
        </w:rPr>
        <w:t>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30FCC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72DFDAC1">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0FE6A735">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招标文件要求（注明章节及条款号）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26BD22B9">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6F0778D7">
            <w:pPr>
              <w:snapToGrid w:val="0"/>
              <w:spacing w:before="120" w:beforeLines="50"/>
              <w:jc w:val="center"/>
              <w:rPr>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偏离</w:t>
            </w:r>
            <w:r>
              <w:rPr>
                <w:color w:val="000000" w:themeColor="text1"/>
                <w:szCs w:val="21"/>
                <w:highlight w:val="none"/>
                <w14:textFill>
                  <w14:solidFill>
                    <w14:schemeClr w14:val="tx1"/>
                  </w14:solidFill>
                </w14:textFill>
              </w:rPr>
              <w:t>说明</w:t>
            </w:r>
          </w:p>
        </w:tc>
      </w:tr>
      <w:tr w14:paraId="4CEFA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3702FAB">
            <w:pPr>
              <w:snapToGrid w:val="0"/>
              <w:spacing w:before="120" w:beforeLines="50"/>
              <w:jc w:val="center"/>
              <w:rPr>
                <w:color w:val="000000" w:themeColor="text1"/>
                <w:szCs w:val="21"/>
                <w:highlight w:val="none"/>
                <w14:textFill>
                  <w14:solidFill>
                    <w14:schemeClr w14:val="tx1"/>
                  </w14:solidFill>
                </w14:textFill>
              </w:rPr>
            </w:pPr>
          </w:p>
        </w:tc>
        <w:tc>
          <w:tcPr>
            <w:tcW w:w="3595" w:type="dxa"/>
            <w:tcBorders>
              <w:top w:val="single" w:color="auto" w:sz="4" w:space="0"/>
              <w:left w:val="single" w:color="auto" w:sz="4" w:space="0"/>
              <w:bottom w:val="single" w:color="auto" w:sz="4" w:space="0"/>
              <w:right w:val="single" w:color="auto" w:sz="4" w:space="0"/>
            </w:tcBorders>
            <w:vAlign w:val="center"/>
          </w:tcPr>
          <w:p w14:paraId="7FDC5810">
            <w:pPr>
              <w:snapToGrid w:val="0"/>
              <w:spacing w:before="120" w:beforeLines="50"/>
              <w:jc w:val="center"/>
              <w:rPr>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3F495174">
            <w:pPr>
              <w:snapToGrid w:val="0"/>
              <w:spacing w:before="120" w:beforeLines="50"/>
              <w:jc w:val="center"/>
              <w:rPr>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365F6F50">
            <w:pPr>
              <w:snapToGrid w:val="0"/>
              <w:spacing w:before="120" w:beforeLines="50"/>
              <w:jc w:val="center"/>
              <w:rPr>
                <w:color w:val="000000" w:themeColor="text1"/>
                <w:szCs w:val="21"/>
                <w:highlight w:val="none"/>
                <w14:textFill>
                  <w14:solidFill>
                    <w14:schemeClr w14:val="tx1"/>
                  </w14:solidFill>
                </w14:textFill>
              </w:rPr>
            </w:pPr>
          </w:p>
        </w:tc>
      </w:tr>
      <w:tr w14:paraId="29AD5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B712050">
            <w:pPr>
              <w:snapToGrid w:val="0"/>
              <w:spacing w:before="120" w:beforeLines="50"/>
              <w:jc w:val="center"/>
              <w:rPr>
                <w:color w:val="000000" w:themeColor="text1"/>
                <w:szCs w:val="21"/>
                <w:highlight w:val="none"/>
                <w14:textFill>
                  <w14:solidFill>
                    <w14:schemeClr w14:val="tx1"/>
                  </w14:solidFill>
                </w14:textFill>
              </w:rPr>
            </w:pPr>
          </w:p>
        </w:tc>
        <w:tc>
          <w:tcPr>
            <w:tcW w:w="3595" w:type="dxa"/>
            <w:tcBorders>
              <w:top w:val="single" w:color="auto" w:sz="4" w:space="0"/>
              <w:left w:val="single" w:color="auto" w:sz="4" w:space="0"/>
              <w:bottom w:val="single" w:color="auto" w:sz="4" w:space="0"/>
              <w:right w:val="single" w:color="auto" w:sz="4" w:space="0"/>
            </w:tcBorders>
            <w:vAlign w:val="center"/>
          </w:tcPr>
          <w:p w14:paraId="26576C81">
            <w:pPr>
              <w:snapToGrid w:val="0"/>
              <w:spacing w:before="120" w:beforeLines="50"/>
              <w:jc w:val="center"/>
              <w:rPr>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70D147D5">
            <w:pPr>
              <w:snapToGrid w:val="0"/>
              <w:spacing w:before="120" w:beforeLines="50"/>
              <w:jc w:val="center"/>
              <w:rPr>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7D19444D">
            <w:pPr>
              <w:snapToGrid w:val="0"/>
              <w:spacing w:before="120" w:beforeLines="50"/>
              <w:jc w:val="center"/>
              <w:rPr>
                <w:color w:val="000000" w:themeColor="text1"/>
                <w:szCs w:val="21"/>
                <w:highlight w:val="none"/>
                <w14:textFill>
                  <w14:solidFill>
                    <w14:schemeClr w14:val="tx1"/>
                  </w14:solidFill>
                </w14:textFill>
              </w:rPr>
            </w:pPr>
          </w:p>
        </w:tc>
      </w:tr>
      <w:tr w14:paraId="59E62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6B03207">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3595" w:type="dxa"/>
            <w:tcBorders>
              <w:top w:val="single" w:color="auto" w:sz="4" w:space="0"/>
              <w:left w:val="single" w:color="auto" w:sz="4" w:space="0"/>
              <w:bottom w:val="single" w:color="auto" w:sz="4" w:space="0"/>
              <w:right w:val="single" w:color="auto" w:sz="4" w:space="0"/>
            </w:tcBorders>
            <w:vAlign w:val="center"/>
          </w:tcPr>
          <w:p w14:paraId="15809BBA">
            <w:pPr>
              <w:snapToGrid w:val="0"/>
              <w:spacing w:before="120" w:beforeLines="50"/>
              <w:jc w:val="center"/>
              <w:rPr>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741F76DA">
            <w:pPr>
              <w:snapToGrid w:val="0"/>
              <w:spacing w:before="120" w:beforeLines="50"/>
              <w:jc w:val="center"/>
              <w:rPr>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05B1315A">
            <w:pPr>
              <w:snapToGrid w:val="0"/>
              <w:spacing w:before="120" w:beforeLines="50"/>
              <w:jc w:val="center"/>
              <w:rPr>
                <w:color w:val="000000" w:themeColor="text1"/>
                <w:szCs w:val="21"/>
                <w:highlight w:val="none"/>
                <w14:textFill>
                  <w14:solidFill>
                    <w14:schemeClr w14:val="tx1"/>
                  </w14:solidFill>
                </w14:textFill>
              </w:rPr>
            </w:pPr>
          </w:p>
        </w:tc>
      </w:tr>
      <w:tr w14:paraId="0DC5B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0CEA4B9">
            <w:pPr>
              <w:snapToGrid w:val="0"/>
              <w:spacing w:before="120" w:beforeLine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3595" w:type="dxa"/>
            <w:tcBorders>
              <w:top w:val="single" w:color="auto" w:sz="4" w:space="0"/>
              <w:left w:val="single" w:color="auto" w:sz="4" w:space="0"/>
              <w:bottom w:val="single" w:color="auto" w:sz="4" w:space="0"/>
              <w:right w:val="single" w:color="auto" w:sz="4" w:space="0"/>
            </w:tcBorders>
            <w:vAlign w:val="center"/>
          </w:tcPr>
          <w:p w14:paraId="737B56C6">
            <w:pPr>
              <w:snapToGrid w:val="0"/>
              <w:spacing w:before="120" w:beforeLines="50"/>
              <w:jc w:val="center"/>
              <w:rPr>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73DC8E01">
            <w:pPr>
              <w:snapToGrid w:val="0"/>
              <w:spacing w:before="120" w:beforeLines="50"/>
              <w:jc w:val="center"/>
              <w:rPr>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7464CBE8">
            <w:pPr>
              <w:snapToGrid w:val="0"/>
              <w:spacing w:before="120" w:beforeLines="50"/>
              <w:jc w:val="center"/>
              <w:rPr>
                <w:color w:val="000000" w:themeColor="text1"/>
                <w:szCs w:val="21"/>
                <w:highlight w:val="none"/>
                <w14:textFill>
                  <w14:solidFill>
                    <w14:schemeClr w14:val="tx1"/>
                  </w14:solidFill>
                </w14:textFill>
              </w:rPr>
            </w:pPr>
          </w:p>
        </w:tc>
      </w:tr>
    </w:tbl>
    <w:p w14:paraId="6ED04AB4">
      <w:pPr>
        <w:rPr>
          <w:color w:val="000000" w:themeColor="text1"/>
          <w:szCs w:val="21"/>
          <w:highlight w:val="none"/>
          <w14:textFill>
            <w14:solidFill>
              <w14:schemeClr w14:val="tx1"/>
            </w14:solidFill>
          </w14:textFill>
        </w:rPr>
      </w:pPr>
    </w:p>
    <w:p w14:paraId="70A5381F">
      <w:pPr>
        <w:pStyle w:val="27"/>
        <w:tabs>
          <w:tab w:val="left" w:pos="2127"/>
        </w:tabs>
        <w:spacing w:line="340" w:lineRule="exact"/>
        <w:jc w:val="left"/>
        <w:rPr>
          <w:rFonts w:ascii="Times New Roman" w:hAnsi="Times New Roman" w:cs="Times New Roman"/>
          <w:color w:val="000000" w:themeColor="text1"/>
          <w:highlight w:val="none"/>
          <w14:textFill>
            <w14:solidFill>
              <w14:schemeClr w14:val="tx1"/>
            </w14:solidFill>
          </w14:textFill>
        </w:rPr>
      </w:pPr>
      <w:bookmarkStart w:id="138" w:name="_Hlk88990482"/>
      <w:r>
        <w:rPr>
          <w:color w:val="000000" w:themeColor="text1"/>
          <w:highlight w:val="none"/>
          <w14:textFill>
            <w14:solidFill>
              <w14:schemeClr w14:val="tx1"/>
            </w14:solidFill>
          </w14:textFill>
        </w:rPr>
        <w:t>注：（1）</w:t>
      </w:r>
      <w:r>
        <w:rPr>
          <w:rFonts w:ascii="Times New Roman" w:hAnsi="Times New Roman" w:cs="Times New Roman"/>
          <w:color w:val="000000" w:themeColor="text1"/>
          <w:highlight w:val="none"/>
          <w14:textFill>
            <w14:solidFill>
              <w14:schemeClr w14:val="tx1"/>
            </w14:solidFill>
          </w14:textFill>
        </w:rPr>
        <w:t>本表应对招标文件</w:t>
      </w: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章</w:t>
      </w:r>
      <w:r>
        <w:rPr>
          <w:rFonts w:hint="eastAsia"/>
          <w:color w:val="000000" w:themeColor="text1"/>
          <w:highlight w:val="none"/>
          <w14:textFill>
            <w14:solidFill>
              <w14:schemeClr w14:val="tx1"/>
            </w14:solidFill>
          </w14:textFill>
        </w:rPr>
        <w:t>《采购需求》</w:t>
      </w:r>
      <w:r>
        <w:rPr>
          <w:rFonts w:ascii="Times New Roman" w:hAnsi="Times New Roman" w:cs="Times New Roman"/>
          <w:color w:val="000000" w:themeColor="text1"/>
          <w:highlight w:val="none"/>
          <w14:textFill>
            <w14:solidFill>
              <w14:schemeClr w14:val="tx1"/>
            </w14:solidFill>
          </w14:textFill>
        </w:rPr>
        <w:t>中所列</w:t>
      </w:r>
      <w:r>
        <w:rPr>
          <w:rFonts w:hint="eastAsia" w:ascii="Times New Roman" w:hAnsi="Times New Roman" w:cs="Times New Roman"/>
          <w:color w:val="000000" w:themeColor="text1"/>
          <w:highlight w:val="none"/>
          <w14:textFill>
            <w14:solidFill>
              <w14:schemeClr w14:val="tx1"/>
            </w14:solidFill>
          </w14:textFill>
        </w:rPr>
        <w:t>技术</w:t>
      </w:r>
      <w:r>
        <w:rPr>
          <w:rFonts w:ascii="Times New Roman" w:hAnsi="Times New Roman" w:cs="Times New Roman"/>
          <w:color w:val="000000" w:themeColor="text1"/>
          <w:highlight w:val="none"/>
          <w14:textFill>
            <w14:solidFill>
              <w14:schemeClr w14:val="tx1"/>
            </w14:solidFill>
          </w14:textFill>
        </w:rPr>
        <w:t>要求进行响应，并根据响应情况在“偏离说明”栏填写正偏离或负偏离及原因，完全符合的填写</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无偏离</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w:t>
      </w:r>
    </w:p>
    <w:p w14:paraId="21B9074F">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章</w:t>
      </w:r>
      <w:r>
        <w:rPr>
          <w:rFonts w:hint="eastAsia"/>
          <w:color w:val="000000" w:themeColor="text1"/>
          <w:highlight w:val="none"/>
          <w14:textFill>
            <w14:solidFill>
              <w14:schemeClr w14:val="tx1"/>
            </w14:solidFill>
          </w14:textFill>
        </w:rPr>
        <w:t>《采购需求》中的总体要求无需响应。</w:t>
      </w:r>
    </w:p>
    <w:p w14:paraId="1D93CD03">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）偏离认定说明详见评审方法及标准。</w:t>
      </w:r>
    </w:p>
    <w:p w14:paraId="33C69CFE">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（4）本表可扩展。</w:t>
      </w:r>
    </w:p>
    <w:bookmarkEnd w:id="138"/>
    <w:p w14:paraId="5C7F7752">
      <w:pPr>
        <w:rPr>
          <w:color w:val="000000" w:themeColor="text1"/>
          <w:szCs w:val="21"/>
          <w:highlight w:val="none"/>
          <w14:textFill>
            <w14:solidFill>
              <w14:schemeClr w14:val="tx1"/>
            </w14:solidFill>
          </w14:textFill>
        </w:rPr>
      </w:pPr>
    </w:p>
    <w:p w14:paraId="58C51346">
      <w:pPr>
        <w:rPr>
          <w:color w:val="000000" w:themeColor="text1"/>
          <w:spacing w:val="20"/>
          <w:szCs w:val="21"/>
          <w:highlight w:val="none"/>
          <w:u w:val="single"/>
          <w14:textFill>
            <w14:solidFill>
              <w14:schemeClr w14:val="tx1"/>
            </w14:solidFill>
          </w14:textFill>
        </w:rPr>
      </w:pPr>
      <w:bookmarkStart w:id="139" w:name="_Hlk88990507"/>
    </w:p>
    <w:p w14:paraId="5E295562">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r>
        <w:rPr>
          <w:color w:val="000000" w:themeColor="text1"/>
          <w:szCs w:val="21"/>
          <w:highlight w:val="none"/>
          <w14:textFill>
            <w14:solidFill>
              <w14:schemeClr w14:val="tx1"/>
            </w14:solidFill>
          </w14:textFill>
        </w:rPr>
        <w:t>)</w:t>
      </w:r>
      <w:bookmarkEnd w:id="139"/>
      <w:r>
        <w:rPr>
          <w:color w:val="000000" w:themeColor="text1"/>
          <w:spacing w:val="20"/>
          <w:szCs w:val="21"/>
          <w:highlight w:val="none"/>
          <w14:textFill>
            <w14:solidFill>
              <w14:schemeClr w14:val="tx1"/>
            </w14:solidFill>
          </w14:textFill>
        </w:rPr>
        <w:t>：</w:t>
      </w:r>
      <w:r>
        <w:rPr>
          <w:color w:val="000000" w:themeColor="text1"/>
          <w:spacing w:val="20"/>
          <w:szCs w:val="21"/>
          <w:highlight w:val="none"/>
          <w:u w:val="single"/>
          <w14:textFill>
            <w14:solidFill>
              <w14:schemeClr w14:val="tx1"/>
            </w14:solidFill>
          </w14:textFill>
        </w:rPr>
        <w:t xml:space="preserve">            </w:t>
      </w:r>
      <w:r>
        <w:rPr>
          <w:color w:val="000000" w:themeColor="text1"/>
          <w:spacing w:val="20"/>
          <w:szCs w:val="21"/>
          <w:highlight w:val="none"/>
          <w14:textFill>
            <w14:solidFill>
              <w14:schemeClr w14:val="tx1"/>
            </w14:solidFill>
          </w14:textFill>
        </w:rPr>
        <w:t xml:space="preserve">              日 期：</w:t>
      </w:r>
      <w:r>
        <w:rPr>
          <w:color w:val="000000" w:themeColor="text1"/>
          <w:spacing w:val="20"/>
          <w:szCs w:val="21"/>
          <w:highlight w:val="none"/>
          <w:u w:val="single"/>
          <w14:textFill>
            <w14:solidFill>
              <w14:schemeClr w14:val="tx1"/>
            </w14:solidFill>
          </w14:textFill>
        </w:rPr>
        <w:t xml:space="preserve">            </w:t>
      </w:r>
    </w:p>
    <w:p w14:paraId="6CEC36D8">
      <w:pPr>
        <w:snapToGrid w:val="0"/>
        <w:spacing w:before="50" w:after="120" w:afterLines="50"/>
        <w:jc w:val="left"/>
        <w:rPr>
          <w:color w:val="000000" w:themeColor="text1"/>
          <w:szCs w:val="21"/>
          <w:highlight w:val="none"/>
          <w14:textFill>
            <w14:solidFill>
              <w14:schemeClr w14:val="tx1"/>
            </w14:solidFill>
          </w14:textFill>
        </w:rPr>
      </w:pPr>
    </w:p>
    <w:p w14:paraId="3D8100B4">
      <w:pPr>
        <w:snapToGrid w:val="0"/>
        <w:spacing w:before="50" w:after="120" w:afterLines="50"/>
        <w:jc w:val="left"/>
        <w:rPr>
          <w:color w:val="000000" w:themeColor="text1"/>
          <w:szCs w:val="21"/>
          <w:highlight w:val="none"/>
          <w14:textFill>
            <w14:solidFill>
              <w14:schemeClr w14:val="tx1"/>
            </w14:solidFill>
          </w14:textFill>
        </w:rPr>
      </w:pPr>
    </w:p>
    <w:p w14:paraId="497EB2E1">
      <w:pPr>
        <w:snapToGrid w:val="0"/>
        <w:spacing w:before="50" w:after="120" w:afterLines="50"/>
        <w:jc w:val="left"/>
        <w:rPr>
          <w:color w:val="000000" w:themeColor="text1"/>
          <w:szCs w:val="21"/>
          <w:highlight w:val="none"/>
          <w14:textFill>
            <w14:solidFill>
              <w14:schemeClr w14:val="tx1"/>
            </w14:solidFill>
          </w14:textFill>
        </w:rPr>
      </w:pPr>
    </w:p>
    <w:p w14:paraId="769BD379">
      <w:pPr>
        <w:snapToGrid w:val="0"/>
        <w:spacing w:before="50" w:after="120" w:afterLines="50"/>
        <w:jc w:val="left"/>
        <w:rPr>
          <w:color w:val="000000" w:themeColor="text1"/>
          <w:szCs w:val="21"/>
          <w:highlight w:val="none"/>
          <w14:textFill>
            <w14:solidFill>
              <w14:schemeClr w14:val="tx1"/>
            </w14:solidFill>
          </w14:textFill>
        </w:rPr>
      </w:pPr>
    </w:p>
    <w:p w14:paraId="6C211B42">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2．对本项目总体要求的理解</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包括：服务目标、服务质量等的认识</w:t>
      </w:r>
      <w:r>
        <w:rPr>
          <w:rFonts w:hint="eastAsia"/>
          <w:color w:val="000000" w:themeColor="text1"/>
          <w:szCs w:val="21"/>
          <w:highlight w:val="none"/>
          <w14:textFill>
            <w14:solidFill>
              <w14:schemeClr w14:val="tx1"/>
            </w14:solidFill>
          </w14:textFill>
        </w:rPr>
        <w:t>）</w:t>
      </w:r>
    </w:p>
    <w:p w14:paraId="76AABEB8">
      <w:pPr>
        <w:snapToGrid w:val="0"/>
        <w:spacing w:before="50" w:after="120" w:afterLines="50"/>
        <w:jc w:val="left"/>
        <w:rPr>
          <w:color w:val="000000" w:themeColor="text1"/>
          <w:szCs w:val="21"/>
          <w:highlight w:val="none"/>
          <w14:textFill>
            <w14:solidFill>
              <w14:schemeClr w14:val="tx1"/>
            </w14:solidFill>
          </w14:textFill>
        </w:rPr>
      </w:pPr>
    </w:p>
    <w:p w14:paraId="2522D499">
      <w:pPr>
        <w:snapToGrid w:val="0"/>
        <w:spacing w:before="50" w:after="120" w:afterLines="50"/>
        <w:jc w:val="left"/>
        <w:rPr>
          <w:color w:val="000000" w:themeColor="text1"/>
          <w:szCs w:val="21"/>
          <w:highlight w:val="none"/>
          <w14:textFill>
            <w14:solidFill>
              <w14:schemeClr w14:val="tx1"/>
            </w14:solidFill>
          </w14:textFill>
        </w:rPr>
      </w:pPr>
    </w:p>
    <w:p w14:paraId="653C258C">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3．服务方案及进度措施（针对本项目的服务要求提供详细的服务方案，含服务响应时间、日常服务工作的内容、增值服务、进度计划等）</w:t>
      </w:r>
    </w:p>
    <w:p w14:paraId="7E95DD82">
      <w:pPr>
        <w:snapToGrid w:val="0"/>
        <w:spacing w:before="50" w:after="120" w:afterLines="50"/>
        <w:jc w:val="left"/>
        <w:rPr>
          <w:color w:val="000000" w:themeColor="text1"/>
          <w:szCs w:val="21"/>
          <w:highlight w:val="none"/>
          <w14:textFill>
            <w14:solidFill>
              <w14:schemeClr w14:val="tx1"/>
            </w14:solidFill>
          </w14:textFill>
        </w:rPr>
      </w:pPr>
    </w:p>
    <w:p w14:paraId="097FAF60">
      <w:pPr>
        <w:snapToGrid w:val="0"/>
        <w:spacing w:before="50" w:after="120" w:afterLines="50"/>
        <w:jc w:val="left"/>
        <w:rPr>
          <w:color w:val="000000" w:themeColor="text1"/>
          <w:szCs w:val="21"/>
          <w:highlight w:val="none"/>
          <w14:textFill>
            <w14:solidFill>
              <w14:schemeClr w14:val="tx1"/>
            </w14:solidFill>
          </w14:textFill>
        </w:rPr>
      </w:pPr>
    </w:p>
    <w:p w14:paraId="378BC55E">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4．项目拟投入服务团队人员结构表（包括但不限于学历、证书情况、职称、年龄等）</w:t>
      </w:r>
    </w:p>
    <w:p w14:paraId="003C1500">
      <w:pPr>
        <w:snapToGrid w:val="0"/>
        <w:spacing w:before="120" w:beforeLines="50" w:after="50" w:line="4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7BB345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2A78DB87">
            <w:pPr>
              <w:snapToGrid w:val="0"/>
              <w:spacing w:before="120" w:beforeLines="50" w:after="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441813A4">
            <w:pPr>
              <w:snapToGrid w:val="0"/>
              <w:spacing w:before="120" w:beforeLines="50" w:after="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095C22A3">
            <w:pPr>
              <w:snapToGrid w:val="0"/>
              <w:spacing w:before="120" w:beforeLines="50" w:after="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56AD893F">
            <w:pPr>
              <w:snapToGrid w:val="0"/>
              <w:spacing w:before="120" w:beforeLines="50" w:after="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5E556DD6">
            <w:pPr>
              <w:snapToGrid w:val="0"/>
              <w:spacing w:before="120" w:beforeLines="50" w:after="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44B854E5">
            <w:pPr>
              <w:snapToGrid w:val="0"/>
              <w:spacing w:before="120" w:beforeLines="50" w:after="5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劳动合同编号</w:t>
            </w:r>
          </w:p>
        </w:tc>
      </w:tr>
      <w:tr w14:paraId="58DFA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1B2220B4">
            <w:pPr>
              <w:snapToGrid w:val="0"/>
              <w:spacing w:before="120" w:beforeLines="50" w:after="50"/>
              <w:rPr>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16B5DF1C">
            <w:pPr>
              <w:snapToGrid w:val="0"/>
              <w:spacing w:before="120" w:beforeLines="50" w:after="50"/>
              <w:rPr>
                <w:color w:val="000000" w:themeColor="text1"/>
                <w:szCs w:val="2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6F61BB4D">
            <w:pPr>
              <w:snapToGrid w:val="0"/>
              <w:spacing w:before="120" w:beforeLines="50" w:after="50"/>
              <w:rPr>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56926ED9">
            <w:pPr>
              <w:snapToGrid w:val="0"/>
              <w:spacing w:before="120" w:beforeLines="50" w:after="50"/>
              <w:rPr>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5C32D6AE">
            <w:pPr>
              <w:snapToGrid w:val="0"/>
              <w:spacing w:before="120" w:beforeLines="50" w:after="50"/>
              <w:rPr>
                <w:color w:val="000000" w:themeColor="text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7F6EB05">
            <w:pPr>
              <w:snapToGrid w:val="0"/>
              <w:spacing w:before="120" w:beforeLines="50" w:after="50"/>
              <w:rPr>
                <w:color w:val="000000" w:themeColor="text1"/>
                <w:szCs w:val="21"/>
                <w:highlight w:val="none"/>
                <w14:textFill>
                  <w14:solidFill>
                    <w14:schemeClr w14:val="tx1"/>
                  </w14:solidFill>
                </w14:textFill>
              </w:rPr>
            </w:pPr>
          </w:p>
        </w:tc>
      </w:tr>
      <w:tr w14:paraId="33BBA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7770CCD">
            <w:pPr>
              <w:snapToGrid w:val="0"/>
              <w:spacing w:before="120" w:beforeLines="50" w:after="50"/>
              <w:rPr>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720C37CD">
            <w:pPr>
              <w:snapToGrid w:val="0"/>
              <w:spacing w:before="120" w:beforeLines="50" w:after="50"/>
              <w:rPr>
                <w:color w:val="000000" w:themeColor="text1"/>
                <w:szCs w:val="2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70CEC5A6">
            <w:pPr>
              <w:snapToGrid w:val="0"/>
              <w:spacing w:before="120" w:beforeLines="50" w:after="50"/>
              <w:rPr>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44F74B1D">
            <w:pPr>
              <w:snapToGrid w:val="0"/>
              <w:spacing w:before="120" w:beforeLines="50" w:after="50"/>
              <w:rPr>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04F7CB51">
            <w:pPr>
              <w:snapToGrid w:val="0"/>
              <w:spacing w:before="120" w:beforeLines="50" w:after="50"/>
              <w:rPr>
                <w:color w:val="000000" w:themeColor="text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10ADE1C">
            <w:pPr>
              <w:snapToGrid w:val="0"/>
              <w:spacing w:before="120" w:beforeLines="50" w:after="50"/>
              <w:rPr>
                <w:color w:val="000000" w:themeColor="text1"/>
                <w:szCs w:val="21"/>
                <w:highlight w:val="none"/>
                <w14:textFill>
                  <w14:solidFill>
                    <w14:schemeClr w14:val="tx1"/>
                  </w14:solidFill>
                </w14:textFill>
              </w:rPr>
            </w:pPr>
          </w:p>
        </w:tc>
      </w:tr>
      <w:tr w14:paraId="53DF5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727F55F3">
            <w:pPr>
              <w:snapToGrid w:val="0"/>
              <w:spacing w:before="120" w:beforeLines="50" w:after="50"/>
              <w:rPr>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D7D6F6E">
            <w:pPr>
              <w:snapToGrid w:val="0"/>
              <w:spacing w:before="120" w:beforeLines="50" w:after="50"/>
              <w:rPr>
                <w:color w:val="000000" w:themeColor="text1"/>
                <w:szCs w:val="2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7C54274A">
            <w:pPr>
              <w:pStyle w:val="29"/>
              <w:snapToGrid w:val="0"/>
              <w:spacing w:before="120" w:beforeLines="50" w:after="50"/>
              <w:ind w:left="5250"/>
              <w:rPr>
                <w:rFonts w:ascii="Times New Roman" w:hAnsi="Times New Roman"/>
                <w:color w:val="000000" w:themeColor="text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5217C231">
            <w:pPr>
              <w:snapToGrid w:val="0"/>
              <w:spacing w:before="120" w:beforeLines="50" w:after="50"/>
              <w:rPr>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6AE06578">
            <w:pPr>
              <w:snapToGrid w:val="0"/>
              <w:spacing w:before="120" w:beforeLines="50" w:after="50"/>
              <w:rPr>
                <w:color w:val="000000" w:themeColor="text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3C668FD5">
            <w:pPr>
              <w:snapToGrid w:val="0"/>
              <w:spacing w:before="120" w:beforeLines="50" w:after="50"/>
              <w:rPr>
                <w:color w:val="000000" w:themeColor="text1"/>
                <w:szCs w:val="21"/>
                <w:highlight w:val="none"/>
                <w14:textFill>
                  <w14:solidFill>
                    <w14:schemeClr w14:val="tx1"/>
                  </w14:solidFill>
                </w14:textFill>
              </w:rPr>
            </w:pPr>
          </w:p>
        </w:tc>
      </w:tr>
    </w:tbl>
    <w:p w14:paraId="7C69DE4E">
      <w:pPr>
        <w:snapToGrid w:val="0"/>
        <w:spacing w:before="50" w:after="120" w:afterLines="50" w:line="440" w:lineRule="exact"/>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注：在填写时，如本表格不适合投标单位的实际情况，可根据本表格式自行划表填写。</w:t>
      </w:r>
    </w:p>
    <w:p w14:paraId="696C8F0C">
      <w:pPr>
        <w:rPr>
          <w:color w:val="000000" w:themeColor="text1"/>
          <w:spacing w:val="20"/>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供应商</w:t>
      </w:r>
      <w:r>
        <w:rPr>
          <w:rFonts w:hint="eastAsia"/>
          <w:color w:val="000000" w:themeColor="text1"/>
          <w:szCs w:val="21"/>
          <w:highlight w:val="none"/>
          <w14:textFill>
            <w14:solidFill>
              <w14:schemeClr w14:val="tx1"/>
            </w14:solidFill>
          </w14:textFill>
        </w:rPr>
        <w:t>名称(电子签章</w:t>
      </w:r>
      <w:r>
        <w:rPr>
          <w:color w:val="000000" w:themeColor="text1"/>
          <w:szCs w:val="21"/>
          <w:highlight w:val="none"/>
          <w14:textFill>
            <w14:solidFill>
              <w14:schemeClr w14:val="tx1"/>
            </w14:solidFill>
          </w14:textFill>
        </w:rPr>
        <w:t>)</w:t>
      </w:r>
      <w:r>
        <w:rPr>
          <w:color w:val="000000" w:themeColor="text1"/>
          <w:spacing w:val="20"/>
          <w:szCs w:val="21"/>
          <w:highlight w:val="none"/>
          <w14:textFill>
            <w14:solidFill>
              <w14:schemeClr w14:val="tx1"/>
            </w14:solidFill>
          </w14:textFill>
        </w:rPr>
        <w:t>：</w:t>
      </w:r>
      <w:r>
        <w:rPr>
          <w:color w:val="000000" w:themeColor="text1"/>
          <w:spacing w:val="20"/>
          <w:szCs w:val="21"/>
          <w:highlight w:val="none"/>
          <w:u w:val="single"/>
          <w14:textFill>
            <w14:solidFill>
              <w14:schemeClr w14:val="tx1"/>
            </w14:solidFill>
          </w14:textFill>
        </w:rPr>
        <w:t xml:space="preserve">        </w:t>
      </w:r>
      <w:r>
        <w:rPr>
          <w:color w:val="000000" w:themeColor="text1"/>
          <w:spacing w:val="20"/>
          <w:szCs w:val="21"/>
          <w:highlight w:val="none"/>
          <w14:textFill>
            <w14:solidFill>
              <w14:schemeClr w14:val="tx1"/>
            </w14:solidFill>
          </w14:textFill>
        </w:rPr>
        <w:t xml:space="preserve">           日  期：</w:t>
      </w:r>
      <w:r>
        <w:rPr>
          <w:color w:val="000000" w:themeColor="text1"/>
          <w:spacing w:val="20"/>
          <w:szCs w:val="21"/>
          <w:highlight w:val="none"/>
          <w:u w:val="single"/>
          <w14:textFill>
            <w14:solidFill>
              <w14:schemeClr w14:val="tx1"/>
            </w14:solidFill>
          </w14:textFill>
        </w:rPr>
        <w:t xml:space="preserve">        </w:t>
      </w:r>
    </w:p>
    <w:p w14:paraId="59E68E0E">
      <w:pPr>
        <w:rPr>
          <w:color w:val="000000" w:themeColor="text1"/>
          <w:spacing w:val="20"/>
          <w:szCs w:val="21"/>
          <w:highlight w:val="none"/>
          <w:u w:val="single"/>
          <w14:textFill>
            <w14:solidFill>
              <w14:schemeClr w14:val="tx1"/>
            </w14:solidFill>
          </w14:textFill>
        </w:rPr>
      </w:pPr>
    </w:p>
    <w:p w14:paraId="1669B984">
      <w:pPr>
        <w:rPr>
          <w:color w:val="000000" w:themeColor="text1"/>
          <w:szCs w:val="21"/>
          <w:highlight w:val="none"/>
          <w14:textFill>
            <w14:solidFill>
              <w14:schemeClr w14:val="tx1"/>
            </w14:solidFill>
          </w14:textFill>
        </w:rPr>
      </w:pPr>
    </w:p>
    <w:p w14:paraId="1D2D444C">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5．企业管理体系认证或资质证明材料。</w:t>
      </w:r>
    </w:p>
    <w:p w14:paraId="4E1ADDF6">
      <w:pPr>
        <w:snapToGrid w:val="0"/>
        <w:spacing w:before="50" w:after="120" w:afterLines="50"/>
        <w:jc w:val="left"/>
        <w:rPr>
          <w:color w:val="000000" w:themeColor="text1"/>
          <w:szCs w:val="21"/>
          <w:highlight w:val="none"/>
          <w14:textFill>
            <w14:solidFill>
              <w14:schemeClr w14:val="tx1"/>
            </w14:solidFill>
          </w14:textFill>
        </w:rPr>
      </w:pPr>
    </w:p>
    <w:p w14:paraId="7AACB480">
      <w:pPr>
        <w:snapToGrid w:val="0"/>
        <w:spacing w:before="50" w:after="120" w:afterLines="50"/>
        <w:jc w:val="left"/>
        <w:rPr>
          <w:color w:val="000000" w:themeColor="text1"/>
          <w:szCs w:val="21"/>
          <w:highlight w:val="none"/>
          <w14:textFill>
            <w14:solidFill>
              <w14:schemeClr w14:val="tx1"/>
            </w14:solidFill>
          </w14:textFill>
        </w:rPr>
      </w:pPr>
    </w:p>
    <w:p w14:paraId="3C0AB289">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6．技术服务、技术培训、售后服务的内容和措施。</w:t>
      </w:r>
    </w:p>
    <w:p w14:paraId="24B1F272">
      <w:pPr>
        <w:snapToGrid w:val="0"/>
        <w:spacing w:before="50" w:after="120" w:afterLines="50"/>
        <w:jc w:val="left"/>
        <w:rPr>
          <w:color w:val="000000" w:themeColor="text1"/>
          <w:szCs w:val="21"/>
          <w:highlight w:val="none"/>
          <w14:textFill>
            <w14:solidFill>
              <w14:schemeClr w14:val="tx1"/>
            </w14:solidFill>
          </w14:textFill>
        </w:rPr>
      </w:pPr>
    </w:p>
    <w:p w14:paraId="478E31E9">
      <w:pPr>
        <w:snapToGrid w:val="0"/>
        <w:spacing w:before="50" w:after="120" w:afterLines="50"/>
        <w:jc w:val="left"/>
        <w:rPr>
          <w:color w:val="000000" w:themeColor="text1"/>
          <w:szCs w:val="21"/>
          <w:highlight w:val="none"/>
          <w14:textFill>
            <w14:solidFill>
              <w14:schemeClr w14:val="tx1"/>
            </w14:solidFill>
          </w14:textFill>
        </w:rPr>
      </w:pPr>
    </w:p>
    <w:p w14:paraId="7415A494">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7．为本项目提供的其他优惠服务。</w:t>
      </w:r>
    </w:p>
    <w:p w14:paraId="4477A82D">
      <w:pPr>
        <w:snapToGrid w:val="0"/>
        <w:spacing w:before="50" w:after="120" w:afterLines="50"/>
        <w:jc w:val="left"/>
        <w:rPr>
          <w:color w:val="000000" w:themeColor="text1"/>
          <w:szCs w:val="21"/>
          <w:highlight w:val="none"/>
          <w14:textFill>
            <w14:solidFill>
              <w14:schemeClr w14:val="tx1"/>
            </w14:solidFill>
          </w14:textFill>
        </w:rPr>
      </w:pPr>
    </w:p>
    <w:p w14:paraId="2F79DBCD">
      <w:pPr>
        <w:snapToGrid w:val="0"/>
        <w:spacing w:before="50" w:after="120" w:afterLines="50"/>
        <w:jc w:val="left"/>
        <w:rPr>
          <w:color w:val="000000" w:themeColor="text1"/>
          <w:szCs w:val="21"/>
          <w:highlight w:val="none"/>
          <w14:textFill>
            <w14:solidFill>
              <w14:schemeClr w14:val="tx1"/>
            </w14:solidFill>
          </w14:textFill>
        </w:rPr>
      </w:pPr>
    </w:p>
    <w:p w14:paraId="4E15F09B">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 供应商对本项目的合理化建议和改进措施。</w:t>
      </w:r>
    </w:p>
    <w:p w14:paraId="5FF8C42A">
      <w:pPr>
        <w:snapToGrid w:val="0"/>
        <w:spacing w:before="50" w:after="120" w:afterLines="50"/>
        <w:jc w:val="left"/>
        <w:rPr>
          <w:color w:val="000000" w:themeColor="text1"/>
          <w:szCs w:val="21"/>
          <w:highlight w:val="none"/>
          <w14:textFill>
            <w14:solidFill>
              <w14:schemeClr w14:val="tx1"/>
            </w14:solidFill>
          </w14:textFill>
        </w:rPr>
      </w:pPr>
    </w:p>
    <w:p w14:paraId="684AB3C3">
      <w:pPr>
        <w:snapToGrid w:val="0"/>
        <w:spacing w:before="50" w:after="120" w:afterLines="50"/>
        <w:jc w:val="left"/>
        <w:rPr>
          <w:color w:val="000000" w:themeColor="text1"/>
          <w:szCs w:val="21"/>
          <w:highlight w:val="none"/>
          <w14:textFill>
            <w14:solidFill>
              <w14:schemeClr w14:val="tx1"/>
            </w14:solidFill>
          </w14:textFill>
        </w:rPr>
      </w:pPr>
    </w:p>
    <w:p w14:paraId="276E03E3">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9．供应商需要说明的其他文件和说明。</w:t>
      </w:r>
    </w:p>
    <w:p w14:paraId="4EE2754B">
      <w:pPr>
        <w:snapToGrid w:val="0"/>
        <w:spacing w:before="120" w:beforeLines="50" w:after="50" w:line="440" w:lineRule="exact"/>
        <w:jc w:val="left"/>
        <w:outlineLvl w:val="1"/>
        <w:rPr>
          <w:bCs/>
          <w:color w:val="000000" w:themeColor="text1"/>
          <w:sz w:val="24"/>
          <w:highlight w:val="none"/>
          <w14:textFill>
            <w14:solidFill>
              <w14:schemeClr w14:val="tx1"/>
            </w14:solidFill>
          </w14:textFill>
        </w:rPr>
      </w:pPr>
      <w:r>
        <w:rPr>
          <w:color w:val="000000" w:themeColor="text1"/>
          <w:szCs w:val="21"/>
          <w:highlight w:val="none"/>
          <w14:textFill>
            <w14:solidFill>
              <w14:schemeClr w14:val="tx1"/>
            </w14:solidFill>
          </w14:textFill>
        </w:rPr>
        <w:br w:type="page"/>
      </w:r>
      <w:r>
        <w:rPr>
          <w:bCs/>
          <w:color w:val="000000" w:themeColor="text1"/>
          <w:sz w:val="24"/>
          <w:highlight w:val="none"/>
          <w14:textFill>
            <w14:solidFill>
              <w14:schemeClr w14:val="tx1"/>
            </w14:solidFill>
          </w14:textFill>
        </w:rPr>
        <w:t>3．投标文件封面参考格式</w:t>
      </w:r>
      <w:r>
        <w:rPr>
          <w:rFonts w:hint="eastAsia"/>
          <w:bCs/>
          <w:color w:val="000000" w:themeColor="text1"/>
          <w:sz w:val="24"/>
          <w:highlight w:val="none"/>
          <w14:textFill>
            <w14:solidFill>
              <w14:schemeClr w14:val="tx1"/>
            </w14:solidFill>
          </w14:textFill>
        </w:rPr>
        <w:t>（报价文件）</w:t>
      </w:r>
      <w:r>
        <w:rPr>
          <w:bCs/>
          <w:color w:val="000000" w:themeColor="text1"/>
          <w:sz w:val="24"/>
          <w:highlight w:val="none"/>
          <w14:textFill>
            <w14:solidFill>
              <w14:schemeClr w14:val="tx1"/>
            </w14:solidFill>
          </w14:textFill>
        </w:rPr>
        <w:t xml:space="preserve">： </w:t>
      </w:r>
    </w:p>
    <w:p w14:paraId="163521B0">
      <w:pPr>
        <w:snapToGrid w:val="0"/>
        <w:spacing w:before="50" w:after="120" w:afterLines="50" w:line="400" w:lineRule="exact"/>
        <w:jc w:val="left"/>
        <w:rPr>
          <w:bCs/>
          <w:color w:val="000000" w:themeColor="text1"/>
          <w:sz w:val="24"/>
          <w:highlight w:val="none"/>
          <w14:textFill>
            <w14:solidFill>
              <w14:schemeClr w14:val="tx1"/>
            </w14:solidFill>
          </w14:textFill>
        </w:rPr>
      </w:pPr>
    </w:p>
    <w:p w14:paraId="520C5530">
      <w:pPr>
        <w:snapToGrid w:val="0"/>
        <w:spacing w:before="120" w:beforeLines="50" w:after="50" w:line="360" w:lineRule="exact"/>
        <w:rPr>
          <w:color w:val="000000" w:themeColor="text1"/>
          <w:sz w:val="24"/>
          <w:highlight w:val="none"/>
          <w14:textFill>
            <w14:solidFill>
              <w14:schemeClr w14:val="tx1"/>
            </w14:solidFill>
          </w14:textFill>
        </w:rPr>
      </w:pPr>
    </w:p>
    <w:p w14:paraId="7C939BB9">
      <w:pPr>
        <w:snapToGrid w:val="0"/>
        <w:spacing w:before="120" w:beforeLines="50" w:after="50" w:line="360" w:lineRule="exact"/>
        <w:jc w:val="center"/>
        <w:rPr>
          <w:bCs/>
          <w:color w:val="000000" w:themeColor="text1"/>
          <w:sz w:val="24"/>
          <w:highlight w:val="none"/>
          <w14:textFill>
            <w14:solidFill>
              <w14:schemeClr w14:val="tx1"/>
            </w14:solidFill>
          </w14:textFill>
        </w:rPr>
      </w:pPr>
    </w:p>
    <w:p w14:paraId="1F9416F0">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电子</w:t>
      </w:r>
      <w:r>
        <w:rPr>
          <w:b/>
          <w:bCs/>
          <w:color w:val="000000" w:themeColor="text1"/>
          <w:sz w:val="44"/>
          <w:szCs w:val="44"/>
          <w:highlight w:val="none"/>
          <w14:textFill>
            <w14:solidFill>
              <w14:schemeClr w14:val="tx1"/>
            </w14:solidFill>
          </w14:textFill>
        </w:rPr>
        <w:t>投标文件</w:t>
      </w:r>
    </w:p>
    <w:p w14:paraId="1E95F59D">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p>
    <w:p w14:paraId="5A02013F">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p>
    <w:p w14:paraId="55587934">
      <w:pPr>
        <w:snapToGrid w:val="0"/>
        <w:spacing w:before="120" w:beforeLines="50" w:after="50" w:line="360" w:lineRule="exact"/>
        <w:jc w:val="center"/>
        <w:rPr>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报价</w:t>
      </w:r>
      <w:r>
        <w:rPr>
          <w:b/>
          <w:bCs/>
          <w:color w:val="000000" w:themeColor="text1"/>
          <w:sz w:val="44"/>
          <w:szCs w:val="44"/>
          <w:highlight w:val="none"/>
          <w14:textFill>
            <w14:solidFill>
              <w14:schemeClr w14:val="tx1"/>
            </w14:solidFill>
          </w14:textFill>
        </w:rPr>
        <w:t>文件</w:t>
      </w:r>
    </w:p>
    <w:p w14:paraId="236E8AF3">
      <w:pPr>
        <w:snapToGrid w:val="0"/>
        <w:spacing w:before="120" w:beforeLines="50" w:after="50" w:line="360" w:lineRule="exact"/>
        <w:rPr>
          <w:bCs/>
          <w:color w:val="000000" w:themeColor="text1"/>
          <w:sz w:val="24"/>
          <w:highlight w:val="none"/>
          <w14:textFill>
            <w14:solidFill>
              <w14:schemeClr w14:val="tx1"/>
            </w14:solidFill>
          </w14:textFill>
        </w:rPr>
      </w:pPr>
    </w:p>
    <w:p w14:paraId="6102C2B6">
      <w:pPr>
        <w:snapToGrid w:val="0"/>
        <w:spacing w:before="120" w:beforeLines="50" w:after="50" w:line="360" w:lineRule="exact"/>
        <w:rPr>
          <w:bCs/>
          <w:color w:val="000000" w:themeColor="text1"/>
          <w:sz w:val="24"/>
          <w:highlight w:val="none"/>
          <w14:textFill>
            <w14:solidFill>
              <w14:schemeClr w14:val="tx1"/>
            </w14:solidFill>
          </w14:textFill>
        </w:rPr>
      </w:pPr>
    </w:p>
    <w:p w14:paraId="317FD786">
      <w:pPr>
        <w:snapToGrid w:val="0"/>
        <w:spacing w:before="120" w:beforeLines="50" w:after="50" w:line="360" w:lineRule="exact"/>
        <w:rPr>
          <w:bCs/>
          <w:color w:val="000000" w:themeColor="text1"/>
          <w:sz w:val="24"/>
          <w:highlight w:val="none"/>
          <w14:textFill>
            <w14:solidFill>
              <w14:schemeClr w14:val="tx1"/>
            </w14:solidFill>
          </w14:textFill>
        </w:rPr>
      </w:pPr>
    </w:p>
    <w:p w14:paraId="41671D13">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 xml:space="preserve">项目名称： </w:t>
      </w:r>
    </w:p>
    <w:p w14:paraId="372C1A9B">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项目编号：</w:t>
      </w:r>
    </w:p>
    <w:p w14:paraId="576B23A4">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分标号：（若无</w:t>
      </w:r>
      <w:r>
        <w:rPr>
          <w:rFonts w:hint="eastAsia"/>
          <w:bCs/>
          <w:color w:val="000000" w:themeColor="text1"/>
          <w:sz w:val="24"/>
          <w:highlight w:val="none"/>
          <w14:textFill>
            <w14:solidFill>
              <w14:schemeClr w14:val="tx1"/>
            </w14:solidFill>
          </w14:textFill>
        </w:rPr>
        <w:t>留空或写</w:t>
      </w:r>
      <w:r>
        <w:rPr>
          <w:bCs/>
          <w:color w:val="000000" w:themeColor="text1"/>
          <w:sz w:val="24"/>
          <w:highlight w:val="none"/>
          <w14:textFill>
            <w14:solidFill>
              <w14:schemeClr w14:val="tx1"/>
            </w14:solidFill>
          </w14:textFill>
        </w:rPr>
        <w:t>“/”）</w:t>
      </w:r>
    </w:p>
    <w:p w14:paraId="13C205E1">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供应商名称：</w:t>
      </w:r>
    </w:p>
    <w:p w14:paraId="78362B75">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供应商地址：</w:t>
      </w:r>
    </w:p>
    <w:p w14:paraId="42FA7069">
      <w:pPr>
        <w:snapToGrid w:val="0"/>
        <w:spacing w:before="120" w:beforeLines="50" w:after="50" w:line="360" w:lineRule="exact"/>
        <w:ind w:firstLine="720" w:firstLineChars="300"/>
        <w:rPr>
          <w:bCs/>
          <w:color w:val="000000" w:themeColor="text1"/>
          <w:sz w:val="24"/>
          <w:highlight w:val="none"/>
          <w14:textFill>
            <w14:solidFill>
              <w14:schemeClr w14:val="tx1"/>
            </w14:solidFill>
          </w14:textFill>
        </w:rPr>
      </w:pPr>
    </w:p>
    <w:p w14:paraId="646466B4">
      <w:pPr>
        <w:pStyle w:val="9"/>
        <w:snapToGrid w:val="0"/>
        <w:spacing w:before="50" w:after="50" w:line="360" w:lineRule="exact"/>
        <w:ind w:firstLine="960" w:firstLineChars="400"/>
        <w:rPr>
          <w:bCs/>
          <w:color w:val="000000" w:themeColor="text1"/>
          <w:sz w:val="24"/>
          <w:szCs w:val="24"/>
          <w:highlight w:val="none"/>
          <w14:textFill>
            <w14:solidFill>
              <w14:schemeClr w14:val="tx1"/>
            </w14:solidFill>
          </w14:textFill>
        </w:rPr>
      </w:pPr>
    </w:p>
    <w:p w14:paraId="0440EC8C">
      <w:pPr>
        <w:snapToGrid w:val="0"/>
        <w:spacing w:before="120" w:beforeLines="50" w:after="50" w:line="360" w:lineRule="exac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年  月  日</w:t>
      </w:r>
    </w:p>
    <w:p w14:paraId="0BD6B1F9">
      <w:pPr>
        <w:rPr>
          <w:color w:val="000000" w:themeColor="text1"/>
          <w:highlight w:val="none"/>
          <w14:textFill>
            <w14:solidFill>
              <w14:schemeClr w14:val="tx1"/>
            </w14:solidFill>
          </w14:textFill>
        </w:rPr>
      </w:pPr>
    </w:p>
    <w:p w14:paraId="569C8D8C">
      <w:pPr>
        <w:jc w:val="center"/>
        <w:rPr>
          <w:b/>
          <w:bCs/>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br w:type="page"/>
      </w:r>
      <w:r>
        <w:rPr>
          <w:b/>
          <w:bCs/>
          <w:color w:val="000000" w:themeColor="text1"/>
          <w:szCs w:val="21"/>
          <w:highlight w:val="none"/>
          <w14:textFill>
            <w14:solidFill>
              <w14:schemeClr w14:val="tx1"/>
            </w14:solidFill>
          </w14:textFill>
        </w:rPr>
        <w:t xml:space="preserve"> </w:t>
      </w:r>
    </w:p>
    <w:p w14:paraId="043BEDA3">
      <w:pPr>
        <w:snapToGrid w:val="0"/>
        <w:spacing w:before="120" w:beforeLines="50" w:after="50" w:line="440" w:lineRule="exact"/>
        <w:jc w:val="center"/>
        <w:outlineLvl w:val="1"/>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第三部分 报价文件</w:t>
      </w:r>
    </w:p>
    <w:p w14:paraId="228D4025">
      <w:pPr>
        <w:jc w:val="center"/>
        <w:rPr>
          <w:b/>
          <w:bCs/>
          <w:color w:val="000000" w:themeColor="text1"/>
          <w:szCs w:val="21"/>
          <w:highlight w:val="none"/>
          <w14:textFill>
            <w14:solidFill>
              <w14:schemeClr w14:val="tx1"/>
            </w14:solidFill>
          </w14:textFill>
        </w:rPr>
      </w:pPr>
    </w:p>
    <w:p w14:paraId="6DB28D82">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1．投标函格式：</w:t>
      </w:r>
    </w:p>
    <w:p w14:paraId="39CCDCBD">
      <w:pPr>
        <w:rPr>
          <w:color w:val="000000" w:themeColor="text1"/>
          <w:highlight w:val="none"/>
          <w14:textFill>
            <w14:solidFill>
              <w14:schemeClr w14:val="tx1"/>
            </w14:solidFill>
          </w14:textFill>
        </w:rPr>
      </w:pPr>
    </w:p>
    <w:p w14:paraId="7FCE763A">
      <w:pPr>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投 标 函</w:t>
      </w:r>
    </w:p>
    <w:p w14:paraId="61D3B0B1">
      <w:pPr>
        <w:rPr>
          <w:b/>
          <w:color w:val="000000" w:themeColor="text1"/>
          <w:szCs w:val="21"/>
          <w:highlight w:val="none"/>
          <w14:textFill>
            <w14:solidFill>
              <w14:schemeClr w14:val="tx1"/>
            </w14:solidFill>
          </w14:textFill>
        </w:rPr>
      </w:pPr>
    </w:p>
    <w:p w14:paraId="069109F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致：</w:t>
      </w:r>
      <w:bookmarkStart w:id="140" w:name="_Hlk19051378"/>
      <w:r>
        <w:rPr>
          <w:color w:val="000000" w:themeColor="text1"/>
          <w:szCs w:val="21"/>
          <w:highlight w:val="none"/>
          <w14:textFill>
            <w14:solidFill>
              <w14:schemeClr w14:val="tx1"/>
            </w14:solidFill>
          </w14:textFill>
        </w:rPr>
        <w:t>_</w:t>
      </w:r>
      <w:r>
        <w:rPr>
          <w:i/>
          <w:iCs/>
          <w:color w:val="000000" w:themeColor="text1"/>
          <w:szCs w:val="21"/>
          <w:highlight w:val="none"/>
          <w:u w:val="single"/>
          <w14:textFill>
            <w14:solidFill>
              <w14:schemeClr w14:val="tx1"/>
            </w14:solidFill>
          </w14:textFill>
        </w:rPr>
        <w:t>（采购</w:t>
      </w:r>
      <w:r>
        <w:rPr>
          <w:rFonts w:hint="eastAsia"/>
          <w:i/>
          <w:iCs/>
          <w:color w:val="000000" w:themeColor="text1"/>
          <w:szCs w:val="21"/>
          <w:highlight w:val="none"/>
          <w:u w:val="single"/>
          <w14:textFill>
            <w14:solidFill>
              <w14:schemeClr w14:val="tx1"/>
            </w14:solidFill>
          </w14:textFill>
        </w:rPr>
        <w:t>人</w:t>
      </w:r>
      <w:r>
        <w:rPr>
          <w:i/>
          <w:iCs/>
          <w:color w:val="000000" w:themeColor="text1"/>
          <w:szCs w:val="21"/>
          <w:highlight w:val="none"/>
          <w:u w:val="single"/>
          <w14:textFill>
            <w14:solidFill>
              <w14:schemeClr w14:val="tx1"/>
            </w14:solidFill>
          </w14:textFill>
        </w:rPr>
        <w:t>名称）</w:t>
      </w:r>
      <w:r>
        <w:rPr>
          <w:i/>
          <w:iCs/>
          <w:color w:val="000000" w:themeColor="text1"/>
          <w:szCs w:val="21"/>
          <w:highlight w:val="none"/>
          <w14:textFill>
            <w14:solidFill>
              <w14:schemeClr w14:val="tx1"/>
            </w14:solidFill>
          </w14:textFill>
        </w:rPr>
        <w:t>_</w:t>
      </w:r>
      <w:bookmarkEnd w:id="140"/>
      <w:r>
        <w:rPr>
          <w:color w:val="000000" w:themeColor="text1"/>
          <w:szCs w:val="21"/>
          <w:highlight w:val="none"/>
          <w14:textFill>
            <w14:solidFill>
              <w14:schemeClr w14:val="tx1"/>
            </w14:solidFill>
          </w14:textFill>
        </w:rPr>
        <w:t>：</w:t>
      </w:r>
    </w:p>
    <w:p w14:paraId="2A73171F">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我方已仔细研究了</w:t>
      </w:r>
      <w:bookmarkStart w:id="141" w:name="_Hlk19051388"/>
      <w:r>
        <w:rPr>
          <w:rFonts w:hint="eastAsia"/>
          <w:i/>
          <w:iCs/>
          <w:color w:val="000000" w:themeColor="text1"/>
          <w:szCs w:val="21"/>
          <w:highlight w:val="none"/>
          <w:u w:val="single"/>
          <w14:textFill>
            <w14:solidFill>
              <w14:schemeClr w14:val="tx1"/>
            </w14:solidFill>
          </w14:textFill>
        </w:rPr>
        <w:t>（项目名称）</w:t>
      </w:r>
      <w:bookmarkEnd w:id="141"/>
      <w:r>
        <w:rPr>
          <w:color w:val="000000" w:themeColor="text1"/>
          <w:szCs w:val="21"/>
          <w:highlight w:val="none"/>
          <w14:textFill>
            <w14:solidFill>
              <w14:schemeClr w14:val="tx1"/>
            </w14:solidFill>
          </w14:textFill>
        </w:rPr>
        <w:t>的招标文件的全部内容。签字代表</w:t>
      </w:r>
      <w:bookmarkStart w:id="142" w:name="_Hlk19051393"/>
      <w:r>
        <w:rPr>
          <w:rFonts w:hint="eastAsia"/>
          <w:i/>
          <w:iCs/>
          <w:color w:val="000000" w:themeColor="text1"/>
          <w:szCs w:val="21"/>
          <w:highlight w:val="none"/>
          <w:u w:val="single"/>
          <w14:textFill>
            <w14:solidFill>
              <w14:schemeClr w14:val="tx1"/>
            </w14:solidFill>
          </w14:textFill>
        </w:rPr>
        <w:t>（授权代表姓名）</w:t>
      </w:r>
      <w:bookmarkEnd w:id="142"/>
      <w:r>
        <w:rPr>
          <w:color w:val="000000" w:themeColor="text1"/>
          <w:szCs w:val="21"/>
          <w:highlight w:val="none"/>
          <w14:textFill>
            <w14:solidFill>
              <w14:schemeClr w14:val="tx1"/>
            </w14:solidFill>
          </w14:textFill>
        </w:rPr>
        <w:t>经正式授权并代表供应商_</w:t>
      </w:r>
      <w:bookmarkStart w:id="143" w:name="_Hlk19051402"/>
      <w:r>
        <w:rPr>
          <w:i/>
          <w:iCs/>
          <w:color w:val="000000" w:themeColor="text1"/>
          <w:szCs w:val="21"/>
          <w:highlight w:val="none"/>
          <w:u w:val="single"/>
          <w14:textFill>
            <w14:solidFill>
              <w14:schemeClr w14:val="tx1"/>
            </w14:solidFill>
          </w14:textFill>
        </w:rPr>
        <w:t>（供应商名称）</w:t>
      </w:r>
      <w:bookmarkEnd w:id="143"/>
      <w:r>
        <w:rPr>
          <w:color w:val="000000" w:themeColor="text1"/>
          <w:szCs w:val="21"/>
          <w:highlight w:val="none"/>
          <w14:textFill>
            <w14:solidFill>
              <w14:schemeClr w14:val="tx1"/>
            </w14:solidFill>
          </w14:textFill>
        </w:rPr>
        <w:t>提交投标文件</w:t>
      </w:r>
      <w:r>
        <w:rPr>
          <w:rFonts w:hint="eastAsia"/>
          <w:color w:val="000000" w:themeColor="text1"/>
          <w:szCs w:val="21"/>
          <w:highlight w:val="none"/>
          <w14:textFill>
            <w14:solidFill>
              <w14:schemeClr w14:val="tx1"/>
            </w14:solidFill>
          </w14:textFill>
        </w:rPr>
        <w:t>。</w:t>
      </w:r>
    </w:p>
    <w:p w14:paraId="4A1C000A">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据此函，签字代表宣布同意如下：</w:t>
      </w:r>
    </w:p>
    <w:p w14:paraId="75E47624">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我方</w:t>
      </w:r>
      <w:r>
        <w:rPr>
          <w:color w:val="000000" w:themeColor="text1"/>
          <w:szCs w:val="21"/>
          <w:highlight w:val="none"/>
          <w14:textFill>
            <w14:solidFill>
              <w14:schemeClr w14:val="tx1"/>
            </w14:solidFill>
          </w14:textFill>
        </w:rPr>
        <w:t>已详细审查全部“招标文件”，包括修改文件（如有的话）以及全部参考资料和有关附件，已经了解我方对于招标文件、采购过程、采购结果有依法进行询问、质疑、投诉的权利及相关渠道和要求。</w:t>
      </w:r>
    </w:p>
    <w:p w14:paraId="0D93FDAA">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我方</w:t>
      </w:r>
      <w:r>
        <w:rPr>
          <w:color w:val="000000" w:themeColor="text1"/>
          <w:szCs w:val="21"/>
          <w:highlight w:val="none"/>
          <w14:textFill>
            <w14:solidFill>
              <w14:schemeClr w14:val="tx1"/>
            </w14:solidFill>
          </w14:textFill>
        </w:rPr>
        <w:t>在投标之前已经与贵方进行了充分的沟通，完全理解并接受招标文件的各项规定和要求，对招标文件的合理性、合法性不再有异议。</w:t>
      </w:r>
    </w:p>
    <w:p w14:paraId="7DC33BBF">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（3）我方承诺本投标有效期为第三章投标人须知规定的期限。</w:t>
      </w:r>
    </w:p>
    <w:p w14:paraId="7D69E0AF">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（4）如中标，本投标文件至本项目合同履行完毕止均保持有效，</w:t>
      </w:r>
      <w:r>
        <w:rPr>
          <w:rFonts w:hint="eastAsia"/>
          <w:color w:val="000000" w:themeColor="text1"/>
          <w:szCs w:val="21"/>
          <w:highlight w:val="none"/>
          <w14:textFill>
            <w14:solidFill>
              <w14:schemeClr w14:val="tx1"/>
            </w14:solidFill>
          </w14:textFill>
        </w:rPr>
        <w:t>我方</w:t>
      </w:r>
      <w:r>
        <w:rPr>
          <w:color w:val="000000" w:themeColor="text1"/>
          <w:szCs w:val="21"/>
          <w:highlight w:val="none"/>
          <w14:textFill>
            <w14:solidFill>
              <w14:schemeClr w14:val="tx1"/>
            </w14:solidFill>
          </w14:textFill>
        </w:rPr>
        <w:t>将按“招标文件”及政府采购法律、法规的规定履行合同责任和义务</w:t>
      </w:r>
      <w:r>
        <w:rPr>
          <w:rFonts w:hint="eastAsia"/>
          <w:color w:val="000000" w:themeColor="text1"/>
          <w:szCs w:val="21"/>
          <w:highlight w:val="none"/>
          <w14:textFill>
            <w14:solidFill>
              <w14:schemeClr w14:val="tx1"/>
            </w14:solidFill>
          </w14:textFill>
        </w:rPr>
        <w:t>，并承诺</w:t>
      </w:r>
      <w:r>
        <w:rPr>
          <w:color w:val="000000" w:themeColor="text1"/>
          <w:szCs w:val="21"/>
          <w:highlight w:val="none"/>
          <w14:textFill>
            <w14:solidFill>
              <w14:schemeClr w14:val="tx1"/>
            </w14:solidFill>
          </w14:textFill>
        </w:rPr>
        <w:t>不分包及转包他人。</w:t>
      </w:r>
    </w:p>
    <w:p w14:paraId="74B1ACEC">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我方</w:t>
      </w:r>
      <w:r>
        <w:rPr>
          <w:color w:val="000000" w:themeColor="text1"/>
          <w:szCs w:val="21"/>
          <w:highlight w:val="none"/>
          <w14:textFill>
            <w14:solidFill>
              <w14:schemeClr w14:val="tx1"/>
            </w14:solidFill>
          </w14:textFill>
        </w:rPr>
        <w:t>同意按照贵方要求提供与投标有关的一切数据或资料。</w:t>
      </w:r>
    </w:p>
    <w:p w14:paraId="47A9399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（6）与本项目有关的一切正式往来信函请寄：</w:t>
      </w:r>
    </w:p>
    <w:p w14:paraId="08062AFF">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地址：</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邮编：</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电话：</w:t>
      </w:r>
      <w:r>
        <w:rPr>
          <w:color w:val="000000" w:themeColor="text1"/>
          <w:szCs w:val="21"/>
          <w:highlight w:val="none"/>
          <w:u w:val="single"/>
          <w14:textFill>
            <w14:solidFill>
              <w14:schemeClr w14:val="tx1"/>
            </w14:solidFill>
          </w14:textFill>
        </w:rPr>
        <w:t xml:space="preserve">            </w:t>
      </w:r>
    </w:p>
    <w:p w14:paraId="5580C775">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传真：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p>
    <w:p w14:paraId="6DC437B6">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供应商代表姓名</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职务：</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邮箱：</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p>
    <w:p w14:paraId="1FCB89ED">
      <w:pPr>
        <w:spacing w:line="360" w:lineRule="auto"/>
        <w:rPr>
          <w:color w:val="000000" w:themeColor="text1"/>
          <w:szCs w:val="21"/>
          <w:highlight w:val="none"/>
          <w14:textFill>
            <w14:solidFill>
              <w14:schemeClr w14:val="tx1"/>
            </w14:solidFill>
          </w14:textFill>
        </w:rPr>
      </w:pPr>
    </w:p>
    <w:p w14:paraId="53624912">
      <w:pPr>
        <w:spacing w:line="360" w:lineRule="auto"/>
        <w:rPr>
          <w:color w:val="000000" w:themeColor="text1"/>
          <w:szCs w:val="21"/>
          <w:highlight w:val="none"/>
          <w14:textFill>
            <w14:solidFill>
              <w14:schemeClr w14:val="tx1"/>
            </w14:solidFill>
          </w14:textFill>
        </w:rPr>
      </w:pPr>
    </w:p>
    <w:p w14:paraId="0C2D7FB3">
      <w:pPr>
        <w:spacing w:line="360" w:lineRule="auto"/>
        <w:rPr>
          <w:color w:val="000000" w:themeColor="text1"/>
          <w:szCs w:val="21"/>
          <w:highlight w:val="none"/>
          <w14:textFill>
            <w14:solidFill>
              <w14:schemeClr w14:val="tx1"/>
            </w14:solidFill>
          </w14:textFill>
        </w:rPr>
      </w:pPr>
    </w:p>
    <w:p w14:paraId="2C72C408">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供应商名称(电子签章)：</w:t>
      </w:r>
    </w:p>
    <w:p w14:paraId="45F48E8E">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日期：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w:t>
      </w:r>
    </w:p>
    <w:p w14:paraId="0075A0DD">
      <w:pPr>
        <w:rPr>
          <w:color w:val="000000" w:themeColor="text1"/>
          <w:highlight w:val="none"/>
          <w14:textFill>
            <w14:solidFill>
              <w14:schemeClr w14:val="tx1"/>
            </w14:solidFill>
          </w14:textFill>
        </w:rPr>
      </w:pPr>
      <w:r>
        <w:rPr>
          <w:b/>
          <w:color w:val="000000" w:themeColor="text1"/>
          <w:szCs w:val="2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投标报价明细表格式：</w:t>
      </w:r>
    </w:p>
    <w:p w14:paraId="016C5102">
      <w:pPr>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投标报价明细表</w:t>
      </w:r>
    </w:p>
    <w:p w14:paraId="77B6DE55">
      <w:pPr>
        <w:ind w:firstLine="2415" w:firstLineChars="1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4"/>
        <w:gridCol w:w="3011"/>
        <w:gridCol w:w="2675"/>
        <w:gridCol w:w="2675"/>
      </w:tblGrid>
      <w:tr w14:paraId="7E02F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5B0A91D2">
            <w:pPr>
              <w:jc w:val="center"/>
              <w:rPr>
                <w:color w:val="000000" w:themeColor="text1"/>
                <w:spacing w:val="20"/>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3011" w:type="dxa"/>
            <w:tcBorders>
              <w:top w:val="single" w:color="auto" w:sz="4" w:space="0"/>
              <w:left w:val="single" w:color="auto" w:sz="4" w:space="0"/>
              <w:bottom w:val="single" w:color="auto" w:sz="4" w:space="0"/>
              <w:right w:val="single" w:color="auto" w:sz="4" w:space="0"/>
            </w:tcBorders>
            <w:vAlign w:val="center"/>
          </w:tcPr>
          <w:p w14:paraId="440F36A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服务名称</w:t>
            </w:r>
          </w:p>
        </w:tc>
        <w:tc>
          <w:tcPr>
            <w:tcW w:w="2675" w:type="dxa"/>
            <w:tcBorders>
              <w:top w:val="single" w:color="auto" w:sz="4" w:space="0"/>
              <w:left w:val="single" w:color="auto" w:sz="4" w:space="0"/>
              <w:bottom w:val="single" w:color="auto" w:sz="4" w:space="0"/>
              <w:right w:val="single" w:color="auto" w:sz="4" w:space="0"/>
            </w:tcBorders>
            <w:vAlign w:val="center"/>
          </w:tcPr>
          <w:p w14:paraId="16B0C83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报价</w:t>
            </w:r>
          </w:p>
        </w:tc>
        <w:tc>
          <w:tcPr>
            <w:tcW w:w="2675" w:type="dxa"/>
            <w:tcBorders>
              <w:top w:val="single" w:color="auto" w:sz="4" w:space="0"/>
              <w:left w:val="single" w:color="auto" w:sz="4" w:space="0"/>
              <w:bottom w:val="single" w:color="auto" w:sz="4" w:space="0"/>
              <w:right w:val="single" w:color="auto" w:sz="4" w:space="0"/>
            </w:tcBorders>
            <w:vAlign w:val="center"/>
          </w:tcPr>
          <w:p w14:paraId="2D383FA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备注</w:t>
            </w:r>
          </w:p>
        </w:tc>
      </w:tr>
      <w:tr w14:paraId="0C785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58F1E84F">
            <w:pPr>
              <w:jc w:val="center"/>
              <w:rPr>
                <w:color w:val="000000" w:themeColor="text1"/>
                <w:spacing w:val="20"/>
                <w:szCs w:val="21"/>
                <w:highlight w:val="none"/>
                <w14:textFill>
                  <w14:solidFill>
                    <w14:schemeClr w14:val="tx1"/>
                  </w14:solidFill>
                </w14:textFill>
              </w:rPr>
            </w:pPr>
          </w:p>
        </w:tc>
        <w:tc>
          <w:tcPr>
            <w:tcW w:w="3011" w:type="dxa"/>
            <w:tcBorders>
              <w:top w:val="single" w:color="auto" w:sz="4" w:space="0"/>
              <w:left w:val="single" w:color="auto" w:sz="4" w:space="0"/>
              <w:bottom w:val="single" w:color="auto" w:sz="4" w:space="0"/>
              <w:right w:val="single" w:color="auto" w:sz="4" w:space="0"/>
            </w:tcBorders>
            <w:vAlign w:val="center"/>
          </w:tcPr>
          <w:p w14:paraId="309880E8">
            <w:pPr>
              <w:jc w:val="center"/>
              <w:rPr>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tcPr>
          <w:p w14:paraId="53947128">
            <w:pPr>
              <w:jc w:val="center"/>
              <w:rPr>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vAlign w:val="center"/>
          </w:tcPr>
          <w:p w14:paraId="2421AE6E">
            <w:pPr>
              <w:jc w:val="center"/>
              <w:rPr>
                <w:color w:val="000000" w:themeColor="text1"/>
                <w:spacing w:val="20"/>
                <w:szCs w:val="21"/>
                <w:highlight w:val="none"/>
                <w14:textFill>
                  <w14:solidFill>
                    <w14:schemeClr w14:val="tx1"/>
                  </w14:solidFill>
                </w14:textFill>
              </w:rPr>
            </w:pPr>
          </w:p>
        </w:tc>
      </w:tr>
      <w:tr w14:paraId="430C5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6E0260E2">
            <w:pPr>
              <w:jc w:val="center"/>
              <w:rPr>
                <w:color w:val="000000" w:themeColor="text1"/>
                <w:spacing w:val="20"/>
                <w:szCs w:val="21"/>
                <w:highlight w:val="none"/>
                <w14:textFill>
                  <w14:solidFill>
                    <w14:schemeClr w14:val="tx1"/>
                  </w14:solidFill>
                </w14:textFill>
              </w:rPr>
            </w:pPr>
          </w:p>
        </w:tc>
        <w:tc>
          <w:tcPr>
            <w:tcW w:w="3011" w:type="dxa"/>
            <w:tcBorders>
              <w:top w:val="single" w:color="auto" w:sz="4" w:space="0"/>
              <w:left w:val="single" w:color="auto" w:sz="4" w:space="0"/>
              <w:bottom w:val="single" w:color="auto" w:sz="4" w:space="0"/>
              <w:right w:val="single" w:color="auto" w:sz="4" w:space="0"/>
            </w:tcBorders>
            <w:vAlign w:val="center"/>
          </w:tcPr>
          <w:p w14:paraId="64B97349">
            <w:pPr>
              <w:jc w:val="center"/>
              <w:rPr>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tcPr>
          <w:p w14:paraId="511D6FB7">
            <w:pPr>
              <w:jc w:val="center"/>
              <w:rPr>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vAlign w:val="center"/>
          </w:tcPr>
          <w:p w14:paraId="56F798FB">
            <w:pPr>
              <w:jc w:val="center"/>
              <w:rPr>
                <w:color w:val="000000" w:themeColor="text1"/>
                <w:spacing w:val="20"/>
                <w:szCs w:val="21"/>
                <w:highlight w:val="none"/>
                <w14:textFill>
                  <w14:solidFill>
                    <w14:schemeClr w14:val="tx1"/>
                  </w14:solidFill>
                </w14:textFill>
              </w:rPr>
            </w:pPr>
          </w:p>
        </w:tc>
      </w:tr>
      <w:tr w14:paraId="54D4E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7E1478E5">
            <w:pPr>
              <w:jc w:val="center"/>
              <w:rPr>
                <w:color w:val="000000" w:themeColor="text1"/>
                <w:spacing w:val="20"/>
                <w:szCs w:val="21"/>
                <w:highlight w:val="none"/>
                <w14:textFill>
                  <w14:solidFill>
                    <w14:schemeClr w14:val="tx1"/>
                  </w14:solidFill>
                </w14:textFill>
              </w:rPr>
            </w:pPr>
          </w:p>
        </w:tc>
        <w:tc>
          <w:tcPr>
            <w:tcW w:w="3011" w:type="dxa"/>
            <w:tcBorders>
              <w:top w:val="single" w:color="auto" w:sz="4" w:space="0"/>
              <w:left w:val="single" w:color="auto" w:sz="4" w:space="0"/>
              <w:bottom w:val="single" w:color="auto" w:sz="4" w:space="0"/>
              <w:right w:val="single" w:color="auto" w:sz="4" w:space="0"/>
            </w:tcBorders>
            <w:vAlign w:val="center"/>
          </w:tcPr>
          <w:p w14:paraId="2E53DD1E">
            <w:pPr>
              <w:jc w:val="center"/>
              <w:rPr>
                <w:color w:val="000000" w:themeColor="text1"/>
                <w:spacing w:val="20"/>
                <w:szCs w:val="21"/>
                <w:highlight w:val="none"/>
                <w14:textFill>
                  <w14:solidFill>
                    <w14:schemeClr w14:val="tx1"/>
                  </w14:solidFill>
                </w14:textFill>
              </w:rPr>
            </w:pPr>
            <w:r>
              <w:rPr>
                <w:color w:val="000000" w:themeColor="text1"/>
                <w:spacing w:val="20"/>
                <w:szCs w:val="21"/>
                <w:highlight w:val="none"/>
                <w14:textFill>
                  <w14:solidFill>
                    <w14:schemeClr w14:val="tx1"/>
                  </w14:solidFill>
                </w14:textFill>
              </w:rPr>
              <w:t>……</w:t>
            </w:r>
          </w:p>
        </w:tc>
        <w:tc>
          <w:tcPr>
            <w:tcW w:w="2675" w:type="dxa"/>
            <w:tcBorders>
              <w:top w:val="single" w:color="auto" w:sz="4" w:space="0"/>
              <w:left w:val="single" w:color="auto" w:sz="4" w:space="0"/>
              <w:bottom w:val="single" w:color="auto" w:sz="4" w:space="0"/>
              <w:right w:val="single" w:color="auto" w:sz="4" w:space="0"/>
            </w:tcBorders>
          </w:tcPr>
          <w:p w14:paraId="1DA512B6">
            <w:pPr>
              <w:jc w:val="center"/>
              <w:rPr>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vAlign w:val="center"/>
          </w:tcPr>
          <w:p w14:paraId="28BDE289">
            <w:pPr>
              <w:jc w:val="center"/>
              <w:rPr>
                <w:color w:val="000000" w:themeColor="text1"/>
                <w:spacing w:val="20"/>
                <w:szCs w:val="21"/>
                <w:highlight w:val="none"/>
                <w14:textFill>
                  <w14:solidFill>
                    <w14:schemeClr w14:val="tx1"/>
                  </w14:solidFill>
                </w14:textFill>
              </w:rPr>
            </w:pPr>
          </w:p>
        </w:tc>
      </w:tr>
    </w:tbl>
    <w:p w14:paraId="0709A6C6">
      <w:pPr>
        <w:rPr>
          <w:color w:val="000000" w:themeColor="text1"/>
          <w:spacing w:val="20"/>
          <w:szCs w:val="21"/>
          <w:highlight w:val="none"/>
          <w:u w:val="single"/>
          <w14:textFill>
            <w14:solidFill>
              <w14:schemeClr w14:val="tx1"/>
            </w14:solidFill>
          </w14:textFill>
        </w:rPr>
      </w:pPr>
    </w:p>
    <w:p w14:paraId="66143A5F">
      <w:pPr>
        <w:spacing w:line="360" w:lineRule="auto"/>
        <w:rPr>
          <w:color w:val="000000" w:themeColor="text1"/>
          <w:spacing w:val="20"/>
          <w:szCs w:val="21"/>
          <w:highlight w:val="none"/>
          <w14:textFill>
            <w14:solidFill>
              <w14:schemeClr w14:val="tx1"/>
            </w14:solidFill>
          </w14:textFill>
        </w:rPr>
      </w:pPr>
    </w:p>
    <w:p w14:paraId="0A56DDCB">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注：本表如与广西政府采购云平台不一致的，以广西政府采购云平台为准。</w:t>
      </w:r>
    </w:p>
    <w:p w14:paraId="43E41055">
      <w:pPr>
        <w:snapToGrid w:val="0"/>
        <w:spacing w:before="50" w:after="120" w:afterLines="50"/>
        <w:jc w:val="left"/>
        <w:rPr>
          <w:color w:val="000000" w:themeColor="text1"/>
          <w:szCs w:val="21"/>
          <w:highlight w:val="none"/>
          <w14:textFill>
            <w14:solidFill>
              <w14:schemeClr w14:val="tx1"/>
            </w14:solidFill>
          </w14:textFill>
        </w:rPr>
      </w:pPr>
    </w:p>
    <w:p w14:paraId="252ACEA3">
      <w:pPr>
        <w:snapToGrid w:val="0"/>
        <w:spacing w:before="50" w:after="120" w:afterLines="50"/>
        <w:jc w:val="left"/>
        <w:rPr>
          <w:color w:val="000000" w:themeColor="text1"/>
          <w:szCs w:val="21"/>
          <w:highlight w:val="none"/>
          <w14:textFill>
            <w14:solidFill>
              <w14:schemeClr w14:val="tx1"/>
            </w14:solidFill>
          </w14:textFill>
        </w:rPr>
      </w:pPr>
    </w:p>
    <w:p w14:paraId="33CFB4DD">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供应商名称（电子签章）：                          </w:t>
      </w:r>
    </w:p>
    <w:p w14:paraId="12A4D1BE">
      <w:pPr>
        <w:snapToGrid w:val="0"/>
        <w:spacing w:before="50" w:after="120" w:afterLines="50"/>
        <w:jc w:val="left"/>
        <w:rPr>
          <w:color w:val="000000" w:themeColor="text1"/>
          <w:szCs w:val="21"/>
          <w:highlight w:val="none"/>
          <w14:textFill>
            <w14:solidFill>
              <w14:schemeClr w14:val="tx1"/>
            </w14:solidFill>
          </w14:textFill>
        </w:rPr>
        <w:sectPr>
          <w:headerReference r:id="rId18" w:type="default"/>
          <w:pgSz w:w="11906" w:h="16838"/>
          <w:pgMar w:top="1418" w:right="1274" w:bottom="1418" w:left="1418" w:header="851" w:footer="992" w:gutter="0"/>
          <w:cols w:space="720" w:num="1"/>
          <w:docGrid w:linePitch="312" w:charSpace="0"/>
        </w:sectPr>
      </w:pPr>
      <w:r>
        <w:rPr>
          <w:rFonts w:hint="eastAsia"/>
          <w:color w:val="000000" w:themeColor="text1"/>
          <w:szCs w:val="21"/>
          <w:highlight w:val="none"/>
          <w14:textFill>
            <w14:solidFill>
              <w14:schemeClr w14:val="tx1"/>
            </w14:solidFill>
          </w14:textFill>
        </w:rPr>
        <w:t xml:space="preserve">日  期：         年   月   日 </w:t>
      </w:r>
    </w:p>
    <w:p w14:paraId="17DF5485">
      <w:pPr>
        <w:snapToGrid w:val="0"/>
        <w:spacing w:before="50" w:after="120" w:afterLine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3．过低报价合理性的说明。（如有）</w:t>
      </w:r>
    </w:p>
    <w:bookmarkEnd w:id="0"/>
    <w:bookmarkEnd w:id="1"/>
    <w:p w14:paraId="11EB573B">
      <w:pPr>
        <w:spacing w:line="360" w:lineRule="auto"/>
        <w:ind w:firstLine="420" w:firstLineChars="200"/>
        <w:rPr>
          <w:color w:val="000000" w:themeColor="text1"/>
          <w:szCs w:val="21"/>
          <w:highlight w:val="none"/>
          <w14:textFill>
            <w14:solidFill>
              <w14:schemeClr w14:val="tx1"/>
            </w14:solidFill>
          </w14:textFill>
        </w:rPr>
      </w:pPr>
      <w:bookmarkStart w:id="144" w:name="_Hlk88990880"/>
      <w:r>
        <w:rPr>
          <w:color w:val="000000" w:themeColor="text1"/>
          <w:szCs w:val="21"/>
          <w:highlight w:val="none"/>
          <w14:textFill>
            <w14:solidFill>
              <w14:schemeClr w14:val="tx1"/>
            </w14:solidFill>
          </w14:textFill>
        </w:rPr>
        <w:t>评审委员会认为的报价</w:t>
      </w:r>
      <w:r>
        <w:rPr>
          <w:rFonts w:hint="eastAsia"/>
          <w:color w:val="000000" w:themeColor="text1"/>
          <w:szCs w:val="21"/>
          <w:highlight w:val="none"/>
          <w14:textFill>
            <w14:solidFill>
              <w14:schemeClr w14:val="tx1"/>
            </w14:solidFill>
          </w14:textFill>
        </w:rPr>
        <w:t>存在异常低价问题的情形</w:t>
      </w:r>
      <w:r>
        <w:rPr>
          <w:color w:val="000000" w:themeColor="text1"/>
          <w:szCs w:val="21"/>
          <w:highlight w:val="none"/>
          <w14:textFill>
            <w14:solidFill>
              <w14:schemeClr w14:val="tx1"/>
            </w14:solidFill>
          </w14:textFill>
        </w:rPr>
        <w:t>，供应商将被要求以书面方式提供</w:t>
      </w:r>
      <w:r>
        <w:rPr>
          <w:rFonts w:hint="eastAsia"/>
          <w:color w:val="000000" w:themeColor="text1"/>
          <w:szCs w:val="21"/>
          <w:highlight w:val="none"/>
          <w14:textFill>
            <w14:solidFill>
              <w14:schemeClr w14:val="tx1"/>
            </w14:solidFill>
          </w14:textFill>
        </w:rPr>
        <w:t>项目具体成本测算等与报价合理性相关的书面说明及必要的证明材料</w:t>
      </w:r>
      <w:r>
        <w:rPr>
          <w:color w:val="000000" w:themeColor="text1"/>
          <w:szCs w:val="21"/>
          <w:highlight w:val="none"/>
          <w14:textFill>
            <w14:solidFill>
              <w14:schemeClr w14:val="tx1"/>
            </w14:solidFill>
          </w14:textFill>
        </w:rPr>
        <w:t>。为避免在评审现场因未能及时提供说明而导致被评审委员会作为无效投标，供应商</w:t>
      </w:r>
      <w:r>
        <w:rPr>
          <w:rFonts w:hint="eastAsia"/>
          <w:color w:val="000000" w:themeColor="text1"/>
          <w:highlight w:val="none"/>
          <w14:textFill>
            <w14:solidFill>
              <w14:schemeClr w14:val="tx1"/>
            </w14:solidFill>
          </w14:textFill>
        </w:rPr>
        <w:t>自行决定是否</w:t>
      </w:r>
      <w:r>
        <w:rPr>
          <w:color w:val="000000" w:themeColor="text1"/>
          <w:kern w:val="1"/>
          <w:szCs w:val="21"/>
          <w:highlight w:val="none"/>
          <w14:textFill>
            <w14:solidFill>
              <w14:schemeClr w14:val="tx1"/>
            </w14:solidFill>
          </w14:textFill>
        </w:rPr>
        <w:t>直接在</w:t>
      </w:r>
      <w:r>
        <w:rPr>
          <w:color w:val="000000" w:themeColor="text1"/>
          <w:szCs w:val="21"/>
          <w:highlight w:val="none"/>
          <w14:textFill>
            <w14:solidFill>
              <w14:schemeClr w14:val="tx1"/>
            </w14:solidFill>
          </w14:textFill>
        </w:rPr>
        <w:t>此处</w:t>
      </w:r>
      <w:r>
        <w:rPr>
          <w:rFonts w:hint="eastAsia"/>
          <w:color w:val="000000" w:themeColor="text1"/>
          <w:szCs w:val="21"/>
          <w:highlight w:val="none"/>
          <w14:textFill>
            <w14:solidFill>
              <w14:schemeClr w14:val="tx1"/>
            </w14:solidFill>
          </w14:textFill>
        </w:rPr>
        <w:t>进行陈述</w:t>
      </w:r>
      <w:r>
        <w:rPr>
          <w:color w:val="000000" w:themeColor="text1"/>
          <w:szCs w:val="21"/>
          <w:highlight w:val="none"/>
          <w14:textFill>
            <w14:solidFill>
              <w14:schemeClr w14:val="tx1"/>
            </w14:solidFill>
          </w14:textFill>
        </w:rPr>
        <w:t>。格式自拟。</w:t>
      </w:r>
      <w:r>
        <w:rPr>
          <w:rFonts w:hint="eastAsia"/>
          <w:color w:val="000000" w:themeColor="text1"/>
          <w:szCs w:val="21"/>
          <w:highlight w:val="none"/>
          <w14:textFill>
            <w14:solidFill>
              <w14:schemeClr w14:val="tx1"/>
            </w14:solidFill>
          </w14:textFill>
        </w:rPr>
        <w:t>（</w:t>
      </w:r>
      <w:r>
        <w:rPr>
          <w:rFonts w:hint="eastAsia"/>
          <w:color w:val="000000" w:themeColor="text1"/>
          <w:kern w:val="1"/>
          <w:szCs w:val="21"/>
          <w:highlight w:val="none"/>
          <w14:textFill>
            <w14:solidFill>
              <w14:schemeClr w14:val="tx1"/>
            </w14:solidFill>
          </w14:textFill>
        </w:rPr>
        <w:t>具体要求详见第四章评审方法及标准“过低报价合理性的审查”</w:t>
      </w:r>
      <w:r>
        <w:rPr>
          <w:rFonts w:hint="eastAsia"/>
          <w:color w:val="000000" w:themeColor="text1"/>
          <w:szCs w:val="21"/>
          <w:highlight w:val="none"/>
          <w14:textFill>
            <w14:solidFill>
              <w14:schemeClr w14:val="tx1"/>
            </w14:solidFill>
          </w14:textFill>
        </w:rPr>
        <w:t>）</w:t>
      </w:r>
    </w:p>
    <w:p w14:paraId="59C44341">
      <w:pPr>
        <w:pStyle w:val="139"/>
        <w:jc w:val="center"/>
        <w:rPr>
          <w:b/>
          <w:bCs/>
          <w:color w:val="000000" w:themeColor="text1"/>
          <w:highlight w:val="none"/>
          <w14:textFill>
            <w14:solidFill>
              <w14:schemeClr w14:val="tx1"/>
            </w14:solidFill>
          </w14:textFill>
        </w:rPr>
      </w:pPr>
      <w:bookmarkStart w:id="145" w:name="_Hlk211331823"/>
    </w:p>
    <w:p w14:paraId="783E9B9E">
      <w:pPr>
        <w:pStyle w:val="139"/>
        <w:jc w:val="center"/>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产品成本测算表（参考格式）</w:t>
      </w:r>
    </w:p>
    <w:p w14:paraId="2DB889C3">
      <w:pPr>
        <w:spacing w:line="360" w:lineRule="auto"/>
        <w:rPr>
          <w:color w:val="000000" w:themeColor="text1"/>
          <w:highlight w:val="none"/>
          <w14:textFill>
            <w14:solidFill>
              <w14:schemeClr w14:val="tx1"/>
            </w14:solidFill>
          </w14:textFill>
        </w:rPr>
      </w:pPr>
    </w:p>
    <w:bookmarkEnd w:id="145"/>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000000" w:themeColor="text1"/>
                <w:highlight w:val="none"/>
                <w14:textFill>
                  <w14:solidFill>
                    <w14:schemeClr w14:val="tx1"/>
                  </w14:solidFill>
                </w14:textFill>
              </w:rPr>
            </w:pPr>
            <w:r>
              <w:rPr>
                <w:rFonts w:hint="eastAsia" w:cs="仿宋_GB2312"/>
                <w:b/>
                <w:color w:val="000000" w:themeColor="text1"/>
                <w:highlight w:val="none"/>
                <w14:textFill>
                  <w14:solidFill>
                    <w14:schemeClr w14:val="tx1"/>
                  </w14:solidFill>
                </w14:textFill>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报价单价（</w:t>
            </w:r>
            <w:r>
              <w:rPr>
                <w:rFonts w:cs="宋体"/>
                <w:b/>
                <w:color w:val="000000" w:themeColor="text1"/>
                <w:highlight w:val="none"/>
                <w14:textFill>
                  <w14:solidFill>
                    <w14:schemeClr w14:val="tx1"/>
                  </w14:solidFill>
                </w14:textFill>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成本项目</w:t>
            </w:r>
          </w:p>
          <w:p w14:paraId="5AD3EE4D">
            <w:pPr>
              <w:spacing w:line="360" w:lineRule="auto"/>
              <w:ind w:right="-65" w:rightChars="-31"/>
              <w:rPr>
                <w:rFonts w:cs="宋体"/>
                <w:b/>
                <w:color w:val="000000" w:themeColor="text1"/>
                <w:highlight w:val="none"/>
                <w14:textFill>
                  <w14:solidFill>
                    <w14:schemeClr w14:val="tx1"/>
                  </w14:solidFill>
                </w14:textFill>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具体明细</w:t>
            </w:r>
          </w:p>
          <w:p w14:paraId="7EF200FF">
            <w:pPr>
              <w:spacing w:line="360" w:lineRule="auto"/>
              <w:ind w:left="-48" w:leftChars="-23" w:right="-65" w:rightChars="-31"/>
              <w:jc w:val="center"/>
              <w:rPr>
                <w:rFonts w:cs="宋体"/>
                <w:b/>
                <w:color w:val="000000" w:themeColor="text1"/>
                <w:highlight w:val="none"/>
                <w14:textFill>
                  <w14:solidFill>
                    <w14:schemeClr w14:val="tx1"/>
                  </w14:solidFill>
                </w14:textFill>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单位产品用量</w:t>
            </w:r>
          </w:p>
          <w:p w14:paraId="27DC558F">
            <w:pPr>
              <w:spacing w:line="360" w:lineRule="auto"/>
              <w:ind w:left="-48" w:leftChars="-23" w:right="-65" w:rightChars="-31"/>
              <w:jc w:val="center"/>
              <w:rPr>
                <w:rFonts w:cs="宋体"/>
                <w:b/>
                <w:color w:val="000000" w:themeColor="text1"/>
                <w:highlight w:val="none"/>
                <w14:textFill>
                  <w14:solidFill>
                    <w14:schemeClr w14:val="tx1"/>
                  </w14:solidFill>
                </w14:textFill>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成本</w:t>
            </w:r>
            <w:r>
              <w:rPr>
                <w:rFonts w:cs="宋体"/>
                <w:b/>
                <w:color w:val="000000" w:themeColor="text1"/>
                <w:highlight w:val="none"/>
                <w14:textFill>
                  <w14:solidFill>
                    <w14:schemeClr w14:val="tx1"/>
                  </w14:solidFill>
                </w14:textFill>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31899164">
            <w:pPr>
              <w:numPr>
                <w:ilvl w:val="0"/>
                <w:numId w:val="19"/>
              </w:numPr>
              <w:tabs>
                <w:tab w:val="left" w:pos="61"/>
              </w:tabs>
              <w:jc w:val="center"/>
              <w:rPr>
                <w:color w:val="000000" w:themeColor="text1"/>
                <w:highlight w:val="none"/>
                <w14:textFill>
                  <w14:solidFill>
                    <w14:schemeClr w14:val="tx1"/>
                  </w14:solidFill>
                </w14:textFill>
              </w:rPr>
            </w:pPr>
          </w:p>
        </w:tc>
        <w:tc>
          <w:tcPr>
            <w:tcW w:w="201" w:type="pct"/>
            <w:vMerge w:val="restart"/>
            <w:vAlign w:val="center"/>
          </w:tcPr>
          <w:p w14:paraId="65B757C2">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Merge w:val="restart"/>
            <w:vAlign w:val="center"/>
          </w:tcPr>
          <w:p w14:paraId="58C050D9">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vMerge w:val="restart"/>
            <w:tcBorders>
              <w:left w:val="single" w:color="auto" w:sz="4" w:space="0"/>
            </w:tcBorders>
            <w:vAlign w:val="center"/>
          </w:tcPr>
          <w:p w14:paraId="3B157FD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vMerge w:val="restart"/>
            <w:tcBorders>
              <w:left w:val="single" w:color="auto" w:sz="4" w:space="0"/>
              <w:right w:val="single" w:color="auto" w:sz="4" w:space="0"/>
            </w:tcBorders>
            <w:vAlign w:val="center"/>
          </w:tcPr>
          <w:p w14:paraId="67F6C6EE">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原材料成本</w:t>
            </w:r>
          </w:p>
        </w:tc>
        <w:tc>
          <w:tcPr>
            <w:tcW w:w="560" w:type="pct"/>
            <w:tcBorders>
              <w:left w:val="single" w:color="auto" w:sz="4" w:space="0"/>
            </w:tcBorders>
            <w:vAlign w:val="center"/>
          </w:tcPr>
          <w:p w14:paraId="33003AD0">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原材料1</w:t>
            </w:r>
          </w:p>
        </w:tc>
        <w:tc>
          <w:tcPr>
            <w:tcW w:w="511" w:type="pct"/>
            <w:tcBorders>
              <w:left w:val="single" w:color="auto" w:sz="4" w:space="0"/>
            </w:tcBorders>
            <w:vAlign w:val="center"/>
          </w:tcPr>
          <w:p w14:paraId="2A7EE56F">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00318077">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vMerge w:val="restart"/>
            <w:tcBorders>
              <w:left w:val="single" w:color="auto" w:sz="4" w:space="0"/>
            </w:tcBorders>
            <w:vAlign w:val="center"/>
          </w:tcPr>
          <w:p w14:paraId="17873F2F">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71C7FD89">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7DA847D1">
            <w:pPr>
              <w:numPr>
                <w:ilvl w:val="0"/>
                <w:numId w:val="19"/>
              </w:numPr>
              <w:tabs>
                <w:tab w:val="left" w:pos="61"/>
              </w:tabs>
              <w:jc w:val="center"/>
              <w:rPr>
                <w:color w:val="000000" w:themeColor="text1"/>
                <w:highlight w:val="none"/>
                <w14:textFill>
                  <w14:solidFill>
                    <w14:schemeClr w14:val="tx1"/>
                  </w14:solidFill>
                </w14:textFill>
              </w:rPr>
            </w:pPr>
          </w:p>
        </w:tc>
        <w:tc>
          <w:tcPr>
            <w:tcW w:w="201" w:type="pct"/>
            <w:vMerge w:val="continue"/>
            <w:vAlign w:val="center"/>
          </w:tcPr>
          <w:p w14:paraId="462E3DFC">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Merge w:val="continue"/>
            <w:vAlign w:val="center"/>
          </w:tcPr>
          <w:p w14:paraId="2E160B9A">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vMerge w:val="continue"/>
            <w:tcBorders>
              <w:left w:val="single" w:color="auto" w:sz="4" w:space="0"/>
            </w:tcBorders>
            <w:vAlign w:val="center"/>
          </w:tcPr>
          <w:p w14:paraId="38DF83C2">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731170B0">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60" w:type="pct"/>
            <w:tcBorders>
              <w:left w:val="single" w:color="auto" w:sz="4" w:space="0"/>
            </w:tcBorders>
            <w:vAlign w:val="center"/>
          </w:tcPr>
          <w:p w14:paraId="26F1672B">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p>
        </w:tc>
        <w:tc>
          <w:tcPr>
            <w:tcW w:w="511" w:type="pct"/>
            <w:tcBorders>
              <w:left w:val="single" w:color="auto" w:sz="4" w:space="0"/>
            </w:tcBorders>
            <w:vAlign w:val="center"/>
          </w:tcPr>
          <w:p w14:paraId="539CD006">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0960E9F9">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vMerge w:val="continue"/>
            <w:tcBorders>
              <w:left w:val="single" w:color="auto" w:sz="4" w:space="0"/>
            </w:tcBorders>
            <w:vAlign w:val="center"/>
          </w:tcPr>
          <w:p w14:paraId="4AF14547">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580CE386">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47A0B9B">
            <w:pPr>
              <w:tabs>
                <w:tab w:val="left" w:pos="61"/>
              </w:tabs>
              <w:jc w:val="center"/>
              <w:rPr>
                <w:color w:val="000000" w:themeColor="text1"/>
                <w:highlight w:val="none"/>
                <w14:textFill>
                  <w14:solidFill>
                    <w14:schemeClr w14:val="tx1"/>
                  </w14:solidFill>
                </w14:textFill>
              </w:rPr>
            </w:pPr>
          </w:p>
        </w:tc>
        <w:tc>
          <w:tcPr>
            <w:tcW w:w="201" w:type="pct"/>
            <w:vMerge w:val="continue"/>
            <w:vAlign w:val="center"/>
          </w:tcPr>
          <w:p w14:paraId="5EEB1F4F">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Merge w:val="continue"/>
            <w:vAlign w:val="center"/>
          </w:tcPr>
          <w:p w14:paraId="185BAC6B">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vMerge w:val="continue"/>
            <w:tcBorders>
              <w:left w:val="single" w:color="auto" w:sz="4" w:space="0"/>
            </w:tcBorders>
            <w:vAlign w:val="center"/>
          </w:tcPr>
          <w:p w14:paraId="5F37CA61">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28855F02">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人工成本</w:t>
            </w:r>
          </w:p>
        </w:tc>
        <w:tc>
          <w:tcPr>
            <w:tcW w:w="560" w:type="pct"/>
            <w:tcBorders>
              <w:left w:val="single" w:color="auto" w:sz="4" w:space="0"/>
            </w:tcBorders>
            <w:vAlign w:val="center"/>
          </w:tcPr>
          <w:p w14:paraId="3880182C">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生产工人工资</w:t>
            </w:r>
          </w:p>
        </w:tc>
        <w:tc>
          <w:tcPr>
            <w:tcW w:w="511" w:type="pct"/>
            <w:tcBorders>
              <w:left w:val="single" w:color="auto" w:sz="4" w:space="0"/>
            </w:tcBorders>
            <w:vAlign w:val="center"/>
          </w:tcPr>
          <w:p w14:paraId="3FC90750">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6A222EF7">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vMerge w:val="continue"/>
            <w:tcBorders>
              <w:left w:val="single" w:color="auto" w:sz="4" w:space="0"/>
            </w:tcBorders>
            <w:vAlign w:val="center"/>
          </w:tcPr>
          <w:p w14:paraId="2CB39DE6">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55657EF1">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C5D4CED">
            <w:pPr>
              <w:tabs>
                <w:tab w:val="left" w:pos="61"/>
              </w:tabs>
              <w:jc w:val="center"/>
              <w:rPr>
                <w:color w:val="000000" w:themeColor="text1"/>
                <w:highlight w:val="none"/>
                <w14:textFill>
                  <w14:solidFill>
                    <w14:schemeClr w14:val="tx1"/>
                  </w14:solidFill>
                </w14:textFill>
              </w:rPr>
            </w:pPr>
          </w:p>
        </w:tc>
        <w:tc>
          <w:tcPr>
            <w:tcW w:w="201" w:type="pct"/>
            <w:vMerge w:val="continue"/>
            <w:vAlign w:val="center"/>
          </w:tcPr>
          <w:p w14:paraId="25F98AE1">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Merge w:val="continue"/>
            <w:vAlign w:val="center"/>
          </w:tcPr>
          <w:p w14:paraId="71F08945">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vMerge w:val="continue"/>
            <w:tcBorders>
              <w:left w:val="single" w:color="auto" w:sz="4" w:space="0"/>
            </w:tcBorders>
            <w:vAlign w:val="center"/>
          </w:tcPr>
          <w:p w14:paraId="6A7BEF5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6DE32178">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60" w:type="pct"/>
            <w:tcBorders>
              <w:left w:val="single" w:color="auto" w:sz="4" w:space="0"/>
            </w:tcBorders>
            <w:vAlign w:val="center"/>
          </w:tcPr>
          <w:p w14:paraId="7C7461BE">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p>
        </w:tc>
        <w:tc>
          <w:tcPr>
            <w:tcW w:w="511" w:type="pct"/>
            <w:tcBorders>
              <w:left w:val="single" w:color="auto" w:sz="4" w:space="0"/>
            </w:tcBorders>
            <w:vAlign w:val="center"/>
          </w:tcPr>
          <w:p w14:paraId="22BA3532">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7735E1B2">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vMerge w:val="continue"/>
            <w:tcBorders>
              <w:left w:val="single" w:color="auto" w:sz="4" w:space="0"/>
            </w:tcBorders>
            <w:vAlign w:val="center"/>
          </w:tcPr>
          <w:p w14:paraId="261E1BF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421563FB">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05F5DD7">
            <w:pPr>
              <w:tabs>
                <w:tab w:val="left" w:pos="61"/>
              </w:tabs>
              <w:jc w:val="center"/>
              <w:rPr>
                <w:color w:val="000000" w:themeColor="text1"/>
                <w:highlight w:val="none"/>
                <w14:textFill>
                  <w14:solidFill>
                    <w14:schemeClr w14:val="tx1"/>
                  </w14:solidFill>
                </w14:textFill>
              </w:rPr>
            </w:pPr>
          </w:p>
        </w:tc>
        <w:tc>
          <w:tcPr>
            <w:tcW w:w="201" w:type="pct"/>
            <w:vMerge w:val="continue"/>
            <w:vAlign w:val="center"/>
          </w:tcPr>
          <w:p w14:paraId="49146DB7">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Merge w:val="continue"/>
            <w:vAlign w:val="center"/>
          </w:tcPr>
          <w:p w14:paraId="23B4217D">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vMerge w:val="continue"/>
            <w:tcBorders>
              <w:left w:val="single" w:color="auto" w:sz="4" w:space="0"/>
            </w:tcBorders>
            <w:vAlign w:val="center"/>
          </w:tcPr>
          <w:p w14:paraId="5F08DA06">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75B959EE">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制造费用</w:t>
            </w:r>
          </w:p>
        </w:tc>
        <w:tc>
          <w:tcPr>
            <w:tcW w:w="560" w:type="pct"/>
            <w:tcBorders>
              <w:left w:val="single" w:color="auto" w:sz="4" w:space="0"/>
            </w:tcBorders>
            <w:vAlign w:val="center"/>
          </w:tcPr>
          <w:p w14:paraId="615956BA">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cs="宋体"/>
                <w:color w:val="000000" w:themeColor="text1"/>
                <w:highlight w:val="none"/>
                <w14:textFill>
                  <w14:solidFill>
                    <w14:schemeClr w14:val="tx1"/>
                  </w14:solidFill>
                </w14:textFill>
              </w:rPr>
              <w:t>设备折旧费</w:t>
            </w:r>
          </w:p>
        </w:tc>
        <w:tc>
          <w:tcPr>
            <w:tcW w:w="511" w:type="pct"/>
            <w:tcBorders>
              <w:left w:val="single" w:color="auto" w:sz="4" w:space="0"/>
            </w:tcBorders>
            <w:vAlign w:val="center"/>
          </w:tcPr>
          <w:p w14:paraId="03C89923">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38F9C2E1">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vMerge w:val="continue"/>
            <w:tcBorders>
              <w:left w:val="single" w:color="auto" w:sz="4" w:space="0"/>
            </w:tcBorders>
            <w:vAlign w:val="center"/>
          </w:tcPr>
          <w:p w14:paraId="2D67D21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412E883A">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78DF2BD">
            <w:pPr>
              <w:tabs>
                <w:tab w:val="left" w:pos="61"/>
              </w:tabs>
              <w:jc w:val="center"/>
              <w:rPr>
                <w:color w:val="000000" w:themeColor="text1"/>
                <w:highlight w:val="none"/>
                <w14:textFill>
                  <w14:solidFill>
                    <w14:schemeClr w14:val="tx1"/>
                  </w14:solidFill>
                </w14:textFill>
              </w:rPr>
            </w:pPr>
          </w:p>
        </w:tc>
        <w:tc>
          <w:tcPr>
            <w:tcW w:w="201" w:type="pct"/>
            <w:vMerge w:val="continue"/>
            <w:vAlign w:val="center"/>
          </w:tcPr>
          <w:p w14:paraId="1D439CE3">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Merge w:val="continue"/>
            <w:vAlign w:val="center"/>
          </w:tcPr>
          <w:p w14:paraId="71BFE9FA">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vMerge w:val="continue"/>
            <w:tcBorders>
              <w:left w:val="single" w:color="auto" w:sz="4" w:space="0"/>
            </w:tcBorders>
            <w:vAlign w:val="center"/>
          </w:tcPr>
          <w:p w14:paraId="56D75B0E">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2FB42261">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60" w:type="pct"/>
            <w:tcBorders>
              <w:left w:val="single" w:color="auto" w:sz="4" w:space="0"/>
            </w:tcBorders>
            <w:vAlign w:val="center"/>
          </w:tcPr>
          <w:p w14:paraId="53B24EE4">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p>
        </w:tc>
        <w:tc>
          <w:tcPr>
            <w:tcW w:w="511" w:type="pct"/>
            <w:tcBorders>
              <w:left w:val="single" w:color="auto" w:sz="4" w:space="0"/>
            </w:tcBorders>
            <w:vAlign w:val="center"/>
          </w:tcPr>
          <w:p w14:paraId="2C7EE97E">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7D55CCBC">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vMerge w:val="continue"/>
            <w:tcBorders>
              <w:left w:val="single" w:color="auto" w:sz="4" w:space="0"/>
            </w:tcBorders>
            <w:vAlign w:val="center"/>
          </w:tcPr>
          <w:p w14:paraId="4A3183CF">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689037C1">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5818CE3A">
            <w:pPr>
              <w:tabs>
                <w:tab w:val="left" w:pos="61"/>
              </w:tabs>
              <w:jc w:val="center"/>
              <w:rPr>
                <w:color w:val="000000" w:themeColor="text1"/>
                <w:highlight w:val="none"/>
                <w14:textFill>
                  <w14:solidFill>
                    <w14:schemeClr w14:val="tx1"/>
                  </w14:solidFill>
                </w14:textFill>
              </w:rPr>
            </w:pPr>
          </w:p>
        </w:tc>
        <w:tc>
          <w:tcPr>
            <w:tcW w:w="201" w:type="pct"/>
            <w:vMerge w:val="continue"/>
            <w:vAlign w:val="center"/>
          </w:tcPr>
          <w:p w14:paraId="5530FE59">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Merge w:val="continue"/>
            <w:vAlign w:val="center"/>
          </w:tcPr>
          <w:p w14:paraId="68A909D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vMerge w:val="continue"/>
            <w:tcBorders>
              <w:left w:val="single" w:color="auto" w:sz="4" w:space="0"/>
            </w:tcBorders>
            <w:vAlign w:val="center"/>
          </w:tcPr>
          <w:p w14:paraId="3B997D96">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0915F4C3">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其他成本</w:t>
            </w:r>
          </w:p>
        </w:tc>
        <w:tc>
          <w:tcPr>
            <w:tcW w:w="560" w:type="pct"/>
            <w:tcBorders>
              <w:left w:val="single" w:color="auto" w:sz="4" w:space="0"/>
            </w:tcBorders>
            <w:vAlign w:val="center"/>
          </w:tcPr>
          <w:p w14:paraId="28AD62CC">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11" w:type="pct"/>
            <w:tcBorders>
              <w:left w:val="single" w:color="auto" w:sz="4" w:space="0"/>
            </w:tcBorders>
            <w:vAlign w:val="center"/>
          </w:tcPr>
          <w:p w14:paraId="480F1EE7">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1DFF4C39">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vMerge w:val="continue"/>
            <w:tcBorders>
              <w:left w:val="single" w:color="auto" w:sz="4" w:space="0"/>
            </w:tcBorders>
            <w:vAlign w:val="center"/>
          </w:tcPr>
          <w:p w14:paraId="593452B9">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1EA1D96E">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14707BF8">
            <w:pPr>
              <w:tabs>
                <w:tab w:val="left" w:pos="61"/>
              </w:tabs>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201" w:type="pct"/>
            <w:vAlign w:val="center"/>
          </w:tcPr>
          <w:p w14:paraId="2637B63F">
            <w:pPr>
              <w:tabs>
                <w:tab w:val="left" w:pos="0"/>
                <w:tab w:val="left" w:pos="56"/>
              </w:tabs>
              <w:ind w:left="479" w:hanging="478" w:hangingChars="228"/>
              <w:jc w:val="center"/>
              <w:rPr>
                <w:color w:val="000000" w:themeColor="text1"/>
                <w:highlight w:val="none"/>
                <w14:textFill>
                  <w14:solidFill>
                    <w14:schemeClr w14:val="tx1"/>
                  </w14:solidFill>
                </w14:textFill>
              </w:rPr>
            </w:pPr>
          </w:p>
        </w:tc>
        <w:tc>
          <w:tcPr>
            <w:tcW w:w="380" w:type="pct"/>
            <w:vAlign w:val="center"/>
          </w:tcPr>
          <w:p w14:paraId="2118CF07">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tcBorders>
              <w:left w:val="single" w:color="auto" w:sz="4" w:space="0"/>
            </w:tcBorders>
            <w:vAlign w:val="center"/>
          </w:tcPr>
          <w:p w14:paraId="1F00C11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tcBorders>
              <w:left w:val="single" w:color="auto" w:sz="4" w:space="0"/>
              <w:right w:val="single" w:color="auto" w:sz="4" w:space="0"/>
            </w:tcBorders>
            <w:vAlign w:val="center"/>
          </w:tcPr>
          <w:p w14:paraId="39DA2191">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60" w:type="pct"/>
            <w:tcBorders>
              <w:left w:val="single" w:color="auto" w:sz="4" w:space="0"/>
            </w:tcBorders>
            <w:vAlign w:val="center"/>
          </w:tcPr>
          <w:p w14:paraId="488B511B">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11" w:type="pct"/>
            <w:tcBorders>
              <w:left w:val="single" w:color="auto" w:sz="4" w:space="0"/>
            </w:tcBorders>
            <w:vAlign w:val="center"/>
          </w:tcPr>
          <w:p w14:paraId="630599EE">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06" w:type="pct"/>
            <w:tcBorders>
              <w:left w:val="single" w:color="auto" w:sz="4" w:space="0"/>
            </w:tcBorders>
            <w:vAlign w:val="center"/>
          </w:tcPr>
          <w:p w14:paraId="2392663E">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49" w:type="pct"/>
            <w:tcBorders>
              <w:left w:val="single" w:color="auto" w:sz="4" w:space="0"/>
            </w:tcBorders>
            <w:vAlign w:val="center"/>
          </w:tcPr>
          <w:p w14:paraId="729BB8DB">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tcBorders>
            <w:vAlign w:val="center"/>
          </w:tcPr>
          <w:p w14:paraId="24ACDC09">
            <w:pPr>
              <w:spacing w:line="240" w:lineRule="atLeast"/>
              <w:ind w:left="-48" w:leftChars="-23" w:right="-65" w:rightChars="-31"/>
              <w:jc w:val="left"/>
              <w:rPr>
                <w:rFonts w:cs="宋体"/>
                <w:color w:val="000000" w:themeColor="text1"/>
                <w:highlight w:val="none"/>
                <w14:textFill>
                  <w14:solidFill>
                    <w14:schemeClr w14:val="tx1"/>
                  </w14:solidFill>
                </w14:textFill>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563A9DFF">
            <w:pPr>
              <w:tabs>
                <w:tab w:val="left" w:pos="82"/>
              </w:tabs>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01" w:type="pct"/>
            <w:tcBorders>
              <w:bottom w:val="single" w:color="auto" w:sz="4" w:space="0"/>
            </w:tcBorders>
            <w:vAlign w:val="center"/>
          </w:tcPr>
          <w:p w14:paraId="5E924863">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380" w:type="pct"/>
            <w:tcBorders>
              <w:bottom w:val="single" w:color="auto" w:sz="4" w:space="0"/>
            </w:tcBorders>
            <w:vAlign w:val="center"/>
          </w:tcPr>
          <w:p w14:paraId="7F8C583D">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282" w:type="pct"/>
            <w:tcBorders>
              <w:left w:val="single" w:color="auto" w:sz="4" w:space="0"/>
              <w:bottom w:val="single" w:color="auto" w:sz="4" w:space="0"/>
            </w:tcBorders>
            <w:vAlign w:val="center"/>
          </w:tcPr>
          <w:p w14:paraId="4319768C">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478" w:type="pct"/>
            <w:tcBorders>
              <w:left w:val="single" w:color="auto" w:sz="4" w:space="0"/>
              <w:bottom w:val="single" w:color="auto" w:sz="4" w:space="0"/>
              <w:right w:val="single" w:color="auto" w:sz="4" w:space="0"/>
            </w:tcBorders>
            <w:vAlign w:val="center"/>
          </w:tcPr>
          <w:p w14:paraId="3313546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60" w:type="pct"/>
            <w:tcBorders>
              <w:left w:val="single" w:color="auto" w:sz="4" w:space="0"/>
              <w:bottom w:val="single" w:color="auto" w:sz="4" w:space="0"/>
            </w:tcBorders>
            <w:vAlign w:val="center"/>
          </w:tcPr>
          <w:p w14:paraId="1B29C270">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11" w:type="pct"/>
            <w:tcBorders>
              <w:left w:val="single" w:color="auto" w:sz="4" w:space="0"/>
              <w:bottom w:val="single" w:color="auto" w:sz="4" w:space="0"/>
            </w:tcBorders>
            <w:vAlign w:val="center"/>
          </w:tcPr>
          <w:p w14:paraId="4EC1DCA5">
            <w:pPr>
              <w:spacing w:line="240" w:lineRule="atLeast"/>
              <w:ind w:left="-48" w:leftChars="-23" w:right="-65" w:rightChars="-31"/>
              <w:jc w:val="left"/>
              <w:rPr>
                <w:rFonts w:cs="宋体"/>
                <w:color w:val="000000" w:themeColor="text1"/>
                <w:highlight w:val="none"/>
                <w14:textFill>
                  <w14:solidFill>
                    <w14:schemeClr w14:val="tx1"/>
                  </w14:solidFill>
                </w14:textFill>
              </w:rPr>
            </w:pPr>
          </w:p>
          <w:p w14:paraId="56BF2198">
            <w:pPr>
              <w:rPr>
                <w:color w:val="000000" w:themeColor="text1"/>
                <w:highlight w:val="none"/>
                <w14:textFill>
                  <w14:solidFill>
                    <w14:schemeClr w14:val="tx1"/>
                  </w14:solidFill>
                </w14:textFill>
              </w:rPr>
            </w:pPr>
          </w:p>
        </w:tc>
        <w:tc>
          <w:tcPr>
            <w:tcW w:w="606" w:type="pct"/>
            <w:tcBorders>
              <w:left w:val="single" w:color="auto" w:sz="4" w:space="0"/>
              <w:bottom w:val="single" w:color="auto" w:sz="4" w:space="0"/>
            </w:tcBorders>
            <w:vAlign w:val="center"/>
          </w:tcPr>
          <w:p w14:paraId="6DA7B2EB">
            <w:pPr>
              <w:rPr>
                <w:color w:val="000000" w:themeColor="text1"/>
                <w:highlight w:val="none"/>
                <w14:textFill>
                  <w14:solidFill>
                    <w14:schemeClr w14:val="tx1"/>
                  </w14:solidFill>
                </w14:textFill>
              </w:rPr>
            </w:pPr>
          </w:p>
        </w:tc>
        <w:tc>
          <w:tcPr>
            <w:tcW w:w="449" w:type="pct"/>
            <w:tcBorders>
              <w:left w:val="single" w:color="auto" w:sz="4" w:space="0"/>
              <w:bottom w:val="single" w:color="auto" w:sz="4" w:space="0"/>
            </w:tcBorders>
            <w:vAlign w:val="center"/>
          </w:tcPr>
          <w:p w14:paraId="0D352044">
            <w:pPr>
              <w:spacing w:line="240" w:lineRule="atLeast"/>
              <w:ind w:left="-48" w:leftChars="-23" w:right="-65" w:rightChars="-31"/>
              <w:jc w:val="left"/>
              <w:rPr>
                <w:rFonts w:cs="宋体"/>
                <w:color w:val="000000" w:themeColor="text1"/>
                <w:highlight w:val="none"/>
                <w14:textFill>
                  <w14:solidFill>
                    <w14:schemeClr w14:val="tx1"/>
                  </w14:solidFill>
                </w14:textFill>
              </w:rPr>
            </w:pPr>
          </w:p>
        </w:tc>
        <w:tc>
          <w:tcPr>
            <w:tcW w:w="587" w:type="pct"/>
            <w:tcBorders>
              <w:left w:val="single" w:color="auto" w:sz="4" w:space="0"/>
              <w:bottom w:val="single" w:color="auto" w:sz="4" w:space="0"/>
            </w:tcBorders>
            <w:vAlign w:val="center"/>
          </w:tcPr>
          <w:p w14:paraId="2EBEC3BF">
            <w:pPr>
              <w:spacing w:line="240" w:lineRule="atLeast"/>
              <w:ind w:left="-48" w:leftChars="-23" w:right="-65" w:rightChars="-31"/>
              <w:jc w:val="left"/>
              <w:rPr>
                <w:rFonts w:cs="宋体"/>
                <w:color w:val="000000" w:themeColor="text1"/>
                <w:highlight w:val="none"/>
                <w14:textFill>
                  <w14:solidFill>
                    <w14:schemeClr w14:val="tx1"/>
                  </w14:solidFill>
                </w14:textFill>
              </w:rPr>
            </w:pPr>
          </w:p>
        </w:tc>
      </w:tr>
    </w:tbl>
    <w:p w14:paraId="474E7602">
      <w:pPr>
        <w:spacing w:line="360" w:lineRule="auto"/>
        <w:jc w:val="left"/>
        <w:rPr>
          <w:color w:val="000000" w:themeColor="text1"/>
          <w:szCs w:val="21"/>
          <w:highlight w:val="none"/>
          <w14:textFill>
            <w14:solidFill>
              <w14:schemeClr w14:val="tx1"/>
            </w14:solidFill>
          </w14:textFill>
        </w:rPr>
      </w:pPr>
    </w:p>
    <w:p w14:paraId="752808A1">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供应商名称（</w:t>
      </w:r>
      <w:r>
        <w:rPr>
          <w:rFonts w:hint="eastAsia"/>
          <w:color w:val="000000" w:themeColor="text1"/>
          <w:szCs w:val="21"/>
          <w:highlight w:val="none"/>
          <w14:textFill>
            <w14:solidFill>
              <w14:schemeClr w14:val="tx1"/>
            </w14:solidFill>
          </w14:textFill>
        </w:rPr>
        <w:t>电子签章</w:t>
      </w:r>
      <w:r>
        <w:rPr>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p>
    <w:p w14:paraId="334743E0">
      <w:pPr>
        <w:spacing w:line="360" w:lineRule="auto"/>
        <w:ind w:firstLine="6090" w:firstLineChars="2900"/>
        <w:jc w:val="left"/>
        <w:rPr>
          <w:color w:val="000000" w:themeColor="text1"/>
          <w:szCs w:val="21"/>
          <w:highlight w:val="none"/>
          <w14:textFill>
            <w14:solidFill>
              <w14:schemeClr w14:val="tx1"/>
            </w14:solidFill>
          </w14:textFill>
        </w:rPr>
        <w:sectPr>
          <w:pgSz w:w="11906" w:h="16838"/>
          <w:pgMar w:top="1418" w:right="1133" w:bottom="1246" w:left="1418" w:header="851" w:footer="992" w:gutter="0"/>
          <w:cols w:space="720" w:num="1"/>
          <w:docGrid w:linePitch="312" w:charSpace="0"/>
        </w:sectPr>
      </w:pPr>
      <w:r>
        <w:rPr>
          <w:color w:val="000000" w:themeColor="text1"/>
          <w:szCs w:val="21"/>
          <w:highlight w:val="none"/>
          <w14:textFill>
            <w14:solidFill>
              <w14:schemeClr w14:val="tx1"/>
            </w14:solidFill>
          </w14:textFill>
        </w:rPr>
        <w:t>日  期</w:t>
      </w:r>
      <w:r>
        <w:rPr>
          <w:rFonts w:hint="eastAsia"/>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日 </w:t>
      </w:r>
    </w:p>
    <w:p w14:paraId="4F6DA6D5">
      <w:pPr>
        <w:widowControl/>
        <w:jc w:val="left"/>
        <w:outlineLvl w:val="1"/>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．开标一览表</w:t>
      </w:r>
    </w:p>
    <w:p w14:paraId="253DBE4B">
      <w:pPr>
        <w:widowControl/>
        <w:jc w:val="left"/>
        <w:rPr>
          <w:color w:val="000000" w:themeColor="text1"/>
          <w:szCs w:val="21"/>
          <w:highlight w:val="none"/>
          <w14:textFill>
            <w14:solidFill>
              <w14:schemeClr w14:val="tx1"/>
            </w14:solidFill>
          </w14:textFill>
        </w:rPr>
      </w:pPr>
    </w:p>
    <w:p w14:paraId="33875973">
      <w:pPr>
        <w:widowControl/>
        <w:jc w:val="left"/>
        <w:rPr>
          <w:color w:val="000000" w:themeColor="text1"/>
          <w:szCs w:val="21"/>
          <w:highlight w:val="none"/>
          <w14:textFill>
            <w14:solidFill>
              <w14:schemeClr w14:val="tx1"/>
            </w14:solidFill>
          </w14:textFill>
        </w:rPr>
      </w:pPr>
    </w:p>
    <w:p w14:paraId="1E547030">
      <w:pPr>
        <w:widowControl/>
        <w:jc w:val="left"/>
        <w:rPr>
          <w:color w:val="000000" w:themeColor="text1"/>
          <w:szCs w:val="21"/>
          <w:highlight w:val="none"/>
          <w14:textFill>
            <w14:solidFill>
              <w14:schemeClr w14:val="tx1"/>
            </w14:solidFill>
          </w14:textFill>
        </w:rPr>
      </w:pPr>
    </w:p>
    <w:p w14:paraId="44BDE1B0">
      <w:pPr>
        <w:rPr>
          <w:b/>
          <w:color w:val="000000" w:themeColor="text1"/>
          <w:szCs w:val="21"/>
          <w:highlight w:val="none"/>
          <w14:textFill>
            <w14:solidFill>
              <w14:schemeClr w14:val="tx1"/>
            </w14:solidFill>
          </w14:textFill>
        </w:rPr>
      </w:pPr>
    </w:p>
    <w:p w14:paraId="18E2A35C">
      <w:pPr>
        <w:rPr>
          <w:b/>
          <w:color w:val="000000" w:themeColor="text1"/>
          <w:szCs w:val="21"/>
          <w:highlight w:val="none"/>
          <w14:textFill>
            <w14:solidFill>
              <w14:schemeClr w14:val="tx1"/>
            </w14:solidFill>
          </w14:textFill>
        </w:rPr>
      </w:pPr>
    </w:p>
    <w:p w14:paraId="59B64B2C">
      <w:pP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格式详见广西政府采购云平台，且仅在广西政府采购云平台填写即可。</w:t>
      </w:r>
    </w:p>
    <w:bookmarkEnd w:id="144"/>
    <w:p w14:paraId="3D81312B">
      <w:pPr>
        <w:snapToGrid w:val="0"/>
        <w:spacing w:before="120" w:beforeLines="50" w:after="50" w:line="440" w:lineRule="exact"/>
        <w:jc w:val="left"/>
        <w:outlineLvl w:val="1"/>
        <w:rPr>
          <w:bCs/>
          <w:color w:val="000000" w:themeColor="text1"/>
          <w:sz w:val="24"/>
          <w:highlight w:val="none"/>
          <w14:textFill>
            <w14:solidFill>
              <w14:schemeClr w14:val="tx1"/>
            </w14:solidFill>
          </w14:textFill>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44F9A">
    <w:pPr>
      <w:pStyle w:val="32"/>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51C9B9D4">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917F9">
    <w:pPr>
      <w:pStyle w:val="32"/>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6224">
    <w:pPr>
      <w:pStyle w:val="32"/>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0DBB0C31">
    <w:pPr>
      <w:pStyle w:val="32"/>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96A5">
    <w:pPr>
      <w:pStyle w:val="32"/>
      <w:jc w:val="cente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475A">
    <w:pPr>
      <w:pStyle w:val="32"/>
      <w:framePr w:wrap="around" w:vAnchor="text" w:hAnchor="margin" w:xAlign="center" w:y="1"/>
      <w:rPr>
        <w:rStyle w:val="55"/>
      </w:rPr>
    </w:pPr>
    <w:r>
      <w:fldChar w:fldCharType="begin"/>
    </w:r>
    <w:r>
      <w:rPr>
        <w:rStyle w:val="55"/>
      </w:rPr>
      <w:instrText xml:space="preserve">PAGE  </w:instrText>
    </w:r>
    <w:r>
      <w:fldChar w:fldCharType="separate"/>
    </w:r>
    <w:r>
      <w:rPr>
        <w:rStyle w:val="55"/>
      </w:rPr>
      <w:t>59</w:t>
    </w:r>
    <w:r>
      <w:fldChar w:fldCharType="end"/>
    </w:r>
  </w:p>
  <w:p w14:paraId="42B6AB99">
    <w:pPr>
      <w:pStyle w:val="3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E28CD">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C34EF">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7988F">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1E981">
    <w:pPr>
      <w:pStyle w:val="33"/>
      <w:jc w:val="left"/>
    </w:pPr>
    <w:r>
      <w:rPr>
        <w:rFonts w:hint="eastAsia"/>
      </w:rPr>
      <w:t xml:space="preserve">广西机电设备招标有限公司招标文件                                                               </w:t>
    </w:r>
  </w:p>
  <w:p w14:paraId="7E933B39">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FA45">
    <w:pPr>
      <w:pStyle w:val="33"/>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E54F">
    <w:pPr>
      <w:pStyle w:val="33"/>
      <w:jc w:val="left"/>
    </w:pPr>
    <w:r>
      <w:rPr>
        <w:rFonts w:hint="eastAsia"/>
      </w:rPr>
      <w:t>广西机电设备招标有限公司招标文件                                                              招标公告</w:t>
    </w:r>
  </w:p>
  <w:p w14:paraId="6A1924EA">
    <w:pPr>
      <w:pStyle w:val="33"/>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23B0">
    <w:pPr>
      <w:pStyle w:val="33"/>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860D9">
    <w:pPr>
      <w:pStyle w:val="33"/>
      <w:jc w:val="left"/>
    </w:pPr>
    <w:r>
      <w:rPr>
        <w:rFonts w:hint="eastAsia"/>
      </w:rPr>
      <w:t xml:space="preserve">广西机电设备招标有限公司招标文件                                                            </w:t>
    </w:r>
  </w:p>
  <w:p w14:paraId="729A1D16">
    <w:pPr>
      <w:pStyle w:val="33"/>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EC7BE">
    <w:pPr>
      <w:pStyle w:val="33"/>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12C04">
    <w:pPr>
      <w:pStyle w:val="33"/>
      <w:jc w:val="left"/>
    </w:pPr>
    <w:r>
      <w:rPr>
        <w:rFonts w:hint="eastAsia"/>
      </w:rPr>
      <w:t>广西机电设备招标有限公司招标文件                                                     评审方法及标准</w:t>
    </w:r>
  </w:p>
  <w:p w14:paraId="5763F9E2">
    <w:pPr>
      <w:pStyle w:val="33"/>
      <w:pBdr>
        <w:bottom w:val="none" w:color="auto"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7B5B8">
    <w:pPr>
      <w:pStyle w:val="33"/>
      <w:ind w:left="2790" w:hanging="2790" w:hangingChars="1550"/>
      <w:jc w:val="left"/>
    </w:pPr>
    <w:r>
      <w:rPr>
        <w:rFonts w:hint="eastAsia"/>
      </w:rPr>
      <w:t xml:space="preserve">广西机电设备招标有限公司招标文件  </w:t>
    </w:r>
    <w: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E9B2B"/>
    <w:multiLevelType w:val="singleLevel"/>
    <w:tmpl w:val="948E9B2B"/>
    <w:lvl w:ilvl="0" w:tentative="0">
      <w:start w:val="1"/>
      <w:numFmt w:val="decimal"/>
      <w:suff w:val="nothing"/>
      <w:lvlText w:val="（%1）"/>
      <w:lvlJc w:val="left"/>
    </w:lvl>
  </w:abstractNum>
  <w:abstractNum w:abstractNumId="1">
    <w:nsid w:val="A4A77AA5"/>
    <w:multiLevelType w:val="singleLevel"/>
    <w:tmpl w:val="A4A77AA5"/>
    <w:lvl w:ilvl="0" w:tentative="0">
      <w:start w:val="1"/>
      <w:numFmt w:val="chineseCounting"/>
      <w:suff w:val="nothing"/>
      <w:lvlText w:val="%1、"/>
      <w:lvlJc w:val="left"/>
      <w:rPr>
        <w:rFonts w:hint="eastAsia"/>
      </w:rPr>
    </w:lvl>
  </w:abstractNum>
  <w:abstractNum w:abstractNumId="2">
    <w:nsid w:val="AB1BE2B9"/>
    <w:multiLevelType w:val="singleLevel"/>
    <w:tmpl w:val="AB1BE2B9"/>
    <w:lvl w:ilvl="0" w:tentative="0">
      <w:start w:val="1"/>
      <w:numFmt w:val="chineseCounting"/>
      <w:suff w:val="nothing"/>
      <w:lvlText w:val="%1、"/>
      <w:lvlJc w:val="left"/>
      <w:rPr>
        <w:rFonts w:hint="eastAsia"/>
      </w:rPr>
    </w:lvl>
  </w:abstractNum>
  <w:abstractNum w:abstractNumId="3">
    <w:nsid w:val="ABF74902"/>
    <w:multiLevelType w:val="singleLevel"/>
    <w:tmpl w:val="ABF74902"/>
    <w:lvl w:ilvl="0" w:tentative="0">
      <w:start w:val="4"/>
      <w:numFmt w:val="decimal"/>
      <w:lvlText w:val="%1."/>
      <w:lvlJc w:val="left"/>
      <w:pPr>
        <w:tabs>
          <w:tab w:val="left" w:pos="312"/>
        </w:tabs>
      </w:pPr>
    </w:lvl>
  </w:abstractNum>
  <w:abstractNum w:abstractNumId="4">
    <w:nsid w:val="AE6861DF"/>
    <w:multiLevelType w:val="singleLevel"/>
    <w:tmpl w:val="AE6861DF"/>
    <w:lvl w:ilvl="0" w:tentative="0">
      <w:start w:val="1"/>
      <w:numFmt w:val="chineseCounting"/>
      <w:suff w:val="nothing"/>
      <w:lvlText w:val="%1、"/>
      <w:lvlJc w:val="left"/>
      <w:rPr>
        <w:rFonts w:hint="eastAsia"/>
      </w:rPr>
    </w:lvl>
  </w:abstractNum>
  <w:abstractNum w:abstractNumId="5">
    <w:nsid w:val="AF24A5D7"/>
    <w:multiLevelType w:val="singleLevel"/>
    <w:tmpl w:val="AF24A5D7"/>
    <w:lvl w:ilvl="0" w:tentative="0">
      <w:start w:val="10"/>
      <w:numFmt w:val="decimal"/>
      <w:suff w:val="nothing"/>
      <w:lvlText w:val="（%1）"/>
      <w:lvlJc w:val="left"/>
    </w:lvl>
  </w:abstractNum>
  <w:abstractNum w:abstractNumId="6">
    <w:nsid w:val="B05A3E4D"/>
    <w:multiLevelType w:val="singleLevel"/>
    <w:tmpl w:val="B05A3E4D"/>
    <w:lvl w:ilvl="0" w:tentative="0">
      <w:start w:val="1"/>
      <w:numFmt w:val="decimal"/>
      <w:suff w:val="nothing"/>
      <w:lvlText w:val="%1、"/>
      <w:lvlJc w:val="left"/>
    </w:lvl>
  </w:abstractNum>
  <w:abstractNum w:abstractNumId="7">
    <w:nsid w:val="B6C15C31"/>
    <w:multiLevelType w:val="singleLevel"/>
    <w:tmpl w:val="B6C15C31"/>
    <w:lvl w:ilvl="0" w:tentative="0">
      <w:start w:val="6"/>
      <w:numFmt w:val="decimal"/>
      <w:lvlText w:val="%1."/>
      <w:lvlJc w:val="left"/>
      <w:pPr>
        <w:tabs>
          <w:tab w:val="left" w:pos="312"/>
        </w:tabs>
      </w:pPr>
    </w:lvl>
  </w:abstractNum>
  <w:abstractNum w:abstractNumId="8">
    <w:nsid w:val="D4952200"/>
    <w:multiLevelType w:val="singleLevel"/>
    <w:tmpl w:val="D4952200"/>
    <w:lvl w:ilvl="0" w:tentative="0">
      <w:start w:val="1"/>
      <w:numFmt w:val="chineseCounting"/>
      <w:suff w:val="nothing"/>
      <w:lvlText w:val="%1、"/>
      <w:lvlJc w:val="left"/>
      <w:rPr>
        <w:rFonts w:hint="eastAsia"/>
      </w:rPr>
    </w:lvl>
  </w:abstractNum>
  <w:abstractNum w:abstractNumId="9">
    <w:nsid w:val="0D302B8A"/>
    <w:multiLevelType w:val="singleLevel"/>
    <w:tmpl w:val="0D302B8A"/>
    <w:lvl w:ilvl="0" w:tentative="0">
      <w:start w:val="1"/>
      <w:numFmt w:val="decimal"/>
      <w:suff w:val="nothing"/>
      <w:lvlText w:val="（%1）"/>
      <w:lvlJc w:val="left"/>
    </w:lvl>
  </w:abstractNum>
  <w:abstractNum w:abstractNumId="10">
    <w:nsid w:val="0F309495"/>
    <w:multiLevelType w:val="singleLevel"/>
    <w:tmpl w:val="0F309495"/>
    <w:lvl w:ilvl="0" w:tentative="0">
      <w:start w:val="1"/>
      <w:numFmt w:val="chineseCounting"/>
      <w:suff w:val="nothing"/>
      <w:lvlText w:val="%1、"/>
      <w:lvlJc w:val="left"/>
      <w:rPr>
        <w:rFonts w:hint="eastAsia"/>
      </w:rPr>
    </w:lvl>
  </w:abstractNum>
  <w:abstractNum w:abstractNumId="11">
    <w:nsid w:val="137E9EEE"/>
    <w:multiLevelType w:val="singleLevel"/>
    <w:tmpl w:val="137E9EEE"/>
    <w:lvl w:ilvl="0" w:tentative="0">
      <w:start w:val="1"/>
      <w:numFmt w:val="chineseCounting"/>
      <w:suff w:val="nothing"/>
      <w:lvlText w:val="%1、"/>
      <w:lvlJc w:val="left"/>
      <w:rPr>
        <w:rFonts w:hint="eastAsia"/>
      </w:rPr>
    </w:lvl>
  </w:abstractNum>
  <w:abstractNum w:abstractNumId="12">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B191362"/>
    <w:multiLevelType w:val="singleLevel"/>
    <w:tmpl w:val="3B191362"/>
    <w:lvl w:ilvl="0" w:tentative="0">
      <w:start w:val="1"/>
      <w:numFmt w:val="decimal"/>
      <w:suff w:val="nothing"/>
      <w:lvlText w:val="（%1）"/>
      <w:lvlJc w:val="left"/>
    </w:lvl>
  </w:abstractNum>
  <w:abstractNum w:abstractNumId="14">
    <w:nsid w:val="5FFF1E59"/>
    <w:multiLevelType w:val="singleLevel"/>
    <w:tmpl w:val="5FFF1E59"/>
    <w:lvl w:ilvl="0" w:tentative="0">
      <w:start w:val="1"/>
      <w:numFmt w:val="decimal"/>
      <w:suff w:val="nothing"/>
      <w:lvlText w:val="（%1）"/>
      <w:lvlJc w:val="left"/>
    </w:lvl>
  </w:abstractNum>
  <w:abstractNum w:abstractNumId="15">
    <w:nsid w:val="67245F1C"/>
    <w:multiLevelType w:val="singleLevel"/>
    <w:tmpl w:val="67245F1C"/>
    <w:lvl w:ilvl="0" w:tentative="0">
      <w:start w:val="1"/>
      <w:numFmt w:val="chineseCounting"/>
      <w:suff w:val="nothing"/>
      <w:lvlText w:val="%1、"/>
      <w:lvlJc w:val="left"/>
      <w:rPr>
        <w:rFonts w:hint="eastAsia"/>
      </w:rPr>
    </w:lvl>
  </w:abstractNum>
  <w:abstractNum w:abstractNumId="16">
    <w:nsid w:val="68FE1F35"/>
    <w:multiLevelType w:val="singleLevel"/>
    <w:tmpl w:val="68FE1F35"/>
    <w:lvl w:ilvl="0" w:tentative="0">
      <w:start w:val="1"/>
      <w:numFmt w:val="chineseCounting"/>
      <w:suff w:val="nothing"/>
      <w:lvlText w:val="%1、"/>
      <w:lvlJc w:val="left"/>
      <w:rPr>
        <w:rFonts w:hint="eastAsia"/>
      </w:rPr>
    </w:lvl>
  </w:abstractNum>
  <w:abstractNum w:abstractNumId="17">
    <w:nsid w:val="6DBF1A4E"/>
    <w:multiLevelType w:val="multilevel"/>
    <w:tmpl w:val="6DBF1A4E"/>
    <w:lvl w:ilvl="0" w:tentative="0">
      <w:start w:val="1"/>
      <w:numFmt w:val="japaneseCounting"/>
      <w:lvlText w:val="第%1条"/>
      <w:lvlJc w:val="left"/>
      <w:pPr>
        <w:tabs>
          <w:tab w:val="left" w:pos="1262"/>
        </w:tabs>
        <w:ind w:left="1262" w:hanging="84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18">
    <w:nsid w:val="701D62C1"/>
    <w:multiLevelType w:val="singleLevel"/>
    <w:tmpl w:val="701D62C1"/>
    <w:lvl w:ilvl="0" w:tentative="0">
      <w:start w:val="1"/>
      <w:numFmt w:val="chineseCounting"/>
      <w:suff w:val="nothing"/>
      <w:lvlText w:val="%1、"/>
      <w:lvlJc w:val="left"/>
      <w:rPr>
        <w:rFonts w:hint="eastAsia"/>
      </w:rPr>
    </w:lvl>
  </w:abstractNum>
  <w:num w:numId="1">
    <w:abstractNumId w:val="7"/>
  </w:num>
  <w:num w:numId="2">
    <w:abstractNumId w:val="4"/>
  </w:num>
  <w:num w:numId="3">
    <w:abstractNumId w:val="5"/>
  </w:num>
  <w:num w:numId="4">
    <w:abstractNumId w:val="14"/>
  </w:num>
  <w:num w:numId="5">
    <w:abstractNumId w:val="18"/>
  </w:num>
  <w:num w:numId="6">
    <w:abstractNumId w:val="13"/>
  </w:num>
  <w:num w:numId="7">
    <w:abstractNumId w:val="0"/>
  </w:num>
  <w:num w:numId="8">
    <w:abstractNumId w:val="9"/>
  </w:num>
  <w:num w:numId="9">
    <w:abstractNumId w:val="11"/>
  </w:num>
  <w:num w:numId="10">
    <w:abstractNumId w:val="2"/>
  </w:num>
  <w:num w:numId="11">
    <w:abstractNumId w:val="16"/>
  </w:num>
  <w:num w:numId="12">
    <w:abstractNumId w:val="8"/>
  </w:num>
  <w:num w:numId="13">
    <w:abstractNumId w:val="10"/>
  </w:num>
  <w:num w:numId="14">
    <w:abstractNumId w:val="15"/>
  </w:num>
  <w:num w:numId="15">
    <w:abstractNumId w:val="1"/>
  </w:num>
  <w:num w:numId="16">
    <w:abstractNumId w:val="3"/>
  </w:num>
  <w:num w:numId="17">
    <w:abstractNumId w:val="6"/>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2ZThjMDdjNThmMzAzYjE2ZDA3MDUyNDliNTYwNj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C54"/>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2AE"/>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8DF"/>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177"/>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3B3"/>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4814"/>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0D19"/>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131"/>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4FC0"/>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095"/>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2DA9"/>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208"/>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DA1"/>
    <w:rsid w:val="00AB7FA0"/>
    <w:rsid w:val="00AC0478"/>
    <w:rsid w:val="00AC1226"/>
    <w:rsid w:val="00AC14E0"/>
    <w:rsid w:val="00AC1686"/>
    <w:rsid w:val="00AC179A"/>
    <w:rsid w:val="00AC24F6"/>
    <w:rsid w:val="00AC299E"/>
    <w:rsid w:val="00AC2D87"/>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4967"/>
    <w:rsid w:val="00B64DBA"/>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6DC"/>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AD4"/>
    <w:rsid w:val="00C14D49"/>
    <w:rsid w:val="00C15346"/>
    <w:rsid w:val="00C15E18"/>
    <w:rsid w:val="00C16712"/>
    <w:rsid w:val="00C16DA8"/>
    <w:rsid w:val="00C17D16"/>
    <w:rsid w:val="00C202DC"/>
    <w:rsid w:val="00C20431"/>
    <w:rsid w:val="00C20D32"/>
    <w:rsid w:val="00C20DA8"/>
    <w:rsid w:val="00C20DF3"/>
    <w:rsid w:val="00C20E3D"/>
    <w:rsid w:val="00C21050"/>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1773"/>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5E5"/>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5DE"/>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1BF6"/>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997"/>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5C5"/>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474"/>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9E7"/>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09AA"/>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E536DD"/>
    <w:rsid w:val="03C6729C"/>
    <w:rsid w:val="03D02FD6"/>
    <w:rsid w:val="03F06C42"/>
    <w:rsid w:val="041B3357"/>
    <w:rsid w:val="04495D6E"/>
    <w:rsid w:val="04AD789B"/>
    <w:rsid w:val="04C34346"/>
    <w:rsid w:val="04E30437"/>
    <w:rsid w:val="050726B6"/>
    <w:rsid w:val="051B6CE3"/>
    <w:rsid w:val="05AD70FE"/>
    <w:rsid w:val="05C22B02"/>
    <w:rsid w:val="05F41FAA"/>
    <w:rsid w:val="063B78DC"/>
    <w:rsid w:val="076E0F6D"/>
    <w:rsid w:val="07E84F31"/>
    <w:rsid w:val="0839529D"/>
    <w:rsid w:val="09104908"/>
    <w:rsid w:val="09974C33"/>
    <w:rsid w:val="09B73AD3"/>
    <w:rsid w:val="09B82947"/>
    <w:rsid w:val="0A4232E4"/>
    <w:rsid w:val="0AC12E12"/>
    <w:rsid w:val="0B2F0420"/>
    <w:rsid w:val="0B933D37"/>
    <w:rsid w:val="0BF958C7"/>
    <w:rsid w:val="0C14191A"/>
    <w:rsid w:val="0C151149"/>
    <w:rsid w:val="0C1F1EFB"/>
    <w:rsid w:val="0C32764F"/>
    <w:rsid w:val="0C3F3332"/>
    <w:rsid w:val="0C5A09A9"/>
    <w:rsid w:val="0CB26704"/>
    <w:rsid w:val="0CDB719E"/>
    <w:rsid w:val="0CF9124E"/>
    <w:rsid w:val="0DEA72A4"/>
    <w:rsid w:val="0E0812B7"/>
    <w:rsid w:val="0EAB6A73"/>
    <w:rsid w:val="0ECD1FAE"/>
    <w:rsid w:val="0F4D0707"/>
    <w:rsid w:val="0FBA2A45"/>
    <w:rsid w:val="0FC41654"/>
    <w:rsid w:val="0FDE7285"/>
    <w:rsid w:val="10687DDF"/>
    <w:rsid w:val="11001AA9"/>
    <w:rsid w:val="1159766A"/>
    <w:rsid w:val="11616C0B"/>
    <w:rsid w:val="118C2ED5"/>
    <w:rsid w:val="11A010E5"/>
    <w:rsid w:val="11B83D31"/>
    <w:rsid w:val="12243AF9"/>
    <w:rsid w:val="12795B29"/>
    <w:rsid w:val="12F62B63"/>
    <w:rsid w:val="13696837"/>
    <w:rsid w:val="13B31AEC"/>
    <w:rsid w:val="13D73044"/>
    <w:rsid w:val="13D848ED"/>
    <w:rsid w:val="13FE3FBA"/>
    <w:rsid w:val="140E1568"/>
    <w:rsid w:val="14404369"/>
    <w:rsid w:val="15660E46"/>
    <w:rsid w:val="158847C9"/>
    <w:rsid w:val="15F5005C"/>
    <w:rsid w:val="165E1841"/>
    <w:rsid w:val="175D674F"/>
    <w:rsid w:val="1789196B"/>
    <w:rsid w:val="17CA6F77"/>
    <w:rsid w:val="17CD2550"/>
    <w:rsid w:val="18114189"/>
    <w:rsid w:val="18671C71"/>
    <w:rsid w:val="18784728"/>
    <w:rsid w:val="18A80063"/>
    <w:rsid w:val="18F06F2D"/>
    <w:rsid w:val="19575C3B"/>
    <w:rsid w:val="19AD7F51"/>
    <w:rsid w:val="1A10016F"/>
    <w:rsid w:val="1B3E0506"/>
    <w:rsid w:val="1BA50D14"/>
    <w:rsid w:val="1BA677E7"/>
    <w:rsid w:val="1C0748A3"/>
    <w:rsid w:val="1C0F5E7D"/>
    <w:rsid w:val="1C625D30"/>
    <w:rsid w:val="1C7671E3"/>
    <w:rsid w:val="1C777601"/>
    <w:rsid w:val="1C8A493E"/>
    <w:rsid w:val="1CA7512B"/>
    <w:rsid w:val="1CCB6998"/>
    <w:rsid w:val="1CD6623F"/>
    <w:rsid w:val="1CF90898"/>
    <w:rsid w:val="1CFA0FE7"/>
    <w:rsid w:val="1D8C69C4"/>
    <w:rsid w:val="1DD37898"/>
    <w:rsid w:val="1DE413DC"/>
    <w:rsid w:val="1E1C7C6C"/>
    <w:rsid w:val="1E786F00"/>
    <w:rsid w:val="1EBB34DD"/>
    <w:rsid w:val="1EE77EB3"/>
    <w:rsid w:val="1F1F65F5"/>
    <w:rsid w:val="1F343C02"/>
    <w:rsid w:val="1FAA65AC"/>
    <w:rsid w:val="1FAC7E53"/>
    <w:rsid w:val="20517FE3"/>
    <w:rsid w:val="20AD4A47"/>
    <w:rsid w:val="20CE2C18"/>
    <w:rsid w:val="21337F78"/>
    <w:rsid w:val="216B2BCB"/>
    <w:rsid w:val="217C1DAF"/>
    <w:rsid w:val="218220DE"/>
    <w:rsid w:val="21957189"/>
    <w:rsid w:val="222C76C6"/>
    <w:rsid w:val="22466CF3"/>
    <w:rsid w:val="22A344E7"/>
    <w:rsid w:val="22DE3197"/>
    <w:rsid w:val="230E0741"/>
    <w:rsid w:val="239F6FB1"/>
    <w:rsid w:val="23B94B36"/>
    <w:rsid w:val="23F63E16"/>
    <w:rsid w:val="24016243"/>
    <w:rsid w:val="243A32C2"/>
    <w:rsid w:val="25093A3B"/>
    <w:rsid w:val="25236D0D"/>
    <w:rsid w:val="252F645D"/>
    <w:rsid w:val="258858A9"/>
    <w:rsid w:val="258D4014"/>
    <w:rsid w:val="25F528D3"/>
    <w:rsid w:val="264B4D7A"/>
    <w:rsid w:val="26757E2C"/>
    <w:rsid w:val="26790701"/>
    <w:rsid w:val="26C7405F"/>
    <w:rsid w:val="273508EE"/>
    <w:rsid w:val="27483692"/>
    <w:rsid w:val="276F6E45"/>
    <w:rsid w:val="278066D7"/>
    <w:rsid w:val="27827B0F"/>
    <w:rsid w:val="27886287"/>
    <w:rsid w:val="27F53526"/>
    <w:rsid w:val="27FA5E76"/>
    <w:rsid w:val="28690FE5"/>
    <w:rsid w:val="28762FE2"/>
    <w:rsid w:val="288E2BD2"/>
    <w:rsid w:val="28911B25"/>
    <w:rsid w:val="28CF2F29"/>
    <w:rsid w:val="28DC50AB"/>
    <w:rsid w:val="28E55271"/>
    <w:rsid w:val="2923374B"/>
    <w:rsid w:val="296C2B2B"/>
    <w:rsid w:val="29B15F07"/>
    <w:rsid w:val="29BD796F"/>
    <w:rsid w:val="2AAC3644"/>
    <w:rsid w:val="2AB51801"/>
    <w:rsid w:val="2B083A66"/>
    <w:rsid w:val="2B2646C8"/>
    <w:rsid w:val="2B8946FF"/>
    <w:rsid w:val="2C0A4741"/>
    <w:rsid w:val="2CE77A69"/>
    <w:rsid w:val="2CF86E08"/>
    <w:rsid w:val="2D003DEA"/>
    <w:rsid w:val="2D3B3FF4"/>
    <w:rsid w:val="2D9B15EF"/>
    <w:rsid w:val="2E304308"/>
    <w:rsid w:val="2E7B1F74"/>
    <w:rsid w:val="2EB26D79"/>
    <w:rsid w:val="2F576681"/>
    <w:rsid w:val="2F7145F4"/>
    <w:rsid w:val="30580298"/>
    <w:rsid w:val="30646F90"/>
    <w:rsid w:val="30CB0402"/>
    <w:rsid w:val="30E7363B"/>
    <w:rsid w:val="31231E7A"/>
    <w:rsid w:val="324D2681"/>
    <w:rsid w:val="32C4006A"/>
    <w:rsid w:val="32E367A8"/>
    <w:rsid w:val="32F51DE3"/>
    <w:rsid w:val="340D36AA"/>
    <w:rsid w:val="342909D3"/>
    <w:rsid w:val="34457450"/>
    <w:rsid w:val="34914882"/>
    <w:rsid w:val="35373F98"/>
    <w:rsid w:val="35845BB2"/>
    <w:rsid w:val="35876E83"/>
    <w:rsid w:val="359A6E71"/>
    <w:rsid w:val="363B7932"/>
    <w:rsid w:val="36C64B20"/>
    <w:rsid w:val="36D15C2A"/>
    <w:rsid w:val="36FA4BBC"/>
    <w:rsid w:val="371D61FE"/>
    <w:rsid w:val="374B5AC3"/>
    <w:rsid w:val="37555F4C"/>
    <w:rsid w:val="377F7586"/>
    <w:rsid w:val="37A54319"/>
    <w:rsid w:val="37EB4622"/>
    <w:rsid w:val="38187E4F"/>
    <w:rsid w:val="3820445B"/>
    <w:rsid w:val="38210467"/>
    <w:rsid w:val="38401B73"/>
    <w:rsid w:val="384B1D2A"/>
    <w:rsid w:val="39780BBB"/>
    <w:rsid w:val="39CE0FB0"/>
    <w:rsid w:val="39D617F2"/>
    <w:rsid w:val="3B731AB5"/>
    <w:rsid w:val="3B833738"/>
    <w:rsid w:val="3B874762"/>
    <w:rsid w:val="3C2527C5"/>
    <w:rsid w:val="3C276692"/>
    <w:rsid w:val="3C5C5A17"/>
    <w:rsid w:val="3CF42DC1"/>
    <w:rsid w:val="3D421B01"/>
    <w:rsid w:val="3D6F75C9"/>
    <w:rsid w:val="3DE90F01"/>
    <w:rsid w:val="3E266E35"/>
    <w:rsid w:val="3E393A37"/>
    <w:rsid w:val="3E9426DD"/>
    <w:rsid w:val="3F7F04D5"/>
    <w:rsid w:val="3FDF58AB"/>
    <w:rsid w:val="40A005F0"/>
    <w:rsid w:val="40D21EC7"/>
    <w:rsid w:val="417E1386"/>
    <w:rsid w:val="422B6BF4"/>
    <w:rsid w:val="42323B29"/>
    <w:rsid w:val="42347713"/>
    <w:rsid w:val="42EF585A"/>
    <w:rsid w:val="430B4389"/>
    <w:rsid w:val="43B00A8F"/>
    <w:rsid w:val="43D674C5"/>
    <w:rsid w:val="442619BB"/>
    <w:rsid w:val="44DD179A"/>
    <w:rsid w:val="44E255FB"/>
    <w:rsid w:val="45511B47"/>
    <w:rsid w:val="45837BB3"/>
    <w:rsid w:val="45A15DDB"/>
    <w:rsid w:val="45B22926"/>
    <w:rsid w:val="45CC22E1"/>
    <w:rsid w:val="46534A7E"/>
    <w:rsid w:val="4681712C"/>
    <w:rsid w:val="468B6718"/>
    <w:rsid w:val="46AA55FD"/>
    <w:rsid w:val="473B23EB"/>
    <w:rsid w:val="47633200"/>
    <w:rsid w:val="476C53A1"/>
    <w:rsid w:val="47B32EAB"/>
    <w:rsid w:val="47C40E8C"/>
    <w:rsid w:val="47FF0510"/>
    <w:rsid w:val="48B1218F"/>
    <w:rsid w:val="48B14AB0"/>
    <w:rsid w:val="48D6123C"/>
    <w:rsid w:val="49150F51"/>
    <w:rsid w:val="49480BD4"/>
    <w:rsid w:val="499F04DF"/>
    <w:rsid w:val="49CB3BFF"/>
    <w:rsid w:val="49CF2971"/>
    <w:rsid w:val="4A56432B"/>
    <w:rsid w:val="4AA4619B"/>
    <w:rsid w:val="4ACD3FB1"/>
    <w:rsid w:val="4B16773E"/>
    <w:rsid w:val="4B284D77"/>
    <w:rsid w:val="4BEC1507"/>
    <w:rsid w:val="4C7E06ED"/>
    <w:rsid w:val="4CD363C9"/>
    <w:rsid w:val="4D027075"/>
    <w:rsid w:val="4D7F6702"/>
    <w:rsid w:val="4EE03A01"/>
    <w:rsid w:val="4F123950"/>
    <w:rsid w:val="4F134C73"/>
    <w:rsid w:val="4F792F70"/>
    <w:rsid w:val="507519D9"/>
    <w:rsid w:val="50EC442B"/>
    <w:rsid w:val="52127D7D"/>
    <w:rsid w:val="52412A63"/>
    <w:rsid w:val="524C4D30"/>
    <w:rsid w:val="52D20697"/>
    <w:rsid w:val="53596636"/>
    <w:rsid w:val="53763D4D"/>
    <w:rsid w:val="54135280"/>
    <w:rsid w:val="54252972"/>
    <w:rsid w:val="5526139C"/>
    <w:rsid w:val="552B2D26"/>
    <w:rsid w:val="554E1470"/>
    <w:rsid w:val="55986D51"/>
    <w:rsid w:val="55D42624"/>
    <w:rsid w:val="56133CA0"/>
    <w:rsid w:val="56DD4ABD"/>
    <w:rsid w:val="5703231E"/>
    <w:rsid w:val="57116442"/>
    <w:rsid w:val="578D3493"/>
    <w:rsid w:val="586A7A45"/>
    <w:rsid w:val="58914C8B"/>
    <w:rsid w:val="58E3423E"/>
    <w:rsid w:val="58F23ED5"/>
    <w:rsid w:val="5956205C"/>
    <w:rsid w:val="599E6CB8"/>
    <w:rsid w:val="59E031E2"/>
    <w:rsid w:val="5AA974E8"/>
    <w:rsid w:val="5B703490"/>
    <w:rsid w:val="5B8340E7"/>
    <w:rsid w:val="5B8D0599"/>
    <w:rsid w:val="5B937814"/>
    <w:rsid w:val="5BA627EA"/>
    <w:rsid w:val="5BAA125C"/>
    <w:rsid w:val="5BE2525D"/>
    <w:rsid w:val="5C6E79F1"/>
    <w:rsid w:val="5C8657B1"/>
    <w:rsid w:val="5CA73484"/>
    <w:rsid w:val="5CE5499C"/>
    <w:rsid w:val="5D77243C"/>
    <w:rsid w:val="5E1F04AA"/>
    <w:rsid w:val="5E2F13E4"/>
    <w:rsid w:val="5E510478"/>
    <w:rsid w:val="5EC546B7"/>
    <w:rsid w:val="5EE01513"/>
    <w:rsid w:val="5F0A48C8"/>
    <w:rsid w:val="5F61759D"/>
    <w:rsid w:val="5F8F54D4"/>
    <w:rsid w:val="5FA9036D"/>
    <w:rsid w:val="5FAE3221"/>
    <w:rsid w:val="5FE20A6A"/>
    <w:rsid w:val="5FE80DF1"/>
    <w:rsid w:val="60394F33"/>
    <w:rsid w:val="607A028C"/>
    <w:rsid w:val="60A9073B"/>
    <w:rsid w:val="61904268"/>
    <w:rsid w:val="61922827"/>
    <w:rsid w:val="61985AAE"/>
    <w:rsid w:val="619B21A0"/>
    <w:rsid w:val="61A6252D"/>
    <w:rsid w:val="61C95215"/>
    <w:rsid w:val="620863D2"/>
    <w:rsid w:val="626058BD"/>
    <w:rsid w:val="62D638A3"/>
    <w:rsid w:val="62D70238"/>
    <w:rsid w:val="62F44109"/>
    <w:rsid w:val="634E5810"/>
    <w:rsid w:val="639A2C3A"/>
    <w:rsid w:val="63A81226"/>
    <w:rsid w:val="650A079C"/>
    <w:rsid w:val="652F2B95"/>
    <w:rsid w:val="65C119F9"/>
    <w:rsid w:val="65E5355A"/>
    <w:rsid w:val="66CD3247"/>
    <w:rsid w:val="674A3D4F"/>
    <w:rsid w:val="679006E0"/>
    <w:rsid w:val="6864772D"/>
    <w:rsid w:val="68BC6A3B"/>
    <w:rsid w:val="68DD7469"/>
    <w:rsid w:val="691A4D69"/>
    <w:rsid w:val="699140BA"/>
    <w:rsid w:val="6A121AD7"/>
    <w:rsid w:val="6A3C248C"/>
    <w:rsid w:val="6A7E5E1C"/>
    <w:rsid w:val="6AD23B35"/>
    <w:rsid w:val="6B125161"/>
    <w:rsid w:val="6BB120FA"/>
    <w:rsid w:val="6C137D72"/>
    <w:rsid w:val="6C3226C6"/>
    <w:rsid w:val="6C545FF5"/>
    <w:rsid w:val="6C591BE2"/>
    <w:rsid w:val="6C7278F5"/>
    <w:rsid w:val="6CB53EBD"/>
    <w:rsid w:val="6E0A4A26"/>
    <w:rsid w:val="6E5E1B6C"/>
    <w:rsid w:val="6EEF71D1"/>
    <w:rsid w:val="6F021A16"/>
    <w:rsid w:val="6F1D40CE"/>
    <w:rsid w:val="6F5A2471"/>
    <w:rsid w:val="6F732CE8"/>
    <w:rsid w:val="6F9659EC"/>
    <w:rsid w:val="6FB10853"/>
    <w:rsid w:val="7051517A"/>
    <w:rsid w:val="706640CE"/>
    <w:rsid w:val="70D85BD1"/>
    <w:rsid w:val="715B338A"/>
    <w:rsid w:val="716A7ADC"/>
    <w:rsid w:val="71D054FD"/>
    <w:rsid w:val="71DE2E53"/>
    <w:rsid w:val="721F39FF"/>
    <w:rsid w:val="729E121E"/>
    <w:rsid w:val="72A50F7A"/>
    <w:rsid w:val="72B069AF"/>
    <w:rsid w:val="72D02269"/>
    <w:rsid w:val="72E23A7A"/>
    <w:rsid w:val="72F6179B"/>
    <w:rsid w:val="738003CA"/>
    <w:rsid w:val="73C31046"/>
    <w:rsid w:val="73C56EED"/>
    <w:rsid w:val="74D73070"/>
    <w:rsid w:val="750A3303"/>
    <w:rsid w:val="758D4AB4"/>
    <w:rsid w:val="75D12961"/>
    <w:rsid w:val="765941C5"/>
    <w:rsid w:val="76FF6C47"/>
    <w:rsid w:val="773B6CD4"/>
    <w:rsid w:val="77D61CCD"/>
    <w:rsid w:val="77E30949"/>
    <w:rsid w:val="77F16A53"/>
    <w:rsid w:val="783525A0"/>
    <w:rsid w:val="786F12BD"/>
    <w:rsid w:val="786F1AA9"/>
    <w:rsid w:val="7872551D"/>
    <w:rsid w:val="7920071D"/>
    <w:rsid w:val="79A30975"/>
    <w:rsid w:val="79C52BC7"/>
    <w:rsid w:val="79C747F6"/>
    <w:rsid w:val="7A36659D"/>
    <w:rsid w:val="7A6027C1"/>
    <w:rsid w:val="7A854A12"/>
    <w:rsid w:val="7B237820"/>
    <w:rsid w:val="7B974622"/>
    <w:rsid w:val="7BF76D69"/>
    <w:rsid w:val="7D4E72F0"/>
    <w:rsid w:val="7D6B63CB"/>
    <w:rsid w:val="7E9219F9"/>
    <w:rsid w:val="7EE24BA7"/>
    <w:rsid w:val="7EF87B3E"/>
    <w:rsid w:val="7F4B74B1"/>
    <w:rsid w:val="7F775A4A"/>
    <w:rsid w:val="7F924DA0"/>
    <w:rsid w:val="7FDB0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9"/>
    <w:qFormat/>
    <w:uiPriority w:val="9"/>
    <w:pPr>
      <w:keepNext/>
      <w:keepLines/>
      <w:spacing w:before="340" w:after="330" w:line="576" w:lineRule="auto"/>
      <w:outlineLvl w:val="0"/>
    </w:pPr>
    <w:rPr>
      <w:b/>
      <w:bCs/>
      <w:kern w:val="44"/>
      <w:sz w:val="44"/>
      <w:szCs w:val="44"/>
    </w:rPr>
  </w:style>
  <w:style w:type="paragraph" w:styleId="5">
    <w:name w:val="heading 2"/>
    <w:basedOn w:val="1"/>
    <w:next w:val="1"/>
    <w:link w:val="60"/>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61"/>
    <w:qFormat/>
    <w:uiPriority w:val="0"/>
    <w:pPr>
      <w:keepNext/>
      <w:keepLines/>
      <w:spacing w:before="260" w:after="260" w:line="413" w:lineRule="auto"/>
      <w:outlineLvl w:val="2"/>
    </w:pPr>
    <w:rPr>
      <w:b/>
      <w:bCs/>
      <w:sz w:val="32"/>
      <w:szCs w:val="32"/>
    </w:rPr>
  </w:style>
  <w:style w:type="paragraph" w:styleId="7">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8">
    <w:name w:val="heading 5"/>
    <w:basedOn w:val="1"/>
    <w:next w:val="9"/>
    <w:link w:val="63"/>
    <w:qFormat/>
    <w:uiPriority w:val="0"/>
    <w:pPr>
      <w:keepNext/>
      <w:keepLines/>
      <w:spacing w:before="280" w:after="290" w:line="372" w:lineRule="auto"/>
      <w:outlineLvl w:val="4"/>
    </w:pPr>
    <w:rPr>
      <w:b/>
      <w:sz w:val="28"/>
    </w:rPr>
  </w:style>
  <w:style w:type="paragraph" w:styleId="10">
    <w:name w:val="heading 6"/>
    <w:basedOn w:val="1"/>
    <w:next w:val="9"/>
    <w:link w:val="64"/>
    <w:qFormat/>
    <w:uiPriority w:val="0"/>
    <w:pPr>
      <w:keepNext/>
      <w:keepLines/>
      <w:spacing w:before="240" w:after="64" w:line="317" w:lineRule="auto"/>
      <w:outlineLvl w:val="5"/>
    </w:pPr>
    <w:rPr>
      <w:rFonts w:ascii="Arial" w:hAnsi="Arial" w:eastAsia="黑体"/>
      <w:b/>
      <w:sz w:val="24"/>
    </w:rPr>
  </w:style>
  <w:style w:type="paragraph" w:styleId="11">
    <w:name w:val="heading 7"/>
    <w:basedOn w:val="1"/>
    <w:next w:val="9"/>
    <w:link w:val="65"/>
    <w:qFormat/>
    <w:uiPriority w:val="0"/>
    <w:pPr>
      <w:keepNext/>
      <w:keepLines/>
      <w:spacing w:before="240" w:after="64" w:line="317" w:lineRule="auto"/>
      <w:outlineLvl w:val="6"/>
    </w:pPr>
    <w:rPr>
      <w:b/>
      <w:sz w:val="24"/>
    </w:rPr>
  </w:style>
  <w:style w:type="paragraph" w:styleId="12">
    <w:name w:val="heading 8"/>
    <w:basedOn w:val="1"/>
    <w:next w:val="9"/>
    <w:link w:val="66"/>
    <w:qFormat/>
    <w:uiPriority w:val="0"/>
    <w:pPr>
      <w:keepNext/>
      <w:keepLines/>
      <w:spacing w:before="240" w:after="64" w:line="317" w:lineRule="auto"/>
      <w:outlineLvl w:val="7"/>
    </w:pPr>
    <w:rPr>
      <w:rFonts w:ascii="Arial" w:hAnsi="Arial" w:eastAsia="黑体"/>
      <w:sz w:val="24"/>
    </w:rPr>
  </w:style>
  <w:style w:type="paragraph" w:styleId="13">
    <w:name w:val="heading 9"/>
    <w:basedOn w:val="1"/>
    <w:next w:val="9"/>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1"/>
    <w:qFormat/>
    <w:uiPriority w:val="99"/>
    <w:pPr>
      <w:spacing w:line="380" w:lineRule="exact"/>
    </w:pPr>
    <w:rPr>
      <w:sz w:val="24"/>
    </w:rPr>
  </w:style>
  <w:style w:type="paragraph" w:styleId="3">
    <w:name w:val="Body Text First Indent 2"/>
    <w:basedOn w:val="1"/>
    <w:link w:val="85"/>
    <w:qFormat/>
    <w:uiPriority w:val="0"/>
    <w:pPr>
      <w:spacing w:after="120"/>
      <w:ind w:left="420" w:leftChars="200" w:firstLine="420" w:firstLineChars="200"/>
    </w:pPr>
    <w:rPr>
      <w:rFonts w:ascii="Times New Roman" w:eastAsia="宋体"/>
      <w:sz w:val="21"/>
      <w:szCs w:val="24"/>
    </w:rPr>
  </w:style>
  <w:style w:type="paragraph" w:styleId="9">
    <w:name w:val="Normal Indent"/>
    <w:basedOn w:val="1"/>
    <w:qFormat/>
    <w:uiPriority w:val="0"/>
    <w:pPr>
      <w:ind w:firstLine="420"/>
    </w:pPr>
    <w:rPr>
      <w:szCs w:val="20"/>
    </w:rPr>
  </w:style>
  <w:style w:type="paragraph" w:styleId="14">
    <w:name w:val="List 3"/>
    <w:basedOn w:val="1"/>
    <w:qFormat/>
    <w:uiPriority w:val="0"/>
    <w:pPr>
      <w:ind w:left="100" w:leftChars="400" w:hanging="200" w:hangingChars="200"/>
    </w:p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69"/>
    <w:qFormat/>
    <w:uiPriority w:val="0"/>
    <w:pPr>
      <w:jc w:val="left"/>
    </w:pPr>
  </w:style>
  <w:style w:type="paragraph" w:styleId="20">
    <w:name w:val="Body Text 3"/>
    <w:basedOn w:val="1"/>
    <w:link w:val="70"/>
    <w:qFormat/>
    <w:uiPriority w:val="0"/>
    <w:pPr>
      <w:spacing w:line="500" w:lineRule="exact"/>
    </w:pPr>
    <w:rPr>
      <w:b/>
      <w:bCs/>
      <w:sz w:val="24"/>
    </w:rPr>
  </w:style>
  <w:style w:type="paragraph" w:styleId="21">
    <w:name w:val="Body Text Indent"/>
    <w:basedOn w:val="1"/>
    <w:link w:val="72"/>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73"/>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4"/>
    <w:qFormat/>
    <w:uiPriority w:val="0"/>
    <w:pPr>
      <w:ind w:left="100" w:leftChars="2500"/>
    </w:pPr>
    <w:rPr>
      <w:rFonts w:ascii="宋体" w:hAnsi="Courier New"/>
      <w:szCs w:val="21"/>
    </w:rPr>
  </w:style>
  <w:style w:type="paragraph" w:styleId="30">
    <w:name w:val="Body Text Indent 2"/>
    <w:basedOn w:val="1"/>
    <w:link w:val="75"/>
    <w:qFormat/>
    <w:uiPriority w:val="0"/>
    <w:pPr>
      <w:ind w:firstLine="630"/>
    </w:pPr>
    <w:rPr>
      <w:sz w:val="32"/>
      <w:szCs w:val="20"/>
    </w:rPr>
  </w:style>
  <w:style w:type="paragraph" w:styleId="31">
    <w:name w:val="Balloon Text"/>
    <w:basedOn w:val="1"/>
    <w:link w:val="76"/>
    <w:qFormat/>
    <w:uiPriority w:val="0"/>
    <w:rPr>
      <w:sz w:val="18"/>
      <w:szCs w:val="18"/>
    </w:rPr>
  </w:style>
  <w:style w:type="paragraph" w:styleId="32">
    <w:name w:val="footer"/>
    <w:basedOn w:val="1"/>
    <w:link w:val="77"/>
    <w:qFormat/>
    <w:uiPriority w:val="0"/>
    <w:pPr>
      <w:tabs>
        <w:tab w:val="center" w:pos="4153"/>
        <w:tab w:val="right" w:pos="8306"/>
      </w:tabs>
      <w:snapToGrid w:val="0"/>
      <w:jc w:val="left"/>
    </w:pPr>
    <w:rPr>
      <w:sz w:val="18"/>
      <w:szCs w:val="18"/>
    </w:rPr>
  </w:style>
  <w:style w:type="paragraph" w:styleId="33">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link w:val="79"/>
    <w:qFormat/>
    <w:uiPriority w:val="0"/>
    <w:pPr>
      <w:spacing w:after="12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80"/>
    <w:qFormat/>
    <w:uiPriority w:val="0"/>
    <w:pPr>
      <w:spacing w:after="120" w:line="480" w:lineRule="auto"/>
    </w:pPr>
  </w:style>
  <w:style w:type="paragraph" w:styleId="43">
    <w:name w:val="List 4"/>
    <w:basedOn w:val="1"/>
    <w:qFormat/>
    <w:uiPriority w:val="0"/>
    <w:pPr>
      <w:ind w:left="100" w:leftChars="600" w:hanging="200" w:hangingChars="200"/>
    </w:pPr>
  </w:style>
  <w:style w:type="paragraph" w:styleId="44">
    <w:name w:val="List Continue 2"/>
    <w:basedOn w:val="1"/>
    <w:qFormat/>
    <w:uiPriority w:val="0"/>
    <w:pPr>
      <w:spacing w:after="120"/>
      <w:ind w:left="840" w:leftChars="400"/>
    </w:pPr>
  </w:style>
  <w:style w:type="paragraph" w:styleId="45">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Autospacing="1" w:after="100" w:afterAutospacing="1"/>
      <w:jc w:val="left"/>
    </w:pPr>
    <w:rPr>
      <w:rFonts w:ascii="宋体" w:hAnsi="宋体"/>
      <w:kern w:val="0"/>
      <w:sz w:val="24"/>
    </w:rPr>
  </w:style>
  <w:style w:type="paragraph" w:styleId="47">
    <w:name w:val="index 1"/>
    <w:basedOn w:val="1"/>
    <w:next w:val="1"/>
    <w:qFormat/>
    <w:uiPriority w:val="0"/>
    <w:pPr>
      <w:spacing w:line="400" w:lineRule="exact"/>
      <w:ind w:firstLine="420" w:firstLineChars="200"/>
    </w:pPr>
    <w:rPr>
      <w:rFonts w:ascii="宋体" w:hAnsi="Courier New"/>
      <w:b/>
      <w:szCs w:val="20"/>
    </w:rPr>
  </w:style>
  <w:style w:type="paragraph" w:styleId="48">
    <w:name w:val="Title"/>
    <w:basedOn w:val="1"/>
    <w:link w:val="82"/>
    <w:qFormat/>
    <w:uiPriority w:val="0"/>
    <w:pPr>
      <w:jc w:val="center"/>
    </w:pPr>
    <w:rPr>
      <w:sz w:val="30"/>
    </w:rPr>
  </w:style>
  <w:style w:type="paragraph" w:styleId="49">
    <w:name w:val="annotation subject"/>
    <w:basedOn w:val="19"/>
    <w:next w:val="19"/>
    <w:link w:val="83"/>
    <w:qFormat/>
    <w:uiPriority w:val="0"/>
    <w:rPr>
      <w:b/>
      <w:bCs/>
    </w:rPr>
  </w:style>
  <w:style w:type="paragraph" w:styleId="50">
    <w:name w:val="Body Text First Indent"/>
    <w:basedOn w:val="2"/>
    <w:link w:val="84"/>
    <w:qFormat/>
    <w:uiPriority w:val="0"/>
    <w:pPr>
      <w:spacing w:after="120" w:line="240" w:lineRule="auto"/>
      <w:ind w:firstLine="420" w:firstLineChars="100"/>
    </w:pPr>
    <w:rPr>
      <w:sz w:val="21"/>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
    <w:link w:val="4"/>
    <w:qFormat/>
    <w:uiPriority w:val="9"/>
    <w:rPr>
      <w:rFonts w:eastAsia="宋体"/>
      <w:b/>
      <w:bCs/>
      <w:kern w:val="44"/>
      <w:sz w:val="44"/>
      <w:szCs w:val="44"/>
      <w:lang w:val="en-US" w:eastAsia="zh-CN" w:bidi="ar-SA"/>
    </w:rPr>
  </w:style>
  <w:style w:type="character" w:customStyle="1" w:styleId="60">
    <w:name w:val="标题 2 字符"/>
    <w:link w:val="5"/>
    <w:qFormat/>
    <w:uiPriority w:val="0"/>
    <w:rPr>
      <w:rFonts w:ascii="Arial" w:hAnsi="Arial" w:eastAsia="黑体"/>
      <w:b/>
      <w:bCs/>
      <w:kern w:val="2"/>
      <w:sz w:val="32"/>
      <w:szCs w:val="32"/>
    </w:rPr>
  </w:style>
  <w:style w:type="character" w:customStyle="1" w:styleId="61">
    <w:name w:val="标题 3 字符"/>
    <w:link w:val="6"/>
    <w:qFormat/>
    <w:uiPriority w:val="0"/>
    <w:rPr>
      <w:b/>
      <w:bCs/>
      <w:kern w:val="2"/>
      <w:sz w:val="32"/>
      <w:szCs w:val="32"/>
    </w:rPr>
  </w:style>
  <w:style w:type="character" w:customStyle="1" w:styleId="62">
    <w:name w:val="标题 4 字符"/>
    <w:link w:val="7"/>
    <w:qFormat/>
    <w:uiPriority w:val="0"/>
    <w:rPr>
      <w:rFonts w:ascii="Arial" w:hAnsi="Arial" w:eastAsia="黑体"/>
      <w:sz w:val="28"/>
    </w:rPr>
  </w:style>
  <w:style w:type="character" w:customStyle="1" w:styleId="63">
    <w:name w:val="标题 5 字符"/>
    <w:link w:val="8"/>
    <w:qFormat/>
    <w:uiPriority w:val="0"/>
    <w:rPr>
      <w:b/>
      <w:kern w:val="2"/>
      <w:sz w:val="28"/>
      <w:szCs w:val="24"/>
    </w:rPr>
  </w:style>
  <w:style w:type="character" w:customStyle="1" w:styleId="64">
    <w:name w:val="标题 6 字符"/>
    <w:link w:val="10"/>
    <w:qFormat/>
    <w:uiPriority w:val="0"/>
    <w:rPr>
      <w:rFonts w:ascii="Arial" w:hAnsi="Arial" w:eastAsia="黑体"/>
      <w:b/>
      <w:kern w:val="2"/>
      <w:sz w:val="24"/>
      <w:szCs w:val="24"/>
    </w:rPr>
  </w:style>
  <w:style w:type="character" w:customStyle="1" w:styleId="65">
    <w:name w:val="标题 7 字符"/>
    <w:link w:val="11"/>
    <w:qFormat/>
    <w:uiPriority w:val="0"/>
    <w:rPr>
      <w:b/>
      <w:kern w:val="2"/>
      <w:sz w:val="24"/>
      <w:szCs w:val="24"/>
    </w:rPr>
  </w:style>
  <w:style w:type="character" w:customStyle="1" w:styleId="66">
    <w:name w:val="标题 8 字符"/>
    <w:link w:val="12"/>
    <w:qFormat/>
    <w:uiPriority w:val="0"/>
    <w:rPr>
      <w:rFonts w:ascii="Arial" w:hAnsi="Arial" w:eastAsia="黑体"/>
      <w:kern w:val="2"/>
      <w:sz w:val="24"/>
      <w:szCs w:val="24"/>
    </w:rPr>
  </w:style>
  <w:style w:type="character" w:customStyle="1" w:styleId="67">
    <w:name w:val="标题 9 字符"/>
    <w:link w:val="13"/>
    <w:qFormat/>
    <w:uiPriority w:val="0"/>
    <w:rPr>
      <w:rFonts w:ascii="Arial" w:hAnsi="Arial" w:eastAsia="黑体"/>
      <w:kern w:val="2"/>
      <w:sz w:val="21"/>
      <w:szCs w:val="24"/>
    </w:rPr>
  </w:style>
  <w:style w:type="character" w:customStyle="1" w:styleId="68">
    <w:name w:val="文档结构图 字符"/>
    <w:link w:val="18"/>
    <w:qFormat/>
    <w:uiPriority w:val="0"/>
    <w:rPr>
      <w:sz w:val="21"/>
      <w:shd w:val="clear" w:color="auto" w:fill="000080"/>
    </w:rPr>
  </w:style>
  <w:style w:type="character" w:customStyle="1" w:styleId="69">
    <w:name w:val="批注文字 字符"/>
    <w:link w:val="19"/>
    <w:qFormat/>
    <w:uiPriority w:val="0"/>
    <w:rPr>
      <w:kern w:val="2"/>
      <w:sz w:val="21"/>
      <w:szCs w:val="24"/>
    </w:rPr>
  </w:style>
  <w:style w:type="character" w:customStyle="1" w:styleId="70">
    <w:name w:val="正文文本 3 字符"/>
    <w:link w:val="20"/>
    <w:qFormat/>
    <w:uiPriority w:val="0"/>
    <w:rPr>
      <w:b/>
      <w:bCs/>
      <w:kern w:val="2"/>
      <w:sz w:val="24"/>
      <w:szCs w:val="24"/>
    </w:rPr>
  </w:style>
  <w:style w:type="character" w:customStyle="1" w:styleId="71">
    <w:name w:val="正文文本 字符"/>
    <w:link w:val="2"/>
    <w:qFormat/>
    <w:uiPriority w:val="99"/>
    <w:rPr>
      <w:kern w:val="2"/>
      <w:sz w:val="24"/>
      <w:szCs w:val="24"/>
    </w:rPr>
  </w:style>
  <w:style w:type="character" w:customStyle="1" w:styleId="72">
    <w:name w:val="正文文本缩进 字符"/>
    <w:link w:val="21"/>
    <w:qFormat/>
    <w:uiPriority w:val="99"/>
    <w:rPr>
      <w:rFonts w:ascii="仿宋_GB2312" w:eastAsia="仿宋_GB2312"/>
      <w:kern w:val="2"/>
      <w:sz w:val="32"/>
    </w:rPr>
  </w:style>
  <w:style w:type="character" w:customStyle="1" w:styleId="73">
    <w:name w:val="纯文本 字符"/>
    <w:link w:val="27"/>
    <w:qFormat/>
    <w:uiPriority w:val="99"/>
    <w:rPr>
      <w:rFonts w:ascii="宋体" w:hAnsi="Courier New" w:eastAsia="宋体" w:cs="Courier New"/>
      <w:kern w:val="2"/>
      <w:sz w:val="21"/>
      <w:szCs w:val="21"/>
      <w:lang w:val="en-US" w:eastAsia="zh-CN" w:bidi="ar-SA"/>
    </w:rPr>
  </w:style>
  <w:style w:type="character" w:customStyle="1" w:styleId="74">
    <w:name w:val="日期 字符"/>
    <w:link w:val="29"/>
    <w:qFormat/>
    <w:uiPriority w:val="0"/>
    <w:rPr>
      <w:rFonts w:ascii="宋体" w:hAnsi="Courier New" w:cs="Courier New"/>
      <w:kern w:val="2"/>
      <w:sz w:val="21"/>
      <w:szCs w:val="21"/>
    </w:rPr>
  </w:style>
  <w:style w:type="character" w:customStyle="1" w:styleId="75">
    <w:name w:val="正文文本缩进 2 字符"/>
    <w:link w:val="30"/>
    <w:qFormat/>
    <w:uiPriority w:val="0"/>
    <w:rPr>
      <w:kern w:val="2"/>
      <w:sz w:val="32"/>
    </w:rPr>
  </w:style>
  <w:style w:type="character" w:customStyle="1" w:styleId="76">
    <w:name w:val="批注框文本 字符"/>
    <w:link w:val="31"/>
    <w:qFormat/>
    <w:uiPriority w:val="0"/>
    <w:rPr>
      <w:kern w:val="2"/>
      <w:sz w:val="18"/>
      <w:szCs w:val="18"/>
    </w:rPr>
  </w:style>
  <w:style w:type="character" w:customStyle="1" w:styleId="77">
    <w:name w:val="页脚 字符"/>
    <w:link w:val="32"/>
    <w:qFormat/>
    <w:uiPriority w:val="0"/>
    <w:rPr>
      <w:kern w:val="2"/>
      <w:sz w:val="18"/>
      <w:szCs w:val="18"/>
    </w:rPr>
  </w:style>
  <w:style w:type="character" w:customStyle="1" w:styleId="78">
    <w:name w:val="页眉 字符"/>
    <w:link w:val="33"/>
    <w:qFormat/>
    <w:uiPriority w:val="99"/>
    <w:rPr>
      <w:kern w:val="2"/>
      <w:sz w:val="18"/>
      <w:szCs w:val="18"/>
    </w:rPr>
  </w:style>
  <w:style w:type="character" w:customStyle="1" w:styleId="79">
    <w:name w:val="正文文本缩进 3 字符"/>
    <w:link w:val="39"/>
    <w:qFormat/>
    <w:uiPriority w:val="0"/>
    <w:rPr>
      <w:kern w:val="2"/>
      <w:sz w:val="16"/>
      <w:szCs w:val="16"/>
    </w:rPr>
  </w:style>
  <w:style w:type="character" w:customStyle="1" w:styleId="80">
    <w:name w:val="正文文本 2 字符"/>
    <w:link w:val="42"/>
    <w:qFormat/>
    <w:uiPriority w:val="0"/>
    <w:rPr>
      <w:kern w:val="2"/>
      <w:sz w:val="21"/>
      <w:szCs w:val="24"/>
    </w:rPr>
  </w:style>
  <w:style w:type="character" w:customStyle="1" w:styleId="81">
    <w:name w:val="HTML 预设格式 字符"/>
    <w:link w:val="45"/>
    <w:qFormat/>
    <w:uiPriority w:val="0"/>
    <w:rPr>
      <w:rFonts w:ascii="黑体" w:hAnsi="Courier New" w:eastAsia="黑体" w:cs="Courier New"/>
    </w:rPr>
  </w:style>
  <w:style w:type="character" w:customStyle="1" w:styleId="82">
    <w:name w:val="标题 字符"/>
    <w:link w:val="48"/>
    <w:qFormat/>
    <w:uiPriority w:val="0"/>
    <w:rPr>
      <w:kern w:val="2"/>
      <w:sz w:val="30"/>
      <w:szCs w:val="24"/>
    </w:rPr>
  </w:style>
  <w:style w:type="character" w:customStyle="1" w:styleId="83">
    <w:name w:val="批注主题 字符"/>
    <w:link w:val="49"/>
    <w:qFormat/>
    <w:uiPriority w:val="0"/>
    <w:rPr>
      <w:b/>
      <w:bCs/>
      <w:kern w:val="2"/>
      <w:sz w:val="21"/>
      <w:szCs w:val="24"/>
    </w:rPr>
  </w:style>
  <w:style w:type="character" w:customStyle="1" w:styleId="84">
    <w:name w:val="正文文本首行缩进 字符"/>
    <w:link w:val="50"/>
    <w:qFormat/>
    <w:uiPriority w:val="0"/>
    <w:rPr>
      <w:kern w:val="2"/>
      <w:sz w:val="21"/>
      <w:szCs w:val="24"/>
    </w:rPr>
  </w:style>
  <w:style w:type="character" w:customStyle="1" w:styleId="85">
    <w:name w:val="正文文本首行缩进 2 字符"/>
    <w:link w:val="3"/>
    <w:qFormat/>
    <w:uiPriority w:val="0"/>
    <w:rPr>
      <w:kern w:val="2"/>
      <w:sz w:val="21"/>
      <w:szCs w:val="24"/>
    </w:rPr>
  </w:style>
  <w:style w:type="character" w:customStyle="1" w:styleId="86">
    <w:name w:val="small"/>
    <w:qFormat/>
    <w:uiPriority w:val="0"/>
  </w:style>
  <w:style w:type="character" w:customStyle="1" w:styleId="87">
    <w:name w:val="white"/>
    <w:qFormat/>
    <w:uiPriority w:val="0"/>
  </w:style>
  <w:style w:type="character" w:customStyle="1" w:styleId="88">
    <w:name w:val="z-窗体顶端 字符"/>
    <w:link w:val="89"/>
    <w:qFormat/>
    <w:uiPriority w:val="0"/>
    <w:rPr>
      <w:rFonts w:ascii="Arial"/>
      <w:vanish/>
      <w:kern w:val="2"/>
      <w:sz w:val="16"/>
      <w:szCs w:val="24"/>
    </w:rPr>
  </w:style>
  <w:style w:type="paragraph" w:customStyle="1" w:styleId="89">
    <w:name w:val="_Style 88"/>
    <w:basedOn w:val="1"/>
    <w:next w:val="1"/>
    <w:link w:val="88"/>
    <w:qFormat/>
    <w:uiPriority w:val="0"/>
    <w:pPr>
      <w:pBdr>
        <w:bottom w:val="single" w:color="auto" w:sz="6" w:space="1"/>
      </w:pBdr>
      <w:jc w:val="center"/>
    </w:pPr>
    <w:rPr>
      <w:rFonts w:ascii="Arial"/>
      <w:vanish/>
      <w:sz w:val="16"/>
    </w:rPr>
  </w:style>
  <w:style w:type="character" w:customStyle="1" w:styleId="90">
    <w:name w:val="f151"/>
    <w:qFormat/>
    <w:uiPriority w:val="0"/>
    <w:rPr>
      <w:sz w:val="23"/>
      <w:szCs w:val="23"/>
    </w:rPr>
  </w:style>
  <w:style w:type="character" w:customStyle="1" w:styleId="91">
    <w:name w:val="apple-converted-space"/>
    <w:qFormat/>
    <w:uiPriority w:val="0"/>
  </w:style>
  <w:style w:type="character" w:customStyle="1" w:styleId="92">
    <w:name w:val="gray12"/>
    <w:qFormat/>
    <w:uiPriority w:val="0"/>
  </w:style>
  <w:style w:type="character" w:customStyle="1" w:styleId="93">
    <w:name w:val="style21"/>
    <w:qFormat/>
    <w:uiPriority w:val="0"/>
    <w:rPr>
      <w:sz w:val="17"/>
      <w:szCs w:val="17"/>
    </w:rPr>
  </w:style>
  <w:style w:type="character" w:customStyle="1" w:styleId="94">
    <w:name w:val="mark8"/>
    <w:qFormat/>
    <w:uiPriority w:val="0"/>
    <w:rPr>
      <w:b/>
      <w:bCs/>
      <w:sz w:val="21"/>
      <w:szCs w:val="21"/>
    </w:rPr>
  </w:style>
  <w:style w:type="character" w:customStyle="1" w:styleId="95">
    <w:name w:val="content2"/>
    <w:qFormat/>
    <w:uiPriority w:val="0"/>
  </w:style>
  <w:style w:type="character" w:customStyle="1" w:styleId="96">
    <w:name w:val="1ji Char"/>
    <w:link w:val="97"/>
    <w:qFormat/>
    <w:uiPriority w:val="0"/>
    <w:rPr>
      <w:rFonts w:ascii="宋体" w:hAnsi="宋体" w:eastAsia="宋体"/>
      <w:b/>
      <w:bCs/>
      <w:kern w:val="44"/>
      <w:sz w:val="36"/>
      <w:szCs w:val="44"/>
      <w:lang w:val="en-US" w:eastAsia="zh-CN" w:bidi="ar-SA"/>
    </w:rPr>
  </w:style>
  <w:style w:type="paragraph" w:customStyle="1" w:styleId="97">
    <w:name w:val="1ji"/>
    <w:basedOn w:val="4"/>
    <w:link w:val="96"/>
    <w:qFormat/>
    <w:uiPriority w:val="0"/>
    <w:pPr>
      <w:keepLines w:val="0"/>
      <w:widowControl/>
      <w:spacing w:before="0" w:after="0" w:line="240" w:lineRule="auto"/>
      <w:jc w:val="center"/>
    </w:pPr>
    <w:rPr>
      <w:rFonts w:ascii="宋体" w:hAnsi="宋体"/>
      <w:sz w:val="36"/>
    </w:rPr>
  </w:style>
  <w:style w:type="character" w:customStyle="1" w:styleId="98">
    <w:name w:val="case31"/>
    <w:qFormat/>
    <w:uiPriority w:val="0"/>
    <w:rPr>
      <w:rFonts w:hint="default" w:ascii="_x000B__x000C_" w:hAnsi="_x000B__x000C_"/>
      <w:sz w:val="21"/>
      <w:szCs w:val="21"/>
    </w:rPr>
  </w:style>
  <w:style w:type="character" w:customStyle="1" w:styleId="99">
    <w:name w:val="批注文字 Char2"/>
    <w:qFormat/>
    <w:uiPriority w:val="0"/>
    <w:rPr>
      <w:kern w:val="2"/>
      <w:sz w:val="21"/>
      <w:szCs w:val="24"/>
      <w:lang w:bidi="ar-SA"/>
    </w:rPr>
  </w:style>
  <w:style w:type="character" w:customStyle="1" w:styleId="100">
    <w:name w:val="标题3 Char"/>
    <w:link w:val="101"/>
    <w:qFormat/>
    <w:uiPriority w:val="0"/>
    <w:rPr>
      <w:rFonts w:ascii="宋体" w:hAnsi="宋体"/>
      <w:b/>
      <w:bCs/>
      <w:kern w:val="44"/>
      <w:sz w:val="24"/>
      <w:szCs w:val="24"/>
    </w:rPr>
  </w:style>
  <w:style w:type="paragraph" w:customStyle="1" w:styleId="101">
    <w:name w:val="标题3"/>
    <w:basedOn w:val="4"/>
    <w:link w:val="100"/>
    <w:qFormat/>
    <w:uiPriority w:val="0"/>
    <w:pPr>
      <w:spacing w:before="0" w:beforeLines="50" w:after="0" w:afterLines="50" w:line="400" w:lineRule="exact"/>
    </w:pPr>
    <w:rPr>
      <w:rFonts w:ascii="宋体" w:hAnsi="宋体"/>
      <w:sz w:val="24"/>
      <w:szCs w:val="24"/>
    </w:rPr>
  </w:style>
  <w:style w:type="character" w:customStyle="1" w:styleId="102">
    <w:name w:val="graytext1"/>
    <w:qFormat/>
    <w:uiPriority w:val="0"/>
    <w:rPr>
      <w:color w:val="666666"/>
    </w:rPr>
  </w:style>
  <w:style w:type="character" w:customStyle="1" w:styleId="103">
    <w:name w:val="font01"/>
    <w:qFormat/>
    <w:uiPriority w:val="0"/>
    <w:rPr>
      <w:rFonts w:hint="eastAsia" w:ascii="宋体" w:hAnsi="宋体" w:eastAsia="宋体"/>
      <w:color w:val="000000"/>
      <w:sz w:val="22"/>
      <w:szCs w:val="22"/>
      <w:u w:val="none"/>
    </w:rPr>
  </w:style>
  <w:style w:type="character" w:customStyle="1" w:styleId="104">
    <w:name w:val="short_text1"/>
    <w:qFormat/>
    <w:uiPriority w:val="0"/>
    <w:rPr>
      <w:sz w:val="26"/>
    </w:rPr>
  </w:style>
  <w:style w:type="character" w:customStyle="1" w:styleId="105">
    <w:name w:val="unnamed3"/>
    <w:qFormat/>
    <w:uiPriority w:val="0"/>
  </w:style>
  <w:style w:type="character" w:customStyle="1" w:styleId="106">
    <w:name w:val="062"/>
    <w:qFormat/>
    <w:uiPriority w:val="0"/>
    <w:rPr>
      <w:rFonts w:ascii="宋体" w:hAnsi="宋体"/>
      <w:b/>
      <w:bCs/>
      <w:sz w:val="32"/>
    </w:rPr>
  </w:style>
  <w:style w:type="character" w:customStyle="1" w:styleId="107">
    <w:name w:val="style11"/>
    <w:qFormat/>
    <w:uiPriority w:val="0"/>
    <w:rPr>
      <w:rFonts w:hint="default" w:ascii="Arial" w:hAnsi="Arial" w:cs="Arial"/>
    </w:rPr>
  </w:style>
  <w:style w:type="character" w:customStyle="1" w:styleId="108">
    <w:name w:val="纯文本 Char1"/>
    <w:qFormat/>
    <w:uiPriority w:val="0"/>
    <w:rPr>
      <w:rFonts w:ascii="宋体" w:hAnsi="Courier New" w:eastAsia="宋体" w:cs="Courier New"/>
      <w:kern w:val="2"/>
      <w:sz w:val="21"/>
      <w:szCs w:val="21"/>
      <w:lang w:val="en-US" w:eastAsia="zh-CN" w:bidi="ar-SA"/>
    </w:rPr>
  </w:style>
  <w:style w:type="character" w:customStyle="1" w:styleId="109">
    <w:name w:val="text11"/>
    <w:qFormat/>
    <w:uiPriority w:val="0"/>
    <w:rPr>
      <w:rFonts w:hint="default" w:ascii="Verdana" w:hAnsi="Verdana"/>
      <w:color w:val="4E4E4E"/>
      <w:sz w:val="18"/>
      <w:szCs w:val="18"/>
    </w:rPr>
  </w:style>
  <w:style w:type="character" w:customStyle="1" w:styleId="110">
    <w:name w:val="1051"/>
    <w:qFormat/>
    <w:uiPriority w:val="0"/>
    <w:rPr>
      <w:sz w:val="21"/>
      <w:szCs w:val="21"/>
    </w:rPr>
  </w:style>
  <w:style w:type="paragraph" w:customStyle="1" w:styleId="111">
    <w:name w:val="_Style 110"/>
    <w:unhideWhenUsed/>
    <w:qFormat/>
    <w:uiPriority w:val="99"/>
    <w:rPr>
      <w:rFonts w:ascii="Times New Roman" w:hAnsi="Times New Roman" w:eastAsia="宋体" w:cs="Times New Roman"/>
      <w:kern w:val="2"/>
      <w:sz w:val="21"/>
      <w:szCs w:val="24"/>
      <w:lang w:val="en-US" w:eastAsia="zh-CN" w:bidi="ar-SA"/>
    </w:rPr>
  </w:style>
  <w:style w:type="paragraph" w:customStyle="1" w:styleId="112">
    <w:name w:val="List Paragraph1"/>
    <w:basedOn w:val="1"/>
    <w:qFormat/>
    <w:uiPriority w:val="0"/>
    <w:pPr>
      <w:ind w:firstLine="420" w:firstLineChars="200"/>
    </w:pPr>
    <w:rPr>
      <w:rFonts w:ascii="Calibri" w:hAnsi="Calibri"/>
      <w:szCs w:val="22"/>
    </w:rPr>
  </w:style>
  <w:style w:type="paragraph" w:customStyle="1" w:styleId="113">
    <w:name w:val="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14">
    <w:name w:val="_Style 113"/>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7">
    <w:name w:val="默认段落字体 Para Char"/>
    <w:basedOn w:val="1"/>
    <w:qFormat/>
    <w:uiPriority w:val="0"/>
    <w:pPr>
      <w:adjustRightInd w:val="0"/>
      <w:spacing w:line="360" w:lineRule="auto"/>
    </w:pPr>
    <w:rPr>
      <w:kern w:val="0"/>
      <w:sz w:val="24"/>
      <w:szCs w:val="20"/>
    </w:rPr>
  </w:style>
  <w:style w:type="paragraph" w:customStyle="1" w:styleId="11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1">
    <w:name w:val="Char Char Char Char Char Char Char Char Char Char Char Char Char1"/>
    <w:basedOn w:val="18"/>
    <w:qFormat/>
    <w:uiPriority w:val="0"/>
    <w:pPr>
      <w:adjustRightInd/>
      <w:spacing w:line="240" w:lineRule="auto"/>
      <w:textAlignment w:val="auto"/>
    </w:pPr>
    <w:rPr>
      <w:rFonts w:ascii="Tahoma" w:hAnsi="Tahoma"/>
      <w:kern w:val="2"/>
      <w:sz w:val="24"/>
      <w:szCs w:val="24"/>
    </w:rPr>
  </w:style>
  <w:style w:type="paragraph" w:customStyle="1" w:styleId="122">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3">
    <w:name w:val="Char1"/>
    <w:basedOn w:val="1"/>
    <w:qFormat/>
    <w:uiPriority w:val="0"/>
    <w:rPr>
      <w:szCs w:val="21"/>
    </w:rPr>
  </w:style>
  <w:style w:type="paragraph" w:customStyle="1" w:styleId="124">
    <w:name w:val="Char Char Char1"/>
    <w:basedOn w:val="18"/>
    <w:qFormat/>
    <w:uiPriority w:val="0"/>
    <w:pPr>
      <w:adjustRightInd/>
      <w:spacing w:line="240" w:lineRule="auto"/>
      <w:textAlignment w:val="auto"/>
    </w:pPr>
    <w:rPr>
      <w:rFonts w:ascii="Tahoma" w:hAnsi="Tahoma"/>
      <w:kern w:val="2"/>
      <w:sz w:val="24"/>
      <w:szCs w:val="24"/>
    </w:rPr>
  </w:style>
  <w:style w:type="paragraph" w:customStyle="1" w:styleId="125">
    <w:name w:val="次小点说明 Char"/>
    <w:basedOn w:val="9"/>
    <w:qFormat/>
    <w:uiPriority w:val="0"/>
    <w:pPr>
      <w:ind w:firstLine="0"/>
    </w:pPr>
    <w:rPr>
      <w:sz w:val="24"/>
      <w:szCs w:val="24"/>
    </w:rPr>
  </w:style>
  <w:style w:type="paragraph" w:customStyle="1" w:styleId="126">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27">
    <w:name w:val="2ji"/>
    <w:basedOn w:val="5"/>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8">
    <w:name w:val="正文段"/>
    <w:basedOn w:val="1"/>
    <w:qFormat/>
    <w:uiPriority w:val="0"/>
    <w:pPr>
      <w:widowControl/>
      <w:snapToGrid w:val="0"/>
      <w:spacing w:after="156" w:afterLines="50"/>
      <w:ind w:firstLine="200" w:firstLineChars="200"/>
    </w:pPr>
    <w:rPr>
      <w:kern w:val="0"/>
      <w:sz w:val="24"/>
      <w:szCs w:val="20"/>
    </w:rPr>
  </w:style>
  <w:style w:type="paragraph" w:customStyle="1" w:styleId="129">
    <w:name w:val="图"/>
    <w:basedOn w:val="1"/>
    <w:qFormat/>
    <w:uiPriority w:val="0"/>
    <w:pPr>
      <w:keepNext/>
      <w:adjustRightInd w:val="0"/>
      <w:snapToGrid w:val="0"/>
      <w:spacing w:before="60" w:after="60" w:line="300" w:lineRule="auto"/>
      <w:jc w:val="center"/>
    </w:pPr>
    <w:rPr>
      <w:spacing w:val="20"/>
      <w:kern w:val="0"/>
      <w:sz w:val="24"/>
      <w:szCs w:val="20"/>
    </w:rPr>
  </w:style>
  <w:style w:type="paragraph" w:styleId="130">
    <w:name w:val="List Paragraph"/>
    <w:basedOn w:val="1"/>
    <w:qFormat/>
    <w:uiPriority w:val="34"/>
    <w:pPr>
      <w:ind w:firstLine="420" w:firstLineChars="200"/>
    </w:pPr>
    <w:rPr>
      <w:rFonts w:ascii="Calibri" w:hAnsi="Calibri"/>
      <w:szCs w:val="22"/>
    </w:rPr>
  </w:style>
  <w:style w:type="paragraph" w:customStyle="1" w:styleId="131">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3">
    <w:name w:val="Char Char Char Char Char Char Char"/>
    <w:basedOn w:val="1"/>
    <w:qFormat/>
    <w:uiPriority w:val="0"/>
  </w:style>
  <w:style w:type="paragraph" w:customStyle="1" w:styleId="13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5">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36">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7">
    <w:name w:val="样式1"/>
    <w:basedOn w:val="1"/>
    <w:qFormat/>
    <w:uiPriority w:val="0"/>
    <w:pPr>
      <w:spacing w:before="120" w:after="120" w:line="300" w:lineRule="auto"/>
    </w:pPr>
    <w:rPr>
      <w:rFonts w:ascii="宋体" w:hAnsi="宋体"/>
      <w:b/>
      <w:sz w:val="24"/>
      <w:szCs w:val="20"/>
    </w:rPr>
  </w:style>
  <w:style w:type="paragraph" w:customStyle="1" w:styleId="138">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39">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1">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42">
    <w:name w:val="样式 首行缩进:  2 字符"/>
    <w:basedOn w:val="1"/>
    <w:qFormat/>
    <w:uiPriority w:val="0"/>
    <w:pPr>
      <w:spacing w:line="400" w:lineRule="exact"/>
      <w:ind w:firstLine="200" w:firstLineChars="200"/>
    </w:pPr>
    <w:rPr>
      <w:rFonts w:cs="宋体"/>
      <w:sz w:val="24"/>
    </w:rPr>
  </w:style>
  <w:style w:type="paragraph" w:customStyle="1" w:styleId="143">
    <w:name w:val="正文首行缩进两字符"/>
    <w:basedOn w:val="1"/>
    <w:qFormat/>
    <w:uiPriority w:val="0"/>
    <w:pPr>
      <w:spacing w:line="360" w:lineRule="auto"/>
      <w:ind w:firstLine="200" w:firstLineChars="200"/>
    </w:pPr>
  </w:style>
  <w:style w:type="paragraph" w:customStyle="1" w:styleId="144">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45">
    <w:name w:val="444"/>
    <w:basedOn w:val="1"/>
    <w:qFormat/>
    <w:uiPriority w:val="0"/>
    <w:pPr>
      <w:adjustRightInd w:val="0"/>
      <w:spacing w:line="312" w:lineRule="atLeast"/>
      <w:jc w:val="center"/>
      <w:textAlignment w:val="baseline"/>
    </w:pPr>
    <w:rPr>
      <w:b/>
      <w:kern w:val="0"/>
      <w:sz w:val="36"/>
      <w:szCs w:val="36"/>
    </w:rPr>
  </w:style>
  <w:style w:type="paragraph" w:customStyle="1" w:styleId="146">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7">
    <w:name w:val="默认段落字体 Para Char Char Char Char Char Char Char Char Char1 Char Char Char Char"/>
    <w:basedOn w:val="1"/>
    <w:qFormat/>
    <w:uiPriority w:val="0"/>
    <w:rPr>
      <w:rFonts w:ascii="Tahoma" w:hAnsi="Tahoma"/>
      <w:sz w:val="24"/>
      <w:szCs w:val="20"/>
    </w:rPr>
  </w:style>
  <w:style w:type="paragraph" w:customStyle="1" w:styleId="148">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4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50">
    <w:name w:val="Char31"/>
    <w:basedOn w:val="1"/>
    <w:qFormat/>
    <w:uiPriority w:val="0"/>
    <w:pPr>
      <w:tabs>
        <w:tab w:val="left" w:pos="360"/>
      </w:tabs>
      <w:ind w:left="252" w:hanging="252" w:hangingChars="140"/>
    </w:pPr>
    <w:rPr>
      <w:rFonts w:ascii="宋体"/>
      <w:sz w:val="18"/>
      <w:szCs w:val="18"/>
    </w:rPr>
  </w:style>
  <w:style w:type="paragraph" w:customStyle="1" w:styleId="151">
    <w:name w:val="Char Char Char"/>
    <w:basedOn w:val="1"/>
    <w:qFormat/>
    <w:uiPriority w:val="0"/>
    <w:rPr>
      <w:rFonts w:ascii="Tahoma" w:hAnsi="Tahoma"/>
      <w:sz w:val="24"/>
      <w:szCs w:val="20"/>
    </w:rPr>
  </w:style>
  <w:style w:type="paragraph" w:customStyle="1" w:styleId="152">
    <w:name w:val="表格"/>
    <w:basedOn w:val="1"/>
    <w:qFormat/>
    <w:uiPriority w:val="0"/>
    <w:pPr>
      <w:spacing w:line="400" w:lineRule="exact"/>
    </w:pPr>
    <w:rPr>
      <w:sz w:val="24"/>
    </w:rPr>
  </w:style>
  <w:style w:type="paragraph" w:customStyle="1" w:styleId="153">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4">
    <w:name w:val="tgt1"/>
    <w:basedOn w:val="1"/>
    <w:qFormat/>
    <w:uiPriority w:val="0"/>
    <w:pPr>
      <w:widowControl/>
      <w:spacing w:after="150"/>
      <w:jc w:val="left"/>
    </w:pPr>
    <w:rPr>
      <w:rFonts w:ascii="宋体" w:hAnsi="宋体" w:cs="宋体"/>
      <w:kern w:val="0"/>
      <w:sz w:val="24"/>
    </w:rPr>
  </w:style>
  <w:style w:type="paragraph" w:customStyle="1" w:styleId="155">
    <w:name w:val="Char Char Char2"/>
    <w:basedOn w:val="18"/>
    <w:qFormat/>
    <w:uiPriority w:val="0"/>
    <w:pPr>
      <w:adjustRightInd/>
      <w:spacing w:line="240" w:lineRule="auto"/>
      <w:textAlignment w:val="auto"/>
    </w:pPr>
    <w:rPr>
      <w:rFonts w:ascii="Tahoma" w:hAnsi="Tahoma"/>
      <w:kern w:val="2"/>
      <w:sz w:val="24"/>
      <w:szCs w:val="24"/>
    </w:rPr>
  </w:style>
  <w:style w:type="paragraph" w:customStyle="1" w:styleId="156">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8">
    <w:name w:val="2-2ji"/>
    <w:basedOn w:val="5"/>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59">
    <w:name w:val="1"/>
    <w:basedOn w:val="1"/>
    <w:next w:val="27"/>
    <w:qFormat/>
    <w:uiPriority w:val="0"/>
    <w:rPr>
      <w:rFonts w:ascii="宋体" w:hAnsi="Courier New"/>
      <w:szCs w:val="20"/>
    </w:rPr>
  </w:style>
  <w:style w:type="paragraph" w:customStyle="1" w:styleId="16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1">
    <w:name w:val="Char Char Char Char Char Char Char1"/>
    <w:basedOn w:val="1"/>
    <w:qFormat/>
    <w:uiPriority w:val="0"/>
  </w:style>
  <w:style w:type="paragraph" w:customStyle="1" w:styleId="162">
    <w:name w:val="五号正文（标准）"/>
    <w:basedOn w:val="1"/>
    <w:qFormat/>
    <w:uiPriority w:val="0"/>
    <w:pPr>
      <w:spacing w:line="360" w:lineRule="auto"/>
      <w:ind w:right="55" w:firstLine="560" w:firstLineChars="200"/>
    </w:pPr>
    <w:rPr>
      <w:rFonts w:eastAsia="仿宋_GB2312"/>
      <w:sz w:val="28"/>
      <w:szCs w:val="20"/>
    </w:rPr>
  </w:style>
  <w:style w:type="paragraph" w:customStyle="1" w:styleId="16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4">
    <w:name w:val="列出段落1"/>
    <w:basedOn w:val="1"/>
    <w:qFormat/>
    <w:uiPriority w:val="99"/>
    <w:pPr>
      <w:adjustRightInd w:val="0"/>
      <w:spacing w:line="360" w:lineRule="atLeast"/>
      <w:ind w:firstLine="420" w:firstLineChars="200"/>
      <w:jc w:val="left"/>
      <w:textAlignment w:val="baseline"/>
    </w:pPr>
    <w:rPr>
      <w:rFonts w:ascii="Calibri" w:hAnsi="Calibri"/>
      <w:kern w:val="0"/>
      <w:sz w:val="24"/>
      <w:szCs w:val="22"/>
    </w:rPr>
  </w:style>
  <w:style w:type="paragraph" w:customStyle="1" w:styleId="165">
    <w:name w:val="F2"/>
    <w:basedOn w:val="1"/>
    <w:qFormat/>
    <w:uiPriority w:val="0"/>
    <w:pPr>
      <w:autoSpaceDE w:val="0"/>
      <w:autoSpaceDN w:val="0"/>
      <w:adjustRightInd w:val="0"/>
      <w:ind w:firstLine="601"/>
      <w:textAlignment w:val="baseline"/>
    </w:pPr>
    <w:rPr>
      <w:kern w:val="0"/>
      <w:sz w:val="24"/>
      <w:szCs w:val="20"/>
    </w:rPr>
  </w:style>
  <w:style w:type="paragraph" w:customStyle="1" w:styleId="166">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167">
    <w:name w:val="批注文字 字符1"/>
    <w:qFormat/>
    <w:uiPriority w:val="0"/>
    <w:rPr>
      <w:kern w:val="2"/>
      <w:sz w:val="21"/>
      <w:szCs w:val="24"/>
    </w:rPr>
  </w:style>
  <w:style w:type="character" w:customStyle="1" w:styleId="168">
    <w:name w:val="_Style 167"/>
    <w:unhideWhenUsed/>
    <w:qFormat/>
    <w:uiPriority w:val="99"/>
    <w:rPr>
      <w:color w:val="605E5C"/>
      <w:shd w:val="clear" w:color="auto" w:fill="E1DFDD"/>
    </w:rPr>
  </w:style>
  <w:style w:type="character" w:customStyle="1" w:styleId="169">
    <w:name w:val="纯文本 字符1"/>
    <w:qFormat/>
    <w:uiPriority w:val="99"/>
    <w:rPr>
      <w:rFonts w:ascii="宋体" w:hAnsi="Courier New" w:eastAsia="宋体" w:cs="Courier New"/>
      <w:kern w:val="2"/>
      <w:sz w:val="21"/>
      <w:szCs w:val="21"/>
      <w:lang w:val="en-US" w:eastAsia="zh-CN" w:bidi="ar-SA"/>
    </w:rPr>
  </w:style>
  <w:style w:type="character" w:customStyle="1" w:styleId="170">
    <w:name w:val="正文文本 字符1"/>
    <w:qFormat/>
    <w:uiPriority w:val="99"/>
    <w:rPr>
      <w:kern w:val="2"/>
      <w:sz w:val="24"/>
      <w:szCs w:val="24"/>
    </w:rPr>
  </w:style>
  <w:style w:type="paragraph" w:customStyle="1" w:styleId="171">
    <w:name w:val="正文-2字符首行缩进"/>
    <w:basedOn w:val="1"/>
    <w:link w:val="17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2">
    <w:name w:val="正文-2字符首行缩进 Char"/>
    <w:link w:val="171"/>
    <w:qFormat/>
    <w:uiPriority w:val="0"/>
    <w:rPr>
      <w:rFonts w:ascii="仿宋_GB2312" w:hAnsi="Calibri" w:eastAsia="仿宋_GB2312"/>
      <w:sz w:val="28"/>
      <w:szCs w:val="22"/>
    </w:rPr>
  </w:style>
  <w:style w:type="paragraph" w:customStyle="1" w:styleId="173">
    <w:name w:val="纯文本1"/>
    <w:basedOn w:val="1"/>
    <w:next w:val="1"/>
    <w:qFormat/>
    <w:uiPriority w:val="0"/>
    <w:rPr>
      <w:rFonts w:ascii="宋体" w:hAnsi="宋体"/>
      <w:sz w:val="20"/>
      <w:szCs w:val="21"/>
    </w:rPr>
  </w:style>
  <w:style w:type="paragraph" w:customStyle="1" w:styleId="174">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5">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77">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7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3.emf"/><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348</Pages>
  <Words>1026</Words>
  <Characters>1259</Characters>
  <Lines>2283</Lines>
  <Paragraphs>642</Paragraphs>
  <TotalTime>126</TotalTime>
  <ScaleCrop>false</ScaleCrop>
  <LinksUpToDate>false</LinksUpToDate>
  <CharactersWithSpaces>1299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2026-07-15T09:29:00Z</dcterms:created>
  <dc:creator>微软用户</dc:creator>
  <cp:lastModifiedBy>NTKO</cp:lastModifiedBy>
  <cp:lastPrinted>2016-03-22T07:52:00Z</cp:lastPrinted>
  <dcterms:modified xsi:type="dcterms:W3CDTF">2026-08-02T09:37:42Z</dcterms:modified>
  <dc:title>桂财采〔2009〕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991C6AC24A7E4E0F8916324D06BD992C_13</vt:lpwstr>
  </property>
  <property fmtid="{D5CDD505-2E9C-101B-9397-08002B2CF9AE}" pid="14" name="KSOTemplateDocerSaveRecord">
    <vt:lpwstr>eyJoZGlkIjoiNGYyODdkZjM5MmMzZTg1ZmE0OTAzMjQ0OTM3ZjcyODIiLCJ1c2VySWQiOiI1NzE3NjE5ODMifQ==</vt:lpwstr>
  </property>
</Properties>
</file>