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41B3CC">
      <w:pPr>
        <w:keepLines w:val="0"/>
        <w:pageBreakBefore w:val="0"/>
        <w:kinsoku/>
        <w:overflowPunct/>
        <w:bidi w:val="0"/>
        <w:spacing w:line="360" w:lineRule="auto"/>
        <w:ind w:firstLine="0" w:firstLineChars="0"/>
        <w:jc w:val="center"/>
        <w:rPr>
          <w:rFonts w:hint="eastAsia" w:ascii="黑体" w:hAnsi="黑体" w:eastAsia="黑体" w:cs="黑体"/>
          <w:b/>
          <w:bCs/>
          <w:color w:val="auto"/>
          <w:kern w:val="0"/>
          <w:sz w:val="60"/>
          <w:szCs w:val="60"/>
          <w:highlight w:val="none"/>
          <w:lang w:eastAsia="zh-CN"/>
        </w:rPr>
      </w:pPr>
      <w:bookmarkStart w:id="0" w:name="_Toc82016587"/>
    </w:p>
    <w:p w14:paraId="4AC7D2B8">
      <w:pPr>
        <w:keepLines w:val="0"/>
        <w:pageBreakBefore w:val="0"/>
        <w:kinsoku/>
        <w:overflowPunct/>
        <w:bidi w:val="0"/>
        <w:spacing w:line="360" w:lineRule="auto"/>
        <w:ind w:firstLine="0" w:firstLineChars="0"/>
        <w:jc w:val="center"/>
        <w:rPr>
          <w:rFonts w:hint="eastAsia" w:ascii="黑体" w:hAnsi="黑体" w:eastAsia="黑体" w:cs="黑体"/>
          <w:color w:val="auto"/>
          <w:kern w:val="0"/>
          <w:sz w:val="60"/>
          <w:szCs w:val="60"/>
          <w:highlight w:val="none"/>
          <w:lang w:eastAsia="zh-CN"/>
        </w:rPr>
      </w:pPr>
      <w:r>
        <w:rPr>
          <w:rFonts w:hint="eastAsia" w:ascii="黑体" w:hAnsi="黑体" w:eastAsia="黑体" w:cs="黑体"/>
          <w:b/>
          <w:bCs/>
          <w:color w:val="auto"/>
          <w:kern w:val="0"/>
          <w:sz w:val="60"/>
          <w:szCs w:val="60"/>
          <w:highlight w:val="none"/>
          <w:lang w:eastAsia="zh-CN"/>
        </w:rPr>
        <w:t>广西八桂建设项目管理有限公司</w:t>
      </w:r>
    </w:p>
    <w:p w14:paraId="775568B5">
      <w:pPr>
        <w:keepLines w:val="0"/>
        <w:pageBreakBefore w:val="0"/>
        <w:kinsoku/>
        <w:overflowPunct/>
        <w:bidi w:val="0"/>
        <w:spacing w:line="360" w:lineRule="auto"/>
        <w:ind w:firstLine="1040"/>
        <w:jc w:val="center"/>
        <w:rPr>
          <w:rFonts w:hint="eastAsia" w:ascii="黑体" w:hAnsi="黑体" w:eastAsia="黑体" w:cs="黑体"/>
          <w:color w:val="auto"/>
          <w:kern w:val="0"/>
          <w:sz w:val="52"/>
          <w:highlight w:val="none"/>
        </w:rPr>
      </w:pPr>
    </w:p>
    <w:p w14:paraId="592B95BE">
      <w:pPr>
        <w:keepLines w:val="0"/>
        <w:pageBreakBefore w:val="0"/>
        <w:kinsoku/>
        <w:overflowPunct/>
        <w:bidi w:val="0"/>
        <w:spacing w:line="360" w:lineRule="auto"/>
        <w:ind w:firstLine="1040"/>
        <w:jc w:val="center"/>
        <w:rPr>
          <w:rFonts w:hint="eastAsia" w:ascii="黑体" w:hAnsi="黑体" w:eastAsia="黑体" w:cs="黑体"/>
          <w:color w:val="auto"/>
          <w:highlight w:val="none"/>
        </w:rPr>
      </w:pPr>
      <w:r>
        <w:rPr>
          <w:rFonts w:hint="eastAsia" w:ascii="黑体" w:hAnsi="黑体" w:eastAsia="黑体" w:cs="黑体"/>
          <w:color w:val="auto"/>
          <w:kern w:val="0"/>
          <w:sz w:val="52"/>
          <w:highlight w:val="none"/>
        </w:rPr>
        <w:cr/>
      </w:r>
      <w:r>
        <w:rPr>
          <w:rFonts w:hint="eastAsia" w:ascii="黑体" w:hAnsi="黑体" w:eastAsia="黑体" w:cs="黑体"/>
          <w:b/>
          <w:color w:val="auto"/>
          <w:kern w:val="0"/>
          <w:sz w:val="84"/>
          <w:szCs w:val="84"/>
          <w:highlight w:val="none"/>
        </w:rPr>
        <w:t>竞争性谈判文件</w:t>
      </w:r>
      <w:r>
        <w:rPr>
          <w:rFonts w:hint="eastAsia" w:ascii="黑体" w:hAnsi="黑体" w:eastAsia="黑体" w:cs="黑体"/>
          <w:b/>
          <w:color w:val="auto"/>
          <w:kern w:val="0"/>
          <w:sz w:val="84"/>
          <w:szCs w:val="84"/>
          <w:highlight w:val="none"/>
        </w:rPr>
        <w:cr/>
      </w:r>
    </w:p>
    <w:p w14:paraId="3A6BC8DF">
      <w:pPr>
        <w:keepLines w:val="0"/>
        <w:pageBreakBefore w:val="0"/>
        <w:kinsoku/>
        <w:overflowPunct/>
        <w:bidi w:val="0"/>
        <w:spacing w:line="360" w:lineRule="auto"/>
        <w:ind w:left="2871" w:leftChars="527" w:hanging="1606" w:hangingChars="500"/>
        <w:rPr>
          <w:rFonts w:hint="eastAsia" w:ascii="黑体" w:hAnsi="黑体" w:eastAsia="黑体" w:cs="黑体"/>
          <w:b/>
          <w:bCs/>
          <w:color w:val="auto"/>
          <w:kern w:val="0"/>
          <w:sz w:val="32"/>
          <w:highlight w:val="none"/>
        </w:rPr>
      </w:pPr>
    </w:p>
    <w:p w14:paraId="6E5BF454">
      <w:pPr>
        <w:pStyle w:val="19"/>
        <w:rPr>
          <w:rFonts w:hint="eastAsia" w:ascii="黑体" w:hAnsi="黑体" w:eastAsia="黑体" w:cs="黑体"/>
          <w:color w:val="auto"/>
        </w:rPr>
      </w:pPr>
    </w:p>
    <w:p w14:paraId="4408EA69">
      <w:pPr>
        <w:keepLines w:val="0"/>
        <w:pageBreakBefore w:val="0"/>
        <w:kinsoku/>
        <w:overflowPunct/>
        <w:bidi w:val="0"/>
        <w:spacing w:line="360" w:lineRule="auto"/>
        <w:ind w:left="2643" w:leftChars="432" w:hanging="1606" w:hangingChars="500"/>
        <w:jc w:val="left"/>
        <w:rPr>
          <w:rFonts w:hint="eastAsia" w:ascii="黑体" w:hAnsi="黑体" w:eastAsia="黑体" w:cs="黑体"/>
          <w:b/>
          <w:bCs/>
          <w:color w:val="auto"/>
          <w:kern w:val="0"/>
          <w:sz w:val="32"/>
          <w:szCs w:val="32"/>
          <w:highlight w:val="none"/>
          <w:lang w:eastAsia="zh-CN"/>
        </w:rPr>
      </w:pPr>
      <w:r>
        <w:rPr>
          <w:rFonts w:hint="eastAsia" w:ascii="黑体" w:hAnsi="黑体" w:eastAsia="黑体" w:cs="黑体"/>
          <w:b/>
          <w:bCs/>
          <w:color w:val="auto"/>
          <w:kern w:val="0"/>
          <w:sz w:val="32"/>
          <w:szCs w:val="32"/>
          <w:highlight w:val="none"/>
          <w:lang w:eastAsia="zh-CN"/>
        </w:rPr>
        <w:t>项目名称：桂林市卫生学校6#教学楼监控及校园周界监控补盲项目采购</w:t>
      </w:r>
    </w:p>
    <w:p w14:paraId="7AD0D2BA">
      <w:pPr>
        <w:keepLines w:val="0"/>
        <w:pageBreakBefore w:val="0"/>
        <w:kinsoku/>
        <w:overflowPunct/>
        <w:bidi w:val="0"/>
        <w:spacing w:line="360" w:lineRule="auto"/>
        <w:ind w:firstLine="964" w:firstLineChars="300"/>
        <w:jc w:val="left"/>
        <w:rPr>
          <w:rFonts w:hint="eastAsia" w:ascii="黑体" w:hAnsi="黑体" w:eastAsia="黑体" w:cs="黑体"/>
          <w:b/>
          <w:bCs/>
          <w:color w:val="auto"/>
          <w:kern w:val="0"/>
          <w:sz w:val="32"/>
          <w:szCs w:val="32"/>
          <w:highlight w:val="none"/>
          <w:lang w:val="en-US" w:eastAsia="zh-CN"/>
        </w:rPr>
      </w:pPr>
      <w:r>
        <w:rPr>
          <w:rFonts w:hint="eastAsia" w:ascii="黑体" w:hAnsi="黑体" w:eastAsia="黑体" w:cs="黑体"/>
          <w:b/>
          <w:bCs/>
          <w:color w:val="auto"/>
          <w:kern w:val="0"/>
          <w:sz w:val="32"/>
          <w:szCs w:val="32"/>
          <w:highlight w:val="none"/>
          <w:lang w:eastAsia="zh-CN"/>
        </w:rPr>
        <w:t>项目编号：</w:t>
      </w:r>
      <w:r>
        <w:rPr>
          <w:rFonts w:hint="eastAsia" w:ascii="黑体" w:hAnsi="黑体" w:eastAsia="黑体" w:cs="黑体"/>
          <w:b/>
          <w:bCs/>
          <w:color w:val="auto"/>
          <w:kern w:val="0"/>
          <w:sz w:val="32"/>
          <w:szCs w:val="32"/>
          <w:highlight w:val="none"/>
          <w:lang w:val="en-US" w:eastAsia="zh-CN"/>
        </w:rPr>
        <w:t xml:space="preserve"> GLZC2026-J1-990301-GXBG</w:t>
      </w:r>
    </w:p>
    <w:p w14:paraId="2A549427">
      <w:pPr>
        <w:keepLines w:val="0"/>
        <w:pageBreakBefore w:val="0"/>
        <w:kinsoku/>
        <w:overflowPunct/>
        <w:bidi w:val="0"/>
        <w:spacing w:line="360" w:lineRule="auto"/>
        <w:ind w:firstLine="0" w:firstLineChars="0"/>
        <w:jc w:val="center"/>
        <w:rPr>
          <w:rFonts w:hint="eastAsia" w:ascii="黑体" w:hAnsi="黑体" w:eastAsia="黑体" w:cs="黑体"/>
          <w:b/>
          <w:bCs/>
          <w:color w:val="auto"/>
          <w:kern w:val="0"/>
          <w:sz w:val="32"/>
          <w:szCs w:val="32"/>
          <w:highlight w:val="none"/>
          <w:lang w:eastAsia="zh-CN"/>
        </w:rPr>
      </w:pPr>
    </w:p>
    <w:p w14:paraId="3A037347">
      <w:pPr>
        <w:pStyle w:val="19"/>
        <w:rPr>
          <w:rFonts w:hint="eastAsia" w:ascii="黑体" w:hAnsi="黑体" w:eastAsia="黑体" w:cs="黑体"/>
          <w:b/>
          <w:bCs/>
          <w:color w:val="auto"/>
          <w:kern w:val="0"/>
          <w:sz w:val="32"/>
          <w:szCs w:val="32"/>
          <w:highlight w:val="none"/>
          <w:lang w:eastAsia="zh-CN"/>
        </w:rPr>
      </w:pPr>
    </w:p>
    <w:p w14:paraId="5BCBB3A3">
      <w:pPr>
        <w:rPr>
          <w:rFonts w:hint="eastAsia" w:ascii="黑体" w:hAnsi="黑体" w:eastAsia="黑体" w:cs="黑体"/>
          <w:color w:val="auto"/>
          <w:lang w:eastAsia="zh-CN"/>
        </w:rPr>
      </w:pPr>
    </w:p>
    <w:p w14:paraId="61285C70">
      <w:pPr>
        <w:keepLines w:val="0"/>
        <w:pageBreakBefore w:val="0"/>
        <w:kinsoku/>
        <w:overflowPunct/>
        <w:bidi w:val="0"/>
        <w:spacing w:line="360" w:lineRule="auto"/>
        <w:ind w:firstLine="0" w:firstLineChars="0"/>
        <w:jc w:val="center"/>
        <w:rPr>
          <w:rFonts w:hint="eastAsia" w:ascii="黑体" w:hAnsi="黑体" w:eastAsia="黑体" w:cs="黑体"/>
          <w:b/>
          <w:bCs/>
          <w:color w:val="auto"/>
          <w:kern w:val="0"/>
          <w:sz w:val="32"/>
          <w:szCs w:val="32"/>
          <w:highlight w:val="none"/>
          <w:lang w:eastAsia="zh-CN"/>
        </w:rPr>
      </w:pPr>
    </w:p>
    <w:p w14:paraId="197A80D0">
      <w:pPr>
        <w:keepLines w:val="0"/>
        <w:pageBreakBefore w:val="0"/>
        <w:kinsoku/>
        <w:overflowPunct/>
        <w:bidi w:val="0"/>
        <w:spacing w:line="360" w:lineRule="auto"/>
        <w:ind w:firstLine="0" w:firstLineChars="0"/>
        <w:jc w:val="center"/>
        <w:rPr>
          <w:rFonts w:hint="eastAsia" w:ascii="黑体" w:hAnsi="黑体" w:eastAsia="黑体" w:cs="黑体"/>
          <w:b/>
          <w:bCs/>
          <w:color w:val="auto"/>
          <w:kern w:val="0"/>
          <w:sz w:val="32"/>
          <w:szCs w:val="32"/>
          <w:highlight w:val="none"/>
          <w:lang w:eastAsia="zh-CN"/>
        </w:rPr>
      </w:pPr>
      <w:r>
        <w:rPr>
          <w:rFonts w:hint="eastAsia" w:ascii="黑体" w:hAnsi="黑体" w:eastAsia="黑体" w:cs="黑体"/>
          <w:b/>
          <w:bCs/>
          <w:color w:val="auto"/>
          <w:kern w:val="0"/>
          <w:sz w:val="32"/>
          <w:szCs w:val="32"/>
          <w:highlight w:val="none"/>
          <w:lang w:eastAsia="zh-CN"/>
        </w:rPr>
        <w:t>采购代理机构：广西八桂建设项目管理有限公司</w:t>
      </w:r>
    </w:p>
    <w:p w14:paraId="68F88417">
      <w:pPr>
        <w:keepLines w:val="0"/>
        <w:pageBreakBefore w:val="0"/>
        <w:kinsoku/>
        <w:overflowPunct/>
        <w:bidi w:val="0"/>
        <w:spacing w:line="360" w:lineRule="auto"/>
        <w:ind w:firstLine="0" w:firstLineChars="0"/>
        <w:jc w:val="center"/>
        <w:rPr>
          <w:rFonts w:hint="eastAsia" w:ascii="黑体" w:hAnsi="黑体" w:eastAsia="黑体" w:cs="黑体"/>
          <w:b/>
          <w:bCs/>
          <w:color w:val="auto"/>
          <w:kern w:val="0"/>
          <w:sz w:val="32"/>
          <w:szCs w:val="32"/>
          <w:highlight w:val="none"/>
          <w:lang w:eastAsia="zh-CN"/>
        </w:rPr>
      </w:pPr>
      <w:r>
        <w:rPr>
          <w:rFonts w:hint="eastAsia" w:ascii="黑体" w:hAnsi="黑体" w:eastAsia="黑体" w:cs="黑体"/>
          <w:b/>
          <w:bCs/>
          <w:color w:val="auto"/>
          <w:kern w:val="0"/>
          <w:sz w:val="32"/>
          <w:szCs w:val="32"/>
          <w:highlight w:val="none"/>
          <w:lang w:eastAsia="zh-CN"/>
        </w:rPr>
        <w:t xml:space="preserve"> 2026年</w:t>
      </w:r>
      <w:r>
        <w:rPr>
          <w:rFonts w:hint="eastAsia" w:ascii="黑体" w:hAnsi="黑体" w:eastAsia="黑体" w:cs="黑体"/>
          <w:b/>
          <w:bCs/>
          <w:color w:val="auto"/>
          <w:kern w:val="0"/>
          <w:sz w:val="32"/>
          <w:szCs w:val="32"/>
          <w:highlight w:val="none"/>
          <w:lang w:val="en-US" w:eastAsia="zh-CN"/>
        </w:rPr>
        <w:t>7</w:t>
      </w:r>
      <w:r>
        <w:rPr>
          <w:rFonts w:hint="eastAsia" w:ascii="黑体" w:hAnsi="黑体" w:eastAsia="黑体" w:cs="黑体"/>
          <w:b/>
          <w:bCs/>
          <w:color w:val="auto"/>
          <w:kern w:val="0"/>
          <w:sz w:val="32"/>
          <w:szCs w:val="32"/>
          <w:highlight w:val="none"/>
          <w:lang w:eastAsia="zh-CN"/>
        </w:rPr>
        <w:t>月</w:t>
      </w:r>
      <w:r>
        <w:rPr>
          <w:rFonts w:hint="eastAsia" w:ascii="黑体" w:hAnsi="黑体" w:eastAsia="黑体" w:cs="黑体"/>
          <w:b/>
          <w:bCs/>
          <w:color w:val="auto"/>
          <w:kern w:val="0"/>
          <w:sz w:val="32"/>
          <w:szCs w:val="32"/>
          <w:highlight w:val="none"/>
          <w:lang w:val="en-US" w:eastAsia="zh-CN"/>
        </w:rPr>
        <w:t>14</w:t>
      </w:r>
      <w:r>
        <w:rPr>
          <w:rFonts w:hint="eastAsia" w:ascii="黑体" w:hAnsi="黑体" w:eastAsia="黑体" w:cs="黑体"/>
          <w:b/>
          <w:bCs/>
          <w:color w:val="auto"/>
          <w:kern w:val="0"/>
          <w:sz w:val="32"/>
          <w:szCs w:val="32"/>
          <w:highlight w:val="none"/>
          <w:lang w:eastAsia="zh-CN"/>
        </w:rPr>
        <w:t>日</w:t>
      </w:r>
    </w:p>
    <w:p w14:paraId="3BE63F5C">
      <w:pPr>
        <w:pStyle w:val="24"/>
        <w:keepLines w:val="0"/>
        <w:pageBreakBefore w:val="0"/>
        <w:kinsoku/>
        <w:overflowPunct/>
        <w:bidi w:val="0"/>
        <w:spacing w:line="360" w:lineRule="auto"/>
        <w:rPr>
          <w:rFonts w:hint="eastAsia" w:hAnsi="宋体" w:cs="宋体"/>
          <w:color w:val="auto"/>
          <w:sz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5083ABF9">
      <w:pPr>
        <w:pStyle w:val="24"/>
        <w:keepLines w:val="0"/>
        <w:pageBreakBefore w:val="0"/>
        <w:kinsoku/>
        <w:overflowPunct/>
        <w:bidi w:val="0"/>
        <w:spacing w:line="360" w:lineRule="auto"/>
        <w:jc w:val="center"/>
        <w:rPr>
          <w:rFonts w:hint="eastAsia" w:ascii="黑体" w:hAnsi="黑体" w:eastAsia="黑体" w:cs="宋体"/>
          <w:color w:val="auto"/>
          <w:sz w:val="44"/>
          <w:highlight w:val="none"/>
        </w:rPr>
      </w:pPr>
    </w:p>
    <w:p w14:paraId="53D82E3E">
      <w:pPr>
        <w:pStyle w:val="24"/>
        <w:keepLines w:val="0"/>
        <w:pageBreakBefore w:val="0"/>
        <w:kinsoku/>
        <w:overflowPunct/>
        <w:bidi w:val="0"/>
        <w:spacing w:line="360" w:lineRule="auto"/>
        <w:jc w:val="center"/>
        <w:rPr>
          <w:rFonts w:hint="eastAsia" w:ascii="黑体" w:hAnsi="黑体" w:eastAsia="黑体" w:cs="宋体"/>
          <w:color w:val="auto"/>
          <w:sz w:val="44"/>
          <w:highlight w:val="none"/>
        </w:rPr>
      </w:pPr>
      <w:r>
        <w:rPr>
          <w:rFonts w:hint="eastAsia" w:ascii="黑体" w:hAnsi="黑体" w:eastAsia="黑体" w:cs="宋体"/>
          <w:color w:val="auto"/>
          <w:sz w:val="44"/>
          <w:highlight w:val="none"/>
        </w:rPr>
        <w:t>目     录</w:t>
      </w:r>
    </w:p>
    <w:p w14:paraId="0487B86A">
      <w:pPr>
        <w:pStyle w:val="23"/>
        <w:keepLines w:val="0"/>
        <w:pageBreakBefore w:val="0"/>
        <w:tabs>
          <w:tab w:val="right" w:leader="dot" w:pos="9288"/>
        </w:tabs>
        <w:kinsoku/>
        <w:overflowPunct/>
        <w:bidi w:val="0"/>
        <w:spacing w:line="360" w:lineRule="auto"/>
        <w:ind w:left="0" w:leftChars="0"/>
        <w:rPr>
          <w:rFonts w:hint="eastAsia" w:ascii="黑体" w:hAnsi="黑体" w:eastAsia="黑体"/>
          <w:color w:val="auto"/>
          <w:sz w:val="28"/>
          <w:szCs w:val="28"/>
          <w:highlight w:val="none"/>
        </w:rPr>
      </w:pPr>
    </w:p>
    <w:p w14:paraId="6BB9E1AE">
      <w:pPr>
        <w:pStyle w:val="30"/>
        <w:keepLines w:val="0"/>
        <w:pageBreakBefore w:val="0"/>
        <w:tabs>
          <w:tab w:val="right" w:leader="dot" w:pos="9288"/>
        </w:tabs>
        <w:kinsoku/>
        <w:overflowPunct/>
        <w:bidi w:val="0"/>
        <w:spacing w:line="480" w:lineRule="auto"/>
        <w:rPr>
          <w:rFonts w:hint="eastAsia" w:ascii="宋体" w:hAnsi="宋体"/>
          <w:b w:val="0"/>
          <w:color w:val="auto"/>
          <w:sz w:val="32"/>
          <w:szCs w:val="32"/>
          <w:highlight w:val="none"/>
        </w:rPr>
      </w:pPr>
      <w:r>
        <w:rPr>
          <w:rFonts w:ascii="宋体" w:hAnsi="宋体" w:cs="宋体"/>
          <w:b w:val="0"/>
          <w:color w:val="auto"/>
          <w:sz w:val="32"/>
          <w:szCs w:val="32"/>
          <w:highlight w:val="none"/>
        </w:rPr>
        <w:fldChar w:fldCharType="begin"/>
      </w:r>
      <w:r>
        <w:rPr>
          <w:rFonts w:hint="eastAsia" w:ascii="宋体" w:hAnsi="宋体" w:cs="宋体"/>
          <w:b w:val="0"/>
          <w:color w:val="auto"/>
          <w:sz w:val="32"/>
          <w:szCs w:val="32"/>
          <w:highlight w:val="none"/>
        </w:rPr>
        <w:instrText xml:space="preserve">TOC \o "1-1" \h \z \u</w:instrText>
      </w:r>
      <w:r>
        <w:rPr>
          <w:rFonts w:ascii="宋体" w:hAnsi="宋体" w:cs="宋体"/>
          <w:b w:val="0"/>
          <w:color w:val="auto"/>
          <w:sz w:val="32"/>
          <w:szCs w:val="32"/>
          <w:highlight w:val="none"/>
        </w:rPr>
        <w:fldChar w:fldCharType="separate"/>
      </w:r>
      <w:r>
        <w:rPr>
          <w:color w:val="auto"/>
          <w:sz w:val="32"/>
          <w:szCs w:val="32"/>
          <w:highlight w:val="none"/>
        </w:rPr>
        <w:fldChar w:fldCharType="begin"/>
      </w:r>
      <w:r>
        <w:rPr>
          <w:color w:val="auto"/>
          <w:sz w:val="32"/>
          <w:szCs w:val="32"/>
          <w:highlight w:val="none"/>
        </w:rPr>
        <w:instrText xml:space="preserve"> HYPERLINK \l "_Toc155531032" </w:instrText>
      </w:r>
      <w:r>
        <w:rPr>
          <w:color w:val="auto"/>
          <w:sz w:val="32"/>
          <w:szCs w:val="32"/>
          <w:highlight w:val="none"/>
        </w:rPr>
        <w:fldChar w:fldCharType="separate"/>
      </w:r>
      <w:r>
        <w:rPr>
          <w:rStyle w:val="50"/>
          <w:rFonts w:ascii="宋体" w:hAnsi="宋体"/>
          <w:color w:val="auto"/>
          <w:kern w:val="0"/>
          <w:sz w:val="32"/>
          <w:szCs w:val="32"/>
          <w:highlight w:val="none"/>
        </w:rPr>
        <w:t>第一章  竞争性谈判公告</w:t>
      </w:r>
      <w:r>
        <w:rPr>
          <w:rFonts w:ascii="宋体" w:hAnsi="宋体"/>
          <w:color w:val="auto"/>
          <w:sz w:val="32"/>
          <w:szCs w:val="32"/>
          <w:highlight w:val="none"/>
        </w:rPr>
        <w:tab/>
      </w:r>
      <w:r>
        <w:rPr>
          <w:rFonts w:ascii="宋体" w:hAnsi="宋体"/>
          <w:color w:val="auto"/>
          <w:sz w:val="32"/>
          <w:szCs w:val="32"/>
          <w:highlight w:val="none"/>
        </w:rPr>
        <w:fldChar w:fldCharType="begin"/>
      </w:r>
      <w:r>
        <w:rPr>
          <w:rFonts w:ascii="宋体" w:hAnsi="宋体"/>
          <w:color w:val="auto"/>
          <w:sz w:val="32"/>
          <w:szCs w:val="32"/>
          <w:highlight w:val="none"/>
        </w:rPr>
        <w:instrText xml:space="preserve"> PAGEREF _Toc155531032 \h </w:instrText>
      </w:r>
      <w:r>
        <w:rPr>
          <w:rFonts w:ascii="宋体" w:hAnsi="宋体"/>
          <w:color w:val="auto"/>
          <w:sz w:val="32"/>
          <w:szCs w:val="32"/>
          <w:highlight w:val="none"/>
        </w:rPr>
        <w:fldChar w:fldCharType="separate"/>
      </w:r>
      <w:r>
        <w:rPr>
          <w:rFonts w:ascii="宋体" w:hAnsi="宋体"/>
          <w:color w:val="auto"/>
          <w:sz w:val="32"/>
          <w:szCs w:val="32"/>
          <w:highlight w:val="none"/>
        </w:rPr>
        <w:t>2</w:t>
      </w:r>
      <w:r>
        <w:rPr>
          <w:rFonts w:ascii="宋体" w:hAnsi="宋体"/>
          <w:color w:val="auto"/>
          <w:sz w:val="32"/>
          <w:szCs w:val="32"/>
          <w:highlight w:val="none"/>
        </w:rPr>
        <w:fldChar w:fldCharType="end"/>
      </w:r>
      <w:r>
        <w:rPr>
          <w:rFonts w:ascii="宋体" w:hAnsi="宋体"/>
          <w:color w:val="auto"/>
          <w:sz w:val="32"/>
          <w:szCs w:val="32"/>
          <w:highlight w:val="none"/>
        </w:rPr>
        <w:fldChar w:fldCharType="end"/>
      </w:r>
    </w:p>
    <w:p w14:paraId="1B368DC1">
      <w:pPr>
        <w:pStyle w:val="30"/>
        <w:keepLines w:val="0"/>
        <w:pageBreakBefore w:val="0"/>
        <w:tabs>
          <w:tab w:val="right" w:leader="dot" w:pos="9288"/>
        </w:tabs>
        <w:kinsoku/>
        <w:overflowPunct/>
        <w:bidi w:val="0"/>
        <w:spacing w:line="480" w:lineRule="auto"/>
        <w:rPr>
          <w:rFonts w:hint="eastAsia" w:ascii="宋体" w:hAnsi="宋体"/>
          <w:b w:val="0"/>
          <w:color w:val="auto"/>
          <w:sz w:val="32"/>
          <w:szCs w:val="32"/>
          <w:highlight w:val="none"/>
        </w:rPr>
      </w:pPr>
      <w:r>
        <w:rPr>
          <w:color w:val="auto"/>
          <w:sz w:val="32"/>
          <w:szCs w:val="32"/>
          <w:highlight w:val="none"/>
        </w:rPr>
        <w:fldChar w:fldCharType="begin"/>
      </w:r>
      <w:r>
        <w:rPr>
          <w:color w:val="auto"/>
          <w:sz w:val="32"/>
          <w:szCs w:val="32"/>
          <w:highlight w:val="none"/>
        </w:rPr>
        <w:instrText xml:space="preserve"> HYPERLINK \l "_Toc155531033" </w:instrText>
      </w:r>
      <w:r>
        <w:rPr>
          <w:color w:val="auto"/>
          <w:sz w:val="32"/>
          <w:szCs w:val="32"/>
          <w:highlight w:val="none"/>
        </w:rPr>
        <w:fldChar w:fldCharType="separate"/>
      </w:r>
      <w:r>
        <w:rPr>
          <w:rStyle w:val="50"/>
          <w:rFonts w:ascii="宋体" w:hAnsi="宋体"/>
          <w:color w:val="auto"/>
          <w:kern w:val="0"/>
          <w:sz w:val="32"/>
          <w:szCs w:val="32"/>
          <w:highlight w:val="none"/>
        </w:rPr>
        <w:t>第二章  供应商须知</w:t>
      </w:r>
      <w:r>
        <w:rPr>
          <w:rFonts w:ascii="宋体" w:hAnsi="宋体"/>
          <w:color w:val="auto"/>
          <w:sz w:val="32"/>
          <w:szCs w:val="32"/>
          <w:highlight w:val="none"/>
        </w:rPr>
        <w:tab/>
      </w:r>
      <w:r>
        <w:rPr>
          <w:rFonts w:ascii="宋体" w:hAnsi="宋体"/>
          <w:color w:val="auto"/>
          <w:sz w:val="32"/>
          <w:szCs w:val="32"/>
          <w:highlight w:val="none"/>
        </w:rPr>
        <w:fldChar w:fldCharType="begin"/>
      </w:r>
      <w:r>
        <w:rPr>
          <w:rFonts w:ascii="宋体" w:hAnsi="宋体"/>
          <w:color w:val="auto"/>
          <w:sz w:val="32"/>
          <w:szCs w:val="32"/>
          <w:highlight w:val="none"/>
        </w:rPr>
        <w:instrText xml:space="preserve"> PAGEREF _Toc155531033 \h </w:instrText>
      </w:r>
      <w:r>
        <w:rPr>
          <w:rFonts w:ascii="宋体" w:hAnsi="宋体"/>
          <w:color w:val="auto"/>
          <w:sz w:val="32"/>
          <w:szCs w:val="32"/>
          <w:highlight w:val="none"/>
        </w:rPr>
        <w:fldChar w:fldCharType="separate"/>
      </w:r>
      <w:r>
        <w:rPr>
          <w:rFonts w:ascii="宋体" w:hAnsi="宋体"/>
          <w:color w:val="auto"/>
          <w:sz w:val="32"/>
          <w:szCs w:val="32"/>
          <w:highlight w:val="none"/>
        </w:rPr>
        <w:t>5</w:t>
      </w:r>
      <w:r>
        <w:rPr>
          <w:rFonts w:ascii="宋体" w:hAnsi="宋体"/>
          <w:color w:val="auto"/>
          <w:sz w:val="32"/>
          <w:szCs w:val="32"/>
          <w:highlight w:val="none"/>
        </w:rPr>
        <w:fldChar w:fldCharType="end"/>
      </w:r>
      <w:r>
        <w:rPr>
          <w:rFonts w:ascii="宋体" w:hAnsi="宋体"/>
          <w:color w:val="auto"/>
          <w:sz w:val="32"/>
          <w:szCs w:val="32"/>
          <w:highlight w:val="none"/>
        </w:rPr>
        <w:fldChar w:fldCharType="end"/>
      </w:r>
    </w:p>
    <w:p w14:paraId="5EC3F513">
      <w:pPr>
        <w:pStyle w:val="30"/>
        <w:keepLines w:val="0"/>
        <w:pageBreakBefore w:val="0"/>
        <w:tabs>
          <w:tab w:val="right" w:leader="dot" w:pos="9288"/>
        </w:tabs>
        <w:kinsoku/>
        <w:overflowPunct/>
        <w:bidi w:val="0"/>
        <w:spacing w:line="480" w:lineRule="auto"/>
        <w:rPr>
          <w:rFonts w:hint="eastAsia" w:ascii="宋体" w:hAnsi="宋体"/>
          <w:b w:val="0"/>
          <w:color w:val="auto"/>
          <w:sz w:val="32"/>
          <w:szCs w:val="32"/>
          <w:highlight w:val="none"/>
        </w:rPr>
      </w:pPr>
      <w:r>
        <w:rPr>
          <w:color w:val="auto"/>
          <w:sz w:val="32"/>
          <w:szCs w:val="32"/>
          <w:highlight w:val="none"/>
        </w:rPr>
        <w:fldChar w:fldCharType="begin"/>
      </w:r>
      <w:r>
        <w:rPr>
          <w:color w:val="auto"/>
          <w:sz w:val="32"/>
          <w:szCs w:val="32"/>
          <w:highlight w:val="none"/>
        </w:rPr>
        <w:instrText xml:space="preserve"> HYPERLINK \l "_Toc155531034" </w:instrText>
      </w:r>
      <w:r>
        <w:rPr>
          <w:color w:val="auto"/>
          <w:sz w:val="32"/>
          <w:szCs w:val="32"/>
          <w:highlight w:val="none"/>
        </w:rPr>
        <w:fldChar w:fldCharType="separate"/>
      </w:r>
      <w:r>
        <w:rPr>
          <w:rStyle w:val="50"/>
          <w:rFonts w:ascii="宋体" w:hAnsi="宋体"/>
          <w:color w:val="auto"/>
          <w:sz w:val="32"/>
          <w:szCs w:val="32"/>
          <w:highlight w:val="none"/>
        </w:rPr>
        <w:t>第三章  采购需求</w:t>
      </w:r>
      <w:r>
        <w:rPr>
          <w:rFonts w:ascii="宋体" w:hAnsi="宋体"/>
          <w:color w:val="auto"/>
          <w:sz w:val="32"/>
          <w:szCs w:val="32"/>
          <w:highlight w:val="none"/>
        </w:rPr>
        <w:tab/>
      </w:r>
      <w:r>
        <w:rPr>
          <w:rFonts w:ascii="宋体" w:hAnsi="宋体"/>
          <w:color w:val="auto"/>
          <w:sz w:val="32"/>
          <w:szCs w:val="32"/>
          <w:highlight w:val="none"/>
        </w:rPr>
        <w:fldChar w:fldCharType="begin"/>
      </w:r>
      <w:r>
        <w:rPr>
          <w:rFonts w:ascii="宋体" w:hAnsi="宋体"/>
          <w:color w:val="auto"/>
          <w:sz w:val="32"/>
          <w:szCs w:val="32"/>
          <w:highlight w:val="none"/>
        </w:rPr>
        <w:instrText xml:space="preserve"> PAGEREF _Toc155531034 \h </w:instrText>
      </w:r>
      <w:r>
        <w:rPr>
          <w:rFonts w:ascii="宋体" w:hAnsi="宋体"/>
          <w:color w:val="auto"/>
          <w:sz w:val="32"/>
          <w:szCs w:val="32"/>
          <w:highlight w:val="none"/>
        </w:rPr>
        <w:fldChar w:fldCharType="separate"/>
      </w:r>
      <w:r>
        <w:rPr>
          <w:rFonts w:ascii="宋体" w:hAnsi="宋体"/>
          <w:color w:val="auto"/>
          <w:sz w:val="32"/>
          <w:szCs w:val="32"/>
          <w:highlight w:val="none"/>
        </w:rPr>
        <w:t>30</w:t>
      </w:r>
      <w:r>
        <w:rPr>
          <w:rFonts w:ascii="宋体" w:hAnsi="宋体"/>
          <w:color w:val="auto"/>
          <w:sz w:val="32"/>
          <w:szCs w:val="32"/>
          <w:highlight w:val="none"/>
        </w:rPr>
        <w:fldChar w:fldCharType="end"/>
      </w:r>
      <w:r>
        <w:rPr>
          <w:rFonts w:ascii="宋体" w:hAnsi="宋体"/>
          <w:color w:val="auto"/>
          <w:sz w:val="32"/>
          <w:szCs w:val="32"/>
          <w:highlight w:val="none"/>
        </w:rPr>
        <w:fldChar w:fldCharType="end"/>
      </w:r>
    </w:p>
    <w:p w14:paraId="36A8D1AB">
      <w:pPr>
        <w:pStyle w:val="30"/>
        <w:keepLines w:val="0"/>
        <w:pageBreakBefore w:val="0"/>
        <w:tabs>
          <w:tab w:val="right" w:leader="dot" w:pos="9288"/>
        </w:tabs>
        <w:kinsoku/>
        <w:overflowPunct/>
        <w:bidi w:val="0"/>
        <w:spacing w:line="480" w:lineRule="auto"/>
        <w:rPr>
          <w:rFonts w:hint="eastAsia" w:ascii="宋体" w:hAnsi="宋体" w:eastAsia="宋体"/>
          <w:b w:val="0"/>
          <w:color w:val="auto"/>
          <w:sz w:val="32"/>
          <w:szCs w:val="32"/>
          <w:highlight w:val="none"/>
          <w:lang w:eastAsia="zh-CN"/>
        </w:rPr>
      </w:pPr>
      <w:r>
        <w:rPr>
          <w:color w:val="auto"/>
          <w:sz w:val="32"/>
          <w:szCs w:val="32"/>
          <w:highlight w:val="none"/>
        </w:rPr>
        <w:fldChar w:fldCharType="begin"/>
      </w:r>
      <w:r>
        <w:rPr>
          <w:color w:val="auto"/>
          <w:sz w:val="32"/>
          <w:szCs w:val="32"/>
          <w:highlight w:val="none"/>
        </w:rPr>
        <w:instrText xml:space="preserve"> HYPERLINK \l "_Toc155531035" </w:instrText>
      </w:r>
      <w:r>
        <w:rPr>
          <w:color w:val="auto"/>
          <w:sz w:val="32"/>
          <w:szCs w:val="32"/>
          <w:highlight w:val="none"/>
        </w:rPr>
        <w:fldChar w:fldCharType="separate"/>
      </w:r>
      <w:r>
        <w:rPr>
          <w:rStyle w:val="50"/>
          <w:rFonts w:ascii="宋体" w:hAnsi="宋体"/>
          <w:color w:val="auto"/>
          <w:kern w:val="0"/>
          <w:sz w:val="32"/>
          <w:szCs w:val="32"/>
          <w:highlight w:val="none"/>
        </w:rPr>
        <w:t>第四章  评审办法</w:t>
      </w:r>
      <w:r>
        <w:rPr>
          <w:rFonts w:ascii="宋体" w:hAnsi="宋体"/>
          <w:color w:val="auto"/>
          <w:sz w:val="32"/>
          <w:szCs w:val="32"/>
          <w:highlight w:val="none"/>
        </w:rPr>
        <w:tab/>
      </w:r>
      <w:r>
        <w:rPr>
          <w:rFonts w:hint="eastAsia" w:ascii="宋体" w:hAnsi="宋体"/>
          <w:color w:val="auto"/>
          <w:sz w:val="32"/>
          <w:szCs w:val="32"/>
          <w:highlight w:val="none"/>
          <w:lang w:val="en-US" w:eastAsia="zh-CN"/>
        </w:rPr>
        <w:t>7</w:t>
      </w:r>
      <w:r>
        <w:rPr>
          <w:rFonts w:hint="eastAsia" w:ascii="宋体" w:hAnsi="宋体"/>
          <w:color w:val="auto"/>
          <w:sz w:val="32"/>
          <w:szCs w:val="32"/>
          <w:highlight w:val="none"/>
        </w:rPr>
        <w:fldChar w:fldCharType="end"/>
      </w:r>
      <w:r>
        <w:rPr>
          <w:rStyle w:val="50"/>
          <w:rFonts w:hint="eastAsia" w:ascii="宋体" w:hAnsi="宋体"/>
          <w:color w:val="auto"/>
          <w:sz w:val="32"/>
          <w:szCs w:val="32"/>
          <w:highlight w:val="none"/>
          <w:lang w:val="en-US" w:eastAsia="zh-CN"/>
        </w:rPr>
        <w:t>0</w:t>
      </w:r>
    </w:p>
    <w:p w14:paraId="3765D2D4">
      <w:pPr>
        <w:pStyle w:val="30"/>
        <w:keepLines w:val="0"/>
        <w:pageBreakBefore w:val="0"/>
        <w:tabs>
          <w:tab w:val="right" w:leader="dot" w:pos="9288"/>
        </w:tabs>
        <w:kinsoku/>
        <w:overflowPunct/>
        <w:bidi w:val="0"/>
        <w:spacing w:line="480" w:lineRule="auto"/>
        <w:rPr>
          <w:rFonts w:hint="default" w:ascii="宋体" w:hAnsi="宋体" w:eastAsia="宋体"/>
          <w:b w:val="0"/>
          <w:color w:val="auto"/>
          <w:sz w:val="32"/>
          <w:szCs w:val="32"/>
          <w:highlight w:val="none"/>
          <w:lang w:val="en-US" w:eastAsia="zh-CN"/>
        </w:rPr>
      </w:pPr>
      <w:r>
        <w:rPr>
          <w:color w:val="auto"/>
          <w:sz w:val="32"/>
          <w:szCs w:val="32"/>
          <w:highlight w:val="none"/>
        </w:rPr>
        <w:fldChar w:fldCharType="begin"/>
      </w:r>
      <w:r>
        <w:rPr>
          <w:color w:val="auto"/>
          <w:sz w:val="32"/>
          <w:szCs w:val="32"/>
          <w:highlight w:val="none"/>
        </w:rPr>
        <w:instrText xml:space="preserve"> HYPERLINK \l "_Toc155531036" </w:instrText>
      </w:r>
      <w:r>
        <w:rPr>
          <w:color w:val="auto"/>
          <w:sz w:val="32"/>
          <w:szCs w:val="32"/>
          <w:highlight w:val="none"/>
        </w:rPr>
        <w:fldChar w:fldCharType="separate"/>
      </w:r>
      <w:r>
        <w:rPr>
          <w:rStyle w:val="50"/>
          <w:rFonts w:ascii="宋体" w:hAnsi="宋体"/>
          <w:color w:val="auto"/>
          <w:kern w:val="0"/>
          <w:sz w:val="32"/>
          <w:szCs w:val="32"/>
          <w:highlight w:val="none"/>
        </w:rPr>
        <w:t xml:space="preserve">第五章  </w:t>
      </w:r>
      <w:r>
        <w:rPr>
          <w:rStyle w:val="50"/>
          <w:rFonts w:ascii="宋体" w:hAnsi="宋体"/>
          <w:color w:val="auto"/>
          <w:sz w:val="32"/>
          <w:szCs w:val="32"/>
          <w:highlight w:val="none"/>
        </w:rPr>
        <w:t>政府采购合同（合同主要条款及格式）</w:t>
      </w:r>
      <w:r>
        <w:rPr>
          <w:rFonts w:ascii="宋体" w:hAnsi="宋体"/>
          <w:color w:val="auto"/>
          <w:sz w:val="32"/>
          <w:szCs w:val="32"/>
          <w:highlight w:val="none"/>
        </w:rPr>
        <w:tab/>
      </w:r>
      <w:r>
        <w:rPr>
          <w:rFonts w:ascii="宋体" w:hAnsi="宋体"/>
          <w:color w:val="auto"/>
          <w:sz w:val="32"/>
          <w:szCs w:val="32"/>
          <w:highlight w:val="none"/>
        </w:rPr>
        <w:fldChar w:fldCharType="end"/>
      </w:r>
      <w:r>
        <w:rPr>
          <w:rStyle w:val="50"/>
          <w:rFonts w:hint="eastAsia" w:ascii="宋体" w:hAnsi="宋体"/>
          <w:color w:val="auto"/>
          <w:sz w:val="32"/>
          <w:szCs w:val="32"/>
          <w:highlight w:val="none"/>
          <w:lang w:val="en-US" w:eastAsia="zh-CN"/>
        </w:rPr>
        <w:t>72</w:t>
      </w:r>
    </w:p>
    <w:p w14:paraId="7A2BCC95">
      <w:pPr>
        <w:pStyle w:val="30"/>
        <w:keepLines w:val="0"/>
        <w:pageBreakBefore w:val="0"/>
        <w:tabs>
          <w:tab w:val="right" w:leader="dot" w:pos="9288"/>
        </w:tabs>
        <w:kinsoku/>
        <w:overflowPunct/>
        <w:bidi w:val="0"/>
        <w:spacing w:line="480" w:lineRule="auto"/>
        <w:rPr>
          <w:rFonts w:hint="default" w:ascii="宋体" w:hAnsi="宋体" w:eastAsia="宋体"/>
          <w:b w:val="0"/>
          <w:color w:val="auto"/>
          <w:sz w:val="32"/>
          <w:szCs w:val="32"/>
          <w:highlight w:val="none"/>
          <w:lang w:val="en-US" w:eastAsia="zh-CN"/>
        </w:rPr>
      </w:pPr>
      <w:r>
        <w:rPr>
          <w:color w:val="auto"/>
          <w:sz w:val="32"/>
          <w:szCs w:val="32"/>
          <w:highlight w:val="none"/>
        </w:rPr>
        <w:fldChar w:fldCharType="begin"/>
      </w:r>
      <w:r>
        <w:rPr>
          <w:color w:val="auto"/>
          <w:sz w:val="32"/>
          <w:szCs w:val="32"/>
          <w:highlight w:val="none"/>
        </w:rPr>
        <w:instrText xml:space="preserve"> HYPERLINK \l "_Toc155531037" </w:instrText>
      </w:r>
      <w:r>
        <w:rPr>
          <w:color w:val="auto"/>
          <w:sz w:val="32"/>
          <w:szCs w:val="32"/>
          <w:highlight w:val="none"/>
        </w:rPr>
        <w:fldChar w:fldCharType="separate"/>
      </w:r>
      <w:r>
        <w:rPr>
          <w:rStyle w:val="50"/>
          <w:rFonts w:ascii="宋体" w:hAnsi="宋体"/>
          <w:color w:val="auto"/>
          <w:kern w:val="0"/>
          <w:sz w:val="32"/>
          <w:szCs w:val="32"/>
          <w:highlight w:val="none"/>
        </w:rPr>
        <w:t>第六章  响应文件（格式）</w:t>
      </w:r>
      <w:r>
        <w:rPr>
          <w:rFonts w:ascii="宋体" w:hAnsi="宋体"/>
          <w:color w:val="auto"/>
          <w:sz w:val="32"/>
          <w:szCs w:val="32"/>
          <w:highlight w:val="none"/>
        </w:rPr>
        <w:tab/>
      </w:r>
      <w:r>
        <w:rPr>
          <w:rFonts w:ascii="宋体" w:hAnsi="宋体"/>
          <w:color w:val="auto"/>
          <w:sz w:val="32"/>
          <w:szCs w:val="32"/>
          <w:highlight w:val="none"/>
        </w:rPr>
        <w:fldChar w:fldCharType="end"/>
      </w:r>
      <w:r>
        <w:rPr>
          <w:rStyle w:val="50"/>
          <w:rFonts w:hint="eastAsia" w:ascii="宋体" w:hAnsi="宋体"/>
          <w:color w:val="auto"/>
          <w:sz w:val="32"/>
          <w:szCs w:val="32"/>
          <w:highlight w:val="none"/>
          <w:lang w:val="en-US" w:eastAsia="zh-CN"/>
        </w:rPr>
        <w:t>77</w:t>
      </w:r>
    </w:p>
    <w:p w14:paraId="02038A5B">
      <w:pPr>
        <w:pStyle w:val="24"/>
        <w:keepLines w:val="0"/>
        <w:pageBreakBefore w:val="0"/>
        <w:tabs>
          <w:tab w:val="left" w:pos="8860"/>
          <w:tab w:val="left" w:pos="9140"/>
        </w:tabs>
        <w:kinsoku/>
        <w:overflowPunct/>
        <w:bidi w:val="0"/>
        <w:spacing w:line="480" w:lineRule="auto"/>
        <w:rPr>
          <w:rFonts w:hint="eastAsia" w:hAnsi="宋体" w:cs="宋体"/>
          <w:color w:val="auto"/>
          <w:sz w:val="32"/>
          <w:szCs w:val="32"/>
          <w:highlight w:val="none"/>
        </w:rPr>
      </w:pPr>
      <w:r>
        <w:rPr>
          <w:rFonts w:ascii="宋体" w:hAnsi="宋体" w:cs="宋体"/>
          <w:color w:val="auto"/>
          <w:sz w:val="32"/>
          <w:szCs w:val="32"/>
          <w:highlight w:val="none"/>
        </w:rPr>
        <w:fldChar w:fldCharType="end"/>
      </w:r>
    </w:p>
    <w:p w14:paraId="0B689A21">
      <w:pPr>
        <w:pStyle w:val="24"/>
        <w:keepLines w:val="0"/>
        <w:pageBreakBefore w:val="0"/>
        <w:tabs>
          <w:tab w:val="left" w:pos="8860"/>
          <w:tab w:val="left" w:pos="9140"/>
        </w:tabs>
        <w:kinsoku/>
        <w:overflowPunct/>
        <w:bidi w:val="0"/>
        <w:spacing w:line="480" w:lineRule="auto"/>
        <w:ind w:firstLine="737"/>
        <w:rPr>
          <w:rFonts w:hint="eastAsia" w:hAnsi="宋体" w:cs="宋体"/>
          <w:color w:val="auto"/>
          <w:sz w:val="32"/>
          <w:szCs w:val="32"/>
          <w:highlight w:val="none"/>
        </w:rPr>
      </w:pPr>
    </w:p>
    <w:p w14:paraId="5777F20D">
      <w:pPr>
        <w:keepLines w:val="0"/>
        <w:pageBreakBefore w:val="0"/>
        <w:kinsoku/>
        <w:overflowPunct/>
        <w:bidi w:val="0"/>
        <w:spacing w:line="360" w:lineRule="auto"/>
        <w:ind w:firstLine="3120" w:firstLineChars="1300"/>
        <w:rPr>
          <w:color w:val="auto"/>
          <w:kern w:val="0"/>
          <w:szCs w:val="21"/>
          <w:highlight w:val="none"/>
        </w:rPr>
      </w:pPr>
    </w:p>
    <w:p w14:paraId="69D9EA20">
      <w:pPr>
        <w:keepLines w:val="0"/>
        <w:pageBreakBefore w:val="0"/>
        <w:kinsoku/>
        <w:overflowPunct/>
        <w:bidi w:val="0"/>
        <w:spacing w:line="360" w:lineRule="auto"/>
        <w:ind w:firstLine="3120" w:firstLineChars="1300"/>
        <w:rPr>
          <w:color w:val="auto"/>
          <w:kern w:val="0"/>
          <w:szCs w:val="21"/>
          <w:highlight w:val="none"/>
        </w:rPr>
      </w:pPr>
    </w:p>
    <w:p w14:paraId="073FBD79">
      <w:pPr>
        <w:keepLines w:val="0"/>
        <w:pageBreakBefore w:val="0"/>
        <w:kinsoku/>
        <w:overflowPunct/>
        <w:bidi w:val="0"/>
        <w:spacing w:line="360" w:lineRule="auto"/>
        <w:ind w:firstLine="3120" w:firstLineChars="1300"/>
        <w:rPr>
          <w:color w:val="auto"/>
          <w:kern w:val="0"/>
          <w:szCs w:val="21"/>
          <w:highlight w:val="none"/>
        </w:rPr>
      </w:pPr>
    </w:p>
    <w:p w14:paraId="17A3F85B">
      <w:pPr>
        <w:keepLines w:val="0"/>
        <w:pageBreakBefore w:val="0"/>
        <w:kinsoku/>
        <w:overflowPunct/>
        <w:bidi w:val="0"/>
        <w:spacing w:line="360" w:lineRule="auto"/>
        <w:ind w:firstLine="3120" w:firstLineChars="1300"/>
        <w:rPr>
          <w:color w:val="auto"/>
          <w:kern w:val="0"/>
          <w:szCs w:val="21"/>
          <w:highlight w:val="none"/>
        </w:rPr>
      </w:pPr>
    </w:p>
    <w:p w14:paraId="175806B5">
      <w:pPr>
        <w:keepLines w:val="0"/>
        <w:pageBreakBefore w:val="0"/>
        <w:kinsoku/>
        <w:overflowPunct/>
        <w:bidi w:val="0"/>
        <w:spacing w:line="360" w:lineRule="auto"/>
        <w:ind w:firstLine="3120" w:firstLineChars="1300"/>
        <w:rPr>
          <w:color w:val="auto"/>
          <w:kern w:val="0"/>
          <w:szCs w:val="21"/>
          <w:highlight w:val="none"/>
        </w:rPr>
      </w:pPr>
    </w:p>
    <w:p w14:paraId="4C7EA722">
      <w:pPr>
        <w:keepLines w:val="0"/>
        <w:pageBreakBefore w:val="0"/>
        <w:kinsoku/>
        <w:overflowPunct/>
        <w:bidi w:val="0"/>
        <w:spacing w:line="360" w:lineRule="auto"/>
        <w:ind w:firstLine="3120" w:firstLineChars="1300"/>
        <w:rPr>
          <w:color w:val="auto"/>
          <w:kern w:val="0"/>
          <w:szCs w:val="21"/>
          <w:highlight w:val="none"/>
        </w:rPr>
      </w:pPr>
    </w:p>
    <w:p w14:paraId="67990BE9">
      <w:pPr>
        <w:keepLines w:val="0"/>
        <w:pageBreakBefore w:val="0"/>
        <w:kinsoku/>
        <w:overflowPunct/>
        <w:bidi w:val="0"/>
        <w:spacing w:line="360" w:lineRule="auto"/>
        <w:ind w:firstLine="3120" w:firstLineChars="1300"/>
        <w:rPr>
          <w:color w:val="auto"/>
          <w:kern w:val="0"/>
          <w:szCs w:val="21"/>
          <w:highlight w:val="none"/>
        </w:rPr>
      </w:pPr>
    </w:p>
    <w:p w14:paraId="64EDD7D9">
      <w:pPr>
        <w:keepLines w:val="0"/>
        <w:pageBreakBefore w:val="0"/>
        <w:kinsoku/>
        <w:overflowPunct/>
        <w:bidi w:val="0"/>
        <w:spacing w:line="360" w:lineRule="auto"/>
        <w:ind w:firstLine="3120" w:firstLineChars="1300"/>
        <w:rPr>
          <w:color w:val="auto"/>
          <w:kern w:val="0"/>
          <w:szCs w:val="21"/>
          <w:highlight w:val="none"/>
        </w:rPr>
      </w:pPr>
    </w:p>
    <w:p w14:paraId="66338B8C">
      <w:pPr>
        <w:keepLines w:val="0"/>
        <w:pageBreakBefore w:val="0"/>
        <w:kinsoku/>
        <w:overflowPunct/>
        <w:bidi w:val="0"/>
        <w:spacing w:line="360" w:lineRule="auto"/>
        <w:ind w:firstLine="3120" w:firstLineChars="1300"/>
        <w:rPr>
          <w:color w:val="auto"/>
          <w:kern w:val="0"/>
          <w:szCs w:val="21"/>
          <w:highlight w:val="none"/>
        </w:rPr>
      </w:pPr>
    </w:p>
    <w:p w14:paraId="77571A00">
      <w:pPr>
        <w:keepLines w:val="0"/>
        <w:pageBreakBefore w:val="0"/>
        <w:kinsoku/>
        <w:overflowPunct/>
        <w:bidi w:val="0"/>
        <w:spacing w:line="360" w:lineRule="auto"/>
        <w:ind w:firstLine="3120" w:firstLineChars="1300"/>
        <w:rPr>
          <w:color w:val="auto"/>
          <w:kern w:val="0"/>
          <w:szCs w:val="21"/>
          <w:highlight w:val="none"/>
        </w:rPr>
      </w:pPr>
    </w:p>
    <w:p w14:paraId="7D4A846D">
      <w:pPr>
        <w:keepLines w:val="0"/>
        <w:pageBreakBefore w:val="0"/>
        <w:kinsoku/>
        <w:overflowPunct/>
        <w:bidi w:val="0"/>
        <w:spacing w:line="360" w:lineRule="auto"/>
        <w:ind w:firstLine="3120" w:firstLineChars="1300"/>
        <w:rPr>
          <w:color w:val="auto"/>
          <w:kern w:val="0"/>
          <w:szCs w:val="21"/>
          <w:highlight w:val="none"/>
        </w:rPr>
      </w:pPr>
    </w:p>
    <w:p w14:paraId="78102F04">
      <w:pPr>
        <w:keepLines w:val="0"/>
        <w:pageBreakBefore w:val="0"/>
        <w:kinsoku/>
        <w:overflowPunct/>
        <w:bidi w:val="0"/>
        <w:spacing w:line="360" w:lineRule="auto"/>
        <w:ind w:firstLine="3120" w:firstLineChars="1300"/>
        <w:rPr>
          <w:color w:val="auto"/>
          <w:kern w:val="0"/>
          <w:szCs w:val="21"/>
          <w:highlight w:val="none"/>
        </w:rPr>
      </w:pPr>
    </w:p>
    <w:p w14:paraId="69BA70FD">
      <w:pPr>
        <w:keepLines w:val="0"/>
        <w:pageBreakBefore w:val="0"/>
        <w:kinsoku/>
        <w:overflowPunct/>
        <w:bidi w:val="0"/>
        <w:spacing w:line="360" w:lineRule="auto"/>
        <w:ind w:firstLine="3120" w:firstLineChars="1300"/>
        <w:rPr>
          <w:color w:val="auto"/>
          <w:kern w:val="0"/>
          <w:szCs w:val="21"/>
          <w:highlight w:val="none"/>
        </w:rPr>
      </w:pPr>
    </w:p>
    <w:p w14:paraId="1DC418AC">
      <w:pPr>
        <w:pStyle w:val="40"/>
        <w:keepLines w:val="0"/>
        <w:pageBreakBefore w:val="0"/>
        <w:kinsoku/>
        <w:overflowPunct/>
        <w:bidi w:val="0"/>
        <w:spacing w:line="360" w:lineRule="auto"/>
        <w:rPr>
          <w:color w:val="auto"/>
          <w:kern w:val="0"/>
          <w:highlight w:val="none"/>
        </w:rPr>
      </w:pPr>
      <w:bookmarkStart w:id="1" w:name="_Toc82016584"/>
      <w:bookmarkStart w:id="2" w:name="_Toc155531032"/>
      <w:bookmarkStart w:id="3" w:name="_Toc44229878"/>
      <w:bookmarkStart w:id="4" w:name="_Toc44405619"/>
      <w:r>
        <w:rPr>
          <w:rFonts w:hint="eastAsia"/>
          <w:color w:val="auto"/>
          <w:kern w:val="0"/>
          <w:highlight w:val="none"/>
        </w:rPr>
        <w:t>第一章</w:t>
      </w:r>
      <w:r>
        <w:rPr>
          <w:rFonts w:hint="eastAsia"/>
          <w:color w:val="auto"/>
          <w:kern w:val="0"/>
          <w:highlight w:val="none"/>
          <w:lang w:val="en-US" w:eastAsia="zh-CN"/>
        </w:rPr>
        <w:t xml:space="preserve"> </w:t>
      </w:r>
      <w:r>
        <w:rPr>
          <w:rFonts w:hint="eastAsia"/>
          <w:color w:val="auto"/>
          <w:kern w:val="0"/>
          <w:highlight w:val="none"/>
        </w:rPr>
        <w:t>竞争性谈判公告</w:t>
      </w:r>
      <w:bookmarkEnd w:id="1"/>
      <w:bookmarkEnd w:id="2"/>
    </w:p>
    <w:p w14:paraId="6D8D973B">
      <w:pPr>
        <w:keepLines w:val="0"/>
        <w:pageBreakBefore w:val="0"/>
        <w:pBdr>
          <w:top w:val="single" w:color="auto" w:sz="4" w:space="1"/>
          <w:left w:val="single" w:color="auto" w:sz="4" w:space="4"/>
          <w:bottom w:val="single" w:color="auto" w:sz="4" w:space="1"/>
          <w:right w:val="single" w:color="auto" w:sz="4" w:space="4"/>
        </w:pBdr>
        <w:kinsoku/>
        <w:overflowPunct/>
        <w:bidi w:val="0"/>
        <w:spacing w:line="360" w:lineRule="auto"/>
        <w:ind w:firstLine="420"/>
        <w:rPr>
          <w:rFonts w:hint="eastAsia" w:asciiTheme="minorEastAsia" w:hAnsiTheme="minorEastAsia" w:eastAsiaTheme="minorEastAsia" w:cstheme="minorEastAsia"/>
          <w:color w:val="auto"/>
          <w:sz w:val="21"/>
          <w:szCs w:val="21"/>
          <w:highlight w:val="none"/>
        </w:rPr>
      </w:pPr>
      <w:bookmarkStart w:id="5" w:name="_Hlk37430271"/>
      <w:r>
        <w:rPr>
          <w:rFonts w:hint="eastAsia" w:asciiTheme="minorEastAsia" w:hAnsiTheme="minorEastAsia" w:eastAsiaTheme="minorEastAsia" w:cstheme="minorEastAsia"/>
          <w:color w:val="auto"/>
          <w:sz w:val="21"/>
          <w:szCs w:val="21"/>
          <w:highlight w:val="none"/>
        </w:rPr>
        <w:t>项目概况</w:t>
      </w:r>
    </w:p>
    <w:p w14:paraId="7B239164">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lang w:val="en-US" w:eastAsia="zh-CN"/>
        </w:rPr>
        <w:t xml:space="preserve"> 桂林市卫生学校6#教学楼监控及校园周界监控补盲项目采购 </w:t>
      </w:r>
      <w:r>
        <w:rPr>
          <w:rFonts w:hint="eastAsia" w:asciiTheme="minorEastAsia" w:hAnsiTheme="minorEastAsia" w:eastAsiaTheme="minorEastAsia" w:cstheme="minorEastAsia"/>
          <w:color w:val="auto"/>
          <w:sz w:val="21"/>
          <w:szCs w:val="21"/>
          <w:highlight w:val="none"/>
        </w:rPr>
        <w:t>的潜在供应商应在“广西政府采购云平台”（www.gcy.zfcg.gxzf.gov.cn）获取竞争性谈判文件，并于</w:t>
      </w:r>
      <w:r>
        <w:rPr>
          <w:rFonts w:hint="eastAsia" w:asciiTheme="minorEastAsia" w:hAnsiTheme="minorEastAsia" w:eastAsiaTheme="minorEastAsia" w:cstheme="minorEastAsia"/>
          <w:b/>
          <w:bCs w:val="0"/>
          <w:color w:val="auto"/>
          <w:sz w:val="21"/>
          <w:szCs w:val="21"/>
          <w:highlight w:val="none"/>
          <w:lang w:eastAsia="zh-CN"/>
        </w:rPr>
        <w:t>2026年</w:t>
      </w:r>
      <w:r>
        <w:rPr>
          <w:rFonts w:hint="eastAsia" w:asciiTheme="minorEastAsia" w:hAnsiTheme="minorEastAsia" w:eastAsiaTheme="minorEastAsia" w:cstheme="minorEastAsia"/>
          <w:b/>
          <w:bCs w:val="0"/>
          <w:color w:val="auto"/>
          <w:sz w:val="21"/>
          <w:szCs w:val="21"/>
          <w:highlight w:val="none"/>
          <w:lang w:val="en-US" w:eastAsia="zh-CN"/>
        </w:rPr>
        <w:t>7</w:t>
      </w:r>
      <w:r>
        <w:rPr>
          <w:rFonts w:hint="eastAsia" w:asciiTheme="minorEastAsia" w:hAnsiTheme="minorEastAsia" w:eastAsiaTheme="minorEastAsia" w:cstheme="minorEastAsia"/>
          <w:b/>
          <w:bCs w:val="0"/>
          <w:color w:val="auto"/>
          <w:sz w:val="21"/>
          <w:szCs w:val="21"/>
          <w:highlight w:val="none"/>
          <w:lang w:eastAsia="zh-CN"/>
        </w:rPr>
        <w:t>月</w:t>
      </w:r>
      <w:r>
        <w:rPr>
          <w:rFonts w:hint="eastAsia" w:asciiTheme="minorEastAsia" w:hAnsiTheme="minorEastAsia" w:eastAsiaTheme="minorEastAsia" w:cstheme="minorEastAsia"/>
          <w:b/>
          <w:bCs w:val="0"/>
          <w:color w:val="auto"/>
          <w:sz w:val="21"/>
          <w:szCs w:val="21"/>
          <w:highlight w:val="none"/>
          <w:lang w:val="en-US" w:eastAsia="zh-CN"/>
        </w:rPr>
        <w:t>22</w:t>
      </w:r>
      <w:r>
        <w:rPr>
          <w:rFonts w:hint="eastAsia" w:asciiTheme="minorEastAsia" w:hAnsiTheme="minorEastAsia" w:eastAsiaTheme="minorEastAsia" w:cstheme="minorEastAsia"/>
          <w:b/>
          <w:bCs w:val="0"/>
          <w:color w:val="auto"/>
          <w:sz w:val="21"/>
          <w:szCs w:val="21"/>
          <w:highlight w:val="none"/>
          <w:lang w:eastAsia="zh-CN"/>
        </w:rPr>
        <w:t>日</w:t>
      </w:r>
      <w:r>
        <w:rPr>
          <w:rFonts w:hint="eastAsia" w:asciiTheme="minorEastAsia" w:hAnsiTheme="minorEastAsia" w:eastAsiaTheme="minorEastAsia" w:cstheme="minorEastAsia"/>
          <w:b/>
          <w:bCs w:val="0"/>
          <w:color w:val="auto"/>
          <w:sz w:val="21"/>
          <w:szCs w:val="21"/>
          <w:highlight w:val="none"/>
        </w:rPr>
        <w:t>上午9时30分</w:t>
      </w:r>
      <w:r>
        <w:rPr>
          <w:rFonts w:hint="eastAsia" w:asciiTheme="minorEastAsia" w:hAnsiTheme="minorEastAsia" w:eastAsiaTheme="minorEastAsia" w:cstheme="minorEastAsia"/>
          <w:color w:val="auto"/>
          <w:sz w:val="21"/>
          <w:szCs w:val="21"/>
          <w:highlight w:val="none"/>
        </w:rPr>
        <w:t>（北京时间）前提交响应文件。</w:t>
      </w:r>
    </w:p>
    <w:bookmarkEnd w:id="5"/>
    <w:p w14:paraId="0A993DDD">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bookmarkStart w:id="6" w:name="_Toc35393629"/>
      <w:bookmarkStart w:id="7" w:name="_Toc35393798"/>
      <w:bookmarkStart w:id="8" w:name="_Toc28359012"/>
      <w:bookmarkStart w:id="9" w:name="_Toc82016585"/>
      <w:bookmarkStart w:id="10" w:name="_Toc28359089"/>
      <w:r>
        <w:rPr>
          <w:rFonts w:hint="eastAsia" w:asciiTheme="minorEastAsia" w:hAnsiTheme="minorEastAsia" w:eastAsiaTheme="minorEastAsia" w:cstheme="minorEastAsia"/>
          <w:color w:val="auto"/>
          <w:sz w:val="21"/>
          <w:szCs w:val="21"/>
          <w:highlight w:val="none"/>
        </w:rPr>
        <w:t>一、项目基本情况</w:t>
      </w:r>
      <w:bookmarkEnd w:id="6"/>
      <w:bookmarkEnd w:id="7"/>
      <w:bookmarkEnd w:id="8"/>
      <w:bookmarkEnd w:id="9"/>
      <w:bookmarkEnd w:id="10"/>
    </w:p>
    <w:p w14:paraId="5198A614">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项目编号：GLZC2026-J1-990301-GXBG</w:t>
      </w:r>
    </w:p>
    <w:p w14:paraId="1067D5F3">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项目名称：</w:t>
      </w:r>
      <w:r>
        <w:rPr>
          <w:rFonts w:hint="eastAsia" w:asciiTheme="minorEastAsia" w:hAnsiTheme="minorEastAsia" w:eastAsiaTheme="minorEastAsia" w:cstheme="minorEastAsia"/>
          <w:color w:val="auto"/>
          <w:sz w:val="21"/>
          <w:szCs w:val="21"/>
          <w:highlight w:val="none"/>
          <w:lang w:eastAsia="zh-CN"/>
        </w:rPr>
        <w:t>桂林市卫生学校6#教学楼监控及校园周界监控补盲项目采购</w:t>
      </w:r>
    </w:p>
    <w:p w14:paraId="6E6FDF69">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采购方式：竞争性谈判</w:t>
      </w:r>
    </w:p>
    <w:p w14:paraId="498C6335">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预算金额（元）：</w:t>
      </w:r>
      <w:r>
        <w:rPr>
          <w:rFonts w:hint="eastAsia" w:asciiTheme="minorEastAsia" w:hAnsiTheme="minorEastAsia" w:eastAsiaTheme="minorEastAsia" w:cstheme="minorEastAsia"/>
          <w:color w:val="auto"/>
          <w:sz w:val="21"/>
          <w:szCs w:val="21"/>
          <w:highlight w:val="none"/>
          <w:lang w:val="en-US" w:eastAsia="zh-CN"/>
        </w:rPr>
        <w:t>783760.00</w:t>
      </w:r>
    </w:p>
    <w:p w14:paraId="1DDED17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最高限价（元）：</w:t>
      </w:r>
      <w:r>
        <w:rPr>
          <w:rFonts w:hint="eastAsia" w:asciiTheme="minorEastAsia" w:hAnsiTheme="minorEastAsia" w:eastAsiaTheme="minorEastAsia" w:cstheme="minorEastAsia"/>
          <w:color w:val="auto"/>
          <w:sz w:val="21"/>
          <w:szCs w:val="21"/>
          <w:highlight w:val="none"/>
          <w:lang w:val="en-US" w:eastAsia="zh-CN"/>
        </w:rPr>
        <w:t>783760.00</w:t>
      </w:r>
    </w:p>
    <w:p w14:paraId="605907C0">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采购需求：</w:t>
      </w:r>
    </w:p>
    <w:p w14:paraId="2BF355EB">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rPr>
        <w:t>简要规格描述或项目基本概况介绍、用途：</w:t>
      </w:r>
      <w:r>
        <w:rPr>
          <w:rFonts w:hint="eastAsia" w:asciiTheme="minorEastAsia" w:hAnsiTheme="minorEastAsia" w:eastAsiaTheme="minorEastAsia" w:cstheme="minorEastAsia"/>
          <w:color w:val="auto"/>
          <w:sz w:val="21"/>
          <w:szCs w:val="21"/>
          <w:highlight w:val="none"/>
          <w:lang w:eastAsia="zh-CN"/>
        </w:rPr>
        <w:t>桂林市卫生学校6#教学楼监控及校园周界监控补盲项目采购</w:t>
      </w:r>
      <w:r>
        <w:rPr>
          <w:rFonts w:hint="eastAsia" w:asciiTheme="minorEastAsia" w:hAnsiTheme="minorEastAsia" w:eastAsiaTheme="minorEastAsia" w:cstheme="minorEastAsia"/>
          <w:color w:val="auto"/>
          <w:sz w:val="21"/>
          <w:szCs w:val="21"/>
          <w:highlight w:val="none"/>
          <w:lang w:val="en-US" w:eastAsia="zh-CN"/>
        </w:rPr>
        <w:t>1项，具体详见采购需求；</w:t>
      </w:r>
    </w:p>
    <w:p w14:paraId="0718C092">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合同履行期限（交付时间）：自签订合同之日起</w:t>
      </w:r>
      <w:r>
        <w:rPr>
          <w:rFonts w:hint="eastAsia" w:asciiTheme="minorEastAsia" w:hAnsiTheme="minorEastAsia" w:eastAsiaTheme="minorEastAsia" w:cstheme="minorEastAsia"/>
          <w:color w:val="auto"/>
          <w:sz w:val="21"/>
          <w:szCs w:val="21"/>
          <w:highlight w:val="none"/>
          <w:lang w:val="en-US" w:eastAsia="zh-CN"/>
        </w:rPr>
        <w:t>45</w:t>
      </w:r>
      <w:r>
        <w:rPr>
          <w:rFonts w:hint="eastAsia" w:asciiTheme="minorEastAsia" w:hAnsiTheme="minorEastAsia" w:eastAsiaTheme="minorEastAsia" w:cstheme="minorEastAsia"/>
          <w:color w:val="auto"/>
          <w:sz w:val="21"/>
          <w:szCs w:val="21"/>
          <w:highlight w:val="none"/>
        </w:rPr>
        <w:t>个日历日内交付全部货物并安装调试完毕交付使用</w:t>
      </w:r>
      <w:r>
        <w:rPr>
          <w:rFonts w:hint="eastAsia" w:asciiTheme="minorEastAsia" w:hAnsiTheme="minorEastAsia" w:eastAsiaTheme="minorEastAsia" w:cstheme="minorEastAsia"/>
          <w:color w:val="auto"/>
          <w:sz w:val="21"/>
          <w:szCs w:val="21"/>
          <w:highlight w:val="none"/>
          <w:lang w:eastAsia="zh-CN"/>
        </w:rPr>
        <w:t>。</w:t>
      </w:r>
    </w:p>
    <w:p w14:paraId="749AB735">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w:t>
      </w:r>
      <w:r>
        <w:rPr>
          <w:rFonts w:hint="eastAsia" w:asciiTheme="minorEastAsia" w:hAnsiTheme="minorEastAsia" w:eastAsiaTheme="minorEastAsia" w:cstheme="minorEastAsia"/>
          <w:color w:val="auto"/>
          <w:sz w:val="21"/>
          <w:szCs w:val="21"/>
          <w:highlight w:val="none"/>
          <w:u w:val="single"/>
          <w:lang w:val="en-US" w:eastAsia="zh-CN"/>
        </w:rPr>
        <w:t>不</w:t>
      </w:r>
      <w:r>
        <w:rPr>
          <w:rFonts w:hint="eastAsia" w:asciiTheme="minorEastAsia" w:hAnsiTheme="minorEastAsia" w:eastAsiaTheme="minorEastAsia" w:cstheme="minorEastAsia"/>
          <w:color w:val="auto"/>
          <w:sz w:val="21"/>
          <w:szCs w:val="21"/>
          <w:highlight w:val="none"/>
          <w:u w:val="single"/>
        </w:rPr>
        <w:t>接受</w:t>
      </w:r>
      <w:r>
        <w:rPr>
          <w:rFonts w:hint="eastAsia" w:asciiTheme="minorEastAsia" w:hAnsiTheme="minorEastAsia" w:eastAsiaTheme="minorEastAsia" w:cstheme="minorEastAsia"/>
          <w:color w:val="auto"/>
          <w:sz w:val="21"/>
          <w:szCs w:val="21"/>
          <w:highlight w:val="none"/>
        </w:rPr>
        <w:t>联合体参与谈判。</w:t>
      </w:r>
      <w:bookmarkStart w:id="11" w:name="_Toc35393630"/>
      <w:bookmarkStart w:id="12" w:name="_Toc35393799"/>
      <w:bookmarkStart w:id="13" w:name="_Toc28359090"/>
      <w:bookmarkStart w:id="14" w:name="_Toc28359013"/>
    </w:p>
    <w:p w14:paraId="4ACB1880">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二、申请人的资格要求</w:t>
      </w:r>
      <w:bookmarkEnd w:id="11"/>
      <w:bookmarkEnd w:id="12"/>
      <w:bookmarkEnd w:id="13"/>
      <w:bookmarkEnd w:id="14"/>
    </w:p>
    <w:p w14:paraId="6F6AC079">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1.满足《中华人民共和国政府采购法》第二十二条规定。</w:t>
      </w:r>
    </w:p>
    <w:p w14:paraId="79412264">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bookmarkStart w:id="15" w:name="_Toc28359091"/>
      <w:bookmarkStart w:id="16" w:name="_Toc28359014"/>
      <w:r>
        <w:rPr>
          <w:rFonts w:hint="eastAsia" w:asciiTheme="minorEastAsia" w:hAnsiTheme="minorEastAsia" w:eastAsiaTheme="minorEastAsia" w:cstheme="minorEastAsia"/>
          <w:color w:val="auto"/>
          <w:sz w:val="21"/>
          <w:szCs w:val="21"/>
          <w:highlight w:val="none"/>
        </w:rPr>
        <w:t>2.落实政府采购政策需满足的资格要求：</w:t>
      </w:r>
      <w:r>
        <w:rPr>
          <w:rFonts w:hint="eastAsia" w:asciiTheme="minorEastAsia" w:hAnsiTheme="minorEastAsia" w:eastAsiaTheme="minorEastAsia" w:cstheme="minorEastAsia"/>
          <w:color w:val="auto"/>
          <w:sz w:val="21"/>
          <w:szCs w:val="21"/>
          <w:highlight w:val="none"/>
          <w:lang w:val="en-US" w:eastAsia="zh-CN"/>
        </w:rPr>
        <w:t>无</w:t>
      </w:r>
      <w:r>
        <w:rPr>
          <w:rFonts w:hint="eastAsia" w:asciiTheme="minorEastAsia" w:hAnsiTheme="minorEastAsia" w:eastAsiaTheme="minorEastAsia" w:cstheme="minorEastAsia"/>
          <w:color w:val="auto"/>
          <w:sz w:val="21"/>
          <w:szCs w:val="21"/>
          <w:highlight w:val="none"/>
        </w:rPr>
        <w:t>； </w:t>
      </w:r>
    </w:p>
    <w:p w14:paraId="3E472970">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3.本项目的特定资格要求：无。</w:t>
      </w:r>
    </w:p>
    <w:p w14:paraId="6E9AC8B2">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asciiTheme="minorEastAsia" w:hAnsiTheme="minorEastAsia" w:eastAsiaTheme="minorEastAsia" w:cstheme="minorEastAsia"/>
          <w:b/>
          <w:bCs/>
          <w:color w:val="auto"/>
          <w:sz w:val="21"/>
          <w:szCs w:val="21"/>
          <w:highlight w:val="none"/>
        </w:rPr>
      </w:pPr>
      <w:bookmarkStart w:id="17" w:name="_Toc35393800"/>
      <w:bookmarkStart w:id="18" w:name="_Toc35393631"/>
      <w:r>
        <w:rPr>
          <w:rFonts w:hint="eastAsia" w:asciiTheme="minorEastAsia" w:hAnsiTheme="minorEastAsia" w:eastAsiaTheme="minorEastAsia" w:cstheme="minorEastAsia"/>
          <w:b/>
          <w:bCs/>
          <w:color w:val="auto"/>
          <w:sz w:val="21"/>
          <w:szCs w:val="21"/>
          <w:highlight w:val="none"/>
        </w:rPr>
        <w:t>三、获取采购文件</w:t>
      </w:r>
      <w:bookmarkEnd w:id="15"/>
      <w:bookmarkEnd w:id="16"/>
      <w:bookmarkEnd w:id="17"/>
      <w:bookmarkEnd w:id="18"/>
    </w:p>
    <w:p w14:paraId="7D448989">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时间：</w:t>
      </w:r>
      <w:r>
        <w:rPr>
          <w:rFonts w:hint="eastAsia" w:asciiTheme="minorEastAsia" w:hAnsiTheme="minorEastAsia" w:eastAsiaTheme="minorEastAsia" w:cstheme="minorEastAsia"/>
          <w:color w:val="auto"/>
          <w:sz w:val="21"/>
          <w:szCs w:val="21"/>
          <w:highlight w:val="none"/>
          <w:lang w:eastAsia="zh-CN"/>
        </w:rPr>
        <w:t>2026年</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lang w:eastAsia="zh-CN"/>
        </w:rPr>
        <w:t>月</w:t>
      </w:r>
      <w:r>
        <w:rPr>
          <w:rFonts w:hint="eastAsia" w:asciiTheme="minorEastAsia" w:hAnsiTheme="minorEastAsia" w:eastAsiaTheme="minorEastAsia" w:cstheme="minorEastAsia"/>
          <w:color w:val="auto"/>
          <w:sz w:val="21"/>
          <w:szCs w:val="21"/>
          <w:highlight w:val="none"/>
          <w:lang w:val="en-US" w:eastAsia="zh-CN"/>
        </w:rPr>
        <w:t>14日</w:t>
      </w:r>
      <w:r>
        <w:rPr>
          <w:rFonts w:hint="eastAsia" w:asciiTheme="minorEastAsia" w:hAnsiTheme="minorEastAsia" w:eastAsiaTheme="minorEastAsia" w:cstheme="minorEastAsia"/>
          <w:color w:val="auto"/>
          <w:sz w:val="21"/>
          <w:szCs w:val="21"/>
          <w:highlight w:val="none"/>
        </w:rPr>
        <w:t>至</w:t>
      </w:r>
      <w:r>
        <w:rPr>
          <w:rFonts w:hint="eastAsia" w:asciiTheme="minorEastAsia" w:hAnsiTheme="minorEastAsia" w:eastAsiaTheme="minorEastAsia" w:cstheme="minorEastAsia"/>
          <w:color w:val="auto"/>
          <w:sz w:val="21"/>
          <w:szCs w:val="21"/>
          <w:highlight w:val="none"/>
          <w:lang w:eastAsia="zh-CN"/>
        </w:rPr>
        <w:t>2026年7月22日</w:t>
      </w:r>
      <w:r>
        <w:rPr>
          <w:rFonts w:hint="eastAsia" w:asciiTheme="minorEastAsia" w:hAnsiTheme="minorEastAsia" w:eastAsiaTheme="minorEastAsia" w:cstheme="minorEastAsia"/>
          <w:color w:val="auto"/>
          <w:sz w:val="21"/>
          <w:szCs w:val="21"/>
          <w:highlight w:val="none"/>
        </w:rPr>
        <w:t>，每天上午00：00</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00</w:t>
      </w:r>
      <w:r>
        <w:rPr>
          <w:rFonts w:hint="eastAsia" w:asciiTheme="minorEastAsia" w:hAnsiTheme="minorEastAsia" w:eastAsiaTheme="minorEastAsia" w:cstheme="minorEastAsia"/>
          <w:color w:val="auto"/>
          <w:sz w:val="21"/>
          <w:szCs w:val="21"/>
          <w:highlight w:val="none"/>
        </w:rPr>
        <w:t>至</w:t>
      </w:r>
      <w:r>
        <w:rPr>
          <w:rFonts w:hint="eastAsia" w:asciiTheme="minorEastAsia" w:hAnsiTheme="minorEastAsia" w:eastAsia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00：00</w:t>
      </w:r>
      <w:r>
        <w:rPr>
          <w:rFonts w:hint="eastAsia" w:asciiTheme="minorEastAsia" w:hAnsiTheme="minorEastAsia" w:eastAsiaTheme="minorEastAsia" w:cstheme="minorEastAsia"/>
          <w:color w:val="auto"/>
          <w:sz w:val="21"/>
          <w:szCs w:val="21"/>
          <w:highlight w:val="none"/>
        </w:rPr>
        <w:t>，下午12：00</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00</w:t>
      </w:r>
      <w:r>
        <w:rPr>
          <w:rFonts w:hint="eastAsia" w:asciiTheme="minorEastAsia" w:hAnsiTheme="minorEastAsia" w:eastAsiaTheme="minorEastAsia" w:cstheme="minorEastAsia"/>
          <w:color w:val="auto"/>
          <w:sz w:val="21"/>
          <w:szCs w:val="21"/>
          <w:highlight w:val="none"/>
        </w:rPr>
        <w:t>至23：59</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59</w:t>
      </w:r>
      <w:r>
        <w:rPr>
          <w:rFonts w:hint="eastAsia" w:asciiTheme="minorEastAsia" w:hAnsiTheme="minorEastAsia" w:eastAsiaTheme="minorEastAsia" w:cstheme="minorEastAsia"/>
          <w:color w:val="auto"/>
          <w:sz w:val="21"/>
          <w:szCs w:val="21"/>
          <w:highlight w:val="none"/>
        </w:rPr>
        <w:t>（北京时间，法定节假日除外）</w:t>
      </w:r>
    </w:p>
    <w:p w14:paraId="2CB728F7">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地点：“广西政府采购云平台”（www.gcy.zfcg.gxzf.gov.cn）。</w:t>
      </w:r>
    </w:p>
    <w:p w14:paraId="0558308B">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方式：</w:t>
      </w:r>
      <w:r>
        <w:rPr>
          <w:rFonts w:hint="eastAsia" w:asciiTheme="minorEastAsia" w:hAnsiTheme="minorEastAsia" w:eastAsiaTheme="minorEastAsia" w:cstheme="minorEastAsia"/>
          <w:color w:val="auto"/>
          <w:kern w:val="0"/>
          <w:sz w:val="21"/>
          <w:szCs w:val="21"/>
          <w:highlight w:val="none"/>
        </w:rPr>
        <w:t>潜在供应商登录</w:t>
      </w:r>
      <w:r>
        <w:rPr>
          <w:rFonts w:hint="eastAsia" w:asciiTheme="minorEastAsia" w:hAnsiTheme="minorEastAsia" w:eastAsiaTheme="minorEastAsia" w:cstheme="minorEastAsia"/>
          <w:color w:val="auto"/>
          <w:sz w:val="21"/>
          <w:szCs w:val="21"/>
          <w:highlight w:val="none"/>
        </w:rPr>
        <w:t>“广西政府采购云平台”（www.gcy.zfcg.gxzf.gov.cn）免费下载竞争性谈判文件电子版。</w:t>
      </w:r>
      <w:r>
        <w:rPr>
          <w:rFonts w:hint="eastAsia" w:asciiTheme="minorEastAsia" w:hAnsiTheme="minorEastAsia" w:eastAsiaTheme="minorEastAsia" w:cstheme="minorEastAsia"/>
          <w:b/>
          <w:color w:val="auto"/>
          <w:sz w:val="21"/>
          <w:szCs w:val="21"/>
          <w:highlight w:val="none"/>
        </w:rPr>
        <w:t>供应商</w:t>
      </w:r>
      <w:r>
        <w:rPr>
          <w:rFonts w:hint="eastAsia" w:asciiTheme="minorEastAsia" w:hAnsiTheme="minorEastAsia" w:eastAsiaTheme="minorEastAsia" w:cstheme="minorEastAsia"/>
          <w:b/>
          <w:bCs/>
          <w:color w:val="auto"/>
          <w:sz w:val="21"/>
          <w:szCs w:val="21"/>
          <w:highlight w:val="none"/>
        </w:rPr>
        <w:t>应在“广西政府采购云平台”进行“申请获取采购文件”操作，否则，将导致无法在线编制响应文件并参与竞标，其不利后果由供应商自行承担。</w:t>
      </w:r>
    </w:p>
    <w:p w14:paraId="7737F617">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售价（元）：0。</w:t>
      </w:r>
      <w:bookmarkStart w:id="19" w:name="_Toc35393801"/>
      <w:bookmarkStart w:id="20" w:name="_Toc28359015"/>
      <w:bookmarkStart w:id="21" w:name="_Toc28359092"/>
      <w:bookmarkStart w:id="22" w:name="_Toc35393632"/>
    </w:p>
    <w:p w14:paraId="3D6CD13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四、响应文件提交</w:t>
      </w:r>
      <w:bookmarkEnd w:id="19"/>
      <w:bookmarkEnd w:id="20"/>
      <w:bookmarkEnd w:id="21"/>
      <w:bookmarkEnd w:id="22"/>
    </w:p>
    <w:p w14:paraId="04ECF6C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截止时间：</w:t>
      </w:r>
      <w:r>
        <w:rPr>
          <w:rFonts w:hint="eastAsia" w:asciiTheme="minorEastAsia" w:hAnsiTheme="minorEastAsia" w:eastAsiaTheme="minorEastAsia" w:cstheme="minorEastAsia"/>
          <w:b/>
          <w:bCs w:val="0"/>
          <w:color w:val="auto"/>
          <w:sz w:val="21"/>
          <w:szCs w:val="21"/>
          <w:highlight w:val="none"/>
          <w:lang w:eastAsia="zh-CN"/>
        </w:rPr>
        <w:t>2026年7月22日</w:t>
      </w:r>
      <w:r>
        <w:rPr>
          <w:rFonts w:hint="eastAsia" w:asciiTheme="minorEastAsia" w:hAnsiTheme="minorEastAsia" w:eastAsiaTheme="minorEastAsia" w:cstheme="minorEastAsia"/>
          <w:b/>
          <w:bCs w:val="0"/>
          <w:color w:val="auto"/>
          <w:sz w:val="21"/>
          <w:szCs w:val="21"/>
          <w:highlight w:val="none"/>
        </w:rPr>
        <w:t>上午9时30分（北京时间）</w:t>
      </w:r>
    </w:p>
    <w:p w14:paraId="4C2065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地点：</w:t>
      </w:r>
      <w:bookmarkStart w:id="23" w:name="_Toc28359093"/>
      <w:bookmarkStart w:id="24" w:name="_Toc35393633"/>
      <w:bookmarkStart w:id="25" w:name="_Toc28359016"/>
      <w:bookmarkStart w:id="26" w:name="_Toc35393802"/>
      <w:r>
        <w:rPr>
          <w:rFonts w:hint="eastAsia" w:asciiTheme="minorEastAsia" w:hAnsiTheme="minorEastAsia" w:eastAsiaTheme="minorEastAsia" w:cstheme="minorEastAsia"/>
          <w:bCs/>
          <w:color w:val="auto"/>
          <w:sz w:val="21"/>
          <w:szCs w:val="21"/>
          <w:highlight w:val="none"/>
        </w:rPr>
        <w:t>登录“广西政府采购云平台”在线提交。</w:t>
      </w:r>
    </w:p>
    <w:p w14:paraId="467B01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五、开启</w:t>
      </w:r>
      <w:bookmarkEnd w:id="23"/>
      <w:bookmarkEnd w:id="24"/>
      <w:bookmarkEnd w:id="25"/>
      <w:bookmarkEnd w:id="26"/>
    </w:p>
    <w:p w14:paraId="522CBC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时间：</w:t>
      </w:r>
      <w:r>
        <w:rPr>
          <w:rFonts w:hint="eastAsia" w:asciiTheme="minorEastAsia" w:hAnsiTheme="minorEastAsia" w:eastAsiaTheme="minorEastAsia" w:cstheme="minorEastAsia"/>
          <w:b/>
          <w:bCs w:val="0"/>
          <w:color w:val="auto"/>
          <w:sz w:val="21"/>
          <w:szCs w:val="21"/>
          <w:highlight w:val="none"/>
          <w:lang w:eastAsia="zh-CN"/>
        </w:rPr>
        <w:t>2026年7月22日</w:t>
      </w:r>
      <w:r>
        <w:rPr>
          <w:rFonts w:hint="eastAsia" w:asciiTheme="minorEastAsia" w:hAnsiTheme="minorEastAsia" w:eastAsiaTheme="minorEastAsia" w:cstheme="minorEastAsia"/>
          <w:b/>
          <w:bCs w:val="0"/>
          <w:color w:val="auto"/>
          <w:sz w:val="21"/>
          <w:szCs w:val="21"/>
          <w:highlight w:val="none"/>
        </w:rPr>
        <w:t>上午9时30分（北京时间）</w:t>
      </w:r>
    </w:p>
    <w:p w14:paraId="4F1479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地点：</w:t>
      </w:r>
      <w:bookmarkStart w:id="27" w:name="_Toc28359017"/>
      <w:bookmarkStart w:id="28" w:name="_Toc28359094"/>
      <w:bookmarkStart w:id="29" w:name="_Toc35393634"/>
      <w:bookmarkStart w:id="30" w:name="_Toc35393803"/>
      <w:r>
        <w:rPr>
          <w:rFonts w:hint="eastAsia" w:asciiTheme="minorEastAsia" w:hAnsiTheme="minorEastAsia" w:eastAsiaTheme="minorEastAsia" w:cstheme="minorEastAsia"/>
          <w:color w:val="auto"/>
          <w:sz w:val="21"/>
          <w:szCs w:val="21"/>
          <w:highlight w:val="none"/>
        </w:rPr>
        <w:t>通过“广西政府采购云平台”在线解密开启。</w:t>
      </w:r>
    </w:p>
    <w:p w14:paraId="7A06D6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六、公告期限</w:t>
      </w:r>
      <w:bookmarkEnd w:id="27"/>
      <w:bookmarkEnd w:id="28"/>
      <w:bookmarkEnd w:id="29"/>
      <w:bookmarkEnd w:id="30"/>
    </w:p>
    <w:p w14:paraId="3C50B92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自本公告发布之日起3个工作日。</w:t>
      </w:r>
      <w:bookmarkStart w:id="31" w:name="_Toc35393635"/>
      <w:bookmarkStart w:id="32" w:name="_Toc35393804"/>
    </w:p>
    <w:p w14:paraId="14C90910">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其他补充事宜</w:t>
      </w:r>
      <w:bookmarkEnd w:id="31"/>
      <w:bookmarkEnd w:id="32"/>
    </w:p>
    <w:p w14:paraId="71778E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1.信息公告发布媒体：中国政府采购网（www.ccgp.gov.cn）、广西壮族自治区政府采购网（zfcg.gxzf.gov.cn）、桂林市政府采购网（zfcg.czj.guilin.gov.cn）。</w:t>
      </w:r>
    </w:p>
    <w:p w14:paraId="4F3178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2.本项目需要落实的政府采购政策：</w:t>
      </w:r>
    </w:p>
    <w:p w14:paraId="2A8763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（1）政府采购促进中小企业发展</w:t>
      </w:r>
      <w:r>
        <w:rPr>
          <w:rFonts w:hint="eastAsia" w:asciiTheme="minorEastAsia" w:hAnsiTheme="minorEastAsia" w:eastAsiaTheme="minorEastAsia" w:cstheme="minorEastAsia"/>
          <w:b/>
          <w:bCs w:val="0"/>
          <w:color w:val="auto"/>
          <w:sz w:val="21"/>
          <w:szCs w:val="21"/>
          <w:highlight w:val="none"/>
        </w:rPr>
        <w:t>（本项目非专门面向中小企业采购）</w:t>
      </w:r>
      <w:r>
        <w:rPr>
          <w:rFonts w:hint="eastAsia" w:asciiTheme="minorEastAsia" w:hAnsiTheme="minorEastAsia" w:eastAsiaTheme="minorEastAsia" w:cstheme="minorEastAsia"/>
          <w:b/>
          <w:bCs w:val="0"/>
          <w:color w:val="auto"/>
          <w:sz w:val="21"/>
          <w:szCs w:val="21"/>
          <w:highlight w:val="none"/>
          <w:lang w:eastAsia="zh-CN"/>
        </w:rPr>
        <w:t>，本项目采购标的在《中小企业划分标准》</w:t>
      </w:r>
      <w:bookmarkStart w:id="59" w:name="_GoBack"/>
      <w:r>
        <w:rPr>
          <w:rFonts w:hint="eastAsia" w:asciiTheme="minorEastAsia" w:hAnsiTheme="minorEastAsia" w:eastAsiaTheme="minorEastAsia" w:cstheme="minorEastAsia"/>
          <w:b/>
          <w:bCs w:val="0"/>
          <w:color w:val="auto"/>
          <w:sz w:val="21"/>
          <w:szCs w:val="21"/>
          <w:highlight w:val="none"/>
          <w:lang w:eastAsia="zh-CN"/>
        </w:rPr>
        <w:t>所属行业</w:t>
      </w:r>
      <w:bookmarkEnd w:id="59"/>
      <w:r>
        <w:rPr>
          <w:rFonts w:hint="eastAsia" w:asciiTheme="minorEastAsia" w:hAnsiTheme="minorEastAsia" w:eastAsiaTheme="minorEastAsia" w:cstheme="minorEastAsia"/>
          <w:b/>
          <w:bCs w:val="0"/>
          <w:color w:val="auto"/>
          <w:sz w:val="21"/>
          <w:szCs w:val="21"/>
          <w:highlight w:val="none"/>
          <w:lang w:eastAsia="zh-CN"/>
        </w:rPr>
        <w:t>为：</w:t>
      </w:r>
      <w:r>
        <w:rPr>
          <w:rFonts w:hint="eastAsia" w:asciiTheme="minorEastAsia" w:hAnsiTheme="minorEastAsia" w:eastAsiaTheme="minorEastAsia" w:cstheme="minorEastAsia"/>
          <w:b/>
          <w:bCs w:val="0"/>
          <w:color w:val="auto"/>
          <w:sz w:val="21"/>
          <w:szCs w:val="21"/>
          <w:highlight w:val="none"/>
          <w:lang w:val="en-US" w:eastAsia="zh-CN"/>
        </w:rPr>
        <w:t>工业</w:t>
      </w:r>
      <w:r>
        <w:rPr>
          <w:rFonts w:hint="eastAsia" w:asciiTheme="minorEastAsia" w:hAnsiTheme="minorEastAsia" w:eastAsiaTheme="minorEastAsia" w:cstheme="minorEastAsia"/>
          <w:bCs/>
          <w:color w:val="auto"/>
          <w:sz w:val="21"/>
          <w:szCs w:val="21"/>
          <w:highlight w:val="none"/>
        </w:rPr>
        <w:t>。</w:t>
      </w:r>
    </w:p>
    <w:p w14:paraId="5A1D7F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（2）政府采购支持监狱企业发展。</w:t>
      </w:r>
    </w:p>
    <w:p w14:paraId="000224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（3）政府采购促进残疾人就业政策。</w:t>
      </w:r>
    </w:p>
    <w:p w14:paraId="4D8FCD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（4）优先采购环境标志产品、节能产品。</w:t>
      </w:r>
    </w:p>
    <w:p w14:paraId="0D8A52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（5）政府采购支持采用本国产品的政策。</w:t>
      </w:r>
    </w:p>
    <w:p w14:paraId="5F40AD17">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bookmarkStart w:id="33" w:name="_Toc35393636"/>
      <w:bookmarkStart w:id="34" w:name="_Toc35393805"/>
      <w:bookmarkStart w:id="35" w:name="_Toc28359095"/>
      <w:bookmarkStart w:id="36" w:name="_Toc28359018"/>
      <w:r>
        <w:rPr>
          <w:rFonts w:hint="eastAsia" w:asciiTheme="minorEastAsia" w:hAnsiTheme="minorEastAsia" w:eastAsiaTheme="minorEastAsia" w:cstheme="minorEastAsia"/>
          <w:bCs/>
          <w:color w:val="auto"/>
          <w:sz w:val="21"/>
          <w:szCs w:val="21"/>
          <w:highlight w:val="none"/>
        </w:rPr>
        <w:t>3.</w:t>
      </w:r>
      <w:r>
        <w:rPr>
          <w:rFonts w:hint="eastAsia" w:asciiTheme="minorEastAsia" w:hAnsiTheme="minorEastAsia" w:eastAsiaTheme="minorEastAsia" w:cstheme="minorEastAsia"/>
          <w:color w:val="auto"/>
          <w:sz w:val="21"/>
          <w:szCs w:val="21"/>
          <w:highlight w:val="none"/>
        </w:rPr>
        <w:t>资格条件特别说明：</w:t>
      </w:r>
    </w:p>
    <w:p w14:paraId="7D6CE795">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728B7A3F">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（2）对在“信用中国”网站</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www.creditchina.gov.cn</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 xml:space="preserve"> 、中国政府采购网</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www.ccgp.gov.cn</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被列入失信被执行人、重大税收违法失信主体、政府采购严重违法失信行为记录名单及其他不符合《中华人民共和国政府采购法》第二十二条规定条件的供应商，不得参与政府采购活动。</w:t>
      </w:r>
    </w:p>
    <w:p w14:paraId="23270D74">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4.“广西政府采购云平台”电子竞标相关事宜：</w:t>
      </w:r>
    </w:p>
    <w:p w14:paraId="6C6C0BC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进行电子签章或电子签名；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09291D2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（2）电子竞标具体操作流程参考《政府采购项目电子交易管理操作指南-供应商》（详见桂林市政府采购网—采购资讯—重要通知）；如遇平台技术问题详询95763或0771-3381253。</w:t>
      </w:r>
    </w:p>
    <w:p w14:paraId="7BCFBC6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（3）</w:t>
      </w:r>
      <w:r>
        <w:rPr>
          <w:rFonts w:hint="eastAsia" w:asciiTheme="minorEastAsia" w:hAnsiTheme="minorEastAsia" w:eastAsiaTheme="minorEastAsia" w:cstheme="minorEastAsia"/>
          <w:color w:val="auto"/>
          <w:kern w:val="0"/>
          <w:sz w:val="21"/>
          <w:szCs w:val="21"/>
          <w:highlight w:val="none"/>
        </w:rPr>
        <w:t>电子响应文件的制作、加密、</w:t>
      </w:r>
      <w:r>
        <w:rPr>
          <w:rFonts w:hint="eastAsia" w:asciiTheme="minorEastAsia" w:hAnsiTheme="minorEastAsia" w:eastAsiaTheme="minorEastAsia" w:cstheme="minorEastAsia"/>
          <w:color w:val="auto"/>
          <w:sz w:val="21"/>
          <w:szCs w:val="21"/>
          <w:highlight w:val="none"/>
        </w:rPr>
        <w:t>提交、解密等相关事宜详见第二章 “供应商须知”。</w:t>
      </w:r>
    </w:p>
    <w:p w14:paraId="69E9C1A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w:t>
      </w:r>
      <w:r>
        <w:rPr>
          <w:rFonts w:hint="eastAsia" w:asciiTheme="minorEastAsia" w:hAnsiTheme="minorEastAsia" w:eastAsiaTheme="minorEastAsia" w:cstheme="minorEastAsia"/>
          <w:color w:val="auto"/>
          <w:kern w:val="0"/>
          <w:sz w:val="21"/>
          <w:szCs w:val="21"/>
          <w:highlight w:val="none"/>
        </w:rPr>
        <w:t>监督管理机构</w:t>
      </w:r>
      <w:r>
        <w:rPr>
          <w:rFonts w:hint="eastAsia" w:asciiTheme="minorEastAsia" w:hAnsiTheme="minorEastAsia" w:eastAsiaTheme="minorEastAsia" w:cstheme="minorEastAsia"/>
          <w:color w:val="auto"/>
          <w:kern w:val="0"/>
          <w:sz w:val="21"/>
          <w:szCs w:val="21"/>
          <w:highlight w:val="none"/>
          <w:lang w:val="en-US" w:eastAsia="zh-CN"/>
        </w:rPr>
        <w:t>:桂林市政府财政局；联系电话：0773-2862142</w:t>
      </w:r>
    </w:p>
    <w:p w14:paraId="1D57F497">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八、凡对本次采购提出询问，请按以下方式联系</w:t>
      </w:r>
      <w:bookmarkEnd w:id="33"/>
      <w:bookmarkEnd w:id="34"/>
      <w:bookmarkEnd w:id="35"/>
      <w:bookmarkEnd w:id="36"/>
    </w:p>
    <w:p w14:paraId="5503FD9A">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1.采购人信息：                        </w:t>
      </w:r>
    </w:p>
    <w:p w14:paraId="7E30F814">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名  称：桂林市卫生学校              </w:t>
      </w:r>
    </w:p>
    <w:p w14:paraId="4CC9491D">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地  址：桂林市</w:t>
      </w:r>
      <w:r>
        <w:rPr>
          <w:rFonts w:hint="eastAsia" w:asciiTheme="minorEastAsia" w:hAnsiTheme="minorEastAsia" w:eastAsiaTheme="minorEastAsia" w:cstheme="minorEastAsia"/>
          <w:bCs/>
          <w:color w:val="auto"/>
          <w:sz w:val="21"/>
          <w:szCs w:val="21"/>
          <w:highlight w:val="none"/>
          <w:lang w:val="en-US" w:eastAsia="zh-CN"/>
        </w:rPr>
        <w:t>象山区</w:t>
      </w:r>
      <w:r>
        <w:rPr>
          <w:rFonts w:hint="eastAsia" w:asciiTheme="minorEastAsia" w:hAnsiTheme="minorEastAsia" w:eastAsiaTheme="minorEastAsia" w:cstheme="minorEastAsia"/>
          <w:bCs/>
          <w:color w:val="auto"/>
          <w:sz w:val="21"/>
          <w:szCs w:val="21"/>
          <w:highlight w:val="none"/>
        </w:rPr>
        <w:t>民主路万寿巷10号　　　　　　　　　　</w:t>
      </w:r>
    </w:p>
    <w:p w14:paraId="42E6DDE4">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项目联系人：</w:t>
      </w:r>
      <w:r>
        <w:rPr>
          <w:rFonts w:hint="eastAsia" w:asciiTheme="minorEastAsia" w:hAnsiTheme="minorEastAsia" w:eastAsiaTheme="minorEastAsia" w:cstheme="minorEastAsia"/>
          <w:bCs/>
          <w:color w:val="auto"/>
          <w:sz w:val="21"/>
          <w:szCs w:val="21"/>
          <w:highlight w:val="none"/>
          <w:lang w:val="en-US" w:eastAsia="zh-CN"/>
        </w:rPr>
        <w:t>于彦清</w:t>
      </w:r>
      <w:r>
        <w:rPr>
          <w:rFonts w:hint="eastAsia" w:asciiTheme="minorEastAsia" w:hAnsiTheme="minorEastAsia" w:eastAsiaTheme="minorEastAsia" w:cstheme="minorEastAsia"/>
          <w:bCs/>
          <w:color w:val="auto"/>
          <w:sz w:val="21"/>
          <w:szCs w:val="21"/>
          <w:highlight w:val="none"/>
        </w:rPr>
        <w:t xml:space="preserve">               </w:t>
      </w:r>
    </w:p>
    <w:p w14:paraId="37348D65">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项目联系方式：0773-3891404</w:t>
      </w:r>
      <w:r>
        <w:rPr>
          <w:rFonts w:hint="eastAsia" w:asciiTheme="minorEastAsia" w:hAnsiTheme="minorEastAsia" w:eastAsiaTheme="minorEastAsia" w:cstheme="minorEastAsia"/>
          <w:bCs/>
          <w:color w:val="auto"/>
          <w:sz w:val="21"/>
          <w:szCs w:val="21"/>
          <w:highlight w:val="none"/>
          <w:lang w:val="en-US" w:eastAsia="zh-CN"/>
        </w:rPr>
        <w:t xml:space="preserve"> </w:t>
      </w:r>
      <w:r>
        <w:rPr>
          <w:rFonts w:hint="eastAsia" w:asciiTheme="minorEastAsia" w:hAnsiTheme="minorEastAsia" w:eastAsiaTheme="minorEastAsia" w:cstheme="minorEastAsia"/>
          <w:bCs/>
          <w:color w:val="auto"/>
          <w:sz w:val="21"/>
          <w:szCs w:val="21"/>
          <w:highlight w:val="none"/>
        </w:rPr>
        <w:t xml:space="preserve">　　 </w:t>
      </w:r>
    </w:p>
    <w:p w14:paraId="7148D60C">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2.采购代理机构信息：</w:t>
      </w:r>
    </w:p>
    <w:p w14:paraId="6D01988A">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名称： 广西八桂建设项目管理有限公司</w:t>
      </w:r>
    </w:p>
    <w:p w14:paraId="72C61B48">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地址：</w:t>
      </w:r>
      <w:r>
        <w:rPr>
          <w:rFonts w:hint="eastAsia" w:asciiTheme="minorEastAsia" w:hAnsiTheme="minorEastAsia" w:eastAsiaTheme="minorEastAsia" w:cstheme="minorEastAsia"/>
          <w:bCs/>
          <w:color w:val="auto"/>
          <w:sz w:val="21"/>
          <w:szCs w:val="21"/>
          <w:highlight w:val="none"/>
          <w:lang w:eastAsia="zh-CN"/>
        </w:rPr>
        <w:t>桂林市中山南路35号经贸大厦5-14</w:t>
      </w:r>
    </w:p>
    <w:p w14:paraId="4DF8DD53">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val="en-US" w:eastAsia="zh-CN"/>
        </w:rPr>
      </w:pPr>
      <w:bookmarkStart w:id="37" w:name="_Toc28359010"/>
      <w:bookmarkStart w:id="38" w:name="_Toc28359087"/>
      <w:r>
        <w:rPr>
          <w:rFonts w:hint="eastAsia" w:asciiTheme="minorEastAsia" w:hAnsiTheme="minorEastAsia" w:eastAsiaTheme="minorEastAsia" w:cstheme="minorEastAsia"/>
          <w:bCs/>
          <w:color w:val="auto"/>
          <w:sz w:val="21"/>
          <w:szCs w:val="21"/>
          <w:highlight w:val="none"/>
        </w:rPr>
        <w:t>项目联系人：</w:t>
      </w:r>
      <w:r>
        <w:rPr>
          <w:rFonts w:hint="eastAsia" w:asciiTheme="minorEastAsia" w:hAnsiTheme="minorEastAsia" w:eastAsiaTheme="minorEastAsia" w:cstheme="minorEastAsia"/>
          <w:bCs/>
          <w:color w:val="auto"/>
          <w:sz w:val="21"/>
          <w:szCs w:val="21"/>
          <w:highlight w:val="none"/>
          <w:lang w:val="en-US" w:eastAsia="zh-CN"/>
        </w:rPr>
        <w:t>刘海燕、梁硕</w:t>
      </w:r>
    </w:p>
    <w:p w14:paraId="2B900947">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项目联系方式：</w:t>
      </w:r>
      <w:r>
        <w:rPr>
          <w:rFonts w:hint="eastAsia" w:asciiTheme="minorEastAsia" w:hAnsiTheme="minorEastAsia" w:eastAsiaTheme="minorEastAsia" w:cstheme="minorEastAsia"/>
          <w:bCs/>
          <w:color w:val="auto"/>
          <w:sz w:val="21"/>
          <w:szCs w:val="21"/>
          <w:highlight w:val="none"/>
          <w:lang w:val="en-US" w:eastAsia="zh-CN"/>
        </w:rPr>
        <w:t>0773-2819266</w:t>
      </w:r>
    </w:p>
    <w:bookmarkEnd w:id="37"/>
    <w:bookmarkEnd w:id="38"/>
    <w:p w14:paraId="07A58CE8">
      <w:pPr>
        <w:keepLines w:val="0"/>
        <w:pageBreakBefore w:val="0"/>
        <w:kinsoku/>
        <w:overflowPunct/>
        <w:bidi w:val="0"/>
        <w:spacing w:line="360" w:lineRule="auto"/>
        <w:ind w:firstLine="420"/>
        <w:rPr>
          <w:rFonts w:hint="eastAsia" w:asciiTheme="minorEastAsia" w:hAnsiTheme="minorEastAsia" w:eastAsiaTheme="minorEastAsia" w:cstheme="minorEastAsia"/>
          <w:bCs/>
          <w:color w:val="auto"/>
          <w:sz w:val="21"/>
          <w:szCs w:val="21"/>
          <w:highlight w:val="none"/>
          <w:lang w:eastAsia="zh-CN"/>
        </w:rPr>
      </w:pPr>
    </w:p>
    <w:p w14:paraId="0EC370C3">
      <w:pPr>
        <w:keepLines w:val="0"/>
        <w:pageBreakBefore w:val="0"/>
        <w:kinsoku/>
        <w:overflowPunct/>
        <w:bidi w:val="0"/>
        <w:spacing w:line="360" w:lineRule="auto"/>
        <w:ind w:firstLine="420"/>
        <w:jc w:val="right"/>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eastAsia="zh-CN"/>
        </w:rPr>
        <w:t>广西八桂建设项目管理有限公司</w:t>
      </w:r>
    </w:p>
    <w:p w14:paraId="62633FEA">
      <w:pPr>
        <w:keepLines w:val="0"/>
        <w:pageBreakBefore w:val="0"/>
        <w:kinsoku/>
        <w:wordWrap w:val="0"/>
        <w:overflowPunct/>
        <w:bidi w:val="0"/>
        <w:spacing w:line="360" w:lineRule="auto"/>
        <w:ind w:firstLine="420"/>
        <w:jc w:val="right"/>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2026年7月14日</w:t>
      </w:r>
    </w:p>
    <w:p w14:paraId="38EFDA88">
      <w:pPr>
        <w:keepLines w:val="0"/>
        <w:pageBreakBefore w:val="0"/>
        <w:kinsoku/>
        <w:overflowPunct/>
        <w:bidi w:val="0"/>
        <w:spacing w:line="360" w:lineRule="auto"/>
        <w:ind w:firstLine="0" w:firstLineChars="0"/>
        <w:rPr>
          <w:rFonts w:hint="eastAsia" w:ascii="宋体" w:hAnsi="宋体" w:cs="宋体"/>
          <w:bCs/>
          <w:color w:val="auto"/>
          <w:sz w:val="21"/>
          <w:szCs w:val="21"/>
          <w:highlight w:val="none"/>
        </w:rPr>
      </w:pPr>
    </w:p>
    <w:p w14:paraId="43104C87">
      <w:pPr>
        <w:keepLines w:val="0"/>
        <w:pageBreakBefore w:val="0"/>
        <w:kinsoku/>
        <w:overflowPunct/>
        <w:bidi w:val="0"/>
        <w:spacing w:line="360" w:lineRule="auto"/>
        <w:ind w:firstLine="420"/>
        <w:rPr>
          <w:rFonts w:hint="eastAsia" w:ascii="宋体" w:hAnsi="宋体" w:cs="宋体"/>
          <w:bCs/>
          <w:color w:val="auto"/>
          <w:sz w:val="21"/>
          <w:szCs w:val="21"/>
          <w:highlight w:val="none"/>
        </w:rPr>
      </w:pPr>
    </w:p>
    <w:p w14:paraId="454F04CE">
      <w:pPr>
        <w:keepLines w:val="0"/>
        <w:pageBreakBefore w:val="0"/>
        <w:kinsoku/>
        <w:overflowPunct/>
        <w:bidi w:val="0"/>
        <w:spacing w:line="360" w:lineRule="auto"/>
        <w:ind w:firstLine="420"/>
        <w:rPr>
          <w:rFonts w:hint="eastAsia" w:ascii="宋体" w:hAnsi="宋体" w:cs="宋体"/>
          <w:bCs/>
          <w:color w:val="auto"/>
          <w:sz w:val="21"/>
          <w:szCs w:val="21"/>
          <w:highlight w:val="none"/>
        </w:rPr>
      </w:pPr>
    </w:p>
    <w:p w14:paraId="72DDBB86">
      <w:pPr>
        <w:keepLines w:val="0"/>
        <w:pageBreakBefore w:val="0"/>
        <w:kinsoku/>
        <w:overflowPunct/>
        <w:bidi w:val="0"/>
        <w:spacing w:line="360" w:lineRule="auto"/>
        <w:ind w:firstLine="480"/>
        <w:rPr>
          <w:rFonts w:hint="eastAsia" w:ascii="宋体" w:hAnsi="宋体" w:cs="宋体"/>
          <w:bCs/>
          <w:color w:val="auto"/>
          <w:szCs w:val="21"/>
          <w:highlight w:val="none"/>
        </w:rPr>
      </w:pPr>
    </w:p>
    <w:p w14:paraId="6238FF16">
      <w:pPr>
        <w:keepLines w:val="0"/>
        <w:pageBreakBefore w:val="0"/>
        <w:kinsoku/>
        <w:overflowPunct/>
        <w:bidi w:val="0"/>
        <w:spacing w:line="360" w:lineRule="auto"/>
        <w:ind w:firstLine="480"/>
        <w:rPr>
          <w:rFonts w:hint="eastAsia" w:ascii="宋体" w:hAnsi="宋体" w:cs="宋体"/>
          <w:bCs/>
          <w:color w:val="auto"/>
          <w:szCs w:val="21"/>
          <w:highlight w:val="none"/>
        </w:rPr>
      </w:pPr>
    </w:p>
    <w:p w14:paraId="700990DB">
      <w:pPr>
        <w:keepLines w:val="0"/>
        <w:pageBreakBefore w:val="0"/>
        <w:kinsoku/>
        <w:overflowPunct/>
        <w:bidi w:val="0"/>
        <w:spacing w:line="360" w:lineRule="auto"/>
        <w:ind w:firstLine="480"/>
        <w:rPr>
          <w:rFonts w:hint="eastAsia" w:ascii="宋体" w:hAnsi="宋体" w:cs="宋体"/>
          <w:bCs/>
          <w:color w:val="auto"/>
          <w:szCs w:val="21"/>
          <w:highlight w:val="none"/>
        </w:rPr>
      </w:pPr>
    </w:p>
    <w:p w14:paraId="641FE528">
      <w:pPr>
        <w:keepLines w:val="0"/>
        <w:pageBreakBefore w:val="0"/>
        <w:kinsoku/>
        <w:overflowPunct/>
        <w:bidi w:val="0"/>
        <w:spacing w:line="360" w:lineRule="auto"/>
        <w:ind w:firstLine="480"/>
        <w:rPr>
          <w:rFonts w:hint="eastAsia" w:ascii="宋体" w:hAnsi="宋体" w:cs="宋体"/>
          <w:bCs/>
          <w:color w:val="auto"/>
          <w:szCs w:val="21"/>
          <w:highlight w:val="none"/>
        </w:rPr>
      </w:pPr>
    </w:p>
    <w:p w14:paraId="3FC5082F">
      <w:pPr>
        <w:keepLines w:val="0"/>
        <w:pageBreakBefore w:val="0"/>
        <w:kinsoku/>
        <w:overflowPunct/>
        <w:bidi w:val="0"/>
        <w:spacing w:line="360" w:lineRule="auto"/>
        <w:ind w:firstLine="480"/>
        <w:rPr>
          <w:rFonts w:hint="eastAsia" w:ascii="宋体" w:hAnsi="宋体" w:cs="宋体"/>
          <w:bCs/>
          <w:color w:val="auto"/>
          <w:szCs w:val="21"/>
          <w:highlight w:val="none"/>
        </w:rPr>
      </w:pPr>
    </w:p>
    <w:p w14:paraId="1E2C01BB">
      <w:pPr>
        <w:keepLines w:val="0"/>
        <w:pageBreakBefore w:val="0"/>
        <w:kinsoku/>
        <w:overflowPunct/>
        <w:bidi w:val="0"/>
        <w:spacing w:line="360" w:lineRule="auto"/>
        <w:ind w:firstLine="480"/>
        <w:rPr>
          <w:rFonts w:hint="eastAsia" w:ascii="宋体" w:hAnsi="宋体" w:cs="宋体"/>
          <w:bCs/>
          <w:color w:val="auto"/>
          <w:szCs w:val="21"/>
          <w:highlight w:val="none"/>
        </w:rPr>
      </w:pPr>
    </w:p>
    <w:p w14:paraId="5F4779D3">
      <w:pPr>
        <w:keepLines w:val="0"/>
        <w:pageBreakBefore w:val="0"/>
        <w:kinsoku/>
        <w:overflowPunct/>
        <w:bidi w:val="0"/>
        <w:spacing w:line="360" w:lineRule="auto"/>
        <w:ind w:firstLine="0" w:firstLineChars="0"/>
        <w:rPr>
          <w:rFonts w:hint="eastAsia" w:ascii="宋体" w:hAnsi="宋体" w:cs="宋体"/>
          <w:bCs/>
          <w:color w:val="auto"/>
          <w:szCs w:val="21"/>
          <w:highlight w:val="none"/>
        </w:rPr>
      </w:pPr>
    </w:p>
    <w:p w14:paraId="01792C0F">
      <w:pPr>
        <w:pStyle w:val="22"/>
        <w:keepLines w:val="0"/>
        <w:pageBreakBefore w:val="0"/>
        <w:kinsoku/>
        <w:overflowPunct/>
        <w:bidi w:val="0"/>
        <w:spacing w:line="360" w:lineRule="auto"/>
        <w:rPr>
          <w:color w:val="auto"/>
          <w:highlight w:val="none"/>
        </w:rPr>
      </w:pPr>
    </w:p>
    <w:p w14:paraId="59DD4F6E">
      <w:pPr>
        <w:pStyle w:val="22"/>
        <w:keepLines w:val="0"/>
        <w:pageBreakBefore w:val="0"/>
        <w:kinsoku/>
        <w:overflowPunct/>
        <w:bidi w:val="0"/>
        <w:spacing w:line="360" w:lineRule="auto"/>
        <w:rPr>
          <w:color w:val="auto"/>
          <w:highlight w:val="none"/>
        </w:rPr>
      </w:pPr>
    </w:p>
    <w:p w14:paraId="1099DE60">
      <w:pPr>
        <w:pStyle w:val="22"/>
        <w:keepLines w:val="0"/>
        <w:pageBreakBefore w:val="0"/>
        <w:kinsoku/>
        <w:overflowPunct/>
        <w:bidi w:val="0"/>
        <w:spacing w:line="360" w:lineRule="auto"/>
        <w:rPr>
          <w:color w:val="auto"/>
          <w:highlight w:val="none"/>
        </w:rPr>
      </w:pPr>
    </w:p>
    <w:p w14:paraId="63328AF4">
      <w:pPr>
        <w:pStyle w:val="22"/>
        <w:keepLines w:val="0"/>
        <w:pageBreakBefore w:val="0"/>
        <w:kinsoku/>
        <w:overflowPunct/>
        <w:bidi w:val="0"/>
        <w:spacing w:line="360" w:lineRule="auto"/>
        <w:rPr>
          <w:color w:val="auto"/>
          <w:highlight w:val="none"/>
        </w:rPr>
      </w:pPr>
    </w:p>
    <w:p w14:paraId="0197FFF1">
      <w:pPr>
        <w:pStyle w:val="22"/>
        <w:keepLines w:val="0"/>
        <w:pageBreakBefore w:val="0"/>
        <w:kinsoku/>
        <w:overflowPunct/>
        <w:bidi w:val="0"/>
        <w:spacing w:line="360" w:lineRule="auto"/>
        <w:rPr>
          <w:color w:val="auto"/>
          <w:highlight w:val="none"/>
        </w:rPr>
      </w:pPr>
    </w:p>
    <w:p w14:paraId="124D4DF2">
      <w:pPr>
        <w:pStyle w:val="22"/>
        <w:keepLines w:val="0"/>
        <w:pageBreakBefore w:val="0"/>
        <w:kinsoku/>
        <w:overflowPunct/>
        <w:bidi w:val="0"/>
        <w:spacing w:line="360" w:lineRule="auto"/>
        <w:rPr>
          <w:color w:val="auto"/>
          <w:highlight w:val="none"/>
        </w:rPr>
      </w:pPr>
    </w:p>
    <w:p w14:paraId="41A41A10">
      <w:pPr>
        <w:pStyle w:val="22"/>
        <w:keepLines w:val="0"/>
        <w:pageBreakBefore w:val="0"/>
        <w:kinsoku/>
        <w:overflowPunct/>
        <w:bidi w:val="0"/>
        <w:spacing w:line="360" w:lineRule="auto"/>
        <w:rPr>
          <w:color w:val="auto"/>
          <w:highlight w:val="none"/>
        </w:rPr>
      </w:pPr>
    </w:p>
    <w:p w14:paraId="138D8F70">
      <w:pPr>
        <w:pStyle w:val="22"/>
        <w:keepLines w:val="0"/>
        <w:pageBreakBefore w:val="0"/>
        <w:kinsoku/>
        <w:overflowPunct/>
        <w:bidi w:val="0"/>
        <w:spacing w:line="360" w:lineRule="auto"/>
        <w:rPr>
          <w:color w:val="auto"/>
          <w:highlight w:val="none"/>
        </w:rPr>
      </w:pPr>
    </w:p>
    <w:p w14:paraId="20738088">
      <w:pPr>
        <w:pStyle w:val="22"/>
        <w:keepLines w:val="0"/>
        <w:pageBreakBefore w:val="0"/>
        <w:kinsoku/>
        <w:overflowPunct/>
        <w:bidi w:val="0"/>
        <w:spacing w:line="360" w:lineRule="auto"/>
        <w:rPr>
          <w:color w:val="auto"/>
          <w:highlight w:val="none"/>
        </w:rPr>
      </w:pPr>
    </w:p>
    <w:bookmarkEnd w:id="3"/>
    <w:bookmarkEnd w:id="4"/>
    <w:p w14:paraId="759761F1">
      <w:pPr>
        <w:pStyle w:val="40"/>
        <w:keepLines w:val="0"/>
        <w:pageBreakBefore w:val="0"/>
        <w:kinsoku/>
        <w:overflowPunct/>
        <w:bidi w:val="0"/>
        <w:spacing w:line="360" w:lineRule="auto"/>
        <w:rPr>
          <w:color w:val="auto"/>
          <w:kern w:val="0"/>
          <w:highlight w:val="none"/>
        </w:rPr>
      </w:pPr>
      <w:bookmarkStart w:id="39" w:name="_Toc82016586"/>
      <w:bookmarkStart w:id="40" w:name="_Toc155531033"/>
      <w:r>
        <w:rPr>
          <w:rFonts w:hint="eastAsia"/>
          <w:color w:val="auto"/>
          <w:kern w:val="0"/>
          <w:highlight w:val="none"/>
        </w:rPr>
        <w:t>第二章供应商须知</w:t>
      </w:r>
      <w:bookmarkEnd w:id="39"/>
      <w:bookmarkEnd w:id="40"/>
    </w:p>
    <w:p w14:paraId="39F3741D">
      <w:pPr>
        <w:keepLines w:val="0"/>
        <w:pageBreakBefore w:val="0"/>
        <w:tabs>
          <w:tab w:val="left" w:pos="1065"/>
          <w:tab w:val="center" w:pos="4411"/>
        </w:tabs>
        <w:kinsoku/>
        <w:overflowPunct/>
        <w:bidi w:val="0"/>
        <w:spacing w:line="360" w:lineRule="auto"/>
        <w:ind w:left="0" w:leftChars="0" w:firstLine="0" w:firstLineChars="0"/>
        <w:jc w:val="center"/>
        <w:rPr>
          <w:rFonts w:hint="eastAsia"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3"/>
        <w:tblW w:w="5179" w:type="pct"/>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953"/>
        <w:gridCol w:w="1509"/>
        <w:gridCol w:w="6692"/>
      </w:tblGrid>
      <w:tr w14:paraId="5DE1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355" w:type="pct"/>
            <w:shd w:val="clear" w:color="auto" w:fill="4F81BD" w:themeFill="accent1"/>
            <w:vAlign w:val="bottom"/>
          </w:tcPr>
          <w:p w14:paraId="02C802D7">
            <w:pPr>
              <w:keepLines w:val="0"/>
              <w:pageBreakBefore w:val="0"/>
              <w:kinsoku/>
              <w:overflowPunct/>
              <w:bidi w:val="0"/>
              <w:spacing w:line="360" w:lineRule="auto"/>
              <w:ind w:left="0" w:leftChars="0" w:right="0" w:rightChars="0" w:firstLine="0" w:firstLineChars="0"/>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序号</w:t>
            </w:r>
          </w:p>
        </w:tc>
        <w:tc>
          <w:tcPr>
            <w:tcW w:w="483" w:type="pct"/>
            <w:shd w:val="clear" w:color="auto" w:fill="4F81BD" w:themeFill="accent1"/>
            <w:vAlign w:val="bottom"/>
          </w:tcPr>
          <w:p w14:paraId="1DA48A12">
            <w:pPr>
              <w:keepLines w:val="0"/>
              <w:pageBreakBefore w:val="0"/>
              <w:kinsoku/>
              <w:overflowPunct/>
              <w:bidi w:val="0"/>
              <w:spacing w:line="360" w:lineRule="auto"/>
              <w:ind w:left="0" w:leftChars="0" w:right="0" w:rightChars="0" w:firstLine="0" w:firstLineChars="0"/>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条款号</w:t>
            </w:r>
          </w:p>
        </w:tc>
        <w:tc>
          <w:tcPr>
            <w:tcW w:w="765" w:type="pct"/>
            <w:shd w:val="clear" w:color="auto" w:fill="4F81BD" w:themeFill="accent1"/>
            <w:vAlign w:val="bottom"/>
          </w:tcPr>
          <w:p w14:paraId="012DF370">
            <w:pPr>
              <w:keepLines w:val="0"/>
              <w:pageBreakBefore w:val="0"/>
              <w:kinsoku/>
              <w:overflowPunct/>
              <w:bidi w:val="0"/>
              <w:spacing w:line="360" w:lineRule="auto"/>
              <w:ind w:left="0" w:leftChars="0" w:right="0" w:rightChars="0" w:firstLine="0" w:firstLineChars="0"/>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条款名称</w:t>
            </w:r>
          </w:p>
        </w:tc>
        <w:tc>
          <w:tcPr>
            <w:tcW w:w="3395" w:type="pct"/>
            <w:shd w:val="clear" w:color="auto" w:fill="4F81BD" w:themeFill="accent1"/>
            <w:vAlign w:val="bottom"/>
          </w:tcPr>
          <w:p w14:paraId="1148A5A9">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内容、要求</w:t>
            </w:r>
          </w:p>
        </w:tc>
      </w:tr>
      <w:tr w14:paraId="3E3C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355" w:type="pct"/>
            <w:vAlign w:val="center"/>
          </w:tcPr>
          <w:p w14:paraId="55C8877F">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w:t>
            </w:r>
          </w:p>
        </w:tc>
        <w:tc>
          <w:tcPr>
            <w:tcW w:w="483" w:type="pct"/>
            <w:vAlign w:val="center"/>
          </w:tcPr>
          <w:p w14:paraId="7B32EC4A">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1.1</w:t>
            </w:r>
          </w:p>
        </w:tc>
        <w:tc>
          <w:tcPr>
            <w:tcW w:w="765" w:type="pct"/>
            <w:vAlign w:val="center"/>
          </w:tcPr>
          <w:p w14:paraId="5EEAF2AB">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项目名称及项目编号</w:t>
            </w:r>
          </w:p>
        </w:tc>
        <w:tc>
          <w:tcPr>
            <w:tcW w:w="3395" w:type="pct"/>
            <w:vAlign w:val="center"/>
          </w:tcPr>
          <w:p w14:paraId="69D7826B">
            <w:pPr>
              <w:keepNext w:val="0"/>
              <w:keepLines w:val="0"/>
              <w:pageBreakBefore w:val="0"/>
              <w:widowControl w:val="0"/>
              <w:kinsoku/>
              <w:wordWrap/>
              <w:overflowPunct/>
              <w:topLinePunct w:val="0"/>
              <w:autoSpaceDE/>
              <w:autoSpaceDN/>
              <w:bidi w:val="0"/>
              <w:adjustRightInd/>
              <w:spacing w:line="360" w:lineRule="auto"/>
              <w:ind w:left="0" w:leftChars="0" w:firstLine="0" w:firstLineChars="0"/>
              <w:jc w:val="left"/>
              <w:textAlignment w:val="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项目名称：</w:t>
            </w:r>
            <w:r>
              <w:rPr>
                <w:rFonts w:hint="eastAsia" w:asciiTheme="minorEastAsia" w:hAnsiTheme="minorEastAsia" w:eastAsiaTheme="minorEastAsia" w:cstheme="minorEastAsia"/>
                <w:color w:val="auto"/>
                <w:kern w:val="0"/>
                <w:sz w:val="21"/>
                <w:szCs w:val="21"/>
                <w:highlight w:val="none"/>
                <w:lang w:eastAsia="zh-CN"/>
              </w:rPr>
              <w:t>桂林市卫生学校6#教学楼监控及校园周界监控补盲项目采购</w:t>
            </w:r>
          </w:p>
          <w:p w14:paraId="0DD2D962">
            <w:pPr>
              <w:keepNext w:val="0"/>
              <w:keepLines w:val="0"/>
              <w:pageBreakBefore w:val="0"/>
              <w:widowControl w:val="0"/>
              <w:kinsoku/>
              <w:wordWrap/>
              <w:overflowPunct/>
              <w:topLinePunct w:val="0"/>
              <w:autoSpaceDE/>
              <w:autoSpaceDN/>
              <w:bidi w:val="0"/>
              <w:adjustRightInd/>
              <w:spacing w:line="360" w:lineRule="auto"/>
              <w:ind w:left="0" w:leftChars="0" w:firstLine="0" w:firstLineChars="0"/>
              <w:jc w:val="left"/>
              <w:textAlignment w:val="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项目编号：GLZC2026-J1-990301-GXBG</w:t>
            </w:r>
          </w:p>
        </w:tc>
      </w:tr>
      <w:tr w14:paraId="23CA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6E28CAA6">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w:t>
            </w:r>
          </w:p>
        </w:tc>
        <w:tc>
          <w:tcPr>
            <w:tcW w:w="483" w:type="pct"/>
            <w:vAlign w:val="center"/>
          </w:tcPr>
          <w:p w14:paraId="6DE3B7C3">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w:t>
            </w:r>
          </w:p>
        </w:tc>
        <w:tc>
          <w:tcPr>
            <w:tcW w:w="765" w:type="pct"/>
            <w:vAlign w:val="center"/>
          </w:tcPr>
          <w:p w14:paraId="232DCD88">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供应商资格</w:t>
            </w:r>
          </w:p>
        </w:tc>
        <w:tc>
          <w:tcPr>
            <w:tcW w:w="3395" w:type="pct"/>
            <w:vAlign w:val="center"/>
          </w:tcPr>
          <w:p w14:paraId="65967CF4">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Cs/>
                <w:color w:val="auto"/>
                <w:sz w:val="21"/>
                <w:szCs w:val="21"/>
                <w:highlight w:val="none"/>
              </w:rPr>
              <w:t>3</w:t>
            </w:r>
            <w:r>
              <w:rPr>
                <w:rFonts w:hint="eastAsia" w:asciiTheme="minorEastAsia" w:hAnsiTheme="minorEastAsia" w:eastAsiaTheme="minorEastAsia" w:cstheme="minorEastAsia"/>
                <w:color w:val="auto"/>
                <w:kern w:val="0"/>
                <w:sz w:val="21"/>
                <w:szCs w:val="21"/>
                <w:highlight w:val="none"/>
              </w:rPr>
              <w:t>.1满足《中华人民共和国政府采购法》第二十二条规定。</w:t>
            </w:r>
          </w:p>
          <w:p w14:paraId="269452FB">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3.2落实政府采购政策需满足的资格要求：无。</w:t>
            </w:r>
          </w:p>
          <w:p w14:paraId="37E2B705">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3.3本项目的特定资格要求：无。</w:t>
            </w:r>
          </w:p>
          <w:p w14:paraId="540F2756">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3.4</w:t>
            </w:r>
            <w:r>
              <w:rPr>
                <w:rFonts w:hint="eastAsia" w:asciiTheme="minorEastAsia" w:hAnsiTheme="minorEastAsia" w:eastAsiaTheme="minorEastAsia" w:cstheme="minorEastAsia"/>
                <w:color w:val="auto"/>
                <w:kern w:val="0"/>
                <w:sz w:val="21"/>
                <w:szCs w:val="21"/>
                <w:highlight w:val="none"/>
              </w:rPr>
              <w:t>资格条件特别说明：</w:t>
            </w:r>
          </w:p>
          <w:p w14:paraId="2DF59C8C">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112B7657">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（2）对在“信用中国”网站</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www.creditchina.gov.cn</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 xml:space="preserve"> 、中国政府采购网</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www.ccgp.gov.cn</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被列入失信被执行人、重大税收违法失信主体、政府采购严重违法失信行为记录名单及其他不符合《中华人民共和国政府采购法》第二十二条规定条件的供应商，不得参与政府采购活动。</w:t>
            </w:r>
          </w:p>
        </w:tc>
      </w:tr>
      <w:tr w14:paraId="2641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2AC1ED9A">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w:t>
            </w:r>
          </w:p>
        </w:tc>
        <w:tc>
          <w:tcPr>
            <w:tcW w:w="483" w:type="pct"/>
            <w:vAlign w:val="center"/>
          </w:tcPr>
          <w:p w14:paraId="01D7C13C">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w:t>
            </w:r>
          </w:p>
        </w:tc>
        <w:tc>
          <w:tcPr>
            <w:tcW w:w="765" w:type="pct"/>
            <w:vAlign w:val="center"/>
          </w:tcPr>
          <w:p w14:paraId="1B530BB2">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参与电子竞标的准备工作</w:t>
            </w:r>
          </w:p>
        </w:tc>
        <w:tc>
          <w:tcPr>
            <w:tcW w:w="3395" w:type="pct"/>
            <w:vAlign w:val="center"/>
          </w:tcPr>
          <w:p w14:paraId="617642F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进行电子签章或电子签名；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0C946EF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4.2电子竞标具体操作流程参考《政府采购项目电子交易管理操作指南-供应商》（详见桂林市政府采购网—采购资讯—重要通知）；如遇平台技术问题详询95763或0771-3381253。</w:t>
            </w:r>
          </w:p>
          <w:p w14:paraId="42AC78CE">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4.3不论谈判结果如何，供应商均应自行承担所有与谈判有关的全部费用。 </w:t>
            </w:r>
          </w:p>
        </w:tc>
      </w:tr>
      <w:tr w14:paraId="5282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5D4C2D8A">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w:t>
            </w:r>
          </w:p>
        </w:tc>
        <w:tc>
          <w:tcPr>
            <w:tcW w:w="483" w:type="pct"/>
            <w:vAlign w:val="center"/>
          </w:tcPr>
          <w:p w14:paraId="11D4AF2A">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position w:val="-2"/>
                <w:sz w:val="21"/>
                <w:szCs w:val="21"/>
                <w:highlight w:val="none"/>
              </w:rPr>
            </w:pPr>
            <w:r>
              <w:rPr>
                <w:rFonts w:hint="eastAsia" w:asciiTheme="minorEastAsia" w:hAnsiTheme="minorEastAsia" w:eastAsiaTheme="minorEastAsia" w:cstheme="minorEastAsia"/>
                <w:color w:val="auto"/>
                <w:kern w:val="0"/>
                <w:position w:val="-2"/>
                <w:sz w:val="21"/>
                <w:szCs w:val="21"/>
                <w:highlight w:val="none"/>
              </w:rPr>
              <w:t>13</w:t>
            </w:r>
          </w:p>
        </w:tc>
        <w:tc>
          <w:tcPr>
            <w:tcW w:w="765" w:type="pct"/>
            <w:vAlign w:val="center"/>
          </w:tcPr>
          <w:p w14:paraId="38CB0DF3">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position w:val="-2"/>
                <w:sz w:val="21"/>
                <w:szCs w:val="21"/>
                <w:highlight w:val="none"/>
              </w:rPr>
            </w:pPr>
            <w:r>
              <w:rPr>
                <w:rFonts w:hint="eastAsia" w:asciiTheme="minorEastAsia" w:hAnsiTheme="minorEastAsia" w:eastAsiaTheme="minorEastAsia" w:cstheme="minorEastAsia"/>
                <w:color w:val="auto"/>
                <w:kern w:val="0"/>
                <w:sz w:val="21"/>
                <w:szCs w:val="21"/>
                <w:highlight w:val="none"/>
              </w:rPr>
              <w:t>谈判报价及采购预算金额</w:t>
            </w:r>
          </w:p>
        </w:tc>
        <w:tc>
          <w:tcPr>
            <w:tcW w:w="3395" w:type="pct"/>
            <w:vAlign w:val="center"/>
          </w:tcPr>
          <w:p w14:paraId="419852E4">
            <w:pPr>
              <w:keepNext w:val="0"/>
              <w:keepLines w:val="0"/>
              <w:pageBreakBefore w:val="0"/>
              <w:widowControl w:val="0"/>
              <w:tabs>
                <w:tab w:val="left" w:pos="1305"/>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13.1谈判报价应按谈判文件中相关附表格式填写。</w:t>
            </w:r>
          </w:p>
          <w:p w14:paraId="4E819565">
            <w:pPr>
              <w:keepNext w:val="0"/>
              <w:keepLines w:val="0"/>
              <w:pageBreakBefore w:val="0"/>
              <w:widowControl w:val="0"/>
              <w:tabs>
                <w:tab w:val="left" w:pos="1305"/>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13.2供应商必须就“采购需求”中的所有内容作完整唯一报价，响应文件只允许有一个报价方案，不接受有选择的或有条件的报价，否则响应文件按无效处理。</w:t>
            </w:r>
          </w:p>
          <w:p w14:paraId="54BB6EB4">
            <w:pPr>
              <w:keepNext w:val="0"/>
              <w:keepLines w:val="0"/>
              <w:pageBreakBefore w:val="0"/>
              <w:widowControl w:val="0"/>
              <w:tabs>
                <w:tab w:val="left" w:pos="1305"/>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13.3采购预算金额（人民币）：</w:t>
            </w:r>
            <w:r>
              <w:rPr>
                <w:rFonts w:hint="eastAsia" w:asciiTheme="minorEastAsia" w:hAnsiTheme="minorEastAsia" w:eastAsiaTheme="minorEastAsia" w:cstheme="minorEastAsia"/>
                <w:b/>
                <w:bCs/>
                <w:color w:val="auto"/>
                <w:kern w:val="0"/>
                <w:sz w:val="21"/>
                <w:szCs w:val="21"/>
                <w:highlight w:val="none"/>
                <w:u w:val="single"/>
              </w:rPr>
              <w:t>人民币</w:t>
            </w:r>
            <w:r>
              <w:rPr>
                <w:rFonts w:hint="eastAsia" w:asciiTheme="minorEastAsia" w:hAnsiTheme="minorEastAsia" w:eastAsiaTheme="minorEastAsia" w:cstheme="minorEastAsia"/>
                <w:b/>
                <w:bCs/>
                <w:color w:val="auto"/>
                <w:kern w:val="0"/>
                <w:sz w:val="21"/>
                <w:szCs w:val="21"/>
                <w:highlight w:val="none"/>
                <w:u w:val="single"/>
                <w:lang w:val="en-US" w:eastAsia="zh-CN"/>
              </w:rPr>
              <w:t>柒拾捌万叁仟柒佰陆拾元整</w:t>
            </w:r>
            <w:r>
              <w:rPr>
                <w:rFonts w:hint="eastAsia" w:asciiTheme="minorEastAsia" w:hAnsiTheme="minorEastAsia" w:eastAsiaTheme="minorEastAsia" w:cstheme="minorEastAsia"/>
                <w:b/>
                <w:bCs/>
                <w:color w:val="auto"/>
                <w:kern w:val="0"/>
                <w:sz w:val="21"/>
                <w:szCs w:val="21"/>
                <w:highlight w:val="none"/>
                <w:u w:val="single"/>
              </w:rPr>
              <w:t>（¥</w:t>
            </w:r>
            <w:r>
              <w:rPr>
                <w:rFonts w:hint="eastAsia" w:asciiTheme="minorEastAsia" w:hAnsiTheme="minorEastAsia" w:eastAsiaTheme="minorEastAsia" w:cstheme="minorEastAsia"/>
                <w:b/>
                <w:bCs/>
                <w:color w:val="auto"/>
                <w:kern w:val="0"/>
                <w:sz w:val="21"/>
                <w:szCs w:val="21"/>
                <w:highlight w:val="none"/>
                <w:u w:val="single"/>
                <w:lang w:val="en-US" w:eastAsia="zh-CN"/>
              </w:rPr>
              <w:t>783760.00</w:t>
            </w:r>
            <w:r>
              <w:rPr>
                <w:rFonts w:hint="eastAsia" w:asciiTheme="minorEastAsia" w:hAnsiTheme="minorEastAsia" w:eastAsiaTheme="minorEastAsia" w:cstheme="minorEastAsia"/>
                <w:b/>
                <w:bCs/>
                <w:color w:val="auto"/>
                <w:kern w:val="0"/>
                <w:sz w:val="21"/>
                <w:szCs w:val="21"/>
                <w:highlight w:val="none"/>
                <w:u w:val="single"/>
              </w:rPr>
              <w:t>.00元）</w:t>
            </w:r>
            <w:r>
              <w:rPr>
                <w:rFonts w:hint="eastAsia" w:asciiTheme="minorEastAsia" w:hAnsiTheme="minorEastAsia" w:eastAsiaTheme="minorEastAsia" w:cstheme="minorEastAsia"/>
                <w:b w:val="0"/>
                <w:bCs w:val="0"/>
                <w:color w:val="auto"/>
                <w:kern w:val="0"/>
                <w:sz w:val="21"/>
                <w:szCs w:val="21"/>
                <w:highlight w:val="none"/>
              </w:rPr>
              <w:t>，供应商报价超出采购预算金额的，响应文件按无效处理。</w:t>
            </w:r>
          </w:p>
          <w:p w14:paraId="605D4DEC">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bCs w:val="0"/>
                <w:color w:val="auto"/>
                <w:kern w:val="0"/>
                <w:sz w:val="21"/>
                <w:szCs w:val="21"/>
                <w:highlight w:val="none"/>
              </w:rPr>
              <w:t>13.4</w:t>
            </w:r>
            <w:r>
              <w:rPr>
                <w:rFonts w:hint="eastAsia" w:asciiTheme="minorEastAsia" w:hAnsiTheme="minorEastAsia" w:eastAsiaTheme="minorEastAsia" w:cstheme="minorEastAsia"/>
                <w:b w:val="0"/>
                <w:bCs w:val="0"/>
                <w:color w:val="auto"/>
                <w:sz w:val="21"/>
                <w:szCs w:val="21"/>
                <w:highlight w:val="none"/>
              </w:rPr>
              <w:t>供应商谈判报价</w:t>
            </w:r>
            <w:r>
              <w:rPr>
                <w:rFonts w:hint="eastAsia" w:asciiTheme="minorEastAsia" w:hAnsiTheme="minorEastAsia" w:eastAsiaTheme="minorEastAsia" w:cstheme="minorEastAsia"/>
                <w:color w:val="auto"/>
                <w:sz w:val="21"/>
                <w:szCs w:val="21"/>
              </w:rPr>
              <w:t>应包含货物、货物标准附件、备品备件、专用工具、设备安装辅材、施工辅材、包装、运输、装卸、保险、货到就位的各种费用以及安装、调试、税金、售后服务、技术培训及其他所有成本费用；采购人不再支付任何费用。</w:t>
            </w:r>
          </w:p>
          <w:p w14:paraId="44BE5EF1">
            <w:pPr>
              <w:keepNext w:val="0"/>
              <w:keepLines w:val="0"/>
              <w:pageBreakBefore w:val="0"/>
              <w:widowControl w:val="0"/>
              <w:tabs>
                <w:tab w:val="left" w:pos="1305"/>
              </w:tabs>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color w:val="auto"/>
                <w:sz w:val="21"/>
                <w:szCs w:val="21"/>
                <w:lang w:val="en-US" w:eastAsia="zh-CN"/>
              </w:rPr>
              <w:t>供应商</w:t>
            </w:r>
            <w:r>
              <w:rPr>
                <w:rFonts w:hint="eastAsia" w:asciiTheme="minorEastAsia" w:hAnsiTheme="minorEastAsia" w:eastAsiaTheme="minorEastAsia" w:cstheme="minorEastAsia"/>
                <w:color w:val="auto"/>
                <w:sz w:val="21"/>
                <w:szCs w:val="21"/>
              </w:rPr>
              <w:t>负责工人人身</w:t>
            </w:r>
            <w:r>
              <w:rPr>
                <w:rFonts w:hint="eastAsia" w:asciiTheme="minorEastAsia" w:hAnsiTheme="minorEastAsia" w:eastAsiaTheme="minorEastAsia" w:cstheme="minorEastAsia"/>
                <w:color w:val="auto"/>
                <w:sz w:val="21"/>
                <w:szCs w:val="21"/>
                <w:lang w:val="en-US" w:eastAsia="zh-CN"/>
              </w:rPr>
              <w:t>和</w:t>
            </w:r>
            <w:r>
              <w:rPr>
                <w:rFonts w:hint="eastAsia" w:asciiTheme="minorEastAsia" w:hAnsiTheme="minorEastAsia" w:eastAsiaTheme="minorEastAsia" w:cstheme="minorEastAsia"/>
                <w:color w:val="auto"/>
                <w:sz w:val="21"/>
                <w:szCs w:val="21"/>
              </w:rPr>
              <w:t>设备安全责任，验收前，设备丢失自行负责。</w:t>
            </w:r>
          </w:p>
        </w:tc>
      </w:tr>
      <w:tr w14:paraId="2E6A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1A499C99">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w:t>
            </w:r>
          </w:p>
        </w:tc>
        <w:tc>
          <w:tcPr>
            <w:tcW w:w="483" w:type="pct"/>
            <w:vAlign w:val="center"/>
          </w:tcPr>
          <w:p w14:paraId="400B0D14">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position w:val="-2"/>
                <w:sz w:val="21"/>
                <w:szCs w:val="21"/>
                <w:highlight w:val="none"/>
              </w:rPr>
            </w:pPr>
            <w:r>
              <w:rPr>
                <w:rFonts w:hint="eastAsia" w:asciiTheme="minorEastAsia" w:hAnsiTheme="minorEastAsia" w:eastAsiaTheme="minorEastAsia" w:cstheme="minorEastAsia"/>
                <w:color w:val="auto"/>
                <w:kern w:val="0"/>
                <w:position w:val="-2"/>
                <w:sz w:val="21"/>
                <w:szCs w:val="21"/>
                <w:highlight w:val="none"/>
              </w:rPr>
              <w:t>14</w:t>
            </w:r>
          </w:p>
        </w:tc>
        <w:tc>
          <w:tcPr>
            <w:tcW w:w="765" w:type="pct"/>
            <w:vAlign w:val="center"/>
          </w:tcPr>
          <w:p w14:paraId="4F129134">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position w:val="-2"/>
                <w:sz w:val="21"/>
                <w:szCs w:val="21"/>
                <w:highlight w:val="none"/>
              </w:rPr>
            </w:pPr>
            <w:r>
              <w:rPr>
                <w:rFonts w:hint="eastAsia" w:asciiTheme="minorEastAsia" w:hAnsiTheme="minorEastAsia" w:eastAsiaTheme="minorEastAsia" w:cstheme="minorEastAsia"/>
                <w:color w:val="auto"/>
                <w:kern w:val="0"/>
                <w:sz w:val="21"/>
                <w:szCs w:val="21"/>
                <w:highlight w:val="none"/>
              </w:rPr>
              <w:t>响应文件有效期</w:t>
            </w:r>
          </w:p>
        </w:tc>
        <w:tc>
          <w:tcPr>
            <w:tcW w:w="3395" w:type="pct"/>
            <w:vAlign w:val="center"/>
          </w:tcPr>
          <w:p w14:paraId="1B3FFE05">
            <w:pPr>
              <w:keepNext w:val="0"/>
              <w:keepLines w:val="0"/>
              <w:pageBreakBefore w:val="0"/>
              <w:widowControl w:val="0"/>
              <w:tabs>
                <w:tab w:val="left" w:pos="1305"/>
              </w:tabs>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自响应文件提交截止时间之日起90天，有效期不足的响应文件将被拒绝。</w:t>
            </w:r>
          </w:p>
        </w:tc>
      </w:tr>
      <w:tr w14:paraId="7C58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473E12E">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w:t>
            </w:r>
          </w:p>
        </w:tc>
        <w:tc>
          <w:tcPr>
            <w:tcW w:w="483" w:type="pct"/>
            <w:vAlign w:val="center"/>
          </w:tcPr>
          <w:p w14:paraId="67CCEC4F">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15</w:t>
            </w:r>
          </w:p>
        </w:tc>
        <w:tc>
          <w:tcPr>
            <w:tcW w:w="765" w:type="pct"/>
            <w:vAlign w:val="center"/>
          </w:tcPr>
          <w:p w14:paraId="09B66753">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电子响应文件的制作、加密要求</w:t>
            </w:r>
          </w:p>
        </w:tc>
        <w:tc>
          <w:tcPr>
            <w:tcW w:w="3395" w:type="pct"/>
            <w:vAlign w:val="center"/>
          </w:tcPr>
          <w:p w14:paraId="076F4C3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15.1</w:t>
            </w:r>
            <w:r>
              <w:rPr>
                <w:rFonts w:hint="eastAsia" w:asciiTheme="minorEastAsia" w:hAnsiTheme="minorEastAsia" w:eastAsiaTheme="minorEastAsia" w:cstheme="minorEastAsia"/>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489EB34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15.2供应商下载或获取竞争性谈判文件后，登录“广西政府采购云平台电子投标客户端”，按照本谈判文件</w:t>
            </w:r>
            <w:r>
              <w:rPr>
                <w:rFonts w:hint="eastAsia" w:asciiTheme="minorEastAsia" w:hAnsiTheme="minorEastAsia" w:eastAsiaTheme="minorEastAsia" w:cstheme="minorEastAsia"/>
                <w:color w:val="auto"/>
                <w:sz w:val="21"/>
                <w:szCs w:val="21"/>
                <w:highlight w:val="none"/>
              </w:rPr>
              <w:t>规定的响应文件格式、顺序</w:t>
            </w:r>
            <w:r>
              <w:rPr>
                <w:rFonts w:hint="eastAsia" w:asciiTheme="minorEastAsia" w:hAnsiTheme="minorEastAsia" w:eastAsiaTheme="minorEastAsia" w:cstheme="minorEastAsia"/>
                <w:bCs/>
                <w:color w:val="auto"/>
                <w:sz w:val="21"/>
                <w:szCs w:val="21"/>
                <w:highlight w:val="none"/>
              </w:rPr>
              <w:t>以及“广西政府采购云平台”的要求，通过“广西政府采购云平台电子投标客户端”编制电子响应文件。</w:t>
            </w:r>
          </w:p>
          <w:p w14:paraId="719DC91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供应商应按“广西政府采购云平台电子投标客户端”载明的“标书关联”功能进行电子响应文件的关联定位，以便谈判小组在评审时点击相应评审项可直接定位到该评审内容；如供应商的电子响应文件未能关联定位相应内容，或者关联定位的内容与该评审项不符，导致谈判小组无法查询并做出对供应商不利的评审，相关后果由供应商自行承担。</w:t>
            </w:r>
          </w:p>
          <w:p w14:paraId="7EC43F8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电子响应文件不得涂改，若有修改错漏处，须由法定代表人或委托代理人签字（或者电子签名）。因响应文件字迹潦草、表达不清、内容不完整、编排混乱导致响应文件被误读、漏读，或者在竞争性谈判文件规定的部位查找不到相关内容，导致谈判小组做出对供应商不利的评审的，其后果由供应商自行承担。</w:t>
            </w:r>
          </w:p>
          <w:p w14:paraId="4D4CCD0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15.5供应商编制、生成电子响应文件后应当</w:t>
            </w:r>
            <w:r>
              <w:rPr>
                <w:rFonts w:hint="eastAsia" w:asciiTheme="minorEastAsia" w:hAnsiTheme="minorEastAsia" w:eastAsiaTheme="minorEastAsia" w:cstheme="minorEastAsia"/>
                <w:bCs/>
                <w:color w:val="auto"/>
                <w:sz w:val="21"/>
                <w:szCs w:val="21"/>
                <w:highlight w:val="none"/>
              </w:rPr>
              <w:t>加密响应文件。供应商未按规定编制并加密的响应文件，“广西政府采购云平台”将予以拒收。</w:t>
            </w:r>
          </w:p>
        </w:tc>
      </w:tr>
      <w:tr w14:paraId="1AB6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40E73106">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w:t>
            </w:r>
          </w:p>
        </w:tc>
        <w:tc>
          <w:tcPr>
            <w:tcW w:w="483" w:type="pct"/>
            <w:vAlign w:val="center"/>
          </w:tcPr>
          <w:p w14:paraId="18B7EDC1">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15.6</w:t>
            </w:r>
          </w:p>
        </w:tc>
        <w:tc>
          <w:tcPr>
            <w:tcW w:w="765" w:type="pct"/>
            <w:vAlign w:val="center"/>
          </w:tcPr>
          <w:p w14:paraId="155E29B0">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供应商公章及签字</w:t>
            </w:r>
          </w:p>
        </w:tc>
        <w:tc>
          <w:tcPr>
            <w:tcW w:w="3395" w:type="pct"/>
            <w:vAlign w:val="center"/>
          </w:tcPr>
          <w:p w14:paraId="42F6111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15.6.1本竞争性谈判文件中描述供应商的“公章”是指根据我国对公章的管理规定，用供应商法定主体行为名称制作的印章，除本竞争性谈判文件有特殊规定外，供应商的其他形式印章均不能代替公章。</w:t>
            </w:r>
          </w:p>
          <w:p w14:paraId="3FF7CCF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15.6.2本竞争性谈判文件中描述供应商的“签字”是指供应商的法定代表人或者委托代理人亲自在文件规定签字处亲笔写上个人的名字的行为，其他形式均不能代替亲笔签字。</w:t>
            </w:r>
          </w:p>
          <w:p w14:paraId="2351738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15.6.3本竞争性谈判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tc>
      </w:tr>
      <w:tr w14:paraId="4467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BB218B3">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8</w:t>
            </w:r>
          </w:p>
        </w:tc>
        <w:tc>
          <w:tcPr>
            <w:tcW w:w="483" w:type="pct"/>
            <w:vAlign w:val="center"/>
          </w:tcPr>
          <w:p w14:paraId="416062EE">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w:t>
            </w:r>
          </w:p>
        </w:tc>
        <w:tc>
          <w:tcPr>
            <w:tcW w:w="765" w:type="pct"/>
            <w:vAlign w:val="center"/>
          </w:tcPr>
          <w:p w14:paraId="05CECA3E">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首次响应文件的提交、撤回、修改</w:t>
            </w:r>
          </w:p>
        </w:tc>
        <w:tc>
          <w:tcPr>
            <w:tcW w:w="3395" w:type="pct"/>
            <w:vAlign w:val="center"/>
          </w:tcPr>
          <w:p w14:paraId="01C2AABA">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16.1响应文件的提交截止时间：</w:t>
            </w:r>
            <w:r>
              <w:rPr>
                <w:rFonts w:hint="eastAsia" w:asciiTheme="minorEastAsia" w:hAnsiTheme="minorEastAsia" w:eastAsiaTheme="minorEastAsia" w:cstheme="minorEastAsia"/>
                <w:bCs/>
                <w:color w:val="auto"/>
                <w:sz w:val="21"/>
                <w:szCs w:val="21"/>
                <w:highlight w:val="none"/>
                <w:lang w:eastAsia="zh-CN"/>
              </w:rPr>
              <w:t>2026年7月22日</w:t>
            </w:r>
            <w:r>
              <w:rPr>
                <w:rFonts w:hint="eastAsia" w:asciiTheme="minorEastAsia" w:hAnsiTheme="minorEastAsia" w:eastAsiaTheme="minorEastAsia" w:cstheme="minorEastAsia"/>
                <w:color w:val="auto"/>
                <w:sz w:val="21"/>
                <w:szCs w:val="21"/>
                <w:highlight w:val="none"/>
              </w:rPr>
              <w:t>上午9时30分</w:t>
            </w:r>
            <w:r>
              <w:rPr>
                <w:rFonts w:hint="eastAsia" w:asciiTheme="minorEastAsia" w:hAnsiTheme="minorEastAsia" w:eastAsiaTheme="minorEastAsia" w:cstheme="minorEastAsia"/>
                <w:bCs/>
                <w:color w:val="auto"/>
                <w:sz w:val="21"/>
                <w:szCs w:val="21"/>
                <w:highlight w:val="none"/>
              </w:rPr>
              <w:t>（北京时间）</w:t>
            </w:r>
          </w:p>
          <w:p w14:paraId="6ED0C9D8">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16.2地点：通过“广西政府采购云平台”在线提交。</w:t>
            </w:r>
          </w:p>
          <w:p w14:paraId="66545F7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Theme="minorEastAsia" w:hAnsiTheme="minorEastAsia" w:eastAsiaTheme="minorEastAsia" w:cstheme="minorEastAsia"/>
                <w:color w:val="auto"/>
                <w:kern w:val="0"/>
                <w:sz w:val="21"/>
                <w:szCs w:val="21"/>
                <w:highlight w:val="none"/>
              </w:rPr>
              <w:t>在响应文件提交截止时间后的响应文件有效期内，供应商不得撤回其响应文件。</w:t>
            </w:r>
            <w:r>
              <w:rPr>
                <w:rFonts w:hint="eastAsia" w:asciiTheme="minorEastAsia" w:hAnsiTheme="minorEastAsia" w:eastAsiaTheme="minorEastAsia" w:cstheme="minorEastAsia"/>
                <w:bCs/>
                <w:color w:val="auto"/>
                <w:sz w:val="21"/>
                <w:szCs w:val="21"/>
                <w:highlight w:val="none"/>
              </w:rPr>
              <w:t>响应文件提交截止时间前未成功将电子响应文件上传“广西政府采购云平台”的，视为未提交响应文件。</w:t>
            </w:r>
          </w:p>
          <w:p w14:paraId="73579514">
            <w:pPr>
              <w:keepNext w:val="0"/>
              <w:keepLines w:val="0"/>
              <w:pageBreakBefore w:val="0"/>
              <w:widowControl w:val="0"/>
              <w:tabs>
                <w:tab w:val="left" w:pos="1305"/>
              </w:tabs>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16.4除竞争性谈判文件另有规定外，供应商所提交的响应文件不予退还。</w:t>
            </w:r>
          </w:p>
        </w:tc>
      </w:tr>
      <w:tr w14:paraId="6FFC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C64603F">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9</w:t>
            </w:r>
          </w:p>
        </w:tc>
        <w:tc>
          <w:tcPr>
            <w:tcW w:w="483" w:type="pct"/>
            <w:vAlign w:val="center"/>
          </w:tcPr>
          <w:p w14:paraId="49BBECE5">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w:t>
            </w:r>
          </w:p>
        </w:tc>
        <w:tc>
          <w:tcPr>
            <w:tcW w:w="765" w:type="pct"/>
            <w:vAlign w:val="center"/>
          </w:tcPr>
          <w:p w14:paraId="4FFEE429">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响应文件的解密</w:t>
            </w:r>
          </w:p>
        </w:tc>
        <w:tc>
          <w:tcPr>
            <w:tcW w:w="3395" w:type="pct"/>
            <w:vAlign w:val="center"/>
          </w:tcPr>
          <w:p w14:paraId="65889EFB">
            <w:pPr>
              <w:keepNext w:val="0"/>
              <w:keepLines w:val="0"/>
              <w:pageBreakBefore w:val="0"/>
              <w:widowControl w:val="0"/>
              <w:tabs>
                <w:tab w:val="left" w:pos="1305"/>
              </w:tabs>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响应文件提交截止时间后，采购代理机构开启解密响应文件操作，“广西政府采购云平台”向各供应商发出电子加密响应文件解密通知，由供应商在系统发出解密通知后30分钟内自行使用加密时的CA通过“项目采购-开标评标”功能对响应文件进行解密。若供应商在上述规定的时间内无法解密或解密失败的，可以在响应文件解密截止时间后30分钟内以电子邮件的形式向采购代理机构提交电子备份响应文件</w:t>
            </w:r>
            <w:r>
              <w:rPr>
                <w:rFonts w:hint="eastAsia" w:ascii="宋体" w:hAnsi="宋体" w:eastAsia="宋体" w:cs="宋体"/>
                <w:color w:val="auto"/>
                <w:sz w:val="21"/>
                <w:szCs w:val="21"/>
                <w:highlight w:val="none"/>
                <w:lang w:eastAsia="zh-CN"/>
              </w:rPr>
              <w:t>（以通知时所告知的电子邮箱地址为准）</w:t>
            </w:r>
            <w:r>
              <w:rPr>
                <w:rFonts w:hint="eastAsia" w:asciiTheme="minorEastAsia" w:hAnsiTheme="minorEastAsia" w:eastAsiaTheme="minorEastAsia" w:cstheme="minorEastAsia"/>
                <w:color w:val="auto"/>
                <w:kern w:val="0"/>
                <w:sz w:val="21"/>
                <w:szCs w:val="21"/>
                <w:highlight w:val="none"/>
              </w:rPr>
              <w:t>；供应商未在上述规定的时间提交的电子备份响应文件，采购代理机构不予接收或承认。采购代理机构收到电子备份响应文件后按“政府采购云平台”操作规范上传至“政府采购云平台”，电子备份响应文件上传成功后，供应商原上传的“电子加密响应文件”自动失效。若供应商在规定时间内无法解密或解密失败且未在规定的时间内提供电子备份响应文件的（包含提供的电子备份响应文件无效或无法解密的情况），视为供应商放弃谈判。</w:t>
            </w:r>
          </w:p>
        </w:tc>
      </w:tr>
      <w:tr w14:paraId="25AA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A83EF0A">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w:t>
            </w:r>
          </w:p>
        </w:tc>
        <w:tc>
          <w:tcPr>
            <w:tcW w:w="483" w:type="pct"/>
            <w:vAlign w:val="center"/>
          </w:tcPr>
          <w:p w14:paraId="5E250D63">
            <w:pPr>
              <w:keepLines w:val="0"/>
              <w:pageBreakBefore w:val="0"/>
              <w:kinsoku/>
              <w:overflowPunct/>
              <w:bidi w:val="0"/>
              <w:spacing w:line="360" w:lineRule="auto"/>
              <w:ind w:firstLine="105" w:firstLineChars="50"/>
              <w:jc w:val="center"/>
              <w:rPr>
                <w:rFonts w:hint="eastAsia" w:asciiTheme="minorEastAsia" w:hAnsiTheme="minorEastAsia" w:eastAsiaTheme="minorEastAsia" w:cstheme="minorEastAsia"/>
                <w:color w:val="auto"/>
                <w:kern w:val="0"/>
                <w:position w:val="-2"/>
                <w:sz w:val="21"/>
                <w:szCs w:val="21"/>
                <w:highlight w:val="none"/>
              </w:rPr>
            </w:pPr>
            <w:r>
              <w:rPr>
                <w:rFonts w:hint="eastAsia" w:asciiTheme="minorEastAsia" w:hAnsiTheme="minorEastAsia" w:eastAsiaTheme="minorEastAsia" w:cstheme="minorEastAsia"/>
                <w:color w:val="auto"/>
                <w:kern w:val="0"/>
                <w:position w:val="-2"/>
                <w:sz w:val="21"/>
                <w:szCs w:val="21"/>
                <w:highlight w:val="none"/>
              </w:rPr>
              <w:t>18.1</w:t>
            </w:r>
          </w:p>
        </w:tc>
        <w:tc>
          <w:tcPr>
            <w:tcW w:w="765" w:type="pct"/>
            <w:vAlign w:val="center"/>
          </w:tcPr>
          <w:p w14:paraId="33A0EB03">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谈判小组组成</w:t>
            </w:r>
          </w:p>
        </w:tc>
        <w:tc>
          <w:tcPr>
            <w:tcW w:w="3395" w:type="pct"/>
            <w:vAlign w:val="center"/>
          </w:tcPr>
          <w:p w14:paraId="37A3F5C5">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谈判及评审组织工作由采购代理机构负责，具体谈判、评审工作由依法组建的谈判小组负责，本项目谈判小组的构成：3人</w:t>
            </w:r>
            <w:r>
              <w:rPr>
                <w:rFonts w:hint="eastAsia" w:asciiTheme="minorEastAsia" w:hAnsiTheme="minorEastAsia" w:eastAsiaTheme="minorEastAsia" w:cstheme="minorEastAsia"/>
                <w:color w:val="auto"/>
                <w:sz w:val="21"/>
                <w:szCs w:val="21"/>
              </w:rPr>
              <w:t>，其中采购人代表 1 人，有关专家2人。</w:t>
            </w:r>
          </w:p>
        </w:tc>
      </w:tr>
      <w:tr w14:paraId="021E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5B78E177">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11</w:t>
            </w:r>
          </w:p>
        </w:tc>
        <w:tc>
          <w:tcPr>
            <w:tcW w:w="483" w:type="pct"/>
            <w:vAlign w:val="center"/>
          </w:tcPr>
          <w:p w14:paraId="1F10D5CD">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18.2</w:t>
            </w:r>
          </w:p>
        </w:tc>
        <w:tc>
          <w:tcPr>
            <w:tcW w:w="765" w:type="pct"/>
            <w:vAlign w:val="center"/>
          </w:tcPr>
          <w:p w14:paraId="43AD7C99">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谈判时间、地点、人员</w:t>
            </w:r>
          </w:p>
        </w:tc>
        <w:tc>
          <w:tcPr>
            <w:tcW w:w="3395" w:type="pct"/>
            <w:vAlign w:val="center"/>
          </w:tcPr>
          <w:p w14:paraId="72C8F910">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18.2.1 谈判时间：首次响应文件提交截止时间后。</w:t>
            </w:r>
          </w:p>
          <w:p w14:paraId="6768E38C">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18.2.2 谈判地点：</w:t>
            </w:r>
            <w:r>
              <w:rPr>
                <w:rFonts w:hint="eastAsia" w:asciiTheme="minorEastAsia" w:hAnsiTheme="minorEastAsia" w:eastAsiaTheme="minorEastAsia" w:cstheme="minorEastAsia"/>
                <w:bCs/>
                <w:color w:val="auto"/>
                <w:sz w:val="21"/>
                <w:szCs w:val="21"/>
                <w:highlight w:val="none"/>
              </w:rPr>
              <w:t>“广西政府采购云平台”在线谈判。谈判小组将通过“广西政府采购云平台”在线要求供应商澄清（说明或者更正）、参与谈判、提交最后报价等，响应文件提交后直至评审结束前，供应商应保持“广西政府采购云平台”登录并实时在线，确保及时收到相关信息并应答。否则，其不利后果由供应商自行承担</w:t>
            </w:r>
            <w:r>
              <w:rPr>
                <w:rFonts w:hint="eastAsia" w:asciiTheme="minorEastAsia" w:hAnsiTheme="minorEastAsia" w:eastAsiaTheme="minorEastAsia" w:cstheme="minorEastAsia"/>
                <w:color w:val="auto"/>
                <w:kern w:val="0"/>
                <w:sz w:val="21"/>
                <w:szCs w:val="21"/>
                <w:highlight w:val="none"/>
              </w:rPr>
              <w:t>。</w:t>
            </w:r>
          </w:p>
          <w:p w14:paraId="2745D20C">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18.2.3 谈判参加人员：供应商法定代表人或相应的委托代理人参加谈判。</w:t>
            </w:r>
          </w:p>
          <w:p w14:paraId="0E2CD714">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18.2.4 首次响应文件提交截止时间后，登录“广西政府采购云平台”在线解密开启</w:t>
            </w:r>
            <w:r>
              <w:rPr>
                <w:rFonts w:hint="eastAsia" w:asciiTheme="minorEastAsia" w:hAnsiTheme="minorEastAsia" w:eastAsiaTheme="minorEastAsia" w:cstheme="minorEastAsia"/>
                <w:bCs/>
                <w:color w:val="auto"/>
                <w:sz w:val="21"/>
                <w:szCs w:val="21"/>
                <w:highlight w:val="none"/>
              </w:rPr>
              <w:t>。</w:t>
            </w:r>
          </w:p>
        </w:tc>
      </w:tr>
      <w:tr w14:paraId="1A69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55" w:type="pct"/>
            <w:vAlign w:val="center"/>
          </w:tcPr>
          <w:p w14:paraId="102E0EED">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position w:val="-2"/>
                <w:sz w:val="21"/>
                <w:szCs w:val="21"/>
                <w:highlight w:val="none"/>
              </w:rPr>
            </w:pPr>
            <w:r>
              <w:rPr>
                <w:rFonts w:hint="eastAsia" w:asciiTheme="minorEastAsia" w:hAnsiTheme="minorEastAsia" w:eastAsiaTheme="minorEastAsia" w:cstheme="minorEastAsia"/>
                <w:color w:val="auto"/>
                <w:kern w:val="0"/>
                <w:position w:val="-2"/>
                <w:sz w:val="21"/>
                <w:szCs w:val="21"/>
                <w:highlight w:val="none"/>
              </w:rPr>
              <w:t>12</w:t>
            </w:r>
          </w:p>
        </w:tc>
        <w:tc>
          <w:tcPr>
            <w:tcW w:w="483" w:type="pct"/>
            <w:vAlign w:val="center"/>
          </w:tcPr>
          <w:p w14:paraId="627A3CE5">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19.2</w:t>
            </w:r>
          </w:p>
        </w:tc>
        <w:tc>
          <w:tcPr>
            <w:tcW w:w="765" w:type="pct"/>
            <w:vAlign w:val="center"/>
          </w:tcPr>
          <w:p w14:paraId="3851C38F">
            <w:pPr>
              <w:keepLines w:val="0"/>
              <w:pageBreakBefore w:val="0"/>
              <w:kinsoku/>
              <w:overflowPunct/>
              <w:bidi w:val="0"/>
              <w:spacing w:line="360" w:lineRule="auto"/>
              <w:ind w:left="34" w:leftChars="14"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评审办法</w:t>
            </w:r>
          </w:p>
        </w:tc>
        <w:tc>
          <w:tcPr>
            <w:tcW w:w="3395" w:type="pct"/>
            <w:vAlign w:val="center"/>
          </w:tcPr>
          <w:p w14:paraId="54DA635B">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具体详见第四章“评审办法”。</w:t>
            </w:r>
          </w:p>
        </w:tc>
      </w:tr>
      <w:tr w14:paraId="765B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126E0F35">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13</w:t>
            </w:r>
          </w:p>
        </w:tc>
        <w:tc>
          <w:tcPr>
            <w:tcW w:w="483" w:type="pct"/>
            <w:vAlign w:val="center"/>
          </w:tcPr>
          <w:p w14:paraId="1FB18F4F">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26</w:t>
            </w:r>
          </w:p>
        </w:tc>
        <w:tc>
          <w:tcPr>
            <w:tcW w:w="765" w:type="pct"/>
            <w:vAlign w:val="center"/>
          </w:tcPr>
          <w:p w14:paraId="26D60782">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信用查询</w:t>
            </w:r>
          </w:p>
        </w:tc>
        <w:tc>
          <w:tcPr>
            <w:tcW w:w="3395" w:type="pct"/>
            <w:vAlign w:val="center"/>
          </w:tcPr>
          <w:p w14:paraId="3DBE7A19">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7FB605AF">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（1）查询渠道：“信用中国”网站</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www.creditchina.gov.cn</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、中国政府采购网</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www.ccgp.gov.cn</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等；</w:t>
            </w:r>
          </w:p>
          <w:p w14:paraId="6A7E36C2">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（2）查询截止时间：成交通知书发出前；</w:t>
            </w:r>
          </w:p>
          <w:p w14:paraId="2D149015">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（3）信用信息查询记录和证据留存方式：在查询网站中直接打印查询记录，打印材料作为采购活动资料保存；</w:t>
            </w:r>
          </w:p>
          <w:p w14:paraId="67B4DDCA">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Cs/>
                <w:color w:val="auto"/>
                <w:sz w:val="21"/>
                <w:szCs w:val="21"/>
                <w:highlight w:val="none"/>
              </w:rPr>
              <w:t>（4）信用信息使用规则：对在“信用中国”网站</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www.creditchina.gov.cn</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、中国政府采购网</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www.ccgp.gov.cn</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等渠道列入失信被执行人、重大税收违法失信主体、政府采购严重违法失信行为记录名单及其他不符合《中华人民共和国政府采购法》第二十二条规定条件的供应商，取消其成交候选人资格。</w:t>
            </w:r>
          </w:p>
        </w:tc>
      </w:tr>
      <w:tr w14:paraId="514B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D08EEBE">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14</w:t>
            </w:r>
          </w:p>
        </w:tc>
        <w:tc>
          <w:tcPr>
            <w:tcW w:w="483" w:type="pct"/>
            <w:vAlign w:val="center"/>
          </w:tcPr>
          <w:p w14:paraId="75D51607">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27</w:t>
            </w:r>
          </w:p>
        </w:tc>
        <w:tc>
          <w:tcPr>
            <w:tcW w:w="765" w:type="pct"/>
            <w:vAlign w:val="center"/>
          </w:tcPr>
          <w:p w14:paraId="1DA140FE">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成交公告</w:t>
            </w:r>
          </w:p>
          <w:p w14:paraId="1DF4C697">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及成交通知书</w:t>
            </w:r>
          </w:p>
        </w:tc>
        <w:tc>
          <w:tcPr>
            <w:tcW w:w="3395" w:type="pct"/>
            <w:vAlign w:val="center"/>
          </w:tcPr>
          <w:p w14:paraId="314BDF74">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27.1采购代理机构于评审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06C6E9A4">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27.2中小企业在政府采购活动过程中，请根据自己的真实情况出具《中小企业声明函》。采购人或采购代理机构在公告成交结果时，同时公告其《中小企业声明函》，接受社会监督。</w:t>
            </w:r>
          </w:p>
          <w:p w14:paraId="202BCAB9">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27</w:t>
            </w:r>
            <w:r>
              <w:rPr>
                <w:rFonts w:hint="eastAsia" w:asciiTheme="minorEastAsia" w:hAnsiTheme="minorEastAsia" w:eastAsiaTheme="minorEastAsia" w:cstheme="minorEastAsia"/>
                <w:bCs/>
                <w:color w:val="auto"/>
                <w:sz w:val="21"/>
                <w:szCs w:val="21"/>
                <w:highlight w:val="none"/>
              </w:rPr>
              <w:t>.3采购人、采购代理机构应当随</w:t>
            </w:r>
            <w:r>
              <w:rPr>
                <w:rFonts w:hint="eastAsia" w:asciiTheme="minorEastAsia" w:hAnsiTheme="minorEastAsia" w:eastAsiaTheme="minorEastAsia" w:cstheme="minorEastAsia"/>
                <w:bCs/>
                <w:color w:val="auto"/>
                <w:sz w:val="21"/>
                <w:szCs w:val="21"/>
                <w:highlight w:val="none"/>
                <w:lang w:val="en-US" w:eastAsia="zh-CN"/>
              </w:rPr>
              <w:t>成交</w:t>
            </w:r>
            <w:r>
              <w:rPr>
                <w:rFonts w:hint="eastAsia" w:asciiTheme="minorEastAsia" w:hAnsiTheme="minorEastAsia" w:eastAsiaTheme="minorEastAsia" w:cstheme="minorEastAsia"/>
                <w:bCs/>
                <w:color w:val="auto"/>
                <w:sz w:val="21"/>
                <w:szCs w:val="21"/>
                <w:highlight w:val="none"/>
              </w:rPr>
              <w:t>结果公开</w:t>
            </w:r>
            <w:r>
              <w:rPr>
                <w:rFonts w:hint="eastAsia" w:asciiTheme="minorEastAsia" w:hAnsiTheme="minorEastAsia" w:eastAsiaTheme="minorEastAsia" w:cstheme="minorEastAsia"/>
                <w:bCs/>
                <w:color w:val="auto"/>
                <w:sz w:val="21"/>
                <w:szCs w:val="21"/>
                <w:highlight w:val="none"/>
                <w:lang w:val="en-US" w:eastAsia="zh-CN"/>
              </w:rPr>
              <w:t>成交</w:t>
            </w:r>
            <w:r>
              <w:rPr>
                <w:rFonts w:hint="eastAsia" w:asciiTheme="minorEastAsia" w:hAnsiTheme="minorEastAsia" w:eastAsiaTheme="minorEastAsia" w:cstheme="minorEastAsia"/>
                <w:bCs/>
                <w:color w:val="auto"/>
                <w:sz w:val="21"/>
                <w:szCs w:val="21"/>
                <w:highlight w:val="none"/>
              </w:rPr>
              <w:t>供应商的《关于符合本国产品标准的声明函》或有关证明文件。</w:t>
            </w:r>
          </w:p>
        </w:tc>
      </w:tr>
      <w:tr w14:paraId="71FE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355" w:type="pct"/>
            <w:vAlign w:val="center"/>
          </w:tcPr>
          <w:p w14:paraId="5FCC5BD4">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15</w:t>
            </w:r>
          </w:p>
        </w:tc>
        <w:tc>
          <w:tcPr>
            <w:tcW w:w="483" w:type="pct"/>
            <w:vAlign w:val="center"/>
          </w:tcPr>
          <w:p w14:paraId="5C9E7245">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28.1</w:t>
            </w:r>
          </w:p>
        </w:tc>
        <w:tc>
          <w:tcPr>
            <w:tcW w:w="765" w:type="pct"/>
            <w:vAlign w:val="center"/>
          </w:tcPr>
          <w:p w14:paraId="0C6064EF">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履约保证金金额</w:t>
            </w:r>
          </w:p>
        </w:tc>
        <w:tc>
          <w:tcPr>
            <w:tcW w:w="3395" w:type="pct"/>
            <w:vAlign w:val="center"/>
          </w:tcPr>
          <w:p w14:paraId="7766719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本项目不收取履约保证金。</w:t>
            </w:r>
          </w:p>
        </w:tc>
      </w:tr>
      <w:tr w14:paraId="7A1F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5" w:type="pct"/>
            <w:vAlign w:val="center"/>
          </w:tcPr>
          <w:p w14:paraId="4CFB3650">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16</w:t>
            </w:r>
          </w:p>
        </w:tc>
        <w:tc>
          <w:tcPr>
            <w:tcW w:w="483" w:type="pct"/>
            <w:vAlign w:val="center"/>
          </w:tcPr>
          <w:p w14:paraId="3CF11E0E">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29.1</w:t>
            </w:r>
          </w:p>
        </w:tc>
        <w:tc>
          <w:tcPr>
            <w:tcW w:w="765" w:type="pct"/>
            <w:vAlign w:val="center"/>
          </w:tcPr>
          <w:p w14:paraId="687E02AC">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签订合同时间</w:t>
            </w:r>
          </w:p>
        </w:tc>
        <w:tc>
          <w:tcPr>
            <w:tcW w:w="3395" w:type="pct"/>
            <w:vAlign w:val="center"/>
          </w:tcPr>
          <w:p w14:paraId="077A0D2E">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成交通知书发出之日起8个工作日内。成交供应商应按规定与采购人签订合同。</w:t>
            </w:r>
          </w:p>
          <w:p w14:paraId="6F4A74AB">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根据《桂林市大数据和行政审批局 桂林市财政局 桂林市住房和城乡建设局 桂林市交通运输局 桂林市水利局关于进一步优化招标采购评标机制加强异常低价监督处置的通知》（市数审〔2025〕11号）规定，对报价触发异常低价投标审查程序后仍</w:t>
            </w:r>
            <w:r>
              <w:rPr>
                <w:rFonts w:hint="eastAsia" w:asciiTheme="minorEastAsia" w:hAnsiTheme="minorEastAsia" w:eastAsiaTheme="minorEastAsia" w:cstheme="minorEastAsia"/>
                <w:bCs/>
                <w:color w:val="auto"/>
                <w:sz w:val="21"/>
                <w:szCs w:val="21"/>
                <w:highlight w:val="none"/>
                <w:lang w:val="en-US" w:eastAsia="zh-CN"/>
              </w:rPr>
              <w:t>成交</w:t>
            </w:r>
            <w:r>
              <w:rPr>
                <w:rFonts w:hint="eastAsia" w:asciiTheme="minorEastAsia" w:hAnsiTheme="minorEastAsia" w:eastAsiaTheme="minorEastAsia" w:cstheme="minorEastAsia"/>
                <w:color w:val="auto"/>
                <w:kern w:val="0"/>
                <w:sz w:val="21"/>
                <w:szCs w:val="21"/>
                <w:highlight w:val="none"/>
              </w:rPr>
              <w:t>的供应商无正当理由拒不签订政府采购合同的，由财政部门依法追究其法律责任。</w:t>
            </w:r>
          </w:p>
        </w:tc>
      </w:tr>
      <w:tr w14:paraId="62D5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355" w:type="pct"/>
            <w:vAlign w:val="center"/>
          </w:tcPr>
          <w:p w14:paraId="7913D2FE">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17</w:t>
            </w:r>
          </w:p>
        </w:tc>
        <w:tc>
          <w:tcPr>
            <w:tcW w:w="483" w:type="pct"/>
            <w:vAlign w:val="center"/>
          </w:tcPr>
          <w:p w14:paraId="07EC5FC7">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29.3</w:t>
            </w:r>
          </w:p>
        </w:tc>
        <w:tc>
          <w:tcPr>
            <w:tcW w:w="765" w:type="pct"/>
            <w:vAlign w:val="center"/>
          </w:tcPr>
          <w:p w14:paraId="1470B9F1">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合同公告</w:t>
            </w:r>
          </w:p>
        </w:tc>
        <w:tc>
          <w:tcPr>
            <w:tcW w:w="3395" w:type="pct"/>
            <w:vAlign w:val="center"/>
          </w:tcPr>
          <w:p w14:paraId="2B6C36F0">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政府采购合同双方自签订之日起2个工作日内在省级以上人民政府财政部门指定媒体上公告。</w:t>
            </w:r>
          </w:p>
        </w:tc>
      </w:tr>
      <w:tr w14:paraId="6E35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0A4E74F4">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18</w:t>
            </w:r>
          </w:p>
        </w:tc>
        <w:tc>
          <w:tcPr>
            <w:tcW w:w="483" w:type="pct"/>
            <w:vAlign w:val="center"/>
          </w:tcPr>
          <w:p w14:paraId="5966627F">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30.1</w:t>
            </w:r>
          </w:p>
        </w:tc>
        <w:tc>
          <w:tcPr>
            <w:tcW w:w="765" w:type="pct"/>
            <w:vAlign w:val="center"/>
          </w:tcPr>
          <w:p w14:paraId="2516EA10">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采购代理服务费</w:t>
            </w:r>
          </w:p>
        </w:tc>
        <w:tc>
          <w:tcPr>
            <w:tcW w:w="3395" w:type="pct"/>
            <w:vAlign w:val="center"/>
          </w:tcPr>
          <w:p w14:paraId="39933AE9">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本项目采购代理服务费按本须知第30.2条“采购代理服务收费标准”中“货物采购”收费标准计算（不足人民币6000元的，按6000元计），成交供应商应当在成交通知书发出前向采购代理机构一次性支付采购代理服务费，否则，其不利后果由成交供应商承担</w:t>
            </w:r>
            <w:r>
              <w:rPr>
                <w:rFonts w:hint="eastAsia" w:asciiTheme="minorEastAsia" w:hAnsiTheme="minorEastAsia" w:eastAsiaTheme="minorEastAsia" w:cstheme="minorEastAsia"/>
                <w:color w:val="auto"/>
                <w:kern w:val="0"/>
                <w:sz w:val="21"/>
                <w:szCs w:val="21"/>
                <w:highlight w:val="none"/>
                <w:lang w:eastAsia="zh-CN"/>
              </w:rPr>
              <w:t>。</w:t>
            </w:r>
          </w:p>
        </w:tc>
      </w:tr>
      <w:tr w14:paraId="4045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E38D07B">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19</w:t>
            </w:r>
          </w:p>
        </w:tc>
        <w:tc>
          <w:tcPr>
            <w:tcW w:w="483" w:type="pct"/>
            <w:vAlign w:val="center"/>
          </w:tcPr>
          <w:p w14:paraId="21018EE8">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32</w:t>
            </w:r>
          </w:p>
        </w:tc>
        <w:tc>
          <w:tcPr>
            <w:tcW w:w="765" w:type="pct"/>
            <w:vAlign w:val="center"/>
          </w:tcPr>
          <w:p w14:paraId="221D3D0B">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解释权</w:t>
            </w:r>
          </w:p>
        </w:tc>
        <w:tc>
          <w:tcPr>
            <w:tcW w:w="3395" w:type="pct"/>
            <w:vAlign w:val="center"/>
          </w:tcPr>
          <w:p w14:paraId="3D617F6D">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本竞争性谈判文件是根据《中华人民共和国政府采购法》、《中华人民共和国政府采购法实施条例》、《政府采购非招标采购方式管理办法》和政府采购管理有关规定编制，本竞争性谈判文件的解释权属于采购代理机构。</w:t>
            </w:r>
          </w:p>
        </w:tc>
      </w:tr>
      <w:tr w14:paraId="299C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355" w:type="pct"/>
            <w:vAlign w:val="center"/>
          </w:tcPr>
          <w:p w14:paraId="18A17B3F">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w:t>
            </w:r>
          </w:p>
        </w:tc>
        <w:tc>
          <w:tcPr>
            <w:tcW w:w="483" w:type="pct"/>
            <w:vAlign w:val="center"/>
          </w:tcPr>
          <w:p w14:paraId="2B05B8F9">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34</w:t>
            </w:r>
          </w:p>
        </w:tc>
        <w:tc>
          <w:tcPr>
            <w:tcW w:w="765" w:type="pct"/>
            <w:vAlign w:val="center"/>
          </w:tcPr>
          <w:p w14:paraId="0AC32103">
            <w:pPr>
              <w:keepLines w:val="0"/>
              <w:pageBreakBefore w:val="0"/>
              <w:kinsoku/>
              <w:overflowPunct/>
              <w:bidi w:val="0"/>
              <w:spacing w:line="360" w:lineRule="auto"/>
              <w:ind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监督管理机构</w:t>
            </w:r>
          </w:p>
        </w:tc>
        <w:tc>
          <w:tcPr>
            <w:tcW w:w="3395" w:type="pct"/>
            <w:vAlign w:val="center"/>
          </w:tcPr>
          <w:p w14:paraId="06706514">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eastAsia="zh-CN"/>
              </w:rPr>
              <w:t>桂林市政府</w:t>
            </w:r>
            <w:r>
              <w:rPr>
                <w:rFonts w:hint="eastAsia" w:asciiTheme="minorEastAsia" w:hAnsiTheme="minorEastAsia" w:eastAsiaTheme="minorEastAsia" w:cstheme="minorEastAsia"/>
                <w:color w:val="auto"/>
                <w:kern w:val="0"/>
                <w:sz w:val="21"/>
                <w:szCs w:val="21"/>
                <w:highlight w:val="none"/>
                <w:lang w:val="en-US" w:eastAsia="zh-CN"/>
              </w:rPr>
              <w:t>财政局</w:t>
            </w:r>
            <w:r>
              <w:rPr>
                <w:rFonts w:hint="eastAsia" w:asciiTheme="minorEastAsia" w:hAnsiTheme="minorEastAsia" w:eastAsiaTheme="minorEastAsia" w:cstheme="minorEastAsia"/>
                <w:color w:val="auto"/>
                <w:kern w:val="0"/>
                <w:sz w:val="21"/>
                <w:szCs w:val="21"/>
                <w:highlight w:val="none"/>
                <w:lang w:eastAsia="zh-CN"/>
              </w:rPr>
              <w:t>；联系电话：0773-2862142</w:t>
            </w:r>
          </w:p>
        </w:tc>
      </w:tr>
    </w:tbl>
    <w:p w14:paraId="6B8567FF">
      <w:pPr>
        <w:keepLines w:val="0"/>
        <w:pageBreakBefore w:val="0"/>
        <w:kinsoku/>
        <w:overflowPunct/>
        <w:bidi w:val="0"/>
        <w:spacing w:line="360" w:lineRule="auto"/>
        <w:ind w:firstLine="0" w:firstLineChars="0"/>
        <w:jc w:val="center"/>
        <w:rPr>
          <w:rFonts w:hint="eastAsia" w:ascii="宋体" w:hAnsi="宋体" w:cs="宋体"/>
          <w:b/>
          <w:color w:val="auto"/>
          <w:kern w:val="0"/>
          <w:sz w:val="28"/>
          <w:szCs w:val="28"/>
          <w:highlight w:val="none"/>
        </w:rPr>
      </w:pPr>
      <w:r>
        <w:rPr>
          <w:color w:val="auto"/>
          <w:kern w:val="0"/>
          <w:szCs w:val="20"/>
          <w:highlight w:val="none"/>
        </w:rPr>
        <w:br w:type="page"/>
      </w:r>
      <w:r>
        <w:rPr>
          <w:rFonts w:hint="eastAsia" w:ascii="宋体" w:hAnsi="宋体" w:cs="宋体"/>
          <w:b/>
          <w:color w:val="auto"/>
          <w:kern w:val="0"/>
          <w:sz w:val="28"/>
          <w:szCs w:val="28"/>
          <w:highlight w:val="none"/>
        </w:rPr>
        <w:t>一、总则</w:t>
      </w:r>
    </w:p>
    <w:p w14:paraId="36571EE5">
      <w:pPr>
        <w:keepLines w:val="0"/>
        <w:pageBreakBefore w:val="0"/>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1.适应范围</w:t>
      </w:r>
    </w:p>
    <w:p w14:paraId="302982E3">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 项目名称及项目编号：</w:t>
      </w:r>
    </w:p>
    <w:p w14:paraId="16D7174C">
      <w:pPr>
        <w:keepLines w:val="0"/>
        <w:pageBreakBefore w:val="0"/>
        <w:kinsoku/>
        <w:overflowPunct/>
        <w:bidi w:val="0"/>
        <w:spacing w:line="360" w:lineRule="auto"/>
        <w:ind w:firstLine="420"/>
        <w:rPr>
          <w:rFonts w:hint="eastAsia" w:ascii="宋体" w:hAnsi="宋体" w:cs="宋体"/>
          <w:color w:val="auto"/>
          <w:sz w:val="21"/>
          <w:szCs w:val="24"/>
          <w:highlight w:val="none"/>
          <w:lang w:eastAsia="zh-CN"/>
        </w:rPr>
      </w:pPr>
      <w:r>
        <w:rPr>
          <w:rFonts w:hint="eastAsia" w:ascii="宋体" w:hAnsi="宋体" w:cs="宋体"/>
          <w:color w:val="auto"/>
          <w:kern w:val="0"/>
          <w:sz w:val="21"/>
          <w:szCs w:val="21"/>
          <w:highlight w:val="none"/>
        </w:rPr>
        <w:t>项目名称：</w:t>
      </w:r>
      <w:r>
        <w:rPr>
          <w:rFonts w:hint="eastAsia" w:ascii="宋体" w:hAnsi="宋体" w:cs="宋体"/>
          <w:color w:val="auto"/>
          <w:sz w:val="21"/>
          <w:szCs w:val="24"/>
          <w:highlight w:val="none"/>
          <w:lang w:eastAsia="zh-CN"/>
        </w:rPr>
        <w:t>桂林市卫生学校6#教学楼监控及校园周界监控补盲项目采购</w:t>
      </w:r>
    </w:p>
    <w:p w14:paraId="59226FAE">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项目编号：GLZC2026-J1-990301-GXBG</w:t>
      </w:r>
    </w:p>
    <w:p w14:paraId="28308CE9">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 本竞争性谈判文件（以下简称谈判文件）适用于本谈判项目的谈判、评审、合同履约、验收、付款等行为（法律、法规另有规定的，从其规定）。</w:t>
      </w:r>
    </w:p>
    <w:p w14:paraId="0D1D8EDA">
      <w:pPr>
        <w:keepLines w:val="0"/>
        <w:pageBreakBefore w:val="0"/>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1304A9F2">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2.1“供应商”：是指符合本次采购项目的供应商资格并提交响应文件、参加谈判的供应商。如果该供应商在本次谈判中成交，即成为“成交供应商”。</w:t>
      </w:r>
    </w:p>
    <w:p w14:paraId="328AB350">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2.2“</w:t>
      </w:r>
      <w:r>
        <w:rPr>
          <w:rFonts w:ascii="宋体" w:hAnsi="宋体" w:cs="宋体"/>
          <w:color w:val="auto"/>
          <w:kern w:val="0"/>
          <w:sz w:val="21"/>
          <w:szCs w:val="21"/>
          <w:highlight w:val="none"/>
        </w:rPr>
        <w:t>货物</w:t>
      </w:r>
      <w:r>
        <w:rPr>
          <w:rFonts w:hint="eastAsia" w:ascii="宋体" w:hAnsi="宋体" w:cs="宋体"/>
          <w:color w:val="auto"/>
          <w:kern w:val="0"/>
          <w:sz w:val="21"/>
          <w:szCs w:val="21"/>
          <w:highlight w:val="none"/>
        </w:rPr>
        <w:t>”：系</w:t>
      </w:r>
      <w:r>
        <w:rPr>
          <w:rFonts w:ascii="宋体" w:hAnsi="宋体" w:cs="宋体"/>
          <w:color w:val="auto"/>
          <w:kern w:val="0"/>
          <w:sz w:val="21"/>
          <w:szCs w:val="21"/>
          <w:highlight w:val="none"/>
        </w:rPr>
        <w:t>指各种形态和种类的物品，包括原材料、燃料、设备、产品等</w:t>
      </w:r>
      <w:r>
        <w:rPr>
          <w:rFonts w:hint="eastAsia" w:ascii="宋体" w:hAnsi="宋体" w:cs="宋体"/>
          <w:color w:val="auto"/>
          <w:kern w:val="0"/>
          <w:sz w:val="21"/>
          <w:szCs w:val="21"/>
          <w:highlight w:val="none"/>
        </w:rPr>
        <w:t>。</w:t>
      </w:r>
    </w:p>
    <w:p w14:paraId="1551FA80">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2.3“服务”：系指按谈判文件规定，供应商须承担的安装、调试、技术协助、校准、培训、技术指导以及其他类似的义务。</w:t>
      </w:r>
    </w:p>
    <w:p w14:paraId="759B121D">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2.4 “项目”：系指供应商按谈判文件规定向采购人提供的货物和服务。</w:t>
      </w:r>
    </w:p>
    <w:p w14:paraId="1D957170">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2.5“书面形式”：包括信函、传真、电报等。</w:t>
      </w:r>
    </w:p>
    <w:p w14:paraId="4F5D1485">
      <w:pPr>
        <w:keepLines w:val="0"/>
        <w:pageBreakBefore w:val="0"/>
        <w:kinsoku/>
        <w:overflowPunct/>
        <w:bidi w:val="0"/>
        <w:adjustRightInd w:val="0"/>
        <w:snapToGrid w:val="0"/>
        <w:spacing w:line="360" w:lineRule="auto"/>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2.6“响应文件”：本项目实行全流程电子化采购，供应商通过“广西政府采购云平台”参与电子竞标。响应文件特指供应商按本谈判文件规定提交的电子响应文件（包括因特殊情况无法解密或解密失败提交的电子备份响应文件）。</w:t>
      </w:r>
    </w:p>
    <w:p w14:paraId="426F8B44">
      <w:pPr>
        <w:keepLines w:val="0"/>
        <w:pageBreakBefore w:val="0"/>
        <w:kinsoku/>
        <w:overflowPunct/>
        <w:bidi w:val="0"/>
        <w:adjustRightInd w:val="0"/>
        <w:snapToGrid w:val="0"/>
        <w:spacing w:line="360" w:lineRule="auto"/>
        <w:ind w:firstLine="422"/>
        <w:jc w:val="left"/>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2.7供应商为其他组织或者自然人时，本谈判文件规定的法定代表人指负责人或者自然人。本谈判文件所称负责人是指参加竞标的其他组织营业执照或者执业许可证等证照上的负责人，本谈判文件所称自然人指参与竞标的自然人本人，且应具备独立承担民事责任能力，自然人应当为年满18岁以上成年人（十六周岁以上的未成年人，以自己的劳动收入为主要生活来源的，视为完全民事行为能力人）</w:t>
      </w:r>
    </w:p>
    <w:p w14:paraId="60359231">
      <w:pPr>
        <w:keepLines w:val="0"/>
        <w:pageBreakBefore w:val="0"/>
        <w:kinsoku/>
        <w:overflowPunct/>
        <w:bidi w:val="0"/>
        <w:adjustRightInd w:val="0"/>
        <w:snapToGrid w:val="0"/>
        <w:spacing w:line="360" w:lineRule="auto"/>
        <w:ind w:firstLine="422"/>
        <w:jc w:val="left"/>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2.8实质性要求：“采购需求”中所有条款以及谈判文件要求“必须提供”的条款均属于实质性要求，若有任意一项负偏离，响应文件按无效处理。</w:t>
      </w:r>
    </w:p>
    <w:p w14:paraId="7F8B2090">
      <w:pPr>
        <w:keepLines w:val="0"/>
        <w:pageBreakBefore w:val="0"/>
        <w:kinsoku/>
        <w:overflowPunct/>
        <w:bidi w:val="0"/>
        <w:spacing w:line="360" w:lineRule="auto"/>
        <w:ind w:firstLine="422"/>
        <w:rPr>
          <w:rFonts w:hint="default" w:ascii="宋体" w:hAnsi="宋体" w:eastAsia="宋体" w:cs="宋体"/>
          <w:b/>
          <w:color w:val="auto"/>
          <w:kern w:val="0"/>
          <w:sz w:val="21"/>
          <w:szCs w:val="21"/>
          <w:highlight w:val="none"/>
          <w:lang w:val="en-US" w:eastAsia="zh-CN"/>
        </w:rPr>
      </w:pPr>
      <w:r>
        <w:rPr>
          <w:rFonts w:hint="eastAsia" w:ascii="宋体" w:hAnsi="宋体" w:cs="宋体"/>
          <w:b/>
          <w:color w:val="auto"/>
          <w:kern w:val="0"/>
          <w:sz w:val="21"/>
          <w:szCs w:val="21"/>
          <w:highlight w:val="none"/>
        </w:rPr>
        <w:t>3.供应商资格</w:t>
      </w:r>
      <w:r>
        <w:rPr>
          <w:rFonts w:hint="eastAsia" w:ascii="宋体" w:hAnsi="宋体" w:cs="宋体"/>
          <w:b/>
          <w:color w:val="auto"/>
          <w:kern w:val="0"/>
          <w:sz w:val="21"/>
          <w:szCs w:val="21"/>
          <w:highlight w:val="none"/>
          <w:lang w:eastAsia="zh-CN"/>
        </w:rPr>
        <w:t>：</w:t>
      </w:r>
      <w:r>
        <w:rPr>
          <w:rFonts w:hint="eastAsia" w:ascii="宋体" w:hAnsi="宋体" w:cs="宋体"/>
          <w:b w:val="0"/>
          <w:bCs/>
          <w:color w:val="auto"/>
          <w:kern w:val="0"/>
          <w:sz w:val="21"/>
          <w:szCs w:val="21"/>
          <w:highlight w:val="none"/>
          <w:lang w:val="en-US" w:eastAsia="zh-CN"/>
        </w:rPr>
        <w:t>具体内容详见供应商须知前附表。</w:t>
      </w:r>
    </w:p>
    <w:p w14:paraId="2663A9A3">
      <w:pPr>
        <w:keepLines w:val="0"/>
        <w:pageBreakBefore w:val="0"/>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4.参与电子竞标的准备工作</w:t>
      </w:r>
    </w:p>
    <w:p w14:paraId="2C775750">
      <w:pPr>
        <w:keepLines w:val="0"/>
        <w:pageBreakBefore w:val="0"/>
        <w:tabs>
          <w:tab w:val="left" w:pos="1635"/>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w:t>
      </w:r>
      <w:r>
        <w:rPr>
          <w:rFonts w:hint="eastAsia" w:ascii="宋体" w:hAnsi="宋体" w:cs="宋体"/>
          <w:bCs/>
          <w:color w:val="auto"/>
          <w:sz w:val="21"/>
          <w:szCs w:val="21"/>
          <w:highlight w:val="none"/>
        </w:rPr>
        <w:t>以便供应商采用CA证书对其响应文件进行电子签章或电子签名</w:t>
      </w:r>
      <w:r>
        <w:rPr>
          <w:rFonts w:hint="eastAsia" w:ascii="宋体" w:hAnsi="宋体" w:cs="宋体"/>
          <w:color w:val="auto"/>
          <w:kern w:val="0"/>
          <w:sz w:val="21"/>
          <w:szCs w:val="21"/>
          <w:highlight w:val="none"/>
        </w:rPr>
        <w:t>；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7B5B051D">
      <w:pPr>
        <w:keepLines w:val="0"/>
        <w:pageBreakBefore w:val="0"/>
        <w:tabs>
          <w:tab w:val="left" w:pos="1635"/>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4.2电子竞标具体操作流程参考《政府采购项目电子交易管理操作指南-供应商》（详见桂林市政府采购网—采购资讯—重要通知）；如遇平台技术问题详询95763或</w:t>
      </w:r>
      <w:r>
        <w:rPr>
          <w:rFonts w:hint="eastAsia" w:ascii="宋体" w:hAnsi="宋体" w:cs="宋体"/>
          <w:bCs/>
          <w:color w:val="auto"/>
          <w:sz w:val="21"/>
          <w:szCs w:val="21"/>
          <w:highlight w:val="none"/>
        </w:rPr>
        <w:t>0771-3381253</w:t>
      </w:r>
      <w:r>
        <w:rPr>
          <w:rFonts w:hint="eastAsia" w:ascii="宋体" w:hAnsi="宋体" w:cs="宋体"/>
          <w:color w:val="auto"/>
          <w:kern w:val="0"/>
          <w:sz w:val="21"/>
          <w:szCs w:val="21"/>
          <w:highlight w:val="none"/>
        </w:rPr>
        <w:t>。</w:t>
      </w:r>
    </w:p>
    <w:p w14:paraId="0E1AD0A6">
      <w:pPr>
        <w:keepLines w:val="0"/>
        <w:pageBreakBefore w:val="0"/>
        <w:tabs>
          <w:tab w:val="left" w:pos="1635"/>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4.3不论谈判结果如何，供应商均应自行承担所有与谈判有关的全部费用。</w:t>
      </w:r>
    </w:p>
    <w:p w14:paraId="799E5F3C">
      <w:pPr>
        <w:keepLines w:val="0"/>
        <w:pageBreakBefore w:val="0"/>
        <w:tabs>
          <w:tab w:val="left" w:pos="1635"/>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77BFC217">
      <w:pPr>
        <w:keepLines w:val="0"/>
        <w:pageBreakBefore w:val="0"/>
        <w:kinsoku/>
        <w:overflowPunct/>
        <w:bidi w:val="0"/>
        <w:snapToGrid w:val="0"/>
        <w:spacing w:line="360" w:lineRule="auto"/>
        <w:ind w:firstLine="420"/>
        <w:jc w:val="left"/>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u w:val="single"/>
        </w:rPr>
        <w:t>不接受</w:t>
      </w:r>
      <w:r>
        <w:rPr>
          <w:rFonts w:hint="eastAsia" w:ascii="宋体" w:hAnsi="宋体" w:cs="宋体"/>
          <w:color w:val="auto"/>
          <w:kern w:val="0"/>
          <w:sz w:val="21"/>
          <w:szCs w:val="21"/>
          <w:highlight w:val="none"/>
        </w:rPr>
        <w:t>联合体参与谈判。</w:t>
      </w:r>
    </w:p>
    <w:p w14:paraId="61156DA7">
      <w:pPr>
        <w:keepLines w:val="0"/>
        <w:pageBreakBefore w:val="0"/>
        <w:tabs>
          <w:tab w:val="left" w:pos="2190"/>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r>
        <w:rPr>
          <w:rFonts w:hint="eastAsia" w:ascii="宋体" w:hAnsi="宋体" w:cs="宋体"/>
          <w:b/>
          <w:color w:val="auto"/>
          <w:kern w:val="0"/>
          <w:sz w:val="21"/>
          <w:szCs w:val="21"/>
          <w:highlight w:val="none"/>
        </w:rPr>
        <w:tab/>
      </w:r>
    </w:p>
    <w:p w14:paraId="72D9A3F2">
      <w:pPr>
        <w:keepLines w:val="0"/>
        <w:pageBreakBefore w:val="0"/>
        <w:tabs>
          <w:tab w:val="left" w:pos="2190"/>
        </w:tabs>
        <w:kinsoku/>
        <w:overflowPunct/>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6.1供应商认为谈判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color w:val="auto"/>
          <w:sz w:val="21"/>
          <w:szCs w:val="21"/>
          <w:highlight w:val="none"/>
        </w:rPr>
        <w:t>（“质疑函”格式见附表1）</w:t>
      </w:r>
      <w:r>
        <w:rPr>
          <w:rFonts w:hint="eastAsia" w:ascii="宋体" w:hAnsi="宋体" w:cs="宋体"/>
          <w:color w:val="auto"/>
          <w:sz w:val="21"/>
          <w:szCs w:val="21"/>
          <w:highlight w:val="none"/>
        </w:rPr>
        <w:t>。否则，采购代理机构有权拒收。</w:t>
      </w:r>
    </w:p>
    <w:p w14:paraId="20BB4BF6">
      <w:pPr>
        <w:keepLines w:val="0"/>
        <w:pageBreakBefore w:val="0"/>
        <w:tabs>
          <w:tab w:val="left" w:pos="2190"/>
        </w:tabs>
        <w:kinsoku/>
        <w:overflowPunct/>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13F1104E">
      <w:pPr>
        <w:keepLines w:val="0"/>
        <w:pageBreakBefore w:val="0"/>
        <w:tabs>
          <w:tab w:val="left" w:pos="2190"/>
        </w:tabs>
        <w:kinsoku/>
        <w:overflowPunct/>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1419A5E0">
      <w:pPr>
        <w:keepLines w:val="0"/>
        <w:pageBreakBefore w:val="0"/>
        <w:tabs>
          <w:tab w:val="left" w:pos="2190"/>
        </w:tabs>
        <w:kinsoku/>
        <w:overflowPunct/>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6.2供应商对采购代理机构的质疑答复不满意或者采购代理机构未在规定的时间内作出答复的，可以在答复期满后十五个工作日内向</w:t>
      </w:r>
      <w:r>
        <w:rPr>
          <w:rFonts w:hint="eastAsia" w:ascii="宋体" w:hAnsi="宋体" w:cs="宋体"/>
          <w:color w:val="auto"/>
          <w:sz w:val="21"/>
          <w:szCs w:val="21"/>
          <w:highlight w:val="none"/>
          <w:lang w:eastAsia="zh-CN"/>
        </w:rPr>
        <w:t>桂林市</w:t>
      </w:r>
      <w:r>
        <w:rPr>
          <w:rFonts w:hint="eastAsia" w:ascii="宋体" w:hAnsi="宋体" w:cs="宋体"/>
          <w:color w:val="auto"/>
          <w:sz w:val="21"/>
          <w:szCs w:val="21"/>
          <w:highlight w:val="none"/>
        </w:rPr>
        <w:t>政府采购监督管理机构投诉</w:t>
      </w:r>
      <w:r>
        <w:rPr>
          <w:rFonts w:hint="eastAsia" w:ascii="宋体" w:hAnsi="宋体" w:cs="宋体"/>
          <w:b/>
          <w:color w:val="auto"/>
          <w:sz w:val="21"/>
          <w:szCs w:val="21"/>
          <w:highlight w:val="none"/>
        </w:rPr>
        <w:t>（“投诉书”格式见附表2）</w:t>
      </w:r>
      <w:r>
        <w:rPr>
          <w:rFonts w:hint="eastAsia" w:ascii="宋体" w:hAnsi="宋体" w:cs="宋体"/>
          <w:color w:val="auto"/>
          <w:sz w:val="21"/>
          <w:szCs w:val="21"/>
          <w:highlight w:val="none"/>
        </w:rPr>
        <w:t>。</w:t>
      </w:r>
    </w:p>
    <w:p w14:paraId="49CD77D4">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sz w:val="21"/>
          <w:szCs w:val="21"/>
          <w:highlight w:val="none"/>
        </w:rPr>
        <w:t>6.3质疑、投诉应当采用书面形式，质疑书、投诉书实行实名制，均应明确阐述谈判文件、谈判过程或成交结果中使自己合法权益受到损害的实质性内容，并提供必要的证明材料</w:t>
      </w:r>
      <w:r>
        <w:rPr>
          <w:rFonts w:hint="eastAsia" w:ascii="宋体" w:hAnsi="宋体" w:cs="宋体"/>
          <w:color w:val="auto"/>
          <w:kern w:val="0"/>
          <w:sz w:val="21"/>
          <w:szCs w:val="21"/>
          <w:highlight w:val="none"/>
        </w:rPr>
        <w:t>。</w:t>
      </w:r>
    </w:p>
    <w:p w14:paraId="147F3EE8">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1361A996">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19C64EA8">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10B2B012">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475481CA">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52FD1588">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09DFD187">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62818613">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w:t>
      </w:r>
    </w:p>
    <w:p w14:paraId="369D8CCA">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1E95F29D">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w:t>
      </w:r>
      <w:r>
        <w:rPr>
          <w:rFonts w:hint="eastAsia" w:ascii="宋体" w:hAnsi="宋体" w:cs="宋体"/>
          <w:color w:val="auto"/>
          <w:kern w:val="0"/>
          <w:sz w:val="21"/>
          <w:szCs w:val="21"/>
          <w:highlight w:val="none"/>
          <w:lang w:eastAsia="zh-CN"/>
        </w:rPr>
        <w:t>广西八桂建设项目管理有限公司</w:t>
      </w:r>
      <w:r>
        <w:rPr>
          <w:rFonts w:hint="eastAsia" w:ascii="宋体" w:hAnsi="宋体" w:cs="宋体"/>
          <w:color w:val="auto"/>
          <w:kern w:val="0"/>
          <w:sz w:val="21"/>
          <w:szCs w:val="21"/>
          <w:highlight w:val="none"/>
        </w:rPr>
        <w:t>，联系人：</w:t>
      </w:r>
      <w:r>
        <w:rPr>
          <w:rFonts w:hint="eastAsia" w:ascii="宋体" w:hAnsi="宋体" w:cs="宋体"/>
          <w:color w:val="auto"/>
          <w:kern w:val="0"/>
          <w:sz w:val="21"/>
          <w:szCs w:val="21"/>
          <w:highlight w:val="none"/>
          <w:lang w:val="en-US" w:eastAsia="zh-CN"/>
        </w:rPr>
        <w:t>梁硕、刘海燕</w:t>
      </w:r>
      <w:r>
        <w:rPr>
          <w:rFonts w:hint="eastAsia" w:ascii="宋体" w:hAnsi="宋体" w:cs="宋体"/>
          <w:color w:val="auto"/>
          <w:kern w:val="0"/>
          <w:sz w:val="21"/>
          <w:szCs w:val="21"/>
          <w:highlight w:val="none"/>
        </w:rPr>
        <w:t>，联系电话：</w:t>
      </w:r>
      <w:r>
        <w:rPr>
          <w:rFonts w:hint="eastAsia" w:ascii="宋体" w:hAnsi="宋体" w:cs="宋体"/>
          <w:color w:val="auto"/>
          <w:kern w:val="0"/>
          <w:sz w:val="21"/>
          <w:szCs w:val="21"/>
          <w:highlight w:val="none"/>
          <w:lang w:eastAsia="zh-CN"/>
        </w:rPr>
        <w:t>0773-2819266</w:t>
      </w:r>
      <w:r>
        <w:rPr>
          <w:rFonts w:hint="eastAsia" w:ascii="宋体" w:hAnsi="宋体" w:cs="宋体"/>
          <w:color w:val="auto"/>
          <w:kern w:val="0"/>
          <w:sz w:val="21"/>
          <w:szCs w:val="21"/>
          <w:highlight w:val="none"/>
        </w:rPr>
        <w:t>。通讯地址：</w:t>
      </w:r>
      <w:r>
        <w:rPr>
          <w:rFonts w:hint="eastAsia" w:ascii="宋体" w:hAnsi="宋体" w:cs="宋体"/>
          <w:color w:val="auto"/>
          <w:kern w:val="0"/>
          <w:sz w:val="21"/>
          <w:szCs w:val="21"/>
          <w:highlight w:val="none"/>
          <w:lang w:eastAsia="zh-CN"/>
        </w:rPr>
        <w:t>桂林市中山南路35号经贸大厦5-14</w:t>
      </w:r>
      <w:r>
        <w:rPr>
          <w:rFonts w:hint="eastAsia" w:ascii="宋体" w:hAnsi="宋体" w:cs="宋体"/>
          <w:color w:val="auto"/>
          <w:kern w:val="0"/>
          <w:sz w:val="21"/>
          <w:szCs w:val="21"/>
          <w:highlight w:val="none"/>
        </w:rPr>
        <w:t>。</w:t>
      </w:r>
    </w:p>
    <w:p w14:paraId="0124D0B4">
      <w:pPr>
        <w:keepLines w:val="0"/>
        <w:pageBreakBefore w:val="0"/>
        <w:tabs>
          <w:tab w:val="left" w:pos="2190"/>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15679BE8">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7.1 本项目</w:t>
      </w:r>
      <w:r>
        <w:rPr>
          <w:rFonts w:hint="eastAsia" w:ascii="宋体" w:hAnsi="宋体" w:cs="宋体"/>
          <w:color w:val="auto"/>
          <w:kern w:val="0"/>
          <w:sz w:val="21"/>
          <w:szCs w:val="21"/>
          <w:highlight w:val="none"/>
          <w:u w:val="single"/>
        </w:rPr>
        <w:t>不允许</w:t>
      </w:r>
      <w:r>
        <w:rPr>
          <w:rFonts w:hint="eastAsia" w:ascii="宋体" w:hAnsi="宋体" w:cs="宋体"/>
          <w:color w:val="auto"/>
          <w:kern w:val="0"/>
          <w:sz w:val="21"/>
          <w:szCs w:val="21"/>
          <w:highlight w:val="none"/>
        </w:rPr>
        <w:t>转包。</w:t>
      </w:r>
    </w:p>
    <w:p w14:paraId="4CEC9146">
      <w:pPr>
        <w:keepLines w:val="0"/>
        <w:pageBreakBefore w:val="0"/>
        <w:kinsoku/>
        <w:overflowPunct/>
        <w:bidi w:val="0"/>
        <w:spacing w:line="360" w:lineRule="auto"/>
        <w:ind w:firstLine="420"/>
        <w:rPr>
          <w:rFonts w:hint="eastAsia" w:ascii="宋体" w:hAnsi="宋体" w:cs="宋体"/>
          <w:color w:val="auto"/>
          <w:sz w:val="21"/>
          <w:szCs w:val="24"/>
          <w:highlight w:val="none"/>
        </w:rPr>
      </w:pPr>
      <w:r>
        <w:rPr>
          <w:rFonts w:hint="eastAsia" w:ascii="宋体" w:hAnsi="宋体" w:cs="宋体"/>
          <w:color w:val="auto"/>
          <w:kern w:val="0"/>
          <w:sz w:val="21"/>
          <w:szCs w:val="21"/>
          <w:highlight w:val="none"/>
        </w:rPr>
        <w:t>7.2 本项目</w:t>
      </w:r>
      <w:r>
        <w:rPr>
          <w:rFonts w:hint="eastAsia" w:ascii="宋体" w:hAnsi="宋体" w:cs="宋体"/>
          <w:color w:val="auto"/>
          <w:kern w:val="0"/>
          <w:sz w:val="21"/>
          <w:szCs w:val="21"/>
          <w:highlight w:val="none"/>
          <w:u w:val="single"/>
        </w:rPr>
        <w:t>不可以</w:t>
      </w:r>
      <w:r>
        <w:rPr>
          <w:rFonts w:hint="eastAsia" w:ascii="宋体" w:hAnsi="宋体" w:cs="宋体"/>
          <w:color w:val="auto"/>
          <w:kern w:val="0"/>
          <w:sz w:val="21"/>
          <w:szCs w:val="21"/>
          <w:highlight w:val="none"/>
        </w:rPr>
        <w:t>分包。</w:t>
      </w:r>
    </w:p>
    <w:p w14:paraId="6683C3C7">
      <w:pPr>
        <w:keepLines w:val="0"/>
        <w:pageBreakBefore w:val="0"/>
        <w:tabs>
          <w:tab w:val="left" w:pos="1635"/>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8.特别说明</w:t>
      </w:r>
    </w:p>
    <w:p w14:paraId="5F42EC25">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宋体" w:hAnsi="宋体" w:cs="宋体"/>
          <w:color w:val="auto"/>
          <w:kern w:val="0"/>
          <w:sz w:val="21"/>
          <w:szCs w:val="24"/>
          <w:highlight w:val="none"/>
        </w:rPr>
        <w:t>8.1提供相同品牌产品的不同供应商参加同一合同项下谈判的，</w:t>
      </w:r>
      <w:r>
        <w:rPr>
          <w:rFonts w:hint="eastAsia" w:asciiTheme="minorEastAsia" w:hAnsiTheme="minorEastAsia" w:eastAsiaTheme="minorEastAsia" w:cstheme="minorEastAsia"/>
          <w:color w:val="auto"/>
          <w:sz w:val="21"/>
          <w:szCs w:val="21"/>
        </w:rPr>
        <w:t>以其中通过资格审查、符合性审查、谈判且最后报价最低的参加评审；最后报价相同的，由采购人或者采购人委托谈判小组按照竞争性谈判文件规定的方式</w:t>
      </w:r>
      <w:r>
        <w:rPr>
          <w:rFonts w:hint="eastAsia" w:asciiTheme="minorEastAsia" w:hAnsiTheme="minorEastAsia" w:eastAsiaTheme="minorEastAsia" w:cstheme="minorEastAsia"/>
          <w:color w:val="auto"/>
          <w:sz w:val="21"/>
          <w:szCs w:val="21"/>
          <w:lang w:eastAsia="zh-CN"/>
        </w:rPr>
        <w:t>（技术指标高优先、售后服务优先原则）</w:t>
      </w:r>
      <w:r>
        <w:rPr>
          <w:rFonts w:hint="eastAsia" w:asciiTheme="minorEastAsia" w:hAnsiTheme="minorEastAsia" w:eastAsiaTheme="minorEastAsia" w:cstheme="minorEastAsia"/>
          <w:color w:val="auto"/>
          <w:sz w:val="21"/>
          <w:szCs w:val="21"/>
        </w:rPr>
        <w:t>确定一个参加评审的供应商，竞争性谈判文件未规定的采取随机抽取方式确定，其他竞标无效。</w:t>
      </w:r>
    </w:p>
    <w:p w14:paraId="4EAE9451">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4"/>
          <w:highlight w:val="none"/>
        </w:rPr>
      </w:pPr>
      <w:r>
        <w:rPr>
          <w:rFonts w:hint="eastAsia" w:asciiTheme="minorEastAsia" w:hAnsiTheme="minorEastAsia" w:eastAsiaTheme="minorEastAsia" w:cstheme="minorEastAsia"/>
          <w:color w:val="auto"/>
          <w:sz w:val="21"/>
          <w:szCs w:val="21"/>
        </w:rPr>
        <w:t>非单一产品采购项目，多家供应商提供的核心产品品牌相同的，按前款规定处理。</w:t>
      </w:r>
    </w:p>
    <w:p w14:paraId="6D7AECDE">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8.2关联供应商不得参加同一合同项下政府采购活动，否则响应文件将被视为无效：</w:t>
      </w:r>
    </w:p>
    <w:p w14:paraId="2B8DB387">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（1）单位负责人为同一人或者存在直接控股、管理关系的不同供应商，不得参加同一合同项下的政府采购活动。</w:t>
      </w:r>
    </w:p>
    <w:p w14:paraId="148382B2">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（2）为本采购项目提供整体设计、规范编制或者项目管理、监理、检测等服务的供应商，不得再参加本次采购活动。</w:t>
      </w:r>
    </w:p>
    <w:p w14:paraId="7D99BB64">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（3）生产厂商授权给供应商后自己不得参加同一合同项下的政府采购活动；生产厂商对同一品牌同一型号的货物，仅能委托一个代理商参加谈判。</w:t>
      </w:r>
    </w:p>
    <w:p w14:paraId="7A159BB9">
      <w:pPr>
        <w:keepLines w:val="0"/>
        <w:pageBreakBefore w:val="0"/>
        <w:tabs>
          <w:tab w:val="left" w:pos="2190"/>
        </w:tabs>
        <w:kinsoku/>
        <w:overflowPunct/>
        <w:bidi w:val="0"/>
        <w:spacing w:line="360" w:lineRule="auto"/>
        <w:ind w:firstLine="420"/>
        <w:rPr>
          <w:rFonts w:hint="eastAsia" w:ascii="宋体" w:hAnsi="宋体" w:eastAsia="宋体" w:cs="宋体"/>
          <w:color w:val="auto"/>
          <w:kern w:val="0"/>
          <w:sz w:val="21"/>
          <w:szCs w:val="24"/>
          <w:highlight w:val="none"/>
        </w:rPr>
      </w:pPr>
      <w:r>
        <w:rPr>
          <w:rFonts w:hint="eastAsia" w:ascii="宋体" w:hAnsi="宋体" w:eastAsia="宋体" w:cs="宋体"/>
          <w:color w:val="auto"/>
          <w:kern w:val="0"/>
          <w:sz w:val="21"/>
          <w:szCs w:val="24"/>
          <w:highlight w:val="none"/>
          <w:lang w:val="en-US" w:eastAsia="zh-CN"/>
        </w:rPr>
        <w:t>8.3</w:t>
      </w:r>
      <w:r>
        <w:rPr>
          <w:rFonts w:hint="eastAsia" w:ascii="宋体" w:hAnsi="宋体" w:eastAsia="宋体" w:cs="宋体"/>
          <w:color w:val="auto"/>
          <w:kern w:val="0"/>
          <w:sz w:val="21"/>
          <w:szCs w:val="24"/>
          <w:highlight w:val="none"/>
        </w:rPr>
        <w:t>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A040770">
      <w:pPr>
        <w:keepLines w:val="0"/>
        <w:pageBreakBefore w:val="0"/>
        <w:tabs>
          <w:tab w:val="left" w:pos="2190"/>
        </w:tabs>
        <w:kinsoku/>
        <w:overflowPunct/>
        <w:bidi w:val="0"/>
        <w:spacing w:line="360" w:lineRule="auto"/>
        <w:ind w:firstLine="420"/>
        <w:rPr>
          <w:rFonts w:hint="eastAsia" w:ascii="宋体" w:hAnsi="宋体" w:eastAsia="宋体" w:cs="宋体"/>
          <w:color w:val="auto"/>
          <w:kern w:val="0"/>
          <w:sz w:val="21"/>
          <w:szCs w:val="24"/>
          <w:highlight w:val="none"/>
        </w:rPr>
      </w:pPr>
      <w:r>
        <w:rPr>
          <w:rFonts w:hint="eastAsia" w:ascii="宋体" w:hAnsi="宋体" w:eastAsia="宋体" w:cs="宋体"/>
          <w:color w:val="auto"/>
          <w:kern w:val="0"/>
          <w:sz w:val="21"/>
          <w:szCs w:val="24"/>
          <w:highlight w:val="none"/>
        </w:rPr>
        <w:t>产品在中国境内生产的组件成本占比应当达到规定比例，计算公式为：</w:t>
      </w:r>
    </w:p>
    <w:p w14:paraId="779E17A5">
      <w:pPr>
        <w:keepLines w:val="0"/>
        <w:pageBreakBefore w:val="0"/>
        <w:widowControl/>
        <w:shd w:val="clear" w:color="auto" w:fill="FFFFFF"/>
        <w:kinsoku/>
        <w:overflowPunct/>
        <w:bidi w:val="0"/>
        <w:spacing w:before="30" w:after="30" w:line="360" w:lineRule="auto"/>
        <w:jc w:val="center"/>
        <w:rPr>
          <w:rFonts w:ascii="宋体" w:hAnsi="宋体" w:cs="宋体"/>
          <w:color w:val="auto"/>
          <w:kern w:val="0"/>
          <w:sz w:val="24"/>
          <w:highlight w:val="none"/>
        </w:rPr>
      </w:pPr>
      <w:r>
        <w:rPr>
          <w:rFonts w:ascii="宋体" w:hAnsi="宋体" w:cs="宋体"/>
          <w:color w:val="auto"/>
          <w:kern w:val="0"/>
          <w:sz w:val="24"/>
          <w:highlight w:val="none"/>
        </w:rPr>
        <w:fldChar w:fldCharType="begin"/>
      </w:r>
      <w:r>
        <w:rPr>
          <w:rFonts w:ascii="宋体" w:hAnsi="宋体" w:cs="宋体"/>
          <w:color w:val="auto"/>
          <w:kern w:val="0"/>
          <w:sz w:val="24"/>
          <w:highlight w:val="none"/>
        </w:rPr>
        <w:instrText xml:space="preserve"> INCLUDEPICTURE "https://www.gov.cn/zhengce/content/202509/W020250930645245947614.png" \* MERGEFORMATINET </w:instrText>
      </w:r>
      <w:r>
        <w:rPr>
          <w:rFonts w:ascii="宋体" w:hAnsi="宋体" w:cs="宋体"/>
          <w:color w:val="auto"/>
          <w:kern w:val="0"/>
          <w:sz w:val="24"/>
          <w:highlight w:val="none"/>
        </w:rPr>
        <w:fldChar w:fldCharType="separate"/>
      </w:r>
      <w:r>
        <w:rPr>
          <w:rFonts w:ascii="宋体" w:hAnsi="宋体" w:cs="宋体"/>
          <w:color w:val="auto"/>
          <w:kern w:val="0"/>
          <w:sz w:val="24"/>
          <w:highlight w:val="none"/>
        </w:rPr>
        <w:drawing>
          <wp:inline distT="0" distB="0" distL="114300" distR="114300">
            <wp:extent cx="4827905" cy="762635"/>
            <wp:effectExtent l="0" t="0" r="317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r:link="rId25"/>
                    <a:stretch>
                      <a:fillRect/>
                    </a:stretch>
                  </pic:blipFill>
                  <pic:spPr>
                    <a:xfrm>
                      <a:off x="0" y="0"/>
                      <a:ext cx="4827905" cy="762635"/>
                    </a:xfrm>
                    <a:prstGeom prst="rect">
                      <a:avLst/>
                    </a:prstGeom>
                    <a:noFill/>
                    <a:ln>
                      <a:noFill/>
                    </a:ln>
                  </pic:spPr>
                </pic:pic>
              </a:graphicData>
            </a:graphic>
          </wp:inline>
        </w:drawing>
      </w:r>
      <w:r>
        <w:rPr>
          <w:rFonts w:ascii="宋体" w:hAnsi="宋体" w:cs="宋体"/>
          <w:color w:val="auto"/>
          <w:kern w:val="0"/>
          <w:sz w:val="24"/>
          <w:highlight w:val="none"/>
        </w:rPr>
        <w:fldChar w:fldCharType="end"/>
      </w:r>
    </w:p>
    <w:p w14:paraId="06FE0B7B">
      <w:pPr>
        <w:keepLines w:val="0"/>
        <w:pageBreakBefore w:val="0"/>
        <w:tabs>
          <w:tab w:val="left" w:pos="2190"/>
        </w:tabs>
        <w:kinsoku/>
        <w:overflowPunct/>
        <w:bidi w:val="0"/>
        <w:spacing w:line="360" w:lineRule="auto"/>
        <w:ind w:firstLine="420"/>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5B0B2EF2">
      <w:pPr>
        <w:keepLines w:val="0"/>
        <w:pageBreakBefore w:val="0"/>
        <w:tabs>
          <w:tab w:val="left" w:pos="2190"/>
        </w:tabs>
        <w:kinsoku/>
        <w:overflowPunct/>
        <w:bidi w:val="0"/>
        <w:spacing w:line="360" w:lineRule="auto"/>
        <w:ind w:firstLine="420"/>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政府采购活动中既有本国产品又有非本国产品参与竞争的，依法对本国产品给予价格评审优惠，对本国产品的报价给予20%的价格扣除，用扣除后的价格参与评审。</w:t>
      </w:r>
    </w:p>
    <w:p w14:paraId="5714DBC5">
      <w:pPr>
        <w:keepLines w:val="0"/>
        <w:pageBreakBefore w:val="0"/>
        <w:tabs>
          <w:tab w:val="left" w:pos="2190"/>
        </w:tabs>
        <w:kinsoku/>
        <w:overflowPunct/>
        <w:bidi w:val="0"/>
        <w:spacing w:line="360" w:lineRule="auto"/>
        <w:ind w:firstLine="420"/>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5194786">
      <w:pPr>
        <w:keepLines w:val="0"/>
        <w:pageBreakBefore w:val="0"/>
        <w:tabs>
          <w:tab w:val="left" w:pos="2190"/>
        </w:tabs>
        <w:kinsoku/>
        <w:overflowPunct/>
        <w:bidi w:val="0"/>
        <w:spacing w:line="360" w:lineRule="auto"/>
        <w:ind w:firstLine="562"/>
        <w:jc w:val="center"/>
        <w:rPr>
          <w:rFonts w:hint="eastAsia" w:ascii="宋体" w:hAnsi="宋体" w:cs="宋体"/>
          <w:b/>
          <w:color w:val="auto"/>
          <w:kern w:val="0"/>
          <w:sz w:val="28"/>
          <w:szCs w:val="28"/>
          <w:highlight w:val="none"/>
        </w:rPr>
      </w:pPr>
    </w:p>
    <w:p w14:paraId="1C41C8FE">
      <w:pPr>
        <w:keepLines w:val="0"/>
        <w:pageBreakBefore w:val="0"/>
        <w:tabs>
          <w:tab w:val="left" w:pos="2190"/>
        </w:tabs>
        <w:kinsoku/>
        <w:overflowPunct/>
        <w:bidi w:val="0"/>
        <w:spacing w:line="360" w:lineRule="auto"/>
        <w:ind w:firstLine="562"/>
        <w:jc w:val="cente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二、谈判文件</w:t>
      </w:r>
    </w:p>
    <w:p w14:paraId="6AB82B63">
      <w:pPr>
        <w:keepLines w:val="0"/>
        <w:pageBreakBefore w:val="0"/>
        <w:tabs>
          <w:tab w:val="left" w:pos="2190"/>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9.谈判文件的构成</w:t>
      </w:r>
    </w:p>
    <w:p w14:paraId="08730C4A">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（1）竞争性谈判公告；</w:t>
      </w:r>
    </w:p>
    <w:p w14:paraId="65D705D9">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01B49304">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692B7A79">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（4）评审办法；</w:t>
      </w:r>
    </w:p>
    <w:p w14:paraId="1CA08393">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（5）政府采购合同（合同主要条款及格式）；</w:t>
      </w:r>
    </w:p>
    <w:p w14:paraId="5293B71F">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3CC5D091">
      <w:pPr>
        <w:keepLines w:val="0"/>
        <w:pageBreakBefore w:val="0"/>
        <w:tabs>
          <w:tab w:val="left" w:pos="2190"/>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10.谈判文件的澄清与修改</w:t>
      </w:r>
    </w:p>
    <w:p w14:paraId="240CA618">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谈判文件进行必要澄清或者修改，澄清或者修改的内容可能影响响应文件编制的，采购代理机构应当在提交首次响应文件提交截止时间三个工作日前在本项目竞争性谈判公告发布的同一媒体上发布更正公告，不足三个工作日的，应当顺延首次响应文件提交截止时间。</w:t>
      </w:r>
    </w:p>
    <w:p w14:paraId="552E8589">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0BD0D364">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10.3澄清或者修改的内容为谈判文件的组成部分。当澄清或者修改通知就同一内容的表述不一致时，以最后发出的书面文件为准。</w:t>
      </w:r>
    </w:p>
    <w:p w14:paraId="17EFFB38">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10.4 谈判文件的澄清或者修改都应该通过本项目采购代理机构以法定形式发布，采购人非通过本机构，不得擅自澄清、答复、修改或补充谈判文件。</w:t>
      </w:r>
    </w:p>
    <w:p w14:paraId="4AFF39DC">
      <w:pPr>
        <w:keepLines w:val="0"/>
        <w:pageBreakBefore w:val="0"/>
        <w:tabs>
          <w:tab w:val="left" w:pos="219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10.5 采购代理机构可以视采购具体情况，延长响应文件提交截止时间和谈判时间，并在本项目竞争性谈判公告发布的同一媒体上发布变更公告。</w:t>
      </w:r>
    </w:p>
    <w:p w14:paraId="5EDDA2C4">
      <w:pPr>
        <w:keepLines w:val="0"/>
        <w:pageBreakBefore w:val="0"/>
        <w:tabs>
          <w:tab w:val="left" w:pos="2190"/>
        </w:tabs>
        <w:kinsoku/>
        <w:overflowPunct/>
        <w:bidi w:val="0"/>
        <w:spacing w:line="360" w:lineRule="auto"/>
        <w:ind w:firstLine="435" w:firstLineChars="0"/>
        <w:rPr>
          <w:rFonts w:hint="eastAsia" w:ascii="宋体" w:hAnsi="宋体" w:cs="宋体"/>
          <w:color w:val="auto"/>
          <w:kern w:val="0"/>
          <w:sz w:val="21"/>
          <w:szCs w:val="21"/>
          <w:highlight w:val="none"/>
        </w:rPr>
      </w:pPr>
    </w:p>
    <w:p w14:paraId="7589FED2">
      <w:pPr>
        <w:keepLines w:val="0"/>
        <w:pageBreakBefore w:val="0"/>
        <w:tabs>
          <w:tab w:val="left" w:pos="2190"/>
        </w:tabs>
        <w:kinsoku/>
        <w:overflowPunct/>
        <w:bidi w:val="0"/>
        <w:spacing w:line="360" w:lineRule="auto"/>
        <w:ind w:firstLine="435" w:firstLineChars="0"/>
        <w:jc w:val="cente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4D54760D">
      <w:pPr>
        <w:keepLines w:val="0"/>
        <w:pageBreakBefore w:val="0"/>
        <w:tabs>
          <w:tab w:val="left" w:pos="2190"/>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11.响应文件（以下简称响应文件）的组成及要求</w:t>
      </w:r>
    </w:p>
    <w:p w14:paraId="743DA0D2">
      <w:pPr>
        <w:keepLines w:val="0"/>
        <w:pageBreakBefore w:val="0"/>
        <w:tabs>
          <w:tab w:val="left" w:pos="1305"/>
        </w:tabs>
        <w:kinsoku/>
        <w:overflowPunct/>
        <w:bidi w:val="0"/>
        <w:spacing w:line="360" w:lineRule="auto"/>
        <w:ind w:firstLine="422"/>
        <w:rPr>
          <w:rFonts w:hint="eastAsia" w:ascii="宋体" w:hAnsi="宋体" w:cs="宋体"/>
          <w:color w:val="auto"/>
          <w:kern w:val="0"/>
          <w:sz w:val="21"/>
          <w:szCs w:val="21"/>
          <w:highlight w:val="none"/>
        </w:rPr>
      </w:pPr>
      <w:r>
        <w:rPr>
          <w:rFonts w:hint="eastAsia" w:ascii="宋体" w:hAnsi="宋体" w:cs="宋体"/>
          <w:b/>
          <w:color w:val="auto"/>
          <w:kern w:val="0"/>
          <w:sz w:val="21"/>
          <w:szCs w:val="21"/>
          <w:highlight w:val="none"/>
        </w:rPr>
        <w:t>11.1响应文件组成【格式见第六章“响应文件（格式）”】</w:t>
      </w:r>
    </w:p>
    <w:p w14:paraId="03FAE7C7">
      <w:pPr>
        <w:keepLines w:val="0"/>
        <w:pageBreakBefore w:val="0"/>
        <w:tabs>
          <w:tab w:val="left" w:pos="1305"/>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11.1.1资格性响应证明材料：</w:t>
      </w:r>
    </w:p>
    <w:p w14:paraId="67D3F358">
      <w:pPr>
        <w:keepLines w:val="0"/>
        <w:pageBreakBefore w:val="0"/>
        <w:tabs>
          <w:tab w:val="left" w:pos="1305"/>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sz w:val="21"/>
          <w:szCs w:val="21"/>
          <w:highlight w:val="none"/>
        </w:rPr>
        <w:t>（1）供应商相应的法定代表人身份证正反两面复印件</w:t>
      </w:r>
      <w:r>
        <w:rPr>
          <w:rFonts w:hint="eastAsia" w:ascii="宋体" w:hAnsi="宋体" w:cs="宋体"/>
          <w:b/>
          <w:color w:val="auto"/>
          <w:sz w:val="21"/>
          <w:szCs w:val="21"/>
          <w:highlight w:val="none"/>
        </w:rPr>
        <w:t>（必须提供）；</w:t>
      </w:r>
    </w:p>
    <w:p w14:paraId="684CC356">
      <w:pPr>
        <w:keepLines w:val="0"/>
        <w:pageBreakBefore w:val="0"/>
        <w:tabs>
          <w:tab w:val="left" w:pos="1305"/>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sz w:val="21"/>
          <w:szCs w:val="21"/>
          <w:highlight w:val="none"/>
        </w:rPr>
        <w:t>（2）供应商的授权委托书、委托代理人</w:t>
      </w:r>
      <w:r>
        <w:rPr>
          <w:rFonts w:hint="eastAsia" w:ascii="宋体" w:hAnsi="宋体" w:cs="宋体"/>
          <w:color w:val="auto"/>
          <w:sz w:val="21"/>
          <w:szCs w:val="24"/>
          <w:highlight w:val="none"/>
        </w:rPr>
        <w:t>身份证正反面</w:t>
      </w:r>
      <w:r>
        <w:rPr>
          <w:rFonts w:hint="eastAsia" w:ascii="宋体" w:hAnsi="宋体" w:cs="宋体"/>
          <w:color w:val="auto"/>
          <w:sz w:val="21"/>
          <w:szCs w:val="21"/>
          <w:highlight w:val="none"/>
        </w:rPr>
        <w:t>复印件</w:t>
      </w:r>
      <w:r>
        <w:rPr>
          <w:rFonts w:hint="eastAsia" w:ascii="宋体" w:hAnsi="宋体" w:cs="宋体"/>
          <w:b/>
          <w:color w:val="auto"/>
          <w:sz w:val="21"/>
          <w:szCs w:val="21"/>
          <w:highlight w:val="none"/>
        </w:rPr>
        <w:t>（委托代理时必须提供）；</w:t>
      </w:r>
    </w:p>
    <w:p w14:paraId="0DDB11B5">
      <w:pPr>
        <w:keepLines w:val="0"/>
        <w:pageBreakBefore w:val="0"/>
        <w:tabs>
          <w:tab w:val="left" w:pos="1305"/>
        </w:tabs>
        <w:kinsoku/>
        <w:overflowPunct/>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（3）供应商的法人或者其他组织营业执照等证明文件复印件</w:t>
      </w:r>
      <w:r>
        <w:rPr>
          <w:rFonts w:hint="eastAsia" w:ascii="宋体" w:hAnsi="宋体" w:cs="宋体"/>
          <w:b/>
          <w:color w:val="auto"/>
          <w:sz w:val="21"/>
          <w:szCs w:val="21"/>
          <w:highlight w:val="none"/>
        </w:rPr>
        <w:t>（必须提供，自然人除外）；</w:t>
      </w:r>
    </w:p>
    <w:p w14:paraId="09B9AAFB">
      <w:pPr>
        <w:keepLines w:val="0"/>
        <w:pageBreakBefore w:val="0"/>
        <w:tabs>
          <w:tab w:val="left" w:pos="1305"/>
        </w:tabs>
        <w:kinsoku/>
        <w:overflowPunct/>
        <w:bidi w:val="0"/>
        <w:spacing w:line="360" w:lineRule="auto"/>
        <w:ind w:firstLine="422"/>
        <w:rPr>
          <w:rFonts w:hint="eastAsia" w:ascii="宋体" w:hAnsi="宋体" w:eastAsia="宋体" w:cs="宋体"/>
          <w:b/>
          <w:bCs w:val="0"/>
          <w:color w:val="auto"/>
          <w:sz w:val="21"/>
          <w:szCs w:val="21"/>
          <w:highlight w:val="none"/>
          <w:lang w:eastAsia="zh-CN"/>
        </w:rPr>
      </w:pPr>
      <w:r>
        <w:rPr>
          <w:rFonts w:hint="eastAsia" w:ascii="宋体" w:hAnsi="宋体" w:cs="宋体"/>
          <w:b/>
          <w:color w:val="auto"/>
          <w:sz w:val="21"/>
          <w:szCs w:val="21"/>
          <w:highlight w:val="none"/>
        </w:rPr>
        <w:t>注：①法人包括企业法人、机关法人、事业单位法人和社会团</w:t>
      </w:r>
      <w:r>
        <w:rPr>
          <w:rFonts w:hint="eastAsia" w:ascii="宋体" w:hAnsi="宋体" w:cs="宋体"/>
          <w:b/>
          <w:bCs w:val="0"/>
          <w:color w:val="auto"/>
          <w:sz w:val="21"/>
          <w:szCs w:val="21"/>
          <w:highlight w:val="none"/>
        </w:rPr>
        <w:t>体法人；其他组织主要包括合伙企业、非企业专业服务机构、个体工商户、农村承包经营户。②如供应商为企业（包括合伙企业）</w:t>
      </w:r>
      <w:r>
        <w:rPr>
          <w:rFonts w:hint="eastAsia"/>
          <w:b/>
          <w:bCs w:val="0"/>
          <w:color w:val="auto"/>
          <w:highlight w:val="none"/>
          <w:lang w:val="en-US" w:eastAsia="zh-CN"/>
        </w:rPr>
        <w:t>的</w:t>
      </w:r>
      <w:r>
        <w:rPr>
          <w:rFonts w:hint="eastAsia" w:ascii="宋体" w:hAnsi="宋体" w:cs="宋体"/>
          <w:b/>
          <w:bCs w:val="0"/>
          <w:color w:val="auto"/>
          <w:sz w:val="21"/>
          <w:szCs w:val="21"/>
          <w:highlight w:val="none"/>
        </w:rPr>
        <w:t>，应提供市场监督管理部门（或行政审批部门）注册的有效“企业法人营业执照”或“营业执照”；供应商为事业单位</w:t>
      </w:r>
      <w:r>
        <w:rPr>
          <w:rFonts w:hint="eastAsia" w:ascii="宋体" w:hAnsi="宋体" w:cs="宋体"/>
          <w:b/>
          <w:bCs w:val="0"/>
          <w:color w:val="auto"/>
          <w:sz w:val="21"/>
          <w:szCs w:val="21"/>
          <w:highlight w:val="none"/>
          <w:lang w:val="en-US" w:eastAsia="zh-CN"/>
        </w:rPr>
        <w:t>的</w:t>
      </w:r>
      <w:r>
        <w:rPr>
          <w:rFonts w:hint="eastAsia" w:ascii="宋体" w:hAnsi="宋体" w:cs="宋体"/>
          <w:b/>
          <w:bCs w:val="0"/>
          <w:color w:val="auto"/>
          <w:sz w:val="21"/>
          <w:szCs w:val="21"/>
          <w:highlight w:val="none"/>
        </w:rPr>
        <w:t>，应提供有效的“事业单位法人证书”；供应商为非企业专业服务机构的，应提供执业许可证等证明文件；供应商为个体工商户</w:t>
      </w:r>
      <w:r>
        <w:rPr>
          <w:rFonts w:hint="eastAsia"/>
          <w:b/>
          <w:bCs w:val="0"/>
          <w:color w:val="auto"/>
          <w:highlight w:val="none"/>
          <w:lang w:val="en-US" w:eastAsia="zh-CN"/>
        </w:rPr>
        <w:t>的</w:t>
      </w:r>
      <w:r>
        <w:rPr>
          <w:rFonts w:hint="eastAsia" w:ascii="宋体" w:hAnsi="宋体" w:cs="宋体"/>
          <w:b/>
          <w:bCs w:val="0"/>
          <w:color w:val="auto"/>
          <w:sz w:val="21"/>
          <w:szCs w:val="21"/>
          <w:highlight w:val="none"/>
        </w:rPr>
        <w:t>，应提供有效的营业执照</w:t>
      </w:r>
      <w:r>
        <w:rPr>
          <w:rFonts w:hint="eastAsia" w:ascii="宋体" w:hAnsi="宋体" w:cs="宋体"/>
          <w:b/>
          <w:bCs w:val="0"/>
          <w:color w:val="auto"/>
          <w:sz w:val="21"/>
          <w:szCs w:val="21"/>
          <w:highlight w:val="none"/>
          <w:lang w:val="en-US" w:eastAsia="zh-CN"/>
        </w:rPr>
        <w:t>；</w:t>
      </w:r>
      <w:r>
        <w:rPr>
          <w:rFonts w:hint="eastAsia" w:ascii="宋体" w:hAnsi="宋体" w:eastAsia="宋体" w:cs="宋体"/>
          <w:b/>
          <w:bCs/>
          <w:color w:val="auto"/>
          <w:sz w:val="21"/>
          <w:szCs w:val="21"/>
          <w:highlight w:val="none"/>
          <w:lang w:eastAsia="zh-CN"/>
        </w:rPr>
        <w:t>③</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为企业法人的分支机构(分公司)的，应当提供其有效的分支机构(分公司)营业执照复印件和总部/总公司的授权书原件</w:t>
      </w:r>
      <w:r>
        <w:rPr>
          <w:rFonts w:hint="eastAsia" w:ascii="宋体" w:hAnsi="宋体" w:cs="宋体"/>
          <w:b/>
          <w:bCs/>
          <w:color w:val="auto"/>
          <w:sz w:val="21"/>
          <w:szCs w:val="21"/>
          <w:highlight w:val="none"/>
          <w:lang w:eastAsia="zh-CN"/>
        </w:rPr>
        <w:t>的扫描件</w:t>
      </w:r>
      <w:r>
        <w:rPr>
          <w:rFonts w:hint="eastAsia" w:ascii="宋体" w:hAnsi="宋体" w:eastAsia="宋体" w:cs="宋体"/>
          <w:b/>
          <w:bCs/>
          <w:color w:val="auto"/>
          <w:sz w:val="21"/>
          <w:szCs w:val="21"/>
          <w:highlight w:val="none"/>
        </w:rPr>
        <w:t>（格式自拟）</w:t>
      </w:r>
      <w:r>
        <w:rPr>
          <w:rFonts w:hint="eastAsia" w:ascii="宋体" w:hAnsi="宋体" w:eastAsia="宋体" w:cs="宋体"/>
          <w:b/>
          <w:bCs/>
          <w:color w:val="auto"/>
          <w:sz w:val="21"/>
          <w:szCs w:val="21"/>
          <w:highlight w:val="none"/>
          <w:lang w:eastAsia="zh-CN"/>
        </w:rPr>
        <w:t>。</w:t>
      </w:r>
    </w:p>
    <w:p w14:paraId="6B771DE7">
      <w:pPr>
        <w:keepLines w:val="0"/>
        <w:pageBreakBefore w:val="0"/>
        <w:tabs>
          <w:tab w:val="left" w:pos="1305"/>
        </w:tabs>
        <w:kinsoku/>
        <w:overflowPunct/>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（4）供应商财务状况报告</w:t>
      </w:r>
      <w:r>
        <w:rPr>
          <w:rFonts w:hint="eastAsia" w:ascii="宋体" w:hAnsi="宋体" w:cs="宋体"/>
          <w:b/>
          <w:bCs/>
          <w:color w:val="auto"/>
          <w:sz w:val="21"/>
          <w:szCs w:val="21"/>
          <w:highlight w:val="none"/>
        </w:rPr>
        <w:t>（必须提供）</w:t>
      </w:r>
      <w:r>
        <w:rPr>
          <w:rFonts w:hint="eastAsia" w:ascii="宋体" w:hAnsi="宋体" w:cs="宋体"/>
          <w:color w:val="auto"/>
          <w:sz w:val="21"/>
          <w:szCs w:val="21"/>
          <w:highlight w:val="none"/>
        </w:rPr>
        <w:t>；</w:t>
      </w:r>
    </w:p>
    <w:p w14:paraId="21DC2FB5">
      <w:pPr>
        <w:keepLines w:val="0"/>
        <w:pageBreakBefore w:val="0"/>
        <w:tabs>
          <w:tab w:val="left" w:pos="1305"/>
        </w:tabs>
        <w:kinsoku/>
        <w:overflowPunct/>
        <w:bidi w:val="0"/>
        <w:spacing w:line="360" w:lineRule="auto"/>
        <w:ind w:firstLine="422"/>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注：供应商必须提供202</w:t>
      </w:r>
      <w:r>
        <w:rPr>
          <w:rFonts w:hint="eastAsia" w:ascii="宋体" w:hAnsi="宋体" w:cs="宋体"/>
          <w:b/>
          <w:bCs/>
          <w:color w:val="auto"/>
          <w:sz w:val="21"/>
          <w:szCs w:val="21"/>
          <w:highlight w:val="none"/>
          <w:lang w:val="en-US" w:eastAsia="zh-CN"/>
        </w:rPr>
        <w:t>5</w:t>
      </w:r>
      <w:r>
        <w:rPr>
          <w:rFonts w:hint="eastAsia" w:ascii="宋体" w:hAnsi="宋体" w:cs="宋体"/>
          <w:b/>
          <w:bCs/>
          <w:color w:val="auto"/>
          <w:sz w:val="21"/>
          <w:szCs w:val="21"/>
          <w:highlight w:val="none"/>
        </w:rPr>
        <w:t>年度内的财务报表复印件，或者202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rPr>
        <w:t>年1月以来银行出具的资信证明，或者中国人民银行征信中心出具的信用报告（企业参与投标的提供企业信用报告，自然人参与谈判的提供个人信用报告，供应商属于成立时间在规定年度之后的法人或其他组织，需提供成立之日起至响应文件提交截止时间前的月报表或银行出具的资信证明或者中国人民银行征信中心出具的企业信用报告；资信证明应在有效期内）。</w:t>
      </w:r>
    </w:p>
    <w:p w14:paraId="63394A4C">
      <w:pPr>
        <w:keepLines w:val="0"/>
        <w:pageBreakBefore w:val="0"/>
        <w:tabs>
          <w:tab w:val="left" w:pos="1305"/>
        </w:tabs>
        <w:kinsoku/>
        <w:overflowPunct/>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（5）供应商依法缴纳税收的相关材料</w:t>
      </w:r>
      <w:r>
        <w:rPr>
          <w:rFonts w:hint="eastAsia" w:ascii="宋体" w:hAnsi="宋体" w:cs="宋体"/>
          <w:b/>
          <w:bCs/>
          <w:color w:val="auto"/>
          <w:sz w:val="21"/>
          <w:szCs w:val="21"/>
          <w:highlight w:val="none"/>
        </w:rPr>
        <w:t>（必须提供）</w:t>
      </w:r>
      <w:r>
        <w:rPr>
          <w:rFonts w:hint="eastAsia" w:ascii="宋体" w:hAnsi="宋体" w:cs="宋体"/>
          <w:color w:val="auto"/>
          <w:sz w:val="21"/>
          <w:szCs w:val="21"/>
          <w:highlight w:val="none"/>
        </w:rPr>
        <w:t>；</w:t>
      </w:r>
    </w:p>
    <w:p w14:paraId="0CB769C9">
      <w:pPr>
        <w:keepLines w:val="0"/>
        <w:pageBreakBefore w:val="0"/>
        <w:tabs>
          <w:tab w:val="left" w:pos="1305"/>
        </w:tabs>
        <w:kinsoku/>
        <w:overflowPunct/>
        <w:bidi w:val="0"/>
        <w:spacing w:line="360" w:lineRule="auto"/>
        <w:ind w:firstLine="420"/>
        <w:rPr>
          <w:rFonts w:hint="eastAsia" w:ascii="宋体" w:hAnsi="宋体" w:cs="宋体"/>
          <w:color w:val="auto"/>
          <w:sz w:val="21"/>
          <w:szCs w:val="21"/>
          <w:highlight w:val="none"/>
        </w:rPr>
      </w:pPr>
      <w:r>
        <w:rPr>
          <w:rFonts w:hint="eastAsia" w:ascii="宋体" w:hAnsi="宋体" w:cs="宋体"/>
          <w:b/>
          <w:bCs/>
          <w:color w:val="auto"/>
          <w:sz w:val="21"/>
          <w:szCs w:val="21"/>
          <w:highlight w:val="none"/>
        </w:rPr>
        <w:t>注：供应商必须提供202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rPr>
        <w:t>年1</w:t>
      </w:r>
      <w:r>
        <w:rPr>
          <w:rFonts w:hint="eastAsia" w:ascii="宋体" w:hAnsi="宋体" w:cs="宋体"/>
          <w:b/>
          <w:bCs/>
          <w:color w:val="auto"/>
          <w:sz w:val="21"/>
          <w:szCs w:val="21"/>
          <w:highlight w:val="none"/>
          <w:lang w:val="en-US" w:eastAsia="zh-CN"/>
        </w:rPr>
        <w:t>月</w:t>
      </w:r>
      <w:r>
        <w:rPr>
          <w:rFonts w:hint="eastAsia" w:ascii="宋体" w:hAnsi="宋体" w:cs="宋体"/>
          <w:b/>
          <w:bCs/>
          <w:color w:val="auto"/>
          <w:sz w:val="21"/>
          <w:szCs w:val="21"/>
          <w:highlight w:val="none"/>
        </w:rPr>
        <w:t>以来任意1个月的依法缴纳税收的证明材料复印件；依法免税的供应商，必须提供符合免税条件的证明材料。从成立之日起到响应文件提交截止时间止不足要求月数的，则无需提交。</w:t>
      </w:r>
    </w:p>
    <w:p w14:paraId="7CA7127F">
      <w:pPr>
        <w:keepLines w:val="0"/>
        <w:pageBreakBefore w:val="0"/>
        <w:tabs>
          <w:tab w:val="left" w:pos="1305"/>
        </w:tabs>
        <w:kinsoku/>
        <w:overflowPunct/>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（6）供应商依法缴纳社会保障资金的相关材料</w:t>
      </w:r>
      <w:r>
        <w:rPr>
          <w:rFonts w:hint="eastAsia" w:ascii="宋体" w:hAnsi="宋体" w:cs="宋体"/>
          <w:b/>
          <w:bCs/>
          <w:color w:val="auto"/>
          <w:sz w:val="21"/>
          <w:szCs w:val="21"/>
          <w:highlight w:val="none"/>
        </w:rPr>
        <w:t>（必须提供）</w:t>
      </w:r>
      <w:r>
        <w:rPr>
          <w:rFonts w:hint="eastAsia" w:ascii="宋体" w:hAnsi="宋体" w:cs="宋体"/>
          <w:color w:val="auto"/>
          <w:sz w:val="21"/>
          <w:szCs w:val="21"/>
          <w:highlight w:val="none"/>
        </w:rPr>
        <w:t>；</w:t>
      </w:r>
    </w:p>
    <w:p w14:paraId="7C3BD8E3">
      <w:pPr>
        <w:keepLines w:val="0"/>
        <w:pageBreakBefore w:val="0"/>
        <w:tabs>
          <w:tab w:val="left" w:pos="1305"/>
        </w:tabs>
        <w:kinsoku/>
        <w:overflowPunct/>
        <w:bidi w:val="0"/>
        <w:spacing w:line="360" w:lineRule="auto"/>
        <w:ind w:firstLine="420"/>
        <w:rPr>
          <w:rFonts w:hint="eastAsia" w:ascii="宋体" w:hAnsi="宋体" w:cs="宋体"/>
          <w:color w:val="auto"/>
          <w:sz w:val="21"/>
          <w:szCs w:val="21"/>
          <w:highlight w:val="none"/>
        </w:rPr>
      </w:pPr>
      <w:r>
        <w:rPr>
          <w:rFonts w:hint="eastAsia" w:ascii="宋体" w:hAnsi="宋体" w:cs="宋体"/>
          <w:b/>
          <w:bCs/>
          <w:color w:val="auto"/>
          <w:sz w:val="21"/>
          <w:szCs w:val="21"/>
          <w:highlight w:val="none"/>
        </w:rPr>
        <w:t>注：供应商必须提供202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rPr>
        <w:t>年1月以来任意1个月的依法缴纳社会保障资金的缴费证明材料（如：专用收据、社会保险缴纳清单或者社保部门的证明）复印件；依法不需要缴纳社会保障资金的供应商，必须提供相应文件证明不需要缴纳社会保障资金。从成立之日起到响应文件提交截止时间止不足要求月数的，则无需提交。</w:t>
      </w:r>
    </w:p>
    <w:p w14:paraId="223D054E">
      <w:pPr>
        <w:keepLines w:val="0"/>
        <w:pageBreakBefore w:val="0"/>
        <w:tabs>
          <w:tab w:val="left" w:pos="1305"/>
        </w:tabs>
        <w:kinsoku/>
        <w:overflowPunct/>
        <w:bidi w:val="0"/>
        <w:spacing w:line="360" w:lineRule="auto"/>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（7）供应商参加政府采购活动前3年内在经营活动中没有重大违法记录及有关信用信息的书面声明</w:t>
      </w:r>
      <w:r>
        <w:rPr>
          <w:rFonts w:hint="eastAsia" w:ascii="宋体" w:hAnsi="宋体" w:cs="宋体"/>
          <w:b/>
          <w:color w:val="auto"/>
          <w:kern w:val="0"/>
          <w:sz w:val="21"/>
          <w:szCs w:val="21"/>
          <w:highlight w:val="none"/>
        </w:rPr>
        <w:t>（必须提供）；</w:t>
      </w:r>
    </w:p>
    <w:p w14:paraId="327FB549">
      <w:pPr>
        <w:keepLines w:val="0"/>
        <w:pageBreakBefore w:val="0"/>
        <w:tabs>
          <w:tab w:val="left" w:pos="1305"/>
        </w:tabs>
        <w:kinsoku/>
        <w:overflowPunct/>
        <w:bidi w:val="0"/>
        <w:spacing w:line="360" w:lineRule="auto"/>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（8）供应商参加本项目无围标串标行为的承诺函</w:t>
      </w:r>
      <w:r>
        <w:rPr>
          <w:rFonts w:hint="eastAsia" w:ascii="宋体" w:hAnsi="宋体" w:cs="宋体"/>
          <w:b/>
          <w:color w:val="auto"/>
          <w:kern w:val="0"/>
          <w:sz w:val="21"/>
          <w:szCs w:val="21"/>
          <w:highlight w:val="none"/>
        </w:rPr>
        <w:t>（必须提供）。</w:t>
      </w:r>
    </w:p>
    <w:p w14:paraId="1E3A12AF">
      <w:pPr>
        <w:keepLines w:val="0"/>
        <w:pageBreakBefore w:val="0"/>
        <w:tabs>
          <w:tab w:val="left" w:pos="1305"/>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11.1.2符合性响应证明材料：</w:t>
      </w:r>
    </w:p>
    <w:p w14:paraId="4EF7875C">
      <w:pPr>
        <w:keepLines w:val="0"/>
        <w:pageBreakBefore w:val="0"/>
        <w:tabs>
          <w:tab w:val="left" w:pos="1305"/>
        </w:tabs>
        <w:kinsoku/>
        <w:overflowPunct/>
        <w:bidi w:val="0"/>
        <w:spacing w:line="360" w:lineRule="auto"/>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（1）响应函</w:t>
      </w:r>
      <w:r>
        <w:rPr>
          <w:rFonts w:hint="eastAsia" w:ascii="宋体" w:hAnsi="宋体" w:cs="宋体"/>
          <w:b/>
          <w:color w:val="auto"/>
          <w:kern w:val="0"/>
          <w:sz w:val="21"/>
          <w:szCs w:val="21"/>
          <w:highlight w:val="none"/>
        </w:rPr>
        <w:t>（必须提供）；</w:t>
      </w:r>
    </w:p>
    <w:p w14:paraId="39F04DA3">
      <w:pPr>
        <w:keepLines w:val="0"/>
        <w:pageBreakBefore w:val="0"/>
        <w:tabs>
          <w:tab w:val="left" w:pos="1305"/>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（2）谈判报价表</w:t>
      </w:r>
      <w:r>
        <w:rPr>
          <w:rFonts w:hint="eastAsia" w:ascii="宋体" w:hAnsi="宋体" w:cs="宋体"/>
          <w:b/>
          <w:bCs/>
          <w:color w:val="auto"/>
          <w:kern w:val="0"/>
          <w:sz w:val="21"/>
          <w:szCs w:val="21"/>
          <w:highlight w:val="none"/>
        </w:rPr>
        <w:t>（必须提供）</w:t>
      </w:r>
      <w:r>
        <w:rPr>
          <w:rFonts w:hint="eastAsia" w:ascii="宋体" w:hAnsi="宋体" w:cs="宋体"/>
          <w:color w:val="auto"/>
          <w:kern w:val="0"/>
          <w:sz w:val="21"/>
          <w:szCs w:val="21"/>
          <w:highlight w:val="none"/>
        </w:rPr>
        <w:t>；</w:t>
      </w:r>
    </w:p>
    <w:p w14:paraId="7DE43EE2">
      <w:pPr>
        <w:keepLines w:val="0"/>
        <w:pageBreakBefore w:val="0"/>
        <w:tabs>
          <w:tab w:val="left" w:pos="1305"/>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（3）技术响应承诺书</w:t>
      </w:r>
      <w:r>
        <w:rPr>
          <w:rFonts w:hint="eastAsia" w:ascii="宋体" w:hAnsi="宋体" w:cs="宋体"/>
          <w:b/>
          <w:bCs/>
          <w:color w:val="auto"/>
          <w:kern w:val="0"/>
          <w:sz w:val="21"/>
          <w:szCs w:val="21"/>
          <w:highlight w:val="none"/>
        </w:rPr>
        <w:t>（必须提供）</w:t>
      </w:r>
      <w:r>
        <w:rPr>
          <w:rFonts w:hint="eastAsia" w:ascii="宋体" w:hAnsi="宋体" w:cs="宋体"/>
          <w:color w:val="auto"/>
          <w:kern w:val="0"/>
          <w:sz w:val="21"/>
          <w:szCs w:val="21"/>
          <w:highlight w:val="none"/>
        </w:rPr>
        <w:t>；</w:t>
      </w:r>
    </w:p>
    <w:p w14:paraId="760878AE">
      <w:pPr>
        <w:keepLines w:val="0"/>
        <w:pageBreakBefore w:val="0"/>
        <w:tabs>
          <w:tab w:val="left" w:pos="1305"/>
        </w:tabs>
        <w:kinsoku/>
        <w:overflowPunct/>
        <w:bidi w:val="0"/>
        <w:spacing w:line="360" w:lineRule="auto"/>
        <w:ind w:firstLine="420"/>
        <w:rPr>
          <w:rFonts w:hint="eastAsia" w:ascii="宋体" w:hAnsi="宋体" w:eastAsia="宋体" w:cs="宋体"/>
          <w:b/>
          <w:color w:val="auto"/>
          <w:kern w:val="0"/>
          <w:sz w:val="21"/>
          <w:szCs w:val="21"/>
          <w:highlight w:val="none"/>
          <w:lang w:eastAsia="zh-CN"/>
        </w:rPr>
      </w:pPr>
      <w:r>
        <w:rPr>
          <w:rFonts w:hint="eastAsia" w:ascii="宋体" w:hAnsi="宋体" w:cs="宋体"/>
          <w:color w:val="auto"/>
          <w:kern w:val="0"/>
          <w:sz w:val="21"/>
          <w:szCs w:val="21"/>
          <w:highlight w:val="none"/>
        </w:rPr>
        <w:t>（4）商务要求响应承诺书</w:t>
      </w:r>
      <w:r>
        <w:rPr>
          <w:rFonts w:hint="eastAsia" w:ascii="宋体" w:hAnsi="宋体" w:cs="宋体"/>
          <w:b/>
          <w:bCs/>
          <w:color w:val="auto"/>
          <w:kern w:val="0"/>
          <w:sz w:val="21"/>
          <w:szCs w:val="21"/>
          <w:highlight w:val="none"/>
        </w:rPr>
        <w:t>（必须提供）</w:t>
      </w:r>
      <w:r>
        <w:rPr>
          <w:rFonts w:hint="eastAsia" w:ascii="宋体" w:hAnsi="宋体" w:cs="宋体"/>
          <w:b/>
          <w:color w:val="auto"/>
          <w:kern w:val="0"/>
          <w:sz w:val="21"/>
          <w:szCs w:val="21"/>
          <w:highlight w:val="none"/>
          <w:lang w:eastAsia="zh-CN"/>
        </w:rPr>
        <w:t>；</w:t>
      </w:r>
    </w:p>
    <w:p w14:paraId="4AE48205">
      <w:pPr>
        <w:keepLines w:val="0"/>
        <w:pageBreakBefore w:val="0"/>
        <w:tabs>
          <w:tab w:val="left" w:pos="1305"/>
        </w:tabs>
        <w:kinsoku/>
        <w:overflowPunct/>
        <w:bidi w:val="0"/>
        <w:spacing w:line="360" w:lineRule="auto"/>
        <w:ind w:firstLine="42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eastAsia="zh-CN"/>
        </w:rPr>
        <w:t>）售后服务承诺</w:t>
      </w:r>
      <w:r>
        <w:rPr>
          <w:rFonts w:hint="eastAsia" w:ascii="宋体" w:hAnsi="宋体" w:cs="宋体"/>
          <w:b/>
          <w:bCs/>
          <w:color w:val="auto"/>
          <w:kern w:val="0"/>
          <w:sz w:val="21"/>
          <w:szCs w:val="21"/>
          <w:highlight w:val="none"/>
        </w:rPr>
        <w:t>（必须提供）</w:t>
      </w:r>
      <w:r>
        <w:rPr>
          <w:rFonts w:hint="eastAsia" w:ascii="宋体" w:hAnsi="宋体" w:cs="宋体"/>
          <w:b/>
          <w:bCs/>
          <w:color w:val="auto"/>
          <w:kern w:val="0"/>
          <w:sz w:val="21"/>
          <w:szCs w:val="21"/>
          <w:highlight w:val="none"/>
          <w:lang w:eastAsia="zh-CN"/>
        </w:rPr>
        <w:t>。</w:t>
      </w:r>
    </w:p>
    <w:p w14:paraId="7B9CC154">
      <w:pPr>
        <w:keepLines w:val="0"/>
        <w:pageBreakBefore w:val="0"/>
        <w:tabs>
          <w:tab w:val="left" w:pos="1305"/>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11.1.3其他有效证明材料：</w:t>
      </w:r>
    </w:p>
    <w:p w14:paraId="28A064C7">
      <w:pPr>
        <w:keepLines w:val="0"/>
        <w:pageBreakBefore w:val="0"/>
        <w:tabs>
          <w:tab w:val="left" w:pos="1305"/>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（1）节能、环保产品相关证明材料复印件</w:t>
      </w:r>
      <w:r>
        <w:rPr>
          <w:rFonts w:hint="eastAsia" w:ascii="宋体" w:hAnsi="宋体" w:eastAsia="宋体" w:cs="宋体"/>
          <w:b/>
          <w:bCs/>
          <w:color w:val="auto"/>
          <w:kern w:val="0"/>
          <w:sz w:val="21"/>
          <w:szCs w:val="21"/>
          <w:highlight w:val="none"/>
          <w:lang w:val="en-US" w:eastAsia="zh-CN" w:bidi="ar-SA"/>
        </w:rPr>
        <w:t>（如有，请提供）</w:t>
      </w:r>
      <w:r>
        <w:rPr>
          <w:rFonts w:hint="eastAsia" w:ascii="宋体" w:hAnsi="宋体" w:cs="宋体"/>
          <w:color w:val="auto"/>
          <w:kern w:val="0"/>
          <w:sz w:val="21"/>
          <w:szCs w:val="21"/>
          <w:highlight w:val="none"/>
        </w:rPr>
        <w:t>；</w:t>
      </w:r>
    </w:p>
    <w:p w14:paraId="5B10D35E">
      <w:pPr>
        <w:pStyle w:val="24"/>
        <w:keepLines w:val="0"/>
        <w:pageBreakBefore w:val="0"/>
        <w:kinsoku/>
        <w:overflowPunct/>
        <w:bidi w:val="0"/>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cs="宋体"/>
          <w:color w:val="auto"/>
          <w:kern w:val="0"/>
          <w:sz w:val="21"/>
          <w:szCs w:val="21"/>
          <w:highlight w:val="none"/>
        </w:rPr>
        <w:t>（2）</w:t>
      </w:r>
      <w:r>
        <w:rPr>
          <w:rFonts w:ascii="宋体" w:hAnsi="宋体" w:cs="宋体"/>
          <w:color w:val="auto"/>
          <w:sz w:val="21"/>
          <w:szCs w:val="21"/>
          <w:highlight w:val="none"/>
        </w:rPr>
        <w:t>供应商</w:t>
      </w:r>
      <w:r>
        <w:rPr>
          <w:rFonts w:hint="eastAsia" w:ascii="宋体" w:hAnsi="宋体" w:cs="宋体"/>
          <w:color w:val="auto"/>
          <w:sz w:val="21"/>
          <w:szCs w:val="21"/>
          <w:highlight w:val="none"/>
          <w:lang w:val="en-US" w:eastAsia="zh-CN"/>
        </w:rPr>
        <w:t>属于中小</w:t>
      </w:r>
      <w:r>
        <w:rPr>
          <w:rFonts w:ascii="宋体" w:hAnsi="宋体" w:cs="宋体"/>
          <w:color w:val="auto"/>
          <w:sz w:val="21"/>
          <w:szCs w:val="21"/>
          <w:highlight w:val="none"/>
        </w:rPr>
        <w:t>企业的相关有效证明材料</w:t>
      </w:r>
      <w:r>
        <w:rPr>
          <w:rFonts w:hint="eastAsia" w:ascii="宋体" w:hAnsi="宋体" w:eastAsia="宋体" w:cs="宋体"/>
          <w:b/>
          <w:bCs/>
          <w:color w:val="auto"/>
          <w:kern w:val="0"/>
          <w:sz w:val="21"/>
          <w:szCs w:val="21"/>
          <w:highlight w:val="none"/>
          <w:lang w:val="en-US" w:eastAsia="zh-CN" w:bidi="ar-SA"/>
        </w:rPr>
        <w:t>（如有，请提供）</w:t>
      </w:r>
      <w:r>
        <w:rPr>
          <w:rFonts w:hint="eastAsia" w:ascii="宋体" w:hAnsi="宋体" w:eastAsia="宋体" w:cs="Times New Roman"/>
          <w:b/>
          <w:bCs/>
          <w:color w:val="auto"/>
          <w:szCs w:val="21"/>
          <w:highlight w:val="none"/>
          <w:lang w:val="en-US" w:eastAsia="zh-CN"/>
        </w:rPr>
        <w:t>；</w:t>
      </w:r>
    </w:p>
    <w:p w14:paraId="52AE2566">
      <w:pPr>
        <w:keepLines w:val="0"/>
        <w:pageBreakBefore w:val="0"/>
        <w:tabs>
          <w:tab w:val="left" w:pos="1305"/>
        </w:tabs>
        <w:kinsoku/>
        <w:overflowPunct/>
        <w:bidi w:val="0"/>
        <w:spacing w:line="360" w:lineRule="auto"/>
        <w:ind w:firstLine="42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注：①供应商提供的货物全部由符合政策要求中小企业制造，响应文件中提供《中小企业声明函》；②属于监狱企业的，提供由省级以上监狱管理局、戒毒管理局（含新疆生产建设兵团）出具的属于监狱企业的证明文件；③符合条件的残疾人福利性单位在参加政府采购活动时，提供《残疾人福利性单位声明函》，并对声明的真实性负责；</w:t>
      </w:r>
    </w:p>
    <w:p w14:paraId="62983C90">
      <w:pPr>
        <w:keepLines w:val="0"/>
        <w:pageBreakBefore w:val="0"/>
        <w:tabs>
          <w:tab w:val="left" w:pos="1305"/>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《关于符合本国产品标准的声明函》或者财政部会同有关部门规定的有关证明文件</w:t>
      </w:r>
      <w:r>
        <w:rPr>
          <w:rFonts w:hint="eastAsia" w:ascii="宋体" w:hAnsi="宋体" w:cs="宋体"/>
          <w:b/>
          <w:bCs/>
          <w:color w:val="auto"/>
          <w:kern w:val="0"/>
          <w:sz w:val="21"/>
          <w:szCs w:val="21"/>
          <w:highlight w:val="none"/>
        </w:rPr>
        <w:t>（如有，请提供）</w:t>
      </w:r>
      <w:r>
        <w:rPr>
          <w:rFonts w:hint="eastAsia" w:ascii="宋体" w:hAnsi="宋体"/>
          <w:b/>
          <w:bCs/>
          <w:color w:val="auto"/>
          <w:szCs w:val="21"/>
          <w:highlight w:val="none"/>
          <w:lang w:eastAsia="zh-CN"/>
        </w:rPr>
        <w:t>；</w:t>
      </w:r>
    </w:p>
    <w:p w14:paraId="771E05AE">
      <w:pPr>
        <w:keepLines w:val="0"/>
        <w:pageBreakBefore w:val="0"/>
        <w:tabs>
          <w:tab w:val="left" w:pos="1305"/>
        </w:tabs>
        <w:kinsoku/>
        <w:overflowPunct/>
        <w:bidi w:val="0"/>
        <w:spacing w:line="360" w:lineRule="auto"/>
        <w:ind w:firstLine="420"/>
        <w:rPr>
          <w:rFonts w:hint="eastAsia" w:ascii="宋体" w:hAnsi="宋体" w:cs="宋体"/>
          <w:b/>
          <w:bCs/>
          <w:color w:val="auto"/>
          <w:kern w:val="0"/>
          <w:sz w:val="21"/>
          <w:szCs w:val="21"/>
          <w:highlight w:val="none"/>
        </w:rPr>
      </w:pP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）供应商可结合本项目的评审办法视自身情况自行提交相关证明材料</w:t>
      </w:r>
      <w:r>
        <w:rPr>
          <w:rFonts w:hint="eastAsia" w:ascii="宋体" w:hAnsi="宋体" w:cs="宋体"/>
          <w:b/>
          <w:bCs/>
          <w:color w:val="auto"/>
          <w:kern w:val="0"/>
          <w:sz w:val="21"/>
          <w:szCs w:val="21"/>
          <w:highlight w:val="none"/>
        </w:rPr>
        <w:t>（如有，请提供）。</w:t>
      </w:r>
    </w:p>
    <w:p w14:paraId="7C0E8A0E">
      <w:pPr>
        <w:keepLines w:val="0"/>
        <w:pageBreakBefore w:val="0"/>
        <w:kinsoku/>
        <w:overflowPunct/>
        <w:bidi w:val="0"/>
        <w:spacing w:line="360" w:lineRule="auto"/>
        <w:ind w:firstLine="422"/>
        <w:rPr>
          <w:rFonts w:hint="eastAsia" w:ascii="宋体" w:hAnsi="宋体"/>
          <w:b/>
          <w:color w:val="auto"/>
          <w:sz w:val="21"/>
          <w:szCs w:val="21"/>
          <w:highlight w:val="none"/>
        </w:rPr>
      </w:pPr>
      <w:r>
        <w:rPr>
          <w:rFonts w:hint="eastAsia" w:ascii="宋体" w:hAnsi="宋体"/>
          <w:b/>
          <w:color w:val="auto"/>
          <w:sz w:val="21"/>
          <w:szCs w:val="21"/>
          <w:highlight w:val="none"/>
        </w:rPr>
        <w:t>供应商提供的以上</w:t>
      </w:r>
      <w:r>
        <w:rPr>
          <w:rFonts w:hint="eastAsia" w:ascii="宋体" w:hAnsi="宋体" w:cs="宋体"/>
          <w:b/>
          <w:color w:val="auto"/>
          <w:kern w:val="0"/>
          <w:sz w:val="21"/>
          <w:szCs w:val="21"/>
          <w:highlight w:val="none"/>
        </w:rPr>
        <w:t>资格性响应证明材料、符合性响应证明材料、其他有效证明材料</w:t>
      </w:r>
      <w:r>
        <w:rPr>
          <w:rFonts w:hint="eastAsia" w:ascii="宋体" w:hAnsi="宋体"/>
          <w:b/>
          <w:color w:val="auto"/>
          <w:sz w:val="21"/>
          <w:szCs w:val="21"/>
          <w:highlight w:val="none"/>
        </w:rPr>
        <w:t>必须真实有效。属于“必须提供”的材料应加盖供应商电子签章，否则，响应文件按无效处理；其中属于“必须提供”的材料在“第六章 响应文件（格式）”中有要求法定代表人或相应的委托代理人在规定位置签字（或电子签名）的，必须按要求签字（或电子签名），否则，响应文件按无效处理。</w:t>
      </w:r>
    </w:p>
    <w:p w14:paraId="79101158">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11.2供应商应按竞争性谈判文件第六章“响应文件（格式）”编制响应文件。</w:t>
      </w:r>
    </w:p>
    <w:p w14:paraId="003607C4">
      <w:pPr>
        <w:keepLines w:val="0"/>
        <w:pageBreakBefore w:val="0"/>
        <w:tabs>
          <w:tab w:val="left" w:pos="1305"/>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2D05831B">
      <w:pPr>
        <w:keepLines w:val="0"/>
        <w:pageBreakBefore w:val="0"/>
        <w:tabs>
          <w:tab w:val="left" w:pos="1305"/>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3C9F8D44">
      <w:pPr>
        <w:keepLines w:val="0"/>
        <w:pageBreakBefore w:val="0"/>
        <w:tabs>
          <w:tab w:val="left" w:pos="1305"/>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12.2 响应计量单位，谈判文件已有明确规定的，使用谈判文件规定的计量单位；谈判文件没有规定的，必须采用中华人民共和国法定计量单位（货币单位：人民币元），否则视同未响应。</w:t>
      </w:r>
    </w:p>
    <w:p w14:paraId="11EF819E">
      <w:pPr>
        <w:keepLines w:val="0"/>
        <w:pageBreakBefore w:val="0"/>
        <w:tabs>
          <w:tab w:val="left" w:pos="1305"/>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13.谈判报价及采购预算金额</w:t>
      </w:r>
    </w:p>
    <w:p w14:paraId="50B29873">
      <w:pPr>
        <w:keepLines w:val="0"/>
        <w:pageBreakBefore w:val="0"/>
        <w:tabs>
          <w:tab w:val="left" w:pos="1305"/>
        </w:tabs>
        <w:kinsoku/>
        <w:overflowPunct/>
        <w:bidi w:val="0"/>
        <w:spacing w:line="360" w:lineRule="auto"/>
        <w:ind w:firstLine="42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13.1谈判报价应按谈判文件中相关附表格式填写。</w:t>
      </w:r>
    </w:p>
    <w:p w14:paraId="1FFD1A9A">
      <w:pPr>
        <w:keepLines w:val="0"/>
        <w:pageBreakBefore w:val="0"/>
        <w:tabs>
          <w:tab w:val="left" w:pos="1305"/>
        </w:tabs>
        <w:kinsoku/>
        <w:overflowPunct/>
        <w:bidi w:val="0"/>
        <w:spacing w:line="360" w:lineRule="auto"/>
        <w:ind w:firstLine="42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13.2供应商必须就“采购需求”中的所有内容作完整唯一报价，响应文件只允许有一个报价方案，不接受有选择的或有条件的报价，否则响应文件按无效处理。</w:t>
      </w:r>
    </w:p>
    <w:p w14:paraId="37C3EB93">
      <w:pPr>
        <w:keepLines w:val="0"/>
        <w:pageBreakBefore w:val="0"/>
        <w:tabs>
          <w:tab w:val="left" w:pos="1305"/>
        </w:tabs>
        <w:kinsoku/>
        <w:overflowPunct/>
        <w:bidi w:val="0"/>
        <w:spacing w:line="360" w:lineRule="auto"/>
        <w:ind w:firstLine="420"/>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13.3采购预算金额（人民币）：</w:t>
      </w:r>
      <w:r>
        <w:rPr>
          <w:rFonts w:hint="eastAsia" w:ascii="宋体" w:hAnsi="宋体" w:cs="宋体"/>
          <w:b/>
          <w:bCs/>
          <w:color w:val="auto"/>
          <w:sz w:val="21"/>
          <w:szCs w:val="21"/>
          <w:highlight w:val="none"/>
          <w:lang w:val="en-US" w:eastAsia="zh-CN"/>
        </w:rPr>
        <w:t>柒拾捌万叁仟柒佰陆拾元整</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783760.00</w:t>
      </w:r>
      <w:r>
        <w:rPr>
          <w:rFonts w:hint="eastAsia" w:ascii="宋体" w:hAnsi="宋体" w:cs="宋体"/>
          <w:b/>
          <w:bCs/>
          <w:color w:val="auto"/>
          <w:sz w:val="21"/>
          <w:szCs w:val="21"/>
          <w:highlight w:val="none"/>
          <w:lang w:eastAsia="zh-CN"/>
        </w:rPr>
        <w:t>）</w:t>
      </w:r>
      <w:r>
        <w:rPr>
          <w:rFonts w:hint="eastAsia" w:ascii="宋体" w:hAnsi="宋体" w:cs="宋体"/>
          <w:b/>
          <w:bCs/>
          <w:color w:val="auto"/>
          <w:kern w:val="0"/>
          <w:sz w:val="21"/>
          <w:szCs w:val="21"/>
          <w:highlight w:val="none"/>
        </w:rPr>
        <w:t>。报价超采购预算金额的，响应文件作无效处理。</w:t>
      </w:r>
    </w:p>
    <w:p w14:paraId="4073AA6E">
      <w:pPr>
        <w:spacing w:line="360" w:lineRule="auto"/>
        <w:rPr>
          <w:rFonts w:hint="eastAsia" w:asciiTheme="minorEastAsia" w:hAnsiTheme="minorEastAsia" w:eastAsiaTheme="minorEastAsia" w:cstheme="minorEastAsia"/>
          <w:color w:val="auto"/>
          <w:sz w:val="21"/>
          <w:szCs w:val="21"/>
        </w:rPr>
      </w:pPr>
      <w:r>
        <w:rPr>
          <w:rFonts w:hint="eastAsia" w:ascii="宋体" w:hAnsi="宋体" w:cs="宋体"/>
          <w:color w:val="auto"/>
          <w:kern w:val="0"/>
          <w:sz w:val="21"/>
          <w:szCs w:val="21"/>
          <w:highlight w:val="none"/>
        </w:rPr>
        <w:t>13.4</w:t>
      </w:r>
      <w:r>
        <w:rPr>
          <w:rFonts w:hint="eastAsia" w:ascii="宋体" w:hAnsi="宋体"/>
          <w:color w:val="auto"/>
          <w:sz w:val="21"/>
          <w:szCs w:val="21"/>
          <w:highlight w:val="none"/>
        </w:rPr>
        <w:t>供应商谈判报价应包括</w:t>
      </w:r>
      <w:r>
        <w:rPr>
          <w:rFonts w:hint="eastAsia" w:asciiTheme="minorEastAsia" w:hAnsiTheme="minorEastAsia" w:eastAsiaTheme="minorEastAsia" w:cstheme="minorEastAsia"/>
          <w:color w:val="auto"/>
          <w:sz w:val="21"/>
          <w:szCs w:val="21"/>
        </w:rPr>
        <w:t>含货物、货物标准附件、备品备件、专用工具、设备安装辅材、施工辅材、包装、运输、装卸、保险、货到就位的各种费用以及安装、调试、税金、售后服务、技术培训及其他所有成本费用；采购人不再支付任何费用。</w:t>
      </w:r>
    </w:p>
    <w:p w14:paraId="5EDD928C">
      <w:pPr>
        <w:keepLines w:val="0"/>
        <w:pageBreakBefore w:val="0"/>
        <w:tabs>
          <w:tab w:val="left" w:pos="1305"/>
        </w:tabs>
        <w:kinsoku/>
        <w:overflowPunct/>
        <w:bidi w:val="0"/>
        <w:spacing w:line="360" w:lineRule="auto"/>
        <w:ind w:firstLine="420"/>
        <w:rPr>
          <w:rFonts w:hint="eastAsia" w:ascii="宋体" w:hAnsi="宋体" w:cs="宋体"/>
          <w:color w:val="auto"/>
          <w:kern w:val="0"/>
          <w:sz w:val="21"/>
          <w:szCs w:val="21"/>
          <w:highlight w:val="none"/>
        </w:rPr>
      </w:pPr>
      <w:r>
        <w:rPr>
          <w:rFonts w:hint="eastAsia" w:asciiTheme="minorEastAsia" w:hAnsiTheme="minorEastAsia" w:eastAsiaTheme="minorEastAsia" w:cstheme="minorEastAsia"/>
          <w:color w:val="auto"/>
          <w:sz w:val="21"/>
          <w:szCs w:val="21"/>
          <w:lang w:val="en-US" w:eastAsia="zh-CN"/>
        </w:rPr>
        <w:t>供应商</w:t>
      </w:r>
      <w:r>
        <w:rPr>
          <w:rFonts w:hint="eastAsia" w:asciiTheme="minorEastAsia" w:hAnsiTheme="minorEastAsia" w:eastAsiaTheme="minorEastAsia" w:cstheme="minorEastAsia"/>
          <w:color w:val="auto"/>
          <w:sz w:val="21"/>
          <w:szCs w:val="21"/>
        </w:rPr>
        <w:t>负责工人人身</w:t>
      </w:r>
      <w:r>
        <w:rPr>
          <w:rFonts w:hint="eastAsia" w:asciiTheme="minorEastAsia" w:hAnsiTheme="minorEastAsia" w:eastAsiaTheme="minorEastAsia" w:cstheme="minorEastAsia"/>
          <w:color w:val="auto"/>
          <w:sz w:val="21"/>
          <w:szCs w:val="21"/>
          <w:lang w:val="en-US" w:eastAsia="zh-CN"/>
        </w:rPr>
        <w:t>和</w:t>
      </w:r>
      <w:r>
        <w:rPr>
          <w:rFonts w:hint="eastAsia" w:asciiTheme="minorEastAsia" w:hAnsiTheme="minorEastAsia" w:eastAsiaTheme="minorEastAsia" w:cstheme="minorEastAsia"/>
          <w:color w:val="auto"/>
          <w:sz w:val="21"/>
          <w:szCs w:val="21"/>
        </w:rPr>
        <w:t>设备安全责任，验收前，设备丢失自行负责。</w:t>
      </w:r>
    </w:p>
    <w:p w14:paraId="4B498ED6">
      <w:pPr>
        <w:keepLines w:val="0"/>
        <w:pageBreakBefore w:val="0"/>
        <w:tabs>
          <w:tab w:val="left" w:pos="1305"/>
        </w:tabs>
        <w:kinsoku/>
        <w:overflowPunct/>
        <w:bidi w:val="0"/>
        <w:spacing w:line="360" w:lineRule="auto"/>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13.5</w:t>
      </w:r>
      <w:r>
        <w:rPr>
          <w:rFonts w:hint="eastAsia" w:ascii="宋体" w:hAnsi="宋体"/>
          <w:color w:val="auto"/>
          <w:kern w:val="0"/>
          <w:sz w:val="21"/>
          <w:szCs w:val="21"/>
          <w:highlight w:val="none"/>
        </w:rPr>
        <w:t>未书面退出谈判的供应商必须在规定时间内登录</w:t>
      </w:r>
      <w:r>
        <w:rPr>
          <w:rFonts w:hint="eastAsia" w:ascii="宋体" w:hAnsi="宋体" w:cs="宋体"/>
          <w:bCs/>
          <w:color w:val="auto"/>
          <w:sz w:val="21"/>
          <w:szCs w:val="21"/>
          <w:highlight w:val="none"/>
        </w:rPr>
        <w:t>“广西政府采购云平台”</w:t>
      </w:r>
      <w:r>
        <w:rPr>
          <w:rFonts w:hint="eastAsia" w:ascii="宋体" w:hAnsi="宋体"/>
          <w:color w:val="auto"/>
          <w:kern w:val="0"/>
          <w:sz w:val="21"/>
          <w:szCs w:val="21"/>
          <w:highlight w:val="none"/>
        </w:rPr>
        <w:t>在线提交最后报价，其最后报价不得超出采购预算；谈判过程中谈判文件未作实质性变动的，最后报价不得超过首次报价</w:t>
      </w:r>
      <w:r>
        <w:rPr>
          <w:rFonts w:hint="eastAsia" w:ascii="宋体" w:hAnsi="宋体" w:cs="宋体"/>
          <w:color w:val="auto"/>
          <w:kern w:val="0"/>
          <w:sz w:val="21"/>
          <w:szCs w:val="21"/>
          <w:highlight w:val="none"/>
        </w:rPr>
        <w:t xml:space="preserve">。 </w:t>
      </w:r>
    </w:p>
    <w:p w14:paraId="16F43ABD">
      <w:pPr>
        <w:keepLines w:val="0"/>
        <w:pageBreakBefore w:val="0"/>
        <w:tabs>
          <w:tab w:val="left" w:pos="1305"/>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722A6CD2">
      <w:pPr>
        <w:keepLines w:val="0"/>
        <w:pageBreakBefore w:val="0"/>
        <w:tabs>
          <w:tab w:val="left" w:pos="1305"/>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p w14:paraId="7F994658">
      <w:pPr>
        <w:keepLines w:val="0"/>
        <w:pageBreakBefore w:val="0"/>
        <w:tabs>
          <w:tab w:val="left" w:pos="1305"/>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127BC97F">
      <w:pPr>
        <w:keepLines w:val="0"/>
        <w:pageBreakBefore w:val="0"/>
        <w:kinsoku/>
        <w:overflowPunct/>
        <w:bidi w:val="0"/>
        <w:snapToGrid w:val="0"/>
        <w:spacing w:line="360" w:lineRule="auto"/>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678FDDB3">
      <w:pPr>
        <w:keepLines w:val="0"/>
        <w:pageBreakBefore w:val="0"/>
        <w:kinsoku/>
        <w:overflowPunct/>
        <w:bidi w:val="0"/>
        <w:snapToGrid w:val="0"/>
        <w:spacing w:line="360" w:lineRule="auto"/>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15.2供应商下载或获取竞争性谈判文件后，登录“广西政府采购云平台电子投标客户端”，按照本谈判文件规定的响应文件格式、顺序以及“广西政府采购云平台”的要求，通过“广西政府采购云平台电子投标客户端”编制电子响应文件。</w:t>
      </w:r>
    </w:p>
    <w:p w14:paraId="5A7AE118">
      <w:pPr>
        <w:keepLines w:val="0"/>
        <w:pageBreakBefore w:val="0"/>
        <w:kinsoku/>
        <w:overflowPunct/>
        <w:bidi w:val="0"/>
        <w:snapToGrid w:val="0"/>
        <w:spacing w:line="360" w:lineRule="auto"/>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ascii="宋体" w:hAnsi="宋体"/>
          <w:color w:val="auto"/>
          <w:sz w:val="21"/>
          <w:szCs w:val="24"/>
          <w:highlight w:val="none"/>
        </w:rPr>
        <w:t>供应商</w:t>
      </w:r>
      <w:r>
        <w:rPr>
          <w:rFonts w:ascii="宋体" w:hAnsi="宋体"/>
          <w:color w:val="auto"/>
          <w:sz w:val="21"/>
          <w:szCs w:val="24"/>
          <w:highlight w:val="none"/>
        </w:rPr>
        <w:t>应按“</w:t>
      </w:r>
      <w:r>
        <w:rPr>
          <w:rFonts w:hint="eastAsia" w:ascii="宋体" w:hAnsi="宋体"/>
          <w:color w:val="auto"/>
          <w:sz w:val="21"/>
          <w:szCs w:val="24"/>
          <w:highlight w:val="none"/>
        </w:rPr>
        <w:t>广西政府采购云平台</w:t>
      </w:r>
      <w:r>
        <w:rPr>
          <w:rFonts w:ascii="宋体" w:hAnsi="宋体"/>
          <w:color w:val="auto"/>
          <w:sz w:val="21"/>
          <w:szCs w:val="24"/>
          <w:highlight w:val="none"/>
        </w:rPr>
        <w:t>电子投标客户端”载明的“标书关联”功能进行电子</w:t>
      </w:r>
      <w:r>
        <w:rPr>
          <w:rFonts w:hint="eastAsia" w:ascii="宋体" w:hAnsi="宋体"/>
          <w:color w:val="auto"/>
          <w:sz w:val="21"/>
          <w:szCs w:val="24"/>
          <w:highlight w:val="none"/>
        </w:rPr>
        <w:t>响应</w:t>
      </w:r>
      <w:r>
        <w:rPr>
          <w:rFonts w:ascii="宋体" w:hAnsi="宋体"/>
          <w:color w:val="auto"/>
          <w:sz w:val="21"/>
          <w:szCs w:val="24"/>
          <w:highlight w:val="none"/>
        </w:rPr>
        <w:t>文件的关联定位，以便</w:t>
      </w:r>
      <w:r>
        <w:rPr>
          <w:rFonts w:hint="eastAsia" w:ascii="宋体" w:hAnsi="宋体"/>
          <w:color w:val="auto"/>
          <w:sz w:val="21"/>
          <w:szCs w:val="24"/>
          <w:highlight w:val="none"/>
        </w:rPr>
        <w:t>谈判小组</w:t>
      </w:r>
      <w:r>
        <w:rPr>
          <w:rFonts w:ascii="宋体" w:hAnsi="宋体"/>
          <w:color w:val="auto"/>
          <w:sz w:val="21"/>
          <w:szCs w:val="24"/>
          <w:highlight w:val="none"/>
        </w:rPr>
        <w:t>在评审时点击相应评审项可直接定位到该评审内容；如</w:t>
      </w:r>
      <w:r>
        <w:rPr>
          <w:rFonts w:hint="eastAsia" w:ascii="宋体" w:hAnsi="宋体"/>
          <w:color w:val="auto"/>
          <w:sz w:val="21"/>
          <w:szCs w:val="24"/>
          <w:highlight w:val="none"/>
        </w:rPr>
        <w:t>供应商</w:t>
      </w:r>
      <w:r>
        <w:rPr>
          <w:rFonts w:ascii="宋体" w:hAnsi="宋体"/>
          <w:color w:val="auto"/>
          <w:sz w:val="21"/>
          <w:szCs w:val="24"/>
          <w:highlight w:val="none"/>
        </w:rPr>
        <w:t>的电子</w:t>
      </w:r>
      <w:r>
        <w:rPr>
          <w:rFonts w:hint="eastAsia" w:ascii="宋体" w:hAnsi="宋体"/>
          <w:color w:val="auto"/>
          <w:sz w:val="21"/>
          <w:szCs w:val="24"/>
          <w:highlight w:val="none"/>
        </w:rPr>
        <w:t>响应</w:t>
      </w:r>
      <w:r>
        <w:rPr>
          <w:rFonts w:ascii="宋体" w:hAnsi="宋体"/>
          <w:color w:val="auto"/>
          <w:sz w:val="21"/>
          <w:szCs w:val="24"/>
          <w:highlight w:val="none"/>
        </w:rPr>
        <w:t>文件未能关联定位相应内容，或者关联定位的内容与该评审项不符，导致</w:t>
      </w:r>
      <w:r>
        <w:rPr>
          <w:rFonts w:hint="eastAsia" w:ascii="宋体" w:hAnsi="宋体"/>
          <w:color w:val="auto"/>
          <w:sz w:val="21"/>
          <w:szCs w:val="24"/>
          <w:highlight w:val="none"/>
        </w:rPr>
        <w:t>谈判小组</w:t>
      </w:r>
      <w:r>
        <w:rPr>
          <w:rFonts w:ascii="宋体" w:hAnsi="宋体"/>
          <w:color w:val="auto"/>
          <w:sz w:val="21"/>
          <w:szCs w:val="24"/>
          <w:highlight w:val="none"/>
        </w:rPr>
        <w:t>无法查询并做出对</w:t>
      </w:r>
      <w:r>
        <w:rPr>
          <w:rFonts w:hint="eastAsia" w:ascii="宋体" w:hAnsi="宋体"/>
          <w:color w:val="auto"/>
          <w:sz w:val="21"/>
          <w:szCs w:val="24"/>
          <w:highlight w:val="none"/>
        </w:rPr>
        <w:t>供应商</w:t>
      </w:r>
      <w:r>
        <w:rPr>
          <w:rFonts w:ascii="宋体" w:hAnsi="宋体"/>
          <w:color w:val="auto"/>
          <w:sz w:val="21"/>
          <w:szCs w:val="24"/>
          <w:highlight w:val="none"/>
        </w:rPr>
        <w:t>不利的评审，相关后果由</w:t>
      </w:r>
      <w:r>
        <w:rPr>
          <w:rFonts w:hint="eastAsia" w:ascii="宋体" w:hAnsi="宋体"/>
          <w:color w:val="auto"/>
          <w:sz w:val="21"/>
          <w:szCs w:val="24"/>
          <w:highlight w:val="none"/>
        </w:rPr>
        <w:t>供应商</w:t>
      </w:r>
      <w:r>
        <w:rPr>
          <w:rFonts w:ascii="宋体" w:hAnsi="宋体"/>
          <w:color w:val="auto"/>
          <w:sz w:val="21"/>
          <w:szCs w:val="24"/>
          <w:highlight w:val="none"/>
        </w:rPr>
        <w:t>自行承担。</w:t>
      </w:r>
    </w:p>
    <w:p w14:paraId="5A83DF4C">
      <w:pPr>
        <w:keepLines w:val="0"/>
        <w:pageBreakBefore w:val="0"/>
        <w:kinsoku/>
        <w:overflowPunct/>
        <w:bidi w:val="0"/>
        <w:snapToGrid w:val="0"/>
        <w:spacing w:line="360" w:lineRule="auto"/>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15.4电子响应文件不得涂改，若有修改错漏处，须由法定代表人或委托代理人签字（或者电子签名）。因响应文件字迹潦草、表达不清、内容不完整、编排混乱导致响应文件被误读、漏读，或者在竞争性谈判文件规定的部位查找不到相关内容，</w:t>
      </w:r>
      <w:r>
        <w:rPr>
          <w:rFonts w:ascii="宋体" w:hAnsi="宋体"/>
          <w:color w:val="auto"/>
          <w:sz w:val="21"/>
          <w:szCs w:val="24"/>
          <w:highlight w:val="none"/>
        </w:rPr>
        <w:t>导致</w:t>
      </w:r>
      <w:r>
        <w:rPr>
          <w:rFonts w:hint="eastAsia" w:ascii="宋体" w:hAnsi="宋体"/>
          <w:color w:val="auto"/>
          <w:sz w:val="21"/>
          <w:szCs w:val="24"/>
          <w:highlight w:val="none"/>
        </w:rPr>
        <w:t>谈判小组</w:t>
      </w:r>
      <w:r>
        <w:rPr>
          <w:rFonts w:ascii="宋体" w:hAnsi="宋体"/>
          <w:color w:val="auto"/>
          <w:sz w:val="21"/>
          <w:szCs w:val="24"/>
          <w:highlight w:val="none"/>
        </w:rPr>
        <w:t>做出对</w:t>
      </w:r>
      <w:r>
        <w:rPr>
          <w:rFonts w:hint="eastAsia" w:ascii="宋体" w:hAnsi="宋体"/>
          <w:color w:val="auto"/>
          <w:sz w:val="21"/>
          <w:szCs w:val="24"/>
          <w:highlight w:val="none"/>
        </w:rPr>
        <w:t>供应商</w:t>
      </w:r>
      <w:r>
        <w:rPr>
          <w:rFonts w:ascii="宋体" w:hAnsi="宋体"/>
          <w:color w:val="auto"/>
          <w:sz w:val="21"/>
          <w:szCs w:val="24"/>
          <w:highlight w:val="none"/>
        </w:rPr>
        <w:t>不利的评审</w:t>
      </w:r>
      <w:r>
        <w:rPr>
          <w:rFonts w:hint="eastAsia" w:ascii="宋体" w:hAnsi="宋体"/>
          <w:color w:val="auto"/>
          <w:sz w:val="21"/>
          <w:szCs w:val="24"/>
          <w:highlight w:val="none"/>
        </w:rPr>
        <w:t>的，</w:t>
      </w:r>
      <w:r>
        <w:rPr>
          <w:rFonts w:hint="eastAsia" w:ascii="宋体" w:hAnsi="宋体" w:cs="宋体"/>
          <w:color w:val="auto"/>
          <w:sz w:val="21"/>
          <w:szCs w:val="24"/>
          <w:highlight w:val="none"/>
        </w:rPr>
        <w:t>其后果由供应商自行承担</w:t>
      </w:r>
      <w:r>
        <w:rPr>
          <w:rFonts w:hint="eastAsia" w:ascii="宋体" w:hAnsi="宋体" w:cs="宋体"/>
          <w:color w:val="auto"/>
          <w:sz w:val="21"/>
          <w:szCs w:val="21"/>
          <w:highlight w:val="none"/>
        </w:rPr>
        <w:t>。</w:t>
      </w:r>
    </w:p>
    <w:p w14:paraId="173739AD">
      <w:pPr>
        <w:keepLines w:val="0"/>
        <w:pageBreakBefore w:val="0"/>
        <w:kinsoku/>
        <w:overflowPunct/>
        <w:bidi w:val="0"/>
        <w:snapToGrid w:val="0"/>
        <w:spacing w:line="360" w:lineRule="auto"/>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15.5供应商编制、生成电子响应文件后应当加密响应文件。供应商未按规定编制并加密的响应文件，“广西政府采购云平台”将予以拒收。</w:t>
      </w:r>
    </w:p>
    <w:p w14:paraId="2C30B24C">
      <w:pPr>
        <w:keepLines w:val="0"/>
        <w:pageBreakBefore w:val="0"/>
        <w:kinsoku/>
        <w:overflowPunct/>
        <w:bidi w:val="0"/>
        <w:snapToGrid w:val="0"/>
        <w:spacing w:line="360" w:lineRule="auto"/>
        <w:ind w:firstLine="420"/>
        <w:jc w:val="left"/>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15.6</w:t>
      </w:r>
      <w:r>
        <w:rPr>
          <w:rFonts w:hint="eastAsia" w:ascii="宋体" w:hAnsi="宋体" w:cs="宋体"/>
          <w:b/>
          <w:color w:val="auto"/>
          <w:kern w:val="0"/>
          <w:sz w:val="21"/>
          <w:szCs w:val="21"/>
          <w:highlight w:val="none"/>
        </w:rPr>
        <w:t>供应商公章及签字</w:t>
      </w:r>
    </w:p>
    <w:p w14:paraId="24B4ED4D">
      <w:pPr>
        <w:keepLines w:val="0"/>
        <w:pageBreakBefore w:val="0"/>
        <w:kinsoku/>
        <w:overflowPunct/>
        <w:bidi w:val="0"/>
        <w:snapToGrid w:val="0"/>
        <w:spacing w:line="360" w:lineRule="auto"/>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15.6.1本竞争性谈判文件中描述供应商的“公章”是指根据我国对公章的管理规定，用供应商法定主体行为名称制作的印章，除本竞争性谈判文件有特殊规定外，供应商的其他形式印章均不能代替公章。</w:t>
      </w:r>
    </w:p>
    <w:p w14:paraId="19F2380E">
      <w:pPr>
        <w:keepLines w:val="0"/>
        <w:pageBreakBefore w:val="0"/>
        <w:kinsoku/>
        <w:overflowPunct/>
        <w:bidi w:val="0"/>
        <w:snapToGrid w:val="0"/>
        <w:spacing w:line="360" w:lineRule="auto"/>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15.6.2本竞争性谈判文件中描述供应商的“签字”是指供应商的法定代表人或者委托代理人亲自在文件规定签字处亲笔写上个人的名字的行为，其他形式均不能代替亲笔签字。</w:t>
      </w:r>
    </w:p>
    <w:p w14:paraId="492E2DEE">
      <w:pPr>
        <w:keepLines w:val="0"/>
        <w:pageBreakBefore w:val="0"/>
        <w:kinsoku/>
        <w:overflowPunct/>
        <w:bidi w:val="0"/>
        <w:snapToGrid w:val="0"/>
        <w:spacing w:line="360" w:lineRule="auto"/>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15.6.3本竞争性谈判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p w14:paraId="78D27BDE">
      <w:pPr>
        <w:keepLines w:val="0"/>
        <w:pageBreakBefore w:val="0"/>
        <w:kinsoku/>
        <w:overflowPunct/>
        <w:bidi w:val="0"/>
        <w:snapToGrid w:val="0"/>
        <w:spacing w:line="360" w:lineRule="auto"/>
        <w:ind w:firstLine="422"/>
        <w:jc w:val="left"/>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69829F11">
      <w:pPr>
        <w:keepLines w:val="0"/>
        <w:pageBreakBefore w:val="0"/>
        <w:kinsoku/>
        <w:overflowPunct/>
        <w:bidi w:val="0"/>
        <w:spacing w:line="360" w:lineRule="auto"/>
        <w:ind w:firstLine="420"/>
        <w:rPr>
          <w:rFonts w:hint="eastAsia"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eastAsia" w:ascii="宋体" w:hAnsi="宋体" w:cs="宋体"/>
          <w:bCs/>
          <w:color w:val="auto"/>
          <w:sz w:val="21"/>
          <w:szCs w:val="21"/>
          <w:highlight w:val="none"/>
          <w:lang w:eastAsia="zh-CN"/>
        </w:rPr>
        <w:t>2026年7月22日</w:t>
      </w:r>
      <w:r>
        <w:rPr>
          <w:rFonts w:hint="eastAsia" w:ascii="宋体" w:hAnsi="宋体" w:cs="宋体"/>
          <w:color w:val="auto"/>
          <w:sz w:val="21"/>
          <w:szCs w:val="21"/>
          <w:highlight w:val="none"/>
        </w:rPr>
        <w:t>上午9时30分</w:t>
      </w:r>
      <w:r>
        <w:rPr>
          <w:rFonts w:hint="eastAsia" w:ascii="宋体" w:hAnsi="宋体" w:cs="宋体"/>
          <w:bCs/>
          <w:color w:val="auto"/>
          <w:sz w:val="21"/>
          <w:szCs w:val="21"/>
          <w:highlight w:val="none"/>
        </w:rPr>
        <w:t>（北京时间）</w:t>
      </w:r>
    </w:p>
    <w:p w14:paraId="723EDD0D">
      <w:pPr>
        <w:keepLines w:val="0"/>
        <w:pageBreakBefore w:val="0"/>
        <w:kinsoku/>
        <w:overflowPunct/>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1E539093">
      <w:pPr>
        <w:keepLines w:val="0"/>
        <w:pageBreakBefore w:val="0"/>
        <w:kinsoku/>
        <w:overflowPunct/>
        <w:bidi w:val="0"/>
        <w:adjustRightInd w:val="0"/>
        <w:snapToGrid w:val="0"/>
        <w:spacing w:line="360" w:lineRule="auto"/>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响应文件提交截止时间前未成功将电子响应文件上传“广西政府采购云平台”的，视为未提交响应文件。</w:t>
      </w:r>
    </w:p>
    <w:p w14:paraId="4BF14252">
      <w:pPr>
        <w:keepLines w:val="0"/>
        <w:pageBreakBefore w:val="0"/>
        <w:tabs>
          <w:tab w:val="left" w:pos="1305"/>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16.4除竞争性谈判文件另有规定外，供应商所提交的响应文件不予退还。</w:t>
      </w:r>
    </w:p>
    <w:p w14:paraId="7F6230D6">
      <w:pPr>
        <w:keepLines w:val="0"/>
        <w:pageBreakBefore w:val="0"/>
        <w:tabs>
          <w:tab w:val="left" w:pos="1305"/>
        </w:tabs>
        <w:kinsoku/>
        <w:overflowPunct/>
        <w:bidi w:val="0"/>
        <w:spacing w:line="360" w:lineRule="auto"/>
        <w:ind w:firstLine="422"/>
        <w:rPr>
          <w:rFonts w:hint="eastAsia"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0DA18C63">
      <w:pPr>
        <w:keepLines w:val="0"/>
        <w:pageBreakBefore w:val="0"/>
        <w:tabs>
          <w:tab w:val="left" w:pos="1305"/>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响应文件提交截止时间后，采购代理机构开启解密响应文件操作，“广西政府采购云平台”向各供应商发出电子加密响应文件解密通知，由供应商在系统发出解密通知后30分钟内自行使用加密时的CA通过“项目采购-开标评标”功能对响应文件进行解密。若供应商在上述规定的时间内无法解密或解密失败的，可以在响应文件解密截止时间后30分钟内以电子邮件的形式向采购代理机构提交电子备份响应文件</w:t>
      </w:r>
      <w:r>
        <w:rPr>
          <w:rFonts w:hint="eastAsia" w:ascii="宋体" w:hAnsi="宋体" w:eastAsia="宋体" w:cs="宋体"/>
          <w:color w:val="auto"/>
          <w:sz w:val="21"/>
          <w:szCs w:val="21"/>
          <w:highlight w:val="none"/>
          <w:lang w:eastAsia="zh-CN"/>
        </w:rPr>
        <w:t>（以通知时所告知的电子邮箱地址为准）</w:t>
      </w:r>
      <w:r>
        <w:rPr>
          <w:rFonts w:hint="eastAsia" w:ascii="宋体" w:hAnsi="宋体" w:cs="宋体"/>
          <w:color w:val="auto"/>
          <w:kern w:val="0"/>
          <w:sz w:val="21"/>
          <w:szCs w:val="21"/>
          <w:highlight w:val="none"/>
        </w:rPr>
        <w:t>；供应商未在上述规定的时间、电子邮箱提交的电子备份响应文件，采购代理机构不予接收或承认。采购代理机构收到电子备份响应文件后按“政府采购云平台”操作规范上传至“政府采购云平台”，电子备份响应文件上传成功后，供应商原上传的“电子加密响应文件”自动失效。若供应商在规定时间内无法解密或解密失败且未在规定的时间内提供电子备份响应文件的（包含提供的电子备份响应文件无效或无法解密的情况），视为供应商放弃谈判。</w:t>
      </w:r>
    </w:p>
    <w:p w14:paraId="42DBFE1D">
      <w:pPr>
        <w:keepLines w:val="0"/>
        <w:pageBreakBefore w:val="0"/>
        <w:tabs>
          <w:tab w:val="left" w:pos="1305"/>
        </w:tabs>
        <w:kinsoku/>
        <w:overflowPunct/>
        <w:bidi w:val="0"/>
        <w:spacing w:line="360" w:lineRule="auto"/>
        <w:ind w:firstLine="562"/>
        <w:jc w:val="cente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四、竞争性谈判（简称谈判）与评审</w:t>
      </w:r>
    </w:p>
    <w:p w14:paraId="50FBDAA2">
      <w:pPr>
        <w:keepLines w:val="0"/>
        <w:pageBreakBefore w:val="0"/>
        <w:tabs>
          <w:tab w:val="center" w:pos="4411"/>
          <w:tab w:val="left" w:pos="5475"/>
        </w:tabs>
        <w:kinsoku/>
        <w:overflowPunct/>
        <w:bidi w:val="0"/>
        <w:spacing w:line="360" w:lineRule="auto"/>
        <w:ind w:firstLine="422"/>
        <w:jc w:val="left"/>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18.谈判小组组成及谈判时间、地点、人员</w:t>
      </w:r>
    </w:p>
    <w:p w14:paraId="37D68483">
      <w:pPr>
        <w:keepLines w:val="0"/>
        <w:pageBreakBefore w:val="0"/>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18.1 谈判小组组成：</w:t>
      </w:r>
    </w:p>
    <w:p w14:paraId="2D76DCEE">
      <w:pPr>
        <w:keepLines w:val="0"/>
        <w:pageBreakBefore w:val="0"/>
        <w:tabs>
          <w:tab w:val="left" w:pos="114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bCs/>
          <w:color w:val="auto"/>
          <w:sz w:val="21"/>
          <w:szCs w:val="21"/>
          <w:highlight w:val="none"/>
        </w:rPr>
        <w:t>谈判及评审组织工作由采购代理机构负责，具体谈判、评审工作由依法组建的谈判小组负责，本项目谈判小组的构成：3人</w:t>
      </w:r>
      <w:r>
        <w:rPr>
          <w:rFonts w:hint="eastAsia" w:ascii="宋体" w:hAnsi="宋体" w:eastAsia="宋体" w:cs="宋体"/>
          <w:color w:val="auto"/>
          <w:sz w:val="21"/>
          <w:szCs w:val="21"/>
        </w:rPr>
        <w:t>，其中采购人代表 1 人，有关专家2人</w:t>
      </w:r>
      <w:r>
        <w:rPr>
          <w:rFonts w:hint="eastAsia" w:ascii="宋体" w:hAnsi="宋体" w:cs="宋体"/>
          <w:color w:val="auto"/>
          <w:sz w:val="21"/>
          <w:szCs w:val="21"/>
          <w:highlight w:val="none"/>
        </w:rPr>
        <w:t>。</w:t>
      </w:r>
    </w:p>
    <w:p w14:paraId="1DEE7A7C">
      <w:pPr>
        <w:keepLines w:val="0"/>
        <w:pageBreakBefore w:val="0"/>
        <w:tabs>
          <w:tab w:val="left" w:pos="1305"/>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18.2 谈判时间、地点、人员：</w:t>
      </w:r>
    </w:p>
    <w:p w14:paraId="3E34D6F8">
      <w:pPr>
        <w:keepLines w:val="0"/>
        <w:pageBreakBefore w:val="0"/>
        <w:tabs>
          <w:tab w:val="left" w:pos="1140"/>
        </w:tabs>
        <w:kinsoku/>
        <w:overflowPunct/>
        <w:bidi w:val="0"/>
        <w:spacing w:line="360" w:lineRule="auto"/>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18.2.1 谈判时间：首次响应文件提交截止时间后。</w:t>
      </w:r>
    </w:p>
    <w:p w14:paraId="1221747D">
      <w:pPr>
        <w:keepLines w:val="0"/>
        <w:pageBreakBefore w:val="0"/>
        <w:tabs>
          <w:tab w:val="left" w:pos="1140"/>
        </w:tabs>
        <w:kinsoku/>
        <w:overflowPunct/>
        <w:bidi w:val="0"/>
        <w:spacing w:line="360" w:lineRule="auto"/>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18.2.2 谈判地点：“广西政府采购云平台”在线谈判。谈判小组将通过“广西政府采购云平台”在线要求供应商澄清（说明或者更正）、参与谈判、提交最后报价等，响应文件提交后直至评审结束前，供应商应保持“广西政府采购云平台”登录并实时在线，确保及时收到相关信息并应答。否则，其不利后果由供应商自行承担。</w:t>
      </w:r>
    </w:p>
    <w:p w14:paraId="6538D8B6">
      <w:pPr>
        <w:keepLines w:val="0"/>
        <w:pageBreakBefore w:val="0"/>
        <w:tabs>
          <w:tab w:val="left" w:pos="1140"/>
        </w:tabs>
        <w:kinsoku/>
        <w:overflowPunct/>
        <w:bidi w:val="0"/>
        <w:spacing w:line="360" w:lineRule="auto"/>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18.2.3 谈判参加人员：供应商法定代表人或相应的委托代理人参加谈判。</w:t>
      </w:r>
    </w:p>
    <w:p w14:paraId="1163DABC">
      <w:pPr>
        <w:keepLines w:val="0"/>
        <w:pageBreakBefore w:val="0"/>
        <w:tabs>
          <w:tab w:val="left" w:pos="1140"/>
        </w:tabs>
        <w:kinsoku/>
        <w:overflowPunct/>
        <w:bidi w:val="0"/>
        <w:spacing w:line="360" w:lineRule="auto"/>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18.2.4 首次响应文件提交截止时间后，登录“广西政府采购云平台”在线解密开启。</w:t>
      </w:r>
    </w:p>
    <w:p w14:paraId="6E0244B3">
      <w:pPr>
        <w:keepLines w:val="0"/>
        <w:pageBreakBefore w:val="0"/>
        <w:tabs>
          <w:tab w:val="left" w:pos="1140"/>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19.评审原则和评审办法</w:t>
      </w:r>
    </w:p>
    <w:p w14:paraId="6871F320">
      <w:pPr>
        <w:keepLines w:val="0"/>
        <w:pageBreakBefore w:val="0"/>
        <w:tabs>
          <w:tab w:val="left" w:pos="114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0"/>
          <w:highlight w:val="none"/>
        </w:rPr>
        <w:t>19.1</w:t>
      </w:r>
      <w:r>
        <w:rPr>
          <w:rFonts w:hint="eastAsia" w:ascii="宋体" w:hAnsi="宋体" w:cs="宋体"/>
          <w:color w:val="auto"/>
          <w:kern w:val="0"/>
          <w:sz w:val="21"/>
          <w:szCs w:val="21"/>
          <w:highlight w:val="none"/>
        </w:rPr>
        <w:t>谈判小组必须坚持公平、公正、科学和择优的原则。</w:t>
      </w:r>
    </w:p>
    <w:p w14:paraId="769DBC8E">
      <w:pPr>
        <w:keepLines w:val="0"/>
        <w:pageBreakBefore w:val="0"/>
        <w:tabs>
          <w:tab w:val="left" w:pos="114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sz w:val="21"/>
          <w:szCs w:val="21"/>
          <w:highlight w:val="none"/>
        </w:rPr>
        <w:t>19.2评审办法：具体详见“第四章 评审办法”。</w:t>
      </w:r>
    </w:p>
    <w:p w14:paraId="0F9D8452">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19.3谈判小组应按谈判文件进行评审，不得擅自更改评审办法。</w:t>
      </w:r>
    </w:p>
    <w:p w14:paraId="7538EC18">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19.4在评审过程中，谈判小组任何人不得对某个供应商发表任何倾向性意见，不得向其他谈判小组成员明示或者暗示自己的评审意见。</w:t>
      </w:r>
    </w:p>
    <w:p w14:paraId="7063DBDF">
      <w:pPr>
        <w:keepLines w:val="0"/>
        <w:pageBreakBefore w:val="0"/>
        <w:tabs>
          <w:tab w:val="left" w:pos="1140"/>
        </w:tabs>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19.5谈判小组成员对需要共同认定的事项存在争议的，按照少数服从多数的原则作出结论。持不同意见的谈判小组成员应当在评审报告上签署不同意见并说明理由，否则视为同意。</w:t>
      </w:r>
    </w:p>
    <w:p w14:paraId="17FE824A">
      <w:pPr>
        <w:keepLines w:val="0"/>
        <w:pageBreakBefore w:val="0"/>
        <w:tabs>
          <w:tab w:val="left" w:pos="1140"/>
        </w:tabs>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20.评审程序及谈判要求</w:t>
      </w:r>
    </w:p>
    <w:p w14:paraId="2E458175">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20.1谈判小组成员的通讯工具或相关电子设备交由桂林市公共资源交易中心统一保管后到达评标室，采购代理机构核实谈判小组成员身份，告知回避要求，宣布评审工作纪律和程序，推选谈判小组组长。</w:t>
      </w:r>
    </w:p>
    <w:p w14:paraId="4B174E00">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20.2 谈判小组应当审查供应商的响应文件并作出评价；要求供应商解释或者澄清其响应文件；编写评审报告；告知采购人、采购代理机构在评审过程中发现的供应商的违法违规行为。</w:t>
      </w:r>
    </w:p>
    <w:p w14:paraId="40D7200A">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20.3 谈判小组依据法律法规和竞争性谈判文件的规定，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以确定供应商是否具备本项目供应商资格；再对通过资格性审查的供应商响应文件的有效性、完整性和对谈判文件的响应程度进行符合性审查，以确定是否对谈判文件的实质性要求做出响应。</w:t>
      </w:r>
    </w:p>
    <w:p w14:paraId="5693229D">
      <w:pPr>
        <w:keepLines w:val="0"/>
        <w:pageBreakBefore w:val="0"/>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20.4谈判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5C881B9E">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20.4.1查询渠道：《国家企业信用信息公示系统》（网址：</w:t>
      </w:r>
      <w:r>
        <w:rPr>
          <w:rFonts w:hint="eastAsia" w:ascii="宋体" w:hAnsi="宋体"/>
          <w:color w:val="auto"/>
          <w:sz w:val="21"/>
          <w:szCs w:val="21"/>
          <w:highlight w:val="none"/>
        </w:rPr>
        <w:t>www.gsxt.gov.cn/index.html</w:t>
      </w:r>
      <w:r>
        <w:rPr>
          <w:rFonts w:hint="eastAsia" w:ascii="宋体" w:hAnsi="宋体" w:cs="宋体"/>
          <w:color w:val="auto"/>
          <w:kern w:val="0"/>
          <w:sz w:val="21"/>
          <w:szCs w:val="21"/>
          <w:highlight w:val="none"/>
        </w:rPr>
        <w:t>）</w:t>
      </w:r>
    </w:p>
    <w:p w14:paraId="4571560B">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20.4.2审查流程：</w:t>
      </w:r>
    </w:p>
    <w:p w14:paraId="1AA4D8B2">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（1）进入《国家企业信用信息公示系统》（网址：www.gsxt.gov.cn/index.html），输入企业名称，进入企业信息主页面；</w:t>
      </w:r>
    </w:p>
    <w:p w14:paraId="06067682">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69250B88">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4418BFCC">
      <w:pPr>
        <w:keepLines w:val="0"/>
        <w:pageBreakBefore w:val="0"/>
        <w:kinsoku/>
        <w:overflowPunct/>
        <w:bidi w:val="0"/>
        <w:snapToGrid w:val="0"/>
        <w:spacing w:line="360" w:lineRule="auto"/>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22023186">
      <w:pPr>
        <w:keepLines w:val="0"/>
        <w:pageBreakBefore w:val="0"/>
        <w:kinsoku/>
        <w:overflowPunct/>
        <w:bidi w:val="0"/>
        <w:spacing w:line="360" w:lineRule="auto"/>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6447BA5B">
      <w:pPr>
        <w:keepLines w:val="0"/>
        <w:pageBreakBefore w:val="0"/>
        <w:kinsoku/>
        <w:overflowPunct/>
        <w:bidi w:val="0"/>
        <w:spacing w:line="360" w:lineRule="auto"/>
        <w:ind w:firstLine="422"/>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20.</w:t>
      </w:r>
      <w:r>
        <w:rPr>
          <w:rFonts w:hint="eastAsia" w:ascii="宋体" w:hAnsi="宋体" w:eastAsia="宋体" w:cs="宋体"/>
          <w:b/>
          <w:color w:val="auto"/>
          <w:kern w:val="0"/>
          <w:sz w:val="21"/>
          <w:szCs w:val="21"/>
          <w:highlight w:val="none"/>
          <w:lang w:val="en-US" w:eastAsia="zh-CN"/>
        </w:rPr>
        <w:t>5</w:t>
      </w:r>
      <w:r>
        <w:rPr>
          <w:rFonts w:hint="eastAsia" w:ascii="宋体" w:hAnsi="宋体" w:cs="宋体"/>
          <w:b/>
          <w:color w:val="auto"/>
          <w:kern w:val="0"/>
          <w:sz w:val="21"/>
          <w:szCs w:val="21"/>
          <w:highlight w:val="none"/>
        </w:rPr>
        <w:t>谈判小组在对供应商进行资格性审查时</w:t>
      </w:r>
      <w:r>
        <w:rPr>
          <w:rFonts w:hint="eastAsia" w:ascii="宋体" w:hAnsi="宋体" w:eastAsia="宋体" w:cs="宋体"/>
          <w:b/>
          <w:color w:val="auto"/>
          <w:kern w:val="0"/>
          <w:sz w:val="21"/>
          <w:szCs w:val="21"/>
          <w:highlight w:val="none"/>
        </w:rPr>
        <w:t>，对</w:t>
      </w:r>
      <w:r>
        <w:rPr>
          <w:rFonts w:hint="eastAsia" w:ascii="宋体" w:hAnsi="宋体" w:eastAsia="宋体" w:cs="宋体"/>
          <w:b/>
          <w:color w:val="auto"/>
          <w:kern w:val="0"/>
          <w:sz w:val="21"/>
          <w:szCs w:val="21"/>
          <w:highlight w:val="none"/>
          <w:lang w:val="en-US" w:eastAsia="zh-CN"/>
        </w:rPr>
        <w:t>供应商</w:t>
      </w:r>
      <w:r>
        <w:rPr>
          <w:rFonts w:hint="eastAsia" w:ascii="宋体" w:hAnsi="宋体" w:eastAsia="宋体" w:cs="宋体"/>
          <w:b/>
          <w:color w:val="auto"/>
          <w:kern w:val="0"/>
          <w:sz w:val="21"/>
          <w:szCs w:val="21"/>
          <w:highlight w:val="none"/>
        </w:rPr>
        <w:t>进行信用查询。</w:t>
      </w:r>
    </w:p>
    <w:p w14:paraId="5D6A4F98">
      <w:pPr>
        <w:keepLines w:val="0"/>
        <w:pageBreakBefore w:val="0"/>
        <w:kinsoku/>
        <w:overflowPunct/>
        <w:bidi w:val="0"/>
        <w:spacing w:line="360" w:lineRule="auto"/>
        <w:ind w:firstLine="422"/>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（1）查询渠道：“信用中国”网站（www.creditchina.gov.cn）、中国政府采购网（www.ccgp.gov.cn）链接入口。</w:t>
      </w:r>
    </w:p>
    <w:p w14:paraId="05A12FFC">
      <w:pPr>
        <w:keepLines w:val="0"/>
        <w:pageBreakBefore w:val="0"/>
        <w:kinsoku/>
        <w:overflowPunct/>
        <w:bidi w:val="0"/>
        <w:spacing w:line="360" w:lineRule="auto"/>
        <w:ind w:firstLine="422"/>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（2）信用查询截止时点：资格审查结束前。</w:t>
      </w:r>
    </w:p>
    <w:p w14:paraId="6058B076">
      <w:pPr>
        <w:keepLines w:val="0"/>
        <w:pageBreakBefore w:val="0"/>
        <w:kinsoku/>
        <w:overflowPunct/>
        <w:bidi w:val="0"/>
        <w:spacing w:line="360" w:lineRule="auto"/>
        <w:ind w:firstLine="422"/>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（3）查询记录和证据留存方式：在查询网站中直接查询</w:t>
      </w:r>
      <w:r>
        <w:rPr>
          <w:rFonts w:hint="eastAsia" w:ascii="宋体" w:hAnsi="宋体" w:eastAsia="宋体" w:cs="宋体"/>
          <w:b/>
          <w:color w:val="auto"/>
          <w:kern w:val="0"/>
          <w:sz w:val="21"/>
          <w:szCs w:val="21"/>
          <w:highlight w:val="none"/>
          <w:lang w:val="en-US" w:eastAsia="zh-CN"/>
        </w:rPr>
        <w:t>网页</w:t>
      </w:r>
      <w:r>
        <w:rPr>
          <w:rFonts w:hint="eastAsia" w:ascii="宋体" w:hAnsi="宋体" w:eastAsia="宋体" w:cs="宋体"/>
          <w:b/>
          <w:color w:val="auto"/>
          <w:kern w:val="0"/>
          <w:sz w:val="21"/>
          <w:szCs w:val="21"/>
          <w:highlight w:val="none"/>
        </w:rPr>
        <w:t>作为评审资料保存。</w:t>
      </w:r>
    </w:p>
    <w:p w14:paraId="094DC63D">
      <w:pPr>
        <w:keepLines w:val="0"/>
        <w:pageBreakBefore w:val="0"/>
        <w:kinsoku/>
        <w:overflowPunct/>
        <w:bidi w:val="0"/>
        <w:spacing w:line="360" w:lineRule="auto"/>
        <w:ind w:firstLine="422"/>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46EE0A93">
      <w:pPr>
        <w:keepLines w:val="0"/>
        <w:pageBreakBefore w:val="0"/>
        <w:kinsoku/>
        <w:overflowPunct/>
        <w:bidi w:val="0"/>
        <w:spacing w:line="360" w:lineRule="auto"/>
        <w:ind w:firstLine="420"/>
        <w:rPr>
          <w:rFonts w:hint="eastAsia" w:ascii="宋体" w:hAnsi="宋体" w:cs="宋体"/>
          <w:color w:val="auto"/>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谈判小组在对响应文件的有效性、完整性和响应程度进行审查时，可以要求供应商对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广西政府采购云平台”采用在线书面形式，澄清、说明或者补正应当加盖供应商电子签章或者由法定代表人或其委托代理人签字（或者电子签名）。</w:t>
      </w:r>
    </w:p>
    <w:p w14:paraId="48520871">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根据谈判文件规定的程序、评定成交的标准等事项与实质性响应竞争性谈判文件要求的供应商进行谈判。未实质性响应谈判文件的响应文件按无效处理，谈判小组应当告知有关供应商。</w:t>
      </w:r>
    </w:p>
    <w:p w14:paraId="212DB44F">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谈判小组所有成员应当按已确定的谈判顺序集中与单一供应商分别进行谈判，并给予所有实质性响应竞争性谈判文件要求的供应商平等的谈判机会。</w:t>
      </w:r>
    </w:p>
    <w:p w14:paraId="24C38068">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谈判中，谈判小组不得透露与谈判有关的其他供应商的技术资料、价格和其他信息。</w:t>
      </w:r>
    </w:p>
    <w:p w14:paraId="2AA26D54">
      <w:pPr>
        <w:keepLines w:val="0"/>
        <w:pageBreakBefore w:val="0"/>
        <w:widowControl/>
        <w:tabs>
          <w:tab w:val="left" w:pos="540"/>
        </w:tabs>
        <w:kinsoku/>
        <w:overflowPunct/>
        <w:bidi w:val="0"/>
        <w:spacing w:line="360" w:lineRule="auto"/>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采购代理机构（谈判小组）对谈判过程和重要谈判内容进行记录，谈判双方在记录上签字（或电子签名）确认</w:t>
      </w:r>
      <w:r>
        <w:rPr>
          <w:rFonts w:hint="eastAsia" w:ascii="宋体" w:hAnsi="宋体" w:cs="宋体"/>
          <w:color w:val="auto"/>
          <w:sz w:val="21"/>
          <w:szCs w:val="21"/>
          <w:highlight w:val="none"/>
        </w:rPr>
        <w:t>或加盖供应商电子签章</w:t>
      </w:r>
      <w:r>
        <w:rPr>
          <w:rFonts w:hint="eastAsia" w:ascii="宋体" w:hAnsi="宋体" w:cs="宋体"/>
          <w:color w:val="auto"/>
          <w:kern w:val="0"/>
          <w:sz w:val="21"/>
          <w:szCs w:val="21"/>
          <w:highlight w:val="none"/>
        </w:rPr>
        <w:t>。</w:t>
      </w:r>
    </w:p>
    <w:p w14:paraId="717C9D5A">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7</w:t>
      </w:r>
      <w:r>
        <w:rPr>
          <w:rFonts w:hint="eastAsia" w:ascii="宋体" w:hAnsi="宋体" w:cs="宋体"/>
          <w:color w:val="auto"/>
          <w:kern w:val="0"/>
          <w:sz w:val="21"/>
          <w:szCs w:val="21"/>
          <w:highlight w:val="none"/>
        </w:rPr>
        <w:t>在谈判过程中，谈判小组可以根据谈判文件和谈判情况实质性变动采购需求中的技术、服务要求以及合同草案条款，但不得变动谈判文件中的其他内容。实质性变动的内容，须经采购人代表确认。</w:t>
      </w:r>
    </w:p>
    <w:p w14:paraId="1EE29979">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对谈判文件作出的实质性变动是谈判文件的有效组成部分，谈判小组应当及时通过“广西政府采购云平台”以书面形式同时通知所有参加谈判的供应商。</w:t>
      </w:r>
    </w:p>
    <w:p w14:paraId="38CB741C">
      <w:pPr>
        <w:keepLines w:val="0"/>
        <w:pageBreakBefore w:val="0"/>
        <w:kinsoku/>
        <w:overflowPunct/>
        <w:bidi w:val="0"/>
        <w:spacing w:line="360" w:lineRule="auto"/>
        <w:ind w:firstLine="42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20.</w:t>
      </w:r>
      <w:r>
        <w:rPr>
          <w:rFonts w:hint="eastAsia" w:ascii="宋体" w:hAnsi="宋体" w:cs="宋体"/>
          <w:b/>
          <w:bCs/>
          <w:color w:val="auto"/>
          <w:kern w:val="0"/>
          <w:sz w:val="21"/>
          <w:szCs w:val="21"/>
          <w:highlight w:val="none"/>
          <w:lang w:val="en-US" w:eastAsia="zh-CN"/>
        </w:rPr>
        <w:t>8</w:t>
      </w:r>
      <w:r>
        <w:rPr>
          <w:rFonts w:hint="eastAsia" w:ascii="宋体" w:hAnsi="宋体" w:cs="宋体"/>
          <w:b/>
          <w:bCs/>
          <w:color w:val="auto"/>
          <w:kern w:val="0"/>
          <w:sz w:val="21"/>
          <w:szCs w:val="21"/>
          <w:highlight w:val="none"/>
        </w:rPr>
        <w:t>供应商必须按照谈判文件的变动情况和谈判小组的要求重新提交响应文件，并应当加盖供应商电子签章或者由法定代表人或其委托代理人签字（或者电子签名）。逾时不交的，视同放弃谈判，其响应文件按无效处理。</w:t>
      </w:r>
    </w:p>
    <w:p w14:paraId="44E3F826">
      <w:pPr>
        <w:keepLines w:val="0"/>
        <w:pageBreakBefore w:val="0"/>
        <w:widowControl/>
        <w:kinsoku/>
        <w:overflowPunct/>
        <w:bidi w:val="0"/>
        <w:spacing w:line="360" w:lineRule="auto"/>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9</w:t>
      </w:r>
      <w:r>
        <w:rPr>
          <w:rFonts w:hint="eastAsia" w:ascii="宋体" w:hAnsi="宋体" w:cs="宋体"/>
          <w:color w:val="auto"/>
          <w:kern w:val="0"/>
          <w:sz w:val="21"/>
          <w:szCs w:val="21"/>
          <w:highlight w:val="none"/>
        </w:rPr>
        <w:t>最后报价</w:t>
      </w:r>
    </w:p>
    <w:p w14:paraId="29ADDBEA">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9</w:t>
      </w:r>
      <w:r>
        <w:rPr>
          <w:rFonts w:hint="eastAsia" w:ascii="宋体" w:hAnsi="宋体" w:cs="宋体"/>
          <w:color w:val="auto"/>
          <w:kern w:val="0"/>
          <w:sz w:val="21"/>
          <w:szCs w:val="21"/>
          <w:highlight w:val="none"/>
        </w:rPr>
        <w:t>.1谈判文件能够详细列明采购标的的技术、服务要求的，谈判结束后，谈判小组应当要求所有实质性响应的供应商在规定时间内通过“广西政府采购云平台”在线提交最后报价，提交最后报价的供应商不得少于3家；谈判文件不能详细列明采购标的的技术、服务要求的，需由供应商提供最终设计方案或解决方案的，谈判结束后，谈判小组应当按照少数服从多数的原则投票推荐3家以上（含3家）供应商的设计方案或者解决方案，并要求其在规定时间内通过“广西政府采购云平台”在线提交最后报价。</w:t>
      </w:r>
    </w:p>
    <w:p w14:paraId="548B9583">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9</w:t>
      </w:r>
      <w:r>
        <w:rPr>
          <w:rFonts w:hint="eastAsia" w:ascii="宋体" w:hAnsi="宋体" w:cs="宋体"/>
          <w:color w:val="auto"/>
          <w:kern w:val="0"/>
          <w:sz w:val="21"/>
          <w:szCs w:val="21"/>
          <w:highlight w:val="none"/>
        </w:rPr>
        <w:t>.2</w:t>
      </w:r>
      <w:r>
        <w:rPr>
          <w:rFonts w:ascii="宋体" w:hAnsi="宋体" w:cs="宋体"/>
          <w:color w:val="auto"/>
          <w:kern w:val="0"/>
          <w:sz w:val="21"/>
          <w:szCs w:val="21"/>
          <w:highlight w:val="none"/>
        </w:rPr>
        <w:t>在采购过程中符合竞争要求的供应商或者报价未超过</w:t>
      </w:r>
      <w:r>
        <w:rPr>
          <w:rFonts w:hint="eastAsia" w:ascii="宋体" w:hAnsi="宋体" w:cs="宋体"/>
          <w:color w:val="auto"/>
          <w:kern w:val="0"/>
          <w:sz w:val="21"/>
          <w:szCs w:val="21"/>
          <w:highlight w:val="none"/>
        </w:rPr>
        <w:t>采购预算</w:t>
      </w:r>
      <w:r>
        <w:rPr>
          <w:rFonts w:ascii="宋体" w:hAnsi="宋体" w:cs="宋体"/>
          <w:color w:val="auto"/>
          <w:kern w:val="0"/>
          <w:sz w:val="21"/>
          <w:szCs w:val="21"/>
          <w:highlight w:val="none"/>
        </w:rPr>
        <w:t>的供应商不足3家的</w:t>
      </w:r>
      <w:r>
        <w:rPr>
          <w:rFonts w:hint="eastAsia" w:ascii="宋体" w:hAnsi="宋体" w:cs="宋体"/>
          <w:color w:val="auto"/>
          <w:kern w:val="0"/>
          <w:sz w:val="21"/>
          <w:szCs w:val="21"/>
          <w:highlight w:val="none"/>
        </w:rPr>
        <w:t>，采购人或者采购代理机构应当终止竞争性谈判采购活动。</w:t>
      </w:r>
    </w:p>
    <w:p w14:paraId="7FCEB8AC">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9</w:t>
      </w:r>
      <w:r>
        <w:rPr>
          <w:rFonts w:hint="eastAsia" w:ascii="宋体" w:hAnsi="宋体" w:cs="宋体"/>
          <w:color w:val="auto"/>
          <w:kern w:val="0"/>
          <w:sz w:val="21"/>
          <w:szCs w:val="21"/>
          <w:highlight w:val="none"/>
        </w:rPr>
        <w:t>.3最后报价是供应商响应文件的有效组成部分。</w:t>
      </w:r>
    </w:p>
    <w:p w14:paraId="2E3DFA9D">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已提交响应文件的供应商，在提交最后报价之前，可以根据谈判情况书面退出谈判。</w:t>
      </w:r>
    </w:p>
    <w:p w14:paraId="74A9EA44">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未书面退出谈判的供应商必须在规定时间内通过“广西政府采购云平台”在线提交最后报价；谈判过程中谈判文件未作实质性变动的，</w:t>
      </w:r>
      <w:r>
        <w:rPr>
          <w:rFonts w:hint="eastAsia" w:ascii="宋体" w:hAnsi="宋体"/>
          <w:color w:val="auto"/>
          <w:sz w:val="21"/>
          <w:szCs w:val="21"/>
          <w:highlight w:val="none"/>
        </w:rPr>
        <w:t>最后报价不得超过首次报价</w:t>
      </w:r>
      <w:r>
        <w:rPr>
          <w:rFonts w:hint="eastAsia" w:ascii="宋体" w:hAnsi="宋体" w:cs="宋体"/>
          <w:color w:val="auto"/>
          <w:kern w:val="0"/>
          <w:sz w:val="21"/>
          <w:szCs w:val="21"/>
          <w:highlight w:val="none"/>
        </w:rPr>
        <w:t>。</w:t>
      </w:r>
    </w:p>
    <w:p w14:paraId="5D46F69E">
      <w:pPr>
        <w:keepLines w:val="0"/>
        <w:pageBreakBefore w:val="0"/>
        <w:kinsoku/>
        <w:overflowPunct/>
        <w:bidi w:val="0"/>
        <w:spacing w:line="360" w:lineRule="auto"/>
        <w:ind w:firstLine="420"/>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w:t>
      </w:r>
      <w:r>
        <w:rPr>
          <w:rFonts w:hint="eastAsia" w:ascii="宋体" w:hAnsi="宋体" w:cs="宋体"/>
          <w:b/>
          <w:bCs/>
          <w:color w:val="auto"/>
          <w:kern w:val="0"/>
          <w:sz w:val="21"/>
          <w:szCs w:val="21"/>
          <w:highlight w:val="none"/>
          <w:lang w:val="en-US" w:eastAsia="zh-CN"/>
        </w:rPr>
        <w:t>0</w:t>
      </w:r>
      <w:r>
        <w:rPr>
          <w:rFonts w:hint="eastAsia" w:ascii="宋体" w:hAnsi="宋体" w:cs="宋体"/>
          <w:b/>
          <w:bCs/>
          <w:color w:val="auto"/>
          <w:kern w:val="0"/>
          <w:sz w:val="21"/>
          <w:szCs w:val="21"/>
          <w:highlight w:val="none"/>
        </w:rPr>
        <w:t>.</w:t>
      </w:r>
      <w:r>
        <w:rPr>
          <w:rFonts w:hint="eastAsia" w:ascii="宋体" w:hAnsi="宋体" w:cs="宋体"/>
          <w:b/>
          <w:bCs/>
          <w:color w:val="auto"/>
          <w:kern w:val="0"/>
          <w:sz w:val="21"/>
          <w:szCs w:val="21"/>
          <w:highlight w:val="none"/>
          <w:lang w:val="en-US" w:eastAsia="zh-CN"/>
        </w:rPr>
        <w:t>11</w:t>
      </w:r>
      <w:r>
        <w:rPr>
          <w:rFonts w:hint="eastAsia" w:ascii="宋体" w:hAnsi="宋体" w:cs="宋体"/>
          <w:b/>
          <w:bCs/>
          <w:color w:val="auto"/>
          <w:kern w:val="0"/>
          <w:sz w:val="21"/>
          <w:szCs w:val="21"/>
          <w:highlight w:val="none"/>
        </w:rPr>
        <w:t>异常低价评审</w:t>
      </w:r>
    </w:p>
    <w:p w14:paraId="5768AFAE">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在评审中发现下列情形之一的，应当启动异常低价投标审查程序：</w:t>
      </w:r>
    </w:p>
    <w:p w14:paraId="6A37D341">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①</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低于全部通过符合性审查投标人</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平均值</w:t>
      </w:r>
      <w:r>
        <w:rPr>
          <w:rFonts w:hint="eastAsia" w:ascii="宋体" w:hAnsi="宋体" w:cs="宋体"/>
          <w:color w:val="auto"/>
          <w:kern w:val="0"/>
          <w:sz w:val="21"/>
          <w:szCs w:val="21"/>
          <w:highlight w:val="none"/>
          <w:lang w:val="en-US" w:eastAsia="zh-CN"/>
        </w:rPr>
        <w:t>50</w:t>
      </w:r>
      <w:r>
        <w:rPr>
          <w:rFonts w:hint="eastAsia" w:ascii="宋体" w:hAnsi="宋体" w:cs="宋体"/>
          <w:color w:val="auto"/>
          <w:kern w:val="0"/>
          <w:sz w:val="21"/>
          <w:szCs w:val="21"/>
          <w:highlight w:val="none"/>
        </w:rPr>
        <w:t>%的，即</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＜全部通过符合性审查投标人</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平均值×</w:t>
      </w:r>
      <w:r>
        <w:rPr>
          <w:rFonts w:hint="eastAsia" w:ascii="宋体" w:hAnsi="宋体" w:cs="宋体"/>
          <w:color w:val="auto"/>
          <w:kern w:val="0"/>
          <w:sz w:val="21"/>
          <w:szCs w:val="21"/>
          <w:highlight w:val="none"/>
          <w:lang w:val="en-US" w:eastAsia="zh-CN"/>
        </w:rPr>
        <w:t>50</w:t>
      </w:r>
      <w:r>
        <w:rPr>
          <w:rFonts w:hint="eastAsia" w:ascii="宋体" w:hAnsi="宋体" w:cs="宋体"/>
          <w:color w:val="auto"/>
          <w:kern w:val="0"/>
          <w:sz w:val="21"/>
          <w:szCs w:val="21"/>
          <w:highlight w:val="none"/>
        </w:rPr>
        <w:t>%；</w:t>
      </w:r>
    </w:p>
    <w:p w14:paraId="6D74F31F">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②</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低于通过符合性审查的次低报价投标人</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lang w:val="en-US" w:eastAsia="zh-CN"/>
        </w:rPr>
        <w:t>50</w:t>
      </w:r>
      <w:r>
        <w:rPr>
          <w:rFonts w:hint="eastAsia" w:ascii="宋体" w:hAnsi="宋体" w:cs="宋体"/>
          <w:color w:val="auto"/>
          <w:kern w:val="0"/>
          <w:sz w:val="21"/>
          <w:szCs w:val="21"/>
          <w:highlight w:val="none"/>
        </w:rPr>
        <w:t>%的，即</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＜通过符合性审查的次低报价投标人</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50</w:t>
      </w:r>
      <w:r>
        <w:rPr>
          <w:rFonts w:hint="eastAsia" w:ascii="宋体" w:hAnsi="宋体" w:cs="宋体"/>
          <w:color w:val="auto"/>
          <w:kern w:val="0"/>
          <w:sz w:val="21"/>
          <w:szCs w:val="21"/>
          <w:highlight w:val="none"/>
        </w:rPr>
        <w:t>%；</w:t>
      </w:r>
    </w:p>
    <w:p w14:paraId="12EF052A">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③</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低于采购项目最高限价</w:t>
      </w:r>
      <w:r>
        <w:rPr>
          <w:rFonts w:hint="eastAsia" w:ascii="宋体" w:hAnsi="宋体" w:cs="宋体"/>
          <w:color w:val="auto"/>
          <w:kern w:val="0"/>
          <w:sz w:val="21"/>
          <w:szCs w:val="21"/>
          <w:highlight w:val="none"/>
          <w:lang w:val="en-US" w:eastAsia="zh-CN"/>
        </w:rPr>
        <w:t>45</w:t>
      </w:r>
      <w:r>
        <w:rPr>
          <w:rFonts w:hint="eastAsia" w:ascii="宋体" w:hAnsi="宋体" w:cs="宋体"/>
          <w:color w:val="auto"/>
          <w:kern w:val="0"/>
          <w:sz w:val="21"/>
          <w:szCs w:val="21"/>
          <w:highlight w:val="none"/>
        </w:rPr>
        <w:t>%的，即</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＜采购项目最高限价×</w:t>
      </w:r>
      <w:r>
        <w:rPr>
          <w:rFonts w:hint="eastAsia" w:ascii="宋体" w:hAnsi="宋体" w:cs="宋体"/>
          <w:color w:val="auto"/>
          <w:kern w:val="0"/>
          <w:sz w:val="21"/>
          <w:szCs w:val="21"/>
          <w:highlight w:val="none"/>
          <w:lang w:val="en-US" w:eastAsia="zh-CN"/>
        </w:rPr>
        <w:t>45</w:t>
      </w:r>
      <w:r>
        <w:rPr>
          <w:rFonts w:hint="eastAsia" w:ascii="宋体" w:hAnsi="宋体" w:cs="宋体"/>
          <w:color w:val="auto"/>
          <w:kern w:val="0"/>
          <w:sz w:val="21"/>
          <w:szCs w:val="21"/>
          <w:highlight w:val="none"/>
        </w:rPr>
        <w:t>%；</w:t>
      </w:r>
    </w:p>
    <w:p w14:paraId="6673FC80">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④</w:t>
      </w: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基于专业判断，认为投标人报价过低，有可能影响产品质量或者不能诚信履约的其他情形。</w:t>
      </w:r>
    </w:p>
    <w:p w14:paraId="3EEA3FF2">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启动异常低价投标审查后，属于前述第①项至第④项情形的，应当要求相关投标人在评审现场合理的时间内对投标价格作出解释，提供项目具体成本测算等与报价合理性相关的书面说明及必要的证明材料，包括但不限于原材料成本、人工成本、制造费用等，给予相关投标人的合理时间一般不少于30分钟。其中，属于第③项情形，投标人已随投标文件一并提交相关书面说明及必要的证明材料的，可不再重复提交。</w:t>
      </w:r>
    </w:p>
    <w:p w14:paraId="53853F6F">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依据专业经验，参考同类项目中标（成交）价格、类似产品市场价格水平、行业人工费用标准、国家有关部门指导行业协会发布的行业平均成本等情况，对报价合理性进行判断。投标人不能提供书面说明、证明材料，或者提供的书面说明、证明材料不能证明其报价合理性的，</w:t>
      </w: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应当将其作为无效投标处理。</w:t>
      </w:r>
    </w:p>
    <w:p w14:paraId="202E63DC">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采购人、采购代理机构应当为</w:t>
      </w: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在评审现场及时获取同类项目中标（成交）价格、类似产品市场价格水平、行业人工费用标准、国家有关部门指导行业协会发布的行业平均成本等相关信息资料提供便利。</w:t>
      </w: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借助互联网等渠道查询相关信息的，应当严格遵守评审工作纪律，不得实施影响评审公正的行为。</w:t>
      </w:r>
    </w:p>
    <w:p w14:paraId="39D7B991">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异常低价投标审查的启动原因、审查意见和审查结果应当在评审报告中记录，并随投标人提供的相关书面说明及证明材料，以及</w:t>
      </w: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有关互联网浏览、查询历史一并归档。</w:t>
      </w:r>
    </w:p>
    <w:p w14:paraId="4E91217E">
      <w:pPr>
        <w:keepLines w:val="0"/>
        <w:pageBreakBefore w:val="0"/>
        <w:widowControl/>
        <w:tabs>
          <w:tab w:val="left" w:pos="540"/>
        </w:tabs>
        <w:kinsoku/>
        <w:overflowPunct/>
        <w:bidi w:val="0"/>
        <w:spacing w:line="360" w:lineRule="auto"/>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w:t>
      </w:r>
      <w:r>
        <w:rPr>
          <w:rFonts w:hint="eastAsia" w:ascii="宋体" w:hAnsi="宋体" w:cs="宋体"/>
          <w:color w:val="auto"/>
          <w:kern w:val="0"/>
          <w:sz w:val="21"/>
          <w:szCs w:val="21"/>
          <w:highlight w:val="none"/>
          <w:lang w:val="en-US" w:eastAsia="zh-CN"/>
        </w:rPr>
        <w:t>2</w:t>
      </w:r>
      <w:r>
        <w:rPr>
          <w:rFonts w:ascii="宋体" w:hAnsi="宋体" w:cs="宋体"/>
          <w:color w:val="auto"/>
          <w:kern w:val="0"/>
          <w:sz w:val="21"/>
          <w:szCs w:val="21"/>
          <w:highlight w:val="none"/>
        </w:rPr>
        <w:t>评审报告</w:t>
      </w:r>
    </w:p>
    <w:p w14:paraId="008F38A4">
      <w:pPr>
        <w:keepLines w:val="0"/>
        <w:pageBreakBefore w:val="0"/>
        <w:widowControl/>
        <w:tabs>
          <w:tab w:val="left" w:pos="540"/>
        </w:tabs>
        <w:kinsoku/>
        <w:overflowPunct/>
        <w:bidi w:val="0"/>
        <w:spacing w:line="360" w:lineRule="auto"/>
        <w:ind w:firstLine="420"/>
        <w:jc w:val="left"/>
        <w:rPr>
          <w:rFonts w:hint="eastAsia" w:ascii="宋体" w:hAnsi="宋体" w:cs="宋体"/>
          <w:color w:val="auto"/>
          <w:kern w:val="0"/>
          <w:sz w:val="21"/>
          <w:szCs w:val="21"/>
          <w:highlight w:val="none"/>
        </w:rPr>
      </w:pPr>
      <w:r>
        <w:rPr>
          <w:rFonts w:ascii="宋体" w:hAnsi="宋体" w:cs="宋体"/>
          <w:color w:val="auto"/>
          <w:kern w:val="0"/>
          <w:sz w:val="21"/>
          <w:szCs w:val="21"/>
          <w:highlight w:val="none"/>
        </w:rPr>
        <w:t>谈判小组应当从质量和服务均能满足</w:t>
      </w:r>
      <w:r>
        <w:rPr>
          <w:rFonts w:hint="eastAsia" w:ascii="宋体" w:hAnsi="宋体" w:cs="宋体"/>
          <w:color w:val="auto"/>
          <w:kern w:val="0"/>
          <w:sz w:val="21"/>
          <w:szCs w:val="21"/>
          <w:highlight w:val="none"/>
        </w:rPr>
        <w:t>谈判</w:t>
      </w:r>
      <w:r>
        <w:rPr>
          <w:rFonts w:ascii="宋体" w:hAnsi="宋体" w:cs="宋体"/>
          <w:color w:val="auto"/>
          <w:kern w:val="0"/>
          <w:sz w:val="21"/>
          <w:szCs w:val="21"/>
          <w:highlight w:val="none"/>
        </w:rPr>
        <w:t>文件</w:t>
      </w:r>
      <w:r>
        <w:rPr>
          <w:rFonts w:hint="eastAsia" w:ascii="宋体" w:hAnsi="宋体" w:cs="宋体"/>
          <w:color w:val="auto"/>
          <w:kern w:val="0"/>
          <w:sz w:val="21"/>
          <w:szCs w:val="21"/>
          <w:highlight w:val="none"/>
        </w:rPr>
        <w:t>全部</w:t>
      </w:r>
      <w:r>
        <w:rPr>
          <w:rFonts w:ascii="宋体" w:hAnsi="宋体" w:cs="宋体"/>
          <w:color w:val="auto"/>
          <w:kern w:val="0"/>
          <w:sz w:val="21"/>
          <w:szCs w:val="21"/>
          <w:highlight w:val="none"/>
        </w:rPr>
        <w:t>实质性响应要求的供应商中，按</w:t>
      </w:r>
      <w:r>
        <w:rPr>
          <w:rFonts w:hint="eastAsia" w:ascii="宋体" w:hAnsi="宋体" w:cs="宋体"/>
          <w:color w:val="auto"/>
          <w:kern w:val="0"/>
          <w:sz w:val="21"/>
          <w:szCs w:val="21"/>
          <w:highlight w:val="none"/>
        </w:rPr>
        <w:t>照评审报价由低到高的顺序</w:t>
      </w:r>
      <w:r>
        <w:rPr>
          <w:rFonts w:ascii="宋体" w:hAnsi="宋体" w:cs="宋体"/>
          <w:color w:val="auto"/>
          <w:kern w:val="0"/>
          <w:sz w:val="21"/>
          <w:szCs w:val="21"/>
          <w:highlight w:val="none"/>
        </w:rPr>
        <w:t>提出3名以上</w:t>
      </w:r>
      <w:r>
        <w:rPr>
          <w:rFonts w:hint="eastAsia" w:ascii="宋体" w:hAnsi="宋体" w:cs="宋体"/>
          <w:color w:val="auto"/>
          <w:kern w:val="0"/>
          <w:sz w:val="21"/>
          <w:szCs w:val="21"/>
          <w:highlight w:val="none"/>
        </w:rPr>
        <w:t>（含3名）</w:t>
      </w:r>
      <w:r>
        <w:rPr>
          <w:rFonts w:ascii="宋体" w:hAnsi="宋体" w:cs="宋体"/>
          <w:color w:val="auto"/>
          <w:kern w:val="0"/>
          <w:sz w:val="21"/>
          <w:szCs w:val="21"/>
          <w:highlight w:val="none"/>
        </w:rPr>
        <w:t>成交候选人，并编写评审报告。</w:t>
      </w:r>
    </w:p>
    <w:p w14:paraId="22DF8D55">
      <w:pPr>
        <w:keepLines w:val="0"/>
        <w:pageBreakBefore w:val="0"/>
        <w:widowControl/>
        <w:tabs>
          <w:tab w:val="left" w:pos="540"/>
        </w:tabs>
        <w:kinsoku/>
        <w:overflowPunct/>
        <w:bidi w:val="0"/>
        <w:spacing w:line="360" w:lineRule="auto"/>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在评审过程中出现法律法规和谈判文件均没有明确规定的情形时，由谈判小组现场协商解决，协商不一致的，由全体谈判小组投票表决，以得票率二分之一以上专家的意见为准。</w:t>
      </w:r>
    </w:p>
    <w:p w14:paraId="762C1FCC">
      <w:pPr>
        <w:keepLines w:val="0"/>
        <w:pageBreakBefore w:val="0"/>
        <w:widowControl/>
        <w:tabs>
          <w:tab w:val="left" w:pos="540"/>
        </w:tabs>
        <w:kinsoku/>
        <w:overflowPunct/>
        <w:bidi w:val="0"/>
        <w:spacing w:line="360" w:lineRule="auto"/>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采购代理机构发现谈判小组有明显的违规倾向或歧视现象，或不按评审办法进行，或其他不正常行为的，应当及时制止。如制止无效，应及时向</w:t>
      </w:r>
      <w:r>
        <w:rPr>
          <w:rFonts w:hint="eastAsia" w:ascii="宋体" w:hAnsi="宋体" w:cs="宋体"/>
          <w:color w:val="auto"/>
          <w:kern w:val="0"/>
          <w:sz w:val="21"/>
          <w:szCs w:val="21"/>
          <w:highlight w:val="none"/>
          <w:lang w:eastAsia="zh-CN"/>
        </w:rPr>
        <w:t>桂林市</w:t>
      </w:r>
      <w:r>
        <w:rPr>
          <w:rFonts w:hint="eastAsia" w:ascii="宋体" w:hAnsi="宋体" w:cs="宋体"/>
          <w:color w:val="auto"/>
          <w:kern w:val="0"/>
          <w:sz w:val="21"/>
          <w:szCs w:val="21"/>
          <w:highlight w:val="none"/>
        </w:rPr>
        <w:t>政府采购监督管理机构报告。</w:t>
      </w:r>
    </w:p>
    <w:p w14:paraId="4FC1EF24">
      <w:pPr>
        <w:keepLines w:val="0"/>
        <w:pageBreakBefore w:val="0"/>
        <w:kinsoku/>
        <w:overflowPunct/>
        <w:bidi w:val="0"/>
        <w:spacing w:line="360" w:lineRule="auto"/>
        <w:ind w:firstLine="42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确定成交候选人原则</w:t>
      </w:r>
    </w:p>
    <w:p w14:paraId="52C7081D">
      <w:pPr>
        <w:keepLines w:val="0"/>
        <w:pageBreakBefore w:val="0"/>
        <w:widowControl/>
        <w:tabs>
          <w:tab w:val="left" w:pos="540"/>
        </w:tabs>
        <w:kinsoku/>
        <w:overflowPunct/>
        <w:bidi w:val="0"/>
        <w:spacing w:line="360" w:lineRule="auto"/>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r>
        <w:rPr>
          <w:rFonts w:hint="eastAsia" w:ascii="宋体" w:hAnsi="宋体"/>
          <w:color w:val="auto"/>
          <w:sz w:val="21"/>
          <w:szCs w:val="21"/>
          <w:highlight w:val="none"/>
        </w:rPr>
        <w:t>采购人应当在收到评审报告后5个工作日内，从评审报告提出的成交候选人中，根据质量和服务均能满足采购文件实质性响应要求且最后</w:t>
      </w:r>
      <w:r>
        <w:rPr>
          <w:rFonts w:hint="eastAsia" w:ascii="宋体" w:hAnsi="宋体"/>
          <w:color w:val="auto"/>
          <w:sz w:val="21"/>
          <w:szCs w:val="21"/>
          <w:highlight w:val="none"/>
          <w:lang w:val="en-US" w:eastAsia="zh-CN"/>
        </w:rPr>
        <w:t>评审</w:t>
      </w:r>
      <w:r>
        <w:rPr>
          <w:rFonts w:hint="eastAsia" w:ascii="宋体" w:hAnsi="宋体"/>
          <w:color w:val="auto"/>
          <w:sz w:val="21"/>
          <w:szCs w:val="21"/>
          <w:highlight w:val="none"/>
        </w:rPr>
        <w:t>报价最低的原则确定成交供应商。采购人逾期未确定成交供应商且不提出异议的，视为确定评审报告提出的最后</w:t>
      </w:r>
      <w:r>
        <w:rPr>
          <w:rFonts w:hint="eastAsia" w:ascii="宋体" w:hAnsi="宋体"/>
          <w:color w:val="auto"/>
          <w:sz w:val="21"/>
          <w:szCs w:val="21"/>
          <w:highlight w:val="none"/>
          <w:lang w:val="en-US" w:eastAsia="zh-CN"/>
        </w:rPr>
        <w:t>评审</w:t>
      </w:r>
      <w:r>
        <w:rPr>
          <w:rFonts w:hint="eastAsia" w:ascii="宋体" w:hAnsi="宋体"/>
          <w:color w:val="auto"/>
          <w:sz w:val="21"/>
          <w:szCs w:val="21"/>
          <w:highlight w:val="none"/>
        </w:rPr>
        <w:t>报价最低的供应商为成交供应商。</w:t>
      </w:r>
    </w:p>
    <w:p w14:paraId="1C216A2A">
      <w:pPr>
        <w:keepLines w:val="0"/>
        <w:pageBreakBefore w:val="0"/>
        <w:widowControl/>
        <w:tabs>
          <w:tab w:val="left" w:pos="540"/>
        </w:tabs>
        <w:kinsoku/>
        <w:overflowPunct/>
        <w:bidi w:val="0"/>
        <w:spacing w:line="360" w:lineRule="auto"/>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（2）成交供应商拒绝与采购人签订合同的，采购人可以按照评审报告推荐的成交候选人名单排序，确定下一候选人为成交供应商，也可以重新开展政府采购活动。</w:t>
      </w:r>
    </w:p>
    <w:p w14:paraId="656104A0">
      <w:pPr>
        <w:keepLines w:val="0"/>
        <w:pageBreakBefore w:val="0"/>
        <w:kinsoku/>
        <w:overflowPunct/>
        <w:bidi w:val="0"/>
        <w:snapToGrid w:val="0"/>
        <w:spacing w:line="360" w:lineRule="auto"/>
        <w:ind w:firstLine="422"/>
        <w:outlineLvl w:val="4"/>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22.属于下列情况之一者，响应文件无效：</w:t>
      </w:r>
    </w:p>
    <w:p w14:paraId="5FDEE3D8">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（1）未按谈判文件规定完整提交响应文件或未按规定要求签字、签章的，或未提供授权委托书（委托代理的）；</w:t>
      </w:r>
    </w:p>
    <w:p w14:paraId="7FB94A28">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（2）超越了行政审批的经营范围的；</w:t>
      </w:r>
    </w:p>
    <w:p w14:paraId="19A0A8FA">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（3）不具备谈判文件规定的资格要求的</w:t>
      </w:r>
      <w:r>
        <w:rPr>
          <w:rFonts w:hint="eastAsia" w:ascii="宋体" w:hAnsi="宋体" w:cs="宋体"/>
          <w:color w:val="auto"/>
          <w:kern w:val="0"/>
          <w:sz w:val="21"/>
          <w:szCs w:val="24"/>
          <w:highlight w:val="none"/>
        </w:rPr>
        <w:t>；或未按本谈判文件规定提供资格性响应证明材料中的任意一项材料的；或提供的资格性响应证明材料中的任意一项材料无效的；</w:t>
      </w:r>
    </w:p>
    <w:p w14:paraId="7737A986">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w:t>
      </w:r>
      <w:r>
        <w:rPr>
          <w:rFonts w:hint="eastAsia" w:ascii="宋体" w:hAnsi="宋体" w:cs="宋体"/>
          <w:color w:val="auto"/>
          <w:kern w:val="0"/>
          <w:sz w:val="21"/>
          <w:szCs w:val="24"/>
          <w:highlight w:val="none"/>
        </w:rPr>
        <w:t>未按本谈判文件规定提供符合性响应证明材料中的任意一项材料的；或提供的符合性响应证明材料中的任意一项材料无效的；</w:t>
      </w:r>
    </w:p>
    <w:p w14:paraId="280B2014">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（5）响应文件未按谈判文件的内容和要求编制，或提供虚假材料的；</w:t>
      </w:r>
    </w:p>
    <w:p w14:paraId="20C9029C">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（6）响应文件有效期不能满足谈判文件要求的；</w:t>
      </w:r>
    </w:p>
    <w:p w14:paraId="010AA4C1">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w:t>
      </w:r>
      <w:r>
        <w:rPr>
          <w:rFonts w:hint="eastAsia" w:ascii="宋体" w:hAnsi="宋体" w:cs="宋体"/>
          <w:color w:val="auto"/>
          <w:kern w:val="0"/>
          <w:sz w:val="21"/>
          <w:szCs w:val="24"/>
          <w:highlight w:val="none"/>
        </w:rPr>
        <w:t>供应商</w:t>
      </w:r>
      <w:r>
        <w:rPr>
          <w:rFonts w:hint="eastAsia" w:ascii="宋体" w:hAnsi="宋体" w:cs="宋体"/>
          <w:color w:val="auto"/>
          <w:kern w:val="0"/>
          <w:sz w:val="21"/>
          <w:szCs w:val="21"/>
          <w:highlight w:val="none"/>
        </w:rPr>
        <w:t>未就“采购需求”中的所有内容作完整唯一报价的或有选择式有条件的报价的</w:t>
      </w:r>
      <w:r>
        <w:rPr>
          <w:rFonts w:hint="eastAsia" w:ascii="宋体" w:hAnsi="宋体" w:cs="宋体"/>
          <w:color w:val="auto"/>
          <w:kern w:val="0"/>
          <w:sz w:val="21"/>
          <w:szCs w:val="24"/>
          <w:highlight w:val="none"/>
        </w:rPr>
        <w:t>；或未在谈判小组规定的时间内提交最后报价的；或谈判文件未作实质性变动，供应商最后报价高于首次报价的；</w:t>
      </w:r>
    </w:p>
    <w:p w14:paraId="3F182B61">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（8）</w:t>
      </w:r>
      <w:r>
        <w:rPr>
          <w:rFonts w:hint="eastAsia" w:ascii="宋体" w:hAnsi="宋体" w:cs="宋体"/>
          <w:color w:val="auto"/>
          <w:kern w:val="0"/>
          <w:sz w:val="21"/>
          <w:szCs w:val="21"/>
          <w:highlight w:val="none"/>
        </w:rPr>
        <w:t>未在谈判小组规定的时间内参与谈判或重新提交响应文件的；</w:t>
      </w:r>
    </w:p>
    <w:p w14:paraId="09403229">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（9）未满足谈判文件实质性要求的；或者响应文件有采购人不能接受的附加条件的；</w:t>
      </w:r>
    </w:p>
    <w:p w14:paraId="7F169400">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0"/>
          <w:highlight w:val="none"/>
        </w:rPr>
        <w:t>（10）</w:t>
      </w:r>
      <w:r>
        <w:rPr>
          <w:rFonts w:hint="eastAsia" w:ascii="宋体" w:hAnsi="宋体" w:cs="宋体"/>
          <w:color w:val="auto"/>
          <w:kern w:val="0"/>
          <w:sz w:val="21"/>
          <w:szCs w:val="21"/>
          <w:highlight w:val="none"/>
        </w:rPr>
        <w:t>不符合法律、法规和谈判文件规定的其他实质性要求和条件的；</w:t>
      </w:r>
    </w:p>
    <w:p w14:paraId="443F41F3">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（11）供应商为联合体的。</w:t>
      </w:r>
    </w:p>
    <w:p w14:paraId="625389F8">
      <w:pPr>
        <w:keepLines w:val="0"/>
        <w:pageBreakBefore w:val="0"/>
        <w:kinsoku/>
        <w:overflowPunct/>
        <w:bidi w:val="0"/>
        <w:snapToGrid w:val="0"/>
        <w:spacing w:line="360" w:lineRule="auto"/>
        <w:ind w:firstLine="422"/>
        <w:outlineLvl w:val="4"/>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供应商有下列情形之一的，视为串通参与谈判，响应文件将被视为无效：</w:t>
      </w:r>
    </w:p>
    <w:p w14:paraId="750A3638">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36303D15">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（2）不同供应商委托同一单位或者个人办理谈判事宜的；</w:t>
      </w:r>
    </w:p>
    <w:p w14:paraId="510A2E0C">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57D63A1D">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5EAA56A8">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5EEEEB51">
      <w:pPr>
        <w:keepLines w:val="0"/>
        <w:pageBreakBefore w:val="0"/>
        <w:kinsoku/>
        <w:overflowPunct/>
        <w:bidi w:val="0"/>
        <w:snapToGrid w:val="0"/>
        <w:spacing w:line="360" w:lineRule="auto"/>
        <w:ind w:firstLine="422"/>
        <w:outlineLvl w:val="4"/>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23.出现下列情形之一的，采购人或者采购代理机构应当终止竞争性谈判采购活动，发布项目终止公告并说明原因，重新开展采购活动：</w:t>
      </w:r>
    </w:p>
    <w:p w14:paraId="19895BED">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（1）因情况变化，不再符合规定的竞争性谈判采购方式适用情形的；</w:t>
      </w:r>
    </w:p>
    <w:p w14:paraId="2208DCF3">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（2）出现影响采购公正的违法、违规行为的；</w:t>
      </w:r>
    </w:p>
    <w:p w14:paraId="27B41321">
      <w:pPr>
        <w:keepLines w:val="0"/>
        <w:pageBreakBefore w:val="0"/>
        <w:widowControl/>
        <w:kinsoku/>
        <w:overflowPunct/>
        <w:bidi w:val="0"/>
        <w:spacing w:line="360" w:lineRule="auto"/>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（3）在采购过程中符合要求的供应商或者报价未超过采购预算的供应商不足3家的。</w:t>
      </w:r>
    </w:p>
    <w:p w14:paraId="6367F98C">
      <w:pPr>
        <w:keepLines w:val="0"/>
        <w:pageBreakBefore w:val="0"/>
        <w:kinsoku/>
        <w:overflowPunct/>
        <w:bidi w:val="0"/>
        <w:snapToGrid w:val="0"/>
        <w:spacing w:line="360" w:lineRule="auto"/>
        <w:ind w:firstLine="422"/>
        <w:outlineLvl w:val="4"/>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3794878D">
      <w:pPr>
        <w:keepLines w:val="0"/>
        <w:pageBreakBefore w:val="0"/>
        <w:kinsoku/>
        <w:overflowPunct/>
        <w:bidi w:val="0"/>
        <w:snapToGrid w:val="0"/>
        <w:spacing w:line="360" w:lineRule="auto"/>
        <w:ind w:firstLine="422"/>
        <w:outlineLvl w:val="4"/>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25.谈判过程的监控</w:t>
      </w:r>
    </w:p>
    <w:p w14:paraId="4F981E17">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本项目谈判过程实行全程录音、录像监控，供应商在谈判过程中所进行的试图影响谈判结果的不公正活动，可能导致其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6B25DD72">
      <w:pPr>
        <w:keepLines w:val="0"/>
        <w:pageBreakBefore w:val="0"/>
        <w:kinsoku/>
        <w:overflowPunct/>
        <w:bidi w:val="0"/>
        <w:snapToGrid w:val="0"/>
        <w:spacing w:line="360" w:lineRule="auto"/>
        <w:ind w:firstLine="422"/>
        <w:outlineLvl w:val="4"/>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 信用查询 </w:t>
      </w:r>
    </w:p>
    <w:p w14:paraId="2AB1DFE3">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3FE246F6">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w:t>
      </w:r>
    </w:p>
    <w:p w14:paraId="51E93E87">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75965872">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70D5A3E0">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（4）信用信息使用规则：对在“信用中国”网站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 xml:space="preserve">等渠道列入失信被执行人、重大税收违法失信主体、政府采购严重违法失信行为记录名单及其他不符合《中华人民共和国政府采购法》第二十二条规定条件的供应商，取消其成交候选人资格。    </w:t>
      </w:r>
    </w:p>
    <w:p w14:paraId="7A24B68B">
      <w:pPr>
        <w:keepLines w:val="0"/>
        <w:pageBreakBefore w:val="0"/>
        <w:kinsoku/>
        <w:overflowPunct/>
        <w:bidi w:val="0"/>
        <w:spacing w:line="360" w:lineRule="auto"/>
        <w:ind w:firstLine="422"/>
        <w:rPr>
          <w:rFonts w:hint="eastAsia"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44F31396">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27.1 采购代理机构于评审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261ACD69">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27.2中小企业在政府采购活动过程中，请根据自己的真实情况出具《中小企业声明函》。采购人或采购代理机构在公告成交结果时，同时公告其《中小企业声明函》，接受社会监督。</w:t>
      </w:r>
    </w:p>
    <w:p w14:paraId="458856EA">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eastAsia="宋体" w:cs="宋体"/>
          <w:bCs/>
          <w:color w:val="auto"/>
          <w:sz w:val="21"/>
          <w:szCs w:val="21"/>
          <w:highlight w:val="none"/>
          <w:lang w:val="en-US" w:eastAsia="zh-CN"/>
        </w:rPr>
        <w:t>27</w:t>
      </w:r>
      <w:r>
        <w:rPr>
          <w:rFonts w:hint="eastAsia" w:ascii="宋体" w:hAnsi="宋体" w:eastAsia="宋体" w:cs="宋体"/>
          <w:bCs/>
          <w:color w:val="auto"/>
          <w:sz w:val="21"/>
          <w:szCs w:val="21"/>
          <w:highlight w:val="none"/>
        </w:rPr>
        <w:t>.3采购人、采购代理机构应当随</w:t>
      </w:r>
      <w:r>
        <w:rPr>
          <w:rFonts w:hint="eastAsia" w:ascii="宋体" w:hAnsi="宋体" w:cs="宋体"/>
          <w:bCs/>
          <w:color w:val="auto"/>
          <w:sz w:val="21"/>
          <w:szCs w:val="21"/>
          <w:highlight w:val="none"/>
          <w:lang w:val="en-US" w:eastAsia="zh-CN"/>
        </w:rPr>
        <w:t>成交</w:t>
      </w:r>
      <w:r>
        <w:rPr>
          <w:rFonts w:hint="eastAsia" w:ascii="宋体" w:hAnsi="宋体" w:eastAsia="宋体" w:cs="宋体"/>
          <w:bCs/>
          <w:color w:val="auto"/>
          <w:sz w:val="21"/>
          <w:szCs w:val="21"/>
          <w:highlight w:val="none"/>
        </w:rPr>
        <w:t>结果公开</w:t>
      </w:r>
      <w:r>
        <w:rPr>
          <w:rFonts w:hint="eastAsia" w:ascii="宋体" w:hAnsi="宋体" w:cs="宋体"/>
          <w:bCs/>
          <w:color w:val="auto"/>
          <w:sz w:val="21"/>
          <w:szCs w:val="21"/>
          <w:highlight w:val="none"/>
          <w:lang w:val="en-US" w:eastAsia="zh-CN"/>
        </w:rPr>
        <w:t>成交</w:t>
      </w:r>
      <w:r>
        <w:rPr>
          <w:rFonts w:hint="eastAsia" w:ascii="宋体" w:hAnsi="宋体" w:eastAsia="宋体" w:cs="宋体"/>
          <w:bCs/>
          <w:color w:val="auto"/>
          <w:sz w:val="21"/>
          <w:szCs w:val="21"/>
          <w:highlight w:val="none"/>
        </w:rPr>
        <w:t>供应商的《关于符合本国产品标准的声明函》或有关证明文件。</w:t>
      </w:r>
    </w:p>
    <w:p w14:paraId="6D084F4C">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在发布成交公告的同时，采购代理机构通过“广西政府采购云平台”向成交供应商发出电子成交通知书，供应商应自行登录平台查看。</w:t>
      </w:r>
    </w:p>
    <w:p w14:paraId="5008D552">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采购代理机构无义务向未成交的供应商解释未成交原因和退还响应文件。</w:t>
      </w:r>
    </w:p>
    <w:p w14:paraId="53143C71">
      <w:pPr>
        <w:keepLines w:val="0"/>
        <w:pageBreakBefore w:val="0"/>
        <w:kinsoku/>
        <w:overflowPunct/>
        <w:bidi w:val="0"/>
        <w:spacing w:line="360" w:lineRule="auto"/>
        <w:ind w:left="3" w:firstLine="0" w:firstLineChars="0"/>
        <w:jc w:val="center"/>
        <w:rPr>
          <w:rFonts w:hint="eastAsia" w:ascii="宋体" w:hAnsi="宋体" w:cs="宋体"/>
          <w:b/>
          <w:color w:val="auto"/>
          <w:kern w:val="0"/>
          <w:sz w:val="28"/>
          <w:szCs w:val="28"/>
          <w:highlight w:val="none"/>
        </w:rPr>
      </w:pPr>
    </w:p>
    <w:p w14:paraId="7C4AF1CB">
      <w:pPr>
        <w:keepLines w:val="0"/>
        <w:pageBreakBefore w:val="0"/>
        <w:kinsoku/>
        <w:overflowPunct/>
        <w:bidi w:val="0"/>
        <w:spacing w:line="360" w:lineRule="auto"/>
        <w:ind w:left="3" w:firstLine="0" w:firstLineChars="0"/>
        <w:jc w:val="cente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五、签订合同</w:t>
      </w:r>
    </w:p>
    <w:p w14:paraId="74FE9ECA">
      <w:pPr>
        <w:keepLines w:val="0"/>
        <w:pageBreakBefore w:val="0"/>
        <w:kinsoku/>
        <w:overflowPunct/>
        <w:bidi w:val="0"/>
        <w:spacing w:line="360" w:lineRule="auto"/>
        <w:ind w:firstLine="42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0BF2C2DA">
      <w:pPr>
        <w:keepLines w:val="0"/>
        <w:pageBreakBefore w:val="0"/>
        <w:kinsoku/>
        <w:overflowPunct/>
        <w:bidi w:val="0"/>
        <w:snapToGrid w:val="0"/>
        <w:spacing w:line="360" w:lineRule="auto"/>
        <w:ind w:firstLine="411" w:firstLineChars="196"/>
        <w:outlineLvl w:val="4"/>
        <w:rPr>
          <w:rFonts w:hint="eastAsia" w:ascii="宋体" w:hAnsi="宋体" w:cs="宋体"/>
          <w:bCs/>
          <w:color w:val="auto"/>
          <w:kern w:val="0"/>
          <w:sz w:val="21"/>
          <w:szCs w:val="21"/>
          <w:highlight w:val="none"/>
        </w:rPr>
      </w:pPr>
      <w:r>
        <w:rPr>
          <w:rFonts w:hint="eastAsia" w:ascii="宋体" w:hAnsi="宋体" w:cs="宋体"/>
          <w:bCs/>
          <w:color w:val="auto"/>
          <w:kern w:val="0"/>
          <w:sz w:val="21"/>
          <w:szCs w:val="24"/>
          <w:highlight w:val="none"/>
        </w:rPr>
        <w:t>本项目不收取履约保证金。</w:t>
      </w:r>
    </w:p>
    <w:p w14:paraId="46F96513">
      <w:pPr>
        <w:keepLines w:val="0"/>
        <w:pageBreakBefore w:val="0"/>
        <w:kinsoku/>
        <w:overflowPunct/>
        <w:bidi w:val="0"/>
        <w:snapToGrid w:val="0"/>
        <w:spacing w:line="360" w:lineRule="auto"/>
        <w:ind w:firstLine="422"/>
        <w:outlineLvl w:val="4"/>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29.签订合同</w:t>
      </w:r>
    </w:p>
    <w:p w14:paraId="624E386A">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29.1 签订合同时间：成交通知书发出之日起8个工作日内。成交供应商应按规定与采购人签订合同。</w:t>
      </w:r>
    </w:p>
    <w:p w14:paraId="1769EBCC">
      <w:pPr>
        <w:keepLines w:val="0"/>
        <w:pageBreakBefore w:val="0"/>
        <w:kinsoku/>
        <w:overflowPunct/>
        <w:bidi w:val="0"/>
        <w:snapToGrid w:val="0"/>
        <w:spacing w:line="360" w:lineRule="auto"/>
        <w:ind w:firstLine="420"/>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根据《桂林市大数据和行政审批局 桂林市财政局 桂林市住房和城乡建设局 桂林市交通运输局 桂林市水利局关于进一步优化招标采购评标机制加强异常低价监督处置的通知》（市数审</w:t>
      </w:r>
      <w:r>
        <w:rPr>
          <w:rFonts w:hint="eastAsia" w:ascii="宋体" w:hAnsi="宋体" w:eastAsia="宋体" w:cs="宋体"/>
          <w:color w:val="auto"/>
          <w:kern w:val="0"/>
          <w:sz w:val="21"/>
          <w:szCs w:val="21"/>
          <w:highlight w:val="none"/>
          <w:lang w:eastAsia="zh-CN"/>
        </w:rPr>
        <w:t>〔2025〕11号</w:t>
      </w:r>
      <w:r>
        <w:rPr>
          <w:rFonts w:hint="eastAsia" w:ascii="宋体" w:hAnsi="宋体" w:eastAsia="宋体" w:cs="宋体"/>
          <w:color w:val="auto"/>
          <w:kern w:val="0"/>
          <w:sz w:val="21"/>
          <w:szCs w:val="21"/>
          <w:highlight w:val="none"/>
        </w:rPr>
        <w:t>）规定，对报价触发异常低价投标审查程序后仍</w:t>
      </w:r>
      <w:r>
        <w:rPr>
          <w:rFonts w:hint="eastAsia" w:ascii="宋体" w:hAnsi="宋体" w:cs="宋体"/>
          <w:bCs/>
          <w:color w:val="auto"/>
          <w:sz w:val="21"/>
          <w:szCs w:val="21"/>
          <w:highlight w:val="none"/>
          <w:lang w:val="en-US" w:eastAsia="zh-CN"/>
        </w:rPr>
        <w:t>成交</w:t>
      </w:r>
      <w:r>
        <w:rPr>
          <w:rFonts w:hint="eastAsia" w:ascii="宋体" w:hAnsi="宋体" w:eastAsia="宋体" w:cs="宋体"/>
          <w:color w:val="auto"/>
          <w:kern w:val="0"/>
          <w:sz w:val="21"/>
          <w:szCs w:val="21"/>
          <w:highlight w:val="none"/>
        </w:rPr>
        <w:t>的供应商无正当理由拒不签订政府采购合同的，由财政部门依法追究其法律责任。</w:t>
      </w:r>
    </w:p>
    <w:p w14:paraId="5F866294">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29.2 如成交供应商有下列情形之一，情节严重的，由财政部门将其列入不良行为记录名单，在一至三年内禁止参加政府采购活动，并予以通报。采购人可从谈判小组推荐的成交候选人中按顺序重新确定成交供应商或重新组织采购。拒绝签订政府采购合同的成交供应商不得参加对该项目重新开展的采购活动。</w:t>
      </w:r>
    </w:p>
    <w:p w14:paraId="2AEAEEE9">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（1）成交后不与采购人签订合同的（不可抗力除外）；或采购文件规定应当提交履约保证金而未按规定提交的。</w:t>
      </w:r>
    </w:p>
    <w:p w14:paraId="28156340">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691A4CB5">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6011EDBD">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29.3 合同公告：政府采购合同双方自签订之日起2个工作日内在省级以上人民政府财政部门指定媒体上公告。</w:t>
      </w:r>
    </w:p>
    <w:p w14:paraId="6B65C6E1">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29.4采购人应妥善保管政府采购项目合同验收书（格式见附表3）及相关材料。</w:t>
      </w:r>
    </w:p>
    <w:p w14:paraId="02683118">
      <w:pPr>
        <w:keepLines w:val="0"/>
        <w:pageBreakBefore w:val="0"/>
        <w:kinsoku/>
        <w:overflowPunct/>
        <w:bidi w:val="0"/>
        <w:spacing w:line="360" w:lineRule="auto"/>
        <w:ind w:left="3" w:firstLine="0" w:firstLineChars="0"/>
        <w:jc w:val="cente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300D2570">
      <w:pPr>
        <w:keepLines w:val="0"/>
        <w:pageBreakBefore w:val="0"/>
        <w:kinsoku/>
        <w:overflowPunct/>
        <w:bidi w:val="0"/>
        <w:spacing w:line="360" w:lineRule="auto"/>
        <w:ind w:firstLine="42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5BFC589B">
      <w:pPr>
        <w:keepLines w:val="0"/>
        <w:pageBreakBefore w:val="0"/>
        <w:kinsoku/>
        <w:overflowPunct/>
        <w:bidi w:val="0"/>
        <w:snapToGrid w:val="0"/>
        <w:spacing w:line="360" w:lineRule="auto"/>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30.1本项目采购代理服务费按本须知第30.2条“采购代理服务收费标准”中“货物采购”收费标准计算（不足人民币6000元的，按6000元计），成交供应商应当在</w:t>
      </w:r>
      <w:r>
        <w:rPr>
          <w:rFonts w:ascii="宋体" w:hAnsi="宋体" w:cs="宋体"/>
          <w:color w:val="auto"/>
          <w:kern w:val="0"/>
          <w:sz w:val="21"/>
          <w:szCs w:val="21"/>
          <w:highlight w:val="none"/>
        </w:rPr>
        <w:t>成交通知书发出前</w:t>
      </w:r>
      <w:r>
        <w:rPr>
          <w:rFonts w:hint="eastAsia" w:ascii="宋体" w:hAnsi="宋体" w:cs="宋体"/>
          <w:color w:val="auto"/>
          <w:kern w:val="0"/>
          <w:sz w:val="21"/>
          <w:szCs w:val="21"/>
          <w:highlight w:val="none"/>
        </w:rPr>
        <w:t>向采购代理机构一次性支付采购代理服务费，否则，其不利后果由成交供应商承担。</w:t>
      </w:r>
    </w:p>
    <w:p w14:paraId="7916DDC0">
      <w:pPr>
        <w:keepLines w:val="0"/>
        <w:pageBreakBefore w:val="0"/>
        <w:kinsoku/>
        <w:overflowPunct/>
        <w:bidi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30.2代理服务收费标准：</w:t>
      </w:r>
    </w:p>
    <w:tbl>
      <w:tblPr>
        <w:tblStyle w:val="4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1858"/>
        <w:gridCol w:w="2012"/>
        <w:gridCol w:w="2315"/>
      </w:tblGrid>
      <w:tr w14:paraId="6112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08" w:type="dxa"/>
          </w:tcPr>
          <w:p w14:paraId="395B4CC8">
            <w:pPr>
              <w:keepLines w:val="0"/>
              <w:pageBreakBefore w:val="0"/>
              <w:kinsoku/>
              <w:overflowPunct/>
              <w:bidi w:val="0"/>
              <w:spacing w:line="360" w:lineRule="auto"/>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mc:AlternateContent>
                <mc:Choice Requires="wps">
                  <w:drawing>
                    <wp:anchor distT="0" distB="0" distL="114300" distR="114300" simplePos="0" relativeHeight="251662336" behindDoc="0" locked="0" layoutInCell="1" allowOverlap="1">
                      <wp:simplePos x="0" y="0"/>
                      <wp:positionH relativeFrom="column">
                        <wp:posOffset>-40005</wp:posOffset>
                      </wp:positionH>
                      <wp:positionV relativeFrom="paragraph">
                        <wp:posOffset>188595</wp:posOffset>
                      </wp:positionV>
                      <wp:extent cx="1804670" cy="214630"/>
                      <wp:effectExtent l="635" t="4445" r="4445" b="9525"/>
                      <wp:wrapNone/>
                      <wp:docPr id="13" name="直线 106"/>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6" o:spid="_x0000_s1026" o:spt="20" style="position:absolute;left:0pt;margin-left:-3.15pt;margin-top:14.85pt;height:16.9pt;width:142.1pt;z-index:251662336;mso-width-relative:page;mso-height-relative:page;" filled="f" stroked="t" coordsize="21600,21600" o:gfxdata="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6nwUrYAAAACAEAAA8AAAAAAAAAAQAgAAAAIgAAAGRycy9kb3ducmV2LnhtbFBLAQIUABQAAAAI&#10;AIdO4kCdfPTY7QEAAOUDAAAOAAAAAAAAAAEAIAAAACcBAABkcnMvZTJvRG9jLnhtbFBLBQYAAAAA&#10;BgAGAFkBAACGBQ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mc:AlternateContent>
                <mc:Choice Requires="wps">
                  <w:drawing>
                    <wp:anchor distT="0" distB="0" distL="114300" distR="114300" simplePos="0" relativeHeight="251661312" behindDoc="0" locked="0" layoutInCell="1" allowOverlap="1">
                      <wp:simplePos x="0" y="0"/>
                      <wp:positionH relativeFrom="column">
                        <wp:posOffset>296545</wp:posOffset>
                      </wp:positionH>
                      <wp:positionV relativeFrom="paragraph">
                        <wp:posOffset>10795</wp:posOffset>
                      </wp:positionV>
                      <wp:extent cx="1424940" cy="392430"/>
                      <wp:effectExtent l="1270" t="4445" r="2540" b="22225"/>
                      <wp:wrapNone/>
                      <wp:docPr id="1" name="直线 105"/>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5" o:spid="_x0000_s1026" o:spt="20" style="position:absolute;left:0pt;margin-left:23.35pt;margin-top:0.85pt;height:30.9pt;width:112.2pt;z-index:251661312;mso-width-relative:page;mso-height-relative:page;" filled="f" stroked="t" coordsize="21600,21600" o:gfxdata="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yP&#10;lXzWAAAABwEAAA8AAAAAAAAAAQAgAAAAIgAAAGRycy9kb3ducmV2LnhtbFBLAQIUABQAAAAIAIdO&#10;4kB5+KxK7AEAAOQDAAAOAAAAAAAAAAEAIAAAACUBAABkcnMvZTJvRG9jLnhtbFBLBQYAAAAABgAG&#10;AFkBAACDBQ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w:t>费率           服务类型</w:t>
            </w:r>
          </w:p>
          <w:p w14:paraId="2A6FCBCB">
            <w:pPr>
              <w:keepLines w:val="0"/>
              <w:pageBreakBefore w:val="0"/>
              <w:kinsoku/>
              <w:overflowPunct/>
              <w:bidi w:val="0"/>
              <w:spacing w:line="360" w:lineRule="auto"/>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lang w:eastAsia="zh-CN"/>
              </w:rPr>
              <w:t>成交</w:t>
            </w:r>
            <w:r>
              <w:rPr>
                <w:rFonts w:hint="eastAsia" w:ascii="宋体" w:hAnsi="宋体" w:cs="宋体"/>
                <w:color w:val="auto"/>
                <w:kern w:val="0"/>
                <w:sz w:val="21"/>
                <w:szCs w:val="20"/>
                <w:highlight w:val="none"/>
              </w:rPr>
              <w:t>金额</w:t>
            </w:r>
          </w:p>
        </w:tc>
        <w:tc>
          <w:tcPr>
            <w:tcW w:w="1858" w:type="dxa"/>
            <w:vAlign w:val="center"/>
          </w:tcPr>
          <w:p w14:paraId="0E7D72C5">
            <w:pPr>
              <w:keepLines w:val="0"/>
              <w:pageBreakBefore w:val="0"/>
              <w:kinsoku/>
              <w:overflowPunct/>
              <w:bidi w:val="0"/>
              <w:spacing w:line="360" w:lineRule="auto"/>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货物采购</w:t>
            </w:r>
          </w:p>
        </w:tc>
        <w:tc>
          <w:tcPr>
            <w:tcW w:w="2012" w:type="dxa"/>
            <w:vAlign w:val="center"/>
          </w:tcPr>
          <w:p w14:paraId="6F731C9C">
            <w:pPr>
              <w:keepLines w:val="0"/>
              <w:pageBreakBefore w:val="0"/>
              <w:kinsoku/>
              <w:overflowPunct/>
              <w:bidi w:val="0"/>
              <w:spacing w:line="360" w:lineRule="auto"/>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服务采购</w:t>
            </w:r>
          </w:p>
        </w:tc>
        <w:tc>
          <w:tcPr>
            <w:tcW w:w="2315" w:type="dxa"/>
            <w:vAlign w:val="center"/>
          </w:tcPr>
          <w:p w14:paraId="2C3DB7C6">
            <w:pPr>
              <w:keepLines w:val="0"/>
              <w:pageBreakBefore w:val="0"/>
              <w:kinsoku/>
              <w:overflowPunct/>
              <w:bidi w:val="0"/>
              <w:spacing w:line="360" w:lineRule="auto"/>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工程采购</w:t>
            </w:r>
          </w:p>
        </w:tc>
      </w:tr>
      <w:tr w14:paraId="48C5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2908" w:type="dxa"/>
          </w:tcPr>
          <w:p w14:paraId="0916AD6F">
            <w:pPr>
              <w:keepLines w:val="0"/>
              <w:pageBreakBefore w:val="0"/>
              <w:kinsoku/>
              <w:overflowPunct/>
              <w:bidi w:val="0"/>
              <w:spacing w:line="360" w:lineRule="auto"/>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100万元以下</w:t>
            </w:r>
          </w:p>
        </w:tc>
        <w:tc>
          <w:tcPr>
            <w:tcW w:w="1858" w:type="dxa"/>
          </w:tcPr>
          <w:p w14:paraId="1553B4E2">
            <w:pPr>
              <w:keepLines w:val="0"/>
              <w:pageBreakBefore w:val="0"/>
              <w:kinsoku/>
              <w:overflowPunct/>
              <w:bidi w:val="0"/>
              <w:spacing w:line="360" w:lineRule="auto"/>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012" w:type="dxa"/>
          </w:tcPr>
          <w:p w14:paraId="25FAD487">
            <w:pPr>
              <w:keepLines w:val="0"/>
              <w:pageBreakBefore w:val="0"/>
              <w:kinsoku/>
              <w:overflowPunct/>
              <w:bidi w:val="0"/>
              <w:spacing w:line="360" w:lineRule="auto"/>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315" w:type="dxa"/>
          </w:tcPr>
          <w:p w14:paraId="5B596092">
            <w:pPr>
              <w:keepLines w:val="0"/>
              <w:pageBreakBefore w:val="0"/>
              <w:kinsoku/>
              <w:overflowPunct/>
              <w:bidi w:val="0"/>
              <w:spacing w:line="360" w:lineRule="auto"/>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1.0%</w:t>
            </w:r>
          </w:p>
        </w:tc>
      </w:tr>
      <w:tr w14:paraId="6756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908" w:type="dxa"/>
          </w:tcPr>
          <w:p w14:paraId="0592D069">
            <w:pPr>
              <w:keepLines w:val="0"/>
              <w:pageBreakBefore w:val="0"/>
              <w:kinsoku/>
              <w:overflowPunct/>
              <w:bidi w:val="0"/>
              <w:spacing w:line="360" w:lineRule="auto"/>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100～500万元</w:t>
            </w:r>
          </w:p>
        </w:tc>
        <w:tc>
          <w:tcPr>
            <w:tcW w:w="1858" w:type="dxa"/>
          </w:tcPr>
          <w:p w14:paraId="1AB90191">
            <w:pPr>
              <w:keepLines w:val="0"/>
              <w:pageBreakBefore w:val="0"/>
              <w:kinsoku/>
              <w:overflowPunct/>
              <w:bidi w:val="0"/>
              <w:spacing w:line="360" w:lineRule="auto"/>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1.1%</w:t>
            </w:r>
          </w:p>
        </w:tc>
        <w:tc>
          <w:tcPr>
            <w:tcW w:w="2012" w:type="dxa"/>
          </w:tcPr>
          <w:p w14:paraId="5EBD3B9E">
            <w:pPr>
              <w:keepLines w:val="0"/>
              <w:pageBreakBefore w:val="0"/>
              <w:kinsoku/>
              <w:overflowPunct/>
              <w:bidi w:val="0"/>
              <w:spacing w:line="360" w:lineRule="auto"/>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0.8%</w:t>
            </w:r>
          </w:p>
        </w:tc>
        <w:tc>
          <w:tcPr>
            <w:tcW w:w="2315" w:type="dxa"/>
          </w:tcPr>
          <w:p w14:paraId="243039FE">
            <w:pPr>
              <w:keepLines w:val="0"/>
              <w:pageBreakBefore w:val="0"/>
              <w:kinsoku/>
              <w:overflowPunct/>
              <w:bidi w:val="0"/>
              <w:spacing w:line="360" w:lineRule="auto"/>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0.7%</w:t>
            </w:r>
          </w:p>
        </w:tc>
      </w:tr>
      <w:tr w14:paraId="1B32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1C16014B">
            <w:pPr>
              <w:keepLines w:val="0"/>
              <w:pageBreakBefore w:val="0"/>
              <w:kinsoku/>
              <w:overflowPunct/>
              <w:bidi w:val="0"/>
              <w:spacing w:line="360" w:lineRule="auto"/>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500～1000万元</w:t>
            </w:r>
          </w:p>
        </w:tc>
        <w:tc>
          <w:tcPr>
            <w:tcW w:w="1858" w:type="dxa"/>
          </w:tcPr>
          <w:p w14:paraId="1AB38166">
            <w:pPr>
              <w:keepLines w:val="0"/>
              <w:pageBreakBefore w:val="0"/>
              <w:kinsoku/>
              <w:overflowPunct/>
              <w:bidi w:val="0"/>
              <w:spacing w:line="360" w:lineRule="auto"/>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0.8%</w:t>
            </w:r>
          </w:p>
        </w:tc>
        <w:tc>
          <w:tcPr>
            <w:tcW w:w="2012" w:type="dxa"/>
          </w:tcPr>
          <w:p w14:paraId="19CC2C02">
            <w:pPr>
              <w:keepLines w:val="0"/>
              <w:pageBreakBefore w:val="0"/>
              <w:kinsoku/>
              <w:overflowPunct/>
              <w:bidi w:val="0"/>
              <w:spacing w:line="360" w:lineRule="auto"/>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0.45%</w:t>
            </w:r>
          </w:p>
        </w:tc>
        <w:tc>
          <w:tcPr>
            <w:tcW w:w="2315" w:type="dxa"/>
          </w:tcPr>
          <w:p w14:paraId="0099E9A0">
            <w:pPr>
              <w:keepLines w:val="0"/>
              <w:pageBreakBefore w:val="0"/>
              <w:kinsoku/>
              <w:overflowPunct/>
              <w:bidi w:val="0"/>
              <w:spacing w:line="360" w:lineRule="auto"/>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0.55%</w:t>
            </w:r>
          </w:p>
        </w:tc>
      </w:tr>
      <w:tr w14:paraId="17B8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50A399ED">
            <w:pPr>
              <w:keepLines w:val="0"/>
              <w:pageBreakBefore w:val="0"/>
              <w:kinsoku/>
              <w:overflowPunct/>
              <w:bidi w:val="0"/>
              <w:spacing w:line="360" w:lineRule="auto"/>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1000～5000万元</w:t>
            </w:r>
          </w:p>
        </w:tc>
        <w:tc>
          <w:tcPr>
            <w:tcW w:w="1858" w:type="dxa"/>
          </w:tcPr>
          <w:p w14:paraId="53EF7758">
            <w:pPr>
              <w:keepLines w:val="0"/>
              <w:pageBreakBefore w:val="0"/>
              <w:kinsoku/>
              <w:overflowPunct/>
              <w:bidi w:val="0"/>
              <w:spacing w:line="360" w:lineRule="auto"/>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0.5%</w:t>
            </w:r>
          </w:p>
        </w:tc>
        <w:tc>
          <w:tcPr>
            <w:tcW w:w="2012" w:type="dxa"/>
          </w:tcPr>
          <w:p w14:paraId="424421EC">
            <w:pPr>
              <w:keepLines w:val="0"/>
              <w:pageBreakBefore w:val="0"/>
              <w:kinsoku/>
              <w:overflowPunct/>
              <w:bidi w:val="0"/>
              <w:spacing w:line="360" w:lineRule="auto"/>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315" w:type="dxa"/>
          </w:tcPr>
          <w:p w14:paraId="718FF0D6">
            <w:pPr>
              <w:keepLines w:val="0"/>
              <w:pageBreakBefore w:val="0"/>
              <w:kinsoku/>
              <w:overflowPunct/>
              <w:bidi w:val="0"/>
              <w:spacing w:line="360" w:lineRule="auto"/>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0.35%</w:t>
            </w:r>
          </w:p>
        </w:tc>
      </w:tr>
    </w:tbl>
    <w:p w14:paraId="3F6C11F0">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注：代理服务收费按差额定率累进法计算</w:t>
      </w:r>
      <w:r>
        <w:rPr>
          <w:rFonts w:hint="eastAsia" w:ascii="宋体" w:hAnsi="宋体" w:cs="宋体"/>
          <w:color w:val="auto"/>
          <w:kern w:val="0"/>
          <w:sz w:val="21"/>
          <w:szCs w:val="21"/>
          <w:highlight w:val="none"/>
        </w:rPr>
        <w:t>。</w:t>
      </w:r>
    </w:p>
    <w:p w14:paraId="6F1E9EC7">
      <w:pPr>
        <w:keepLines w:val="0"/>
        <w:pageBreakBefore w:val="0"/>
        <w:kinsoku/>
        <w:overflowPunct/>
        <w:bidi w:val="0"/>
        <w:spacing w:line="360" w:lineRule="auto"/>
        <w:ind w:firstLine="42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1BA738F5">
      <w:pPr>
        <w:spacing w:line="360" w:lineRule="auto"/>
        <w:ind w:firstLine="422"/>
        <w:rPr>
          <w:rFonts w:hint="eastAsia" w:ascii="宋体" w:hAnsi="宋体" w:cs="宋体"/>
          <w:b w:val="0"/>
          <w:bCs/>
          <w:color w:val="auto"/>
          <w:kern w:val="0"/>
          <w:sz w:val="21"/>
          <w:szCs w:val="24"/>
        </w:rPr>
      </w:pPr>
      <w:r>
        <w:rPr>
          <w:rFonts w:hint="eastAsia" w:ascii="宋体" w:hAnsi="宋体" w:cs="宋体"/>
          <w:b w:val="0"/>
          <w:bCs/>
          <w:color w:val="auto"/>
          <w:kern w:val="0"/>
          <w:sz w:val="21"/>
          <w:szCs w:val="24"/>
        </w:rPr>
        <w:t>账户名称：广西八桂建设项目管理有限公司桂林分公司；</w:t>
      </w:r>
    </w:p>
    <w:p w14:paraId="333D23D9">
      <w:pPr>
        <w:spacing w:line="360" w:lineRule="auto"/>
        <w:ind w:firstLine="422"/>
        <w:rPr>
          <w:rFonts w:hint="eastAsia" w:ascii="宋体" w:hAnsi="宋体" w:cs="宋体"/>
          <w:b w:val="0"/>
          <w:bCs/>
          <w:color w:val="auto"/>
          <w:kern w:val="0"/>
          <w:sz w:val="21"/>
          <w:szCs w:val="24"/>
        </w:rPr>
      </w:pPr>
      <w:r>
        <w:rPr>
          <w:rFonts w:hint="eastAsia" w:ascii="宋体" w:hAnsi="宋体" w:cs="宋体"/>
          <w:b w:val="0"/>
          <w:bCs/>
          <w:color w:val="auto"/>
          <w:kern w:val="0"/>
          <w:sz w:val="21"/>
          <w:szCs w:val="24"/>
        </w:rPr>
        <w:t>开户银行：桂林银行股份有限公司南溪支行；</w:t>
      </w:r>
    </w:p>
    <w:p w14:paraId="5A210438">
      <w:pPr>
        <w:spacing w:line="360" w:lineRule="auto"/>
        <w:ind w:firstLine="422"/>
        <w:rPr>
          <w:rFonts w:hint="eastAsia" w:asciiTheme="minorEastAsia" w:hAnsiTheme="minorEastAsia" w:eastAsiaTheme="minorEastAsia" w:cstheme="minorEastAsia"/>
          <w:color w:val="auto"/>
          <w:highlight w:val="none"/>
        </w:rPr>
      </w:pPr>
      <w:r>
        <w:rPr>
          <w:rFonts w:hint="eastAsia" w:ascii="宋体" w:hAnsi="宋体" w:eastAsia="宋体" w:cs="宋体"/>
          <w:b w:val="0"/>
          <w:bCs/>
          <w:color w:val="auto"/>
          <w:kern w:val="0"/>
          <w:sz w:val="21"/>
          <w:szCs w:val="24"/>
        </w:rPr>
        <w:t>银行账号：660011115698900010；</w:t>
      </w:r>
      <w:r>
        <w:rPr>
          <w:rFonts w:hint="eastAsia" w:asciiTheme="minorEastAsia" w:hAnsiTheme="minorEastAsia" w:eastAsiaTheme="minorEastAsia" w:cstheme="minorEastAsia"/>
          <w:color w:val="auto"/>
          <w:highlight w:val="none"/>
        </w:rPr>
        <w:t xml:space="preserve"> </w:t>
      </w:r>
    </w:p>
    <w:p w14:paraId="3DDCD66D">
      <w:pPr>
        <w:keepLines w:val="0"/>
        <w:pageBreakBefore w:val="0"/>
        <w:kinsoku/>
        <w:overflowPunct/>
        <w:bidi w:val="0"/>
        <w:spacing w:line="360" w:lineRule="auto"/>
        <w:ind w:firstLine="422"/>
        <w:rPr>
          <w:rFonts w:hint="eastAsia" w:ascii="宋体" w:hAnsi="宋体" w:cs="宋体"/>
          <w:color w:val="auto"/>
          <w:kern w:val="0"/>
          <w:sz w:val="21"/>
          <w:szCs w:val="21"/>
          <w:highlight w:val="none"/>
        </w:rPr>
      </w:pPr>
      <w:r>
        <w:rPr>
          <w:rFonts w:hint="eastAsia" w:ascii="宋体" w:hAnsi="宋体" w:cs="宋体"/>
          <w:b/>
          <w:color w:val="auto"/>
          <w:kern w:val="0"/>
          <w:sz w:val="21"/>
          <w:szCs w:val="24"/>
          <w:highlight w:val="none"/>
        </w:rPr>
        <w:t>32.解释权：</w:t>
      </w:r>
      <w:r>
        <w:rPr>
          <w:rFonts w:hint="eastAsia" w:ascii="宋体" w:hAnsi="宋体" w:cs="宋体"/>
          <w:color w:val="auto"/>
          <w:kern w:val="0"/>
          <w:sz w:val="21"/>
          <w:szCs w:val="21"/>
          <w:highlight w:val="none"/>
        </w:rPr>
        <w:t>本竞争性谈判文件是根据《中华人民共和国政府采购法》、《中华人民共和国政府采购法实施条例》、《政府采购非招标采购方式管理办法》和政府采购管理有关规定编制，本竞争性谈判文件的解释权属于采购代理机构。</w:t>
      </w:r>
    </w:p>
    <w:p w14:paraId="23757DCA">
      <w:pPr>
        <w:keepLines w:val="0"/>
        <w:pageBreakBefore w:val="0"/>
        <w:kinsoku/>
        <w:overflowPunct/>
        <w:bidi w:val="0"/>
        <w:spacing w:line="360" w:lineRule="auto"/>
        <w:ind w:firstLine="42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33.广西线上“政采贷”政策详见附表4。</w:t>
      </w:r>
    </w:p>
    <w:p w14:paraId="544D2C7E">
      <w:pPr>
        <w:pStyle w:val="24"/>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宋体" w:hAnsi="宋体" w:cs="宋体"/>
          <w:b/>
          <w:color w:val="auto"/>
          <w:kern w:val="0"/>
          <w:sz w:val="21"/>
          <w:szCs w:val="24"/>
          <w:highlight w:val="none"/>
        </w:rPr>
        <w:t>34.监督管理机构：</w:t>
      </w:r>
      <w:r>
        <w:rPr>
          <w:rFonts w:hint="eastAsia" w:ascii="宋体" w:hAnsi="宋体" w:eastAsia="宋体" w:cs="宋体"/>
          <w:color w:val="auto"/>
          <w:kern w:val="0"/>
          <w:sz w:val="21"/>
          <w:szCs w:val="21"/>
          <w:highlight w:val="none"/>
          <w:lang w:val="en-US" w:eastAsia="zh-CN" w:bidi="ar-SA"/>
        </w:rPr>
        <w:t>桂林市财政局；联系电话：0773-2862142</w:t>
      </w:r>
    </w:p>
    <w:p w14:paraId="2E7AE926">
      <w:pPr>
        <w:keepLines w:val="0"/>
        <w:pageBreakBefore w:val="0"/>
        <w:kinsoku/>
        <w:overflowPunct/>
        <w:bidi w:val="0"/>
        <w:spacing w:line="360" w:lineRule="auto"/>
        <w:ind w:firstLine="422"/>
        <w:rPr>
          <w:rFonts w:hint="eastAsia"/>
          <w:color w:val="auto"/>
          <w:highlight w:val="none"/>
        </w:rPr>
      </w:pPr>
    </w:p>
    <w:p w14:paraId="1EC20C6F">
      <w:pPr>
        <w:keepLines w:val="0"/>
        <w:pageBreakBefore w:val="0"/>
        <w:kinsoku/>
        <w:overflowPunct/>
        <w:bidi w:val="0"/>
        <w:spacing w:line="360" w:lineRule="auto"/>
        <w:ind w:firstLine="422"/>
        <w:rPr>
          <w:rFonts w:hint="eastAsia"/>
          <w:color w:val="auto"/>
          <w:highlight w:val="none"/>
        </w:rPr>
      </w:pPr>
    </w:p>
    <w:p w14:paraId="4706EBBD">
      <w:pPr>
        <w:keepLines w:val="0"/>
        <w:pageBreakBefore w:val="0"/>
        <w:kinsoku/>
        <w:overflowPunct/>
        <w:bidi w:val="0"/>
        <w:spacing w:line="360" w:lineRule="auto"/>
        <w:ind w:firstLine="422"/>
        <w:rPr>
          <w:rFonts w:hint="eastAsia"/>
          <w:color w:val="auto"/>
          <w:highlight w:val="none"/>
        </w:rPr>
      </w:pPr>
    </w:p>
    <w:p w14:paraId="42C9F76E">
      <w:pPr>
        <w:keepLines w:val="0"/>
        <w:pageBreakBefore w:val="0"/>
        <w:kinsoku/>
        <w:overflowPunct/>
        <w:bidi w:val="0"/>
        <w:spacing w:line="360" w:lineRule="auto"/>
        <w:ind w:firstLine="422"/>
        <w:rPr>
          <w:rFonts w:hint="eastAsia"/>
          <w:color w:val="auto"/>
          <w:highlight w:val="none"/>
        </w:rPr>
      </w:pPr>
    </w:p>
    <w:p w14:paraId="30243359">
      <w:pPr>
        <w:keepLines w:val="0"/>
        <w:pageBreakBefore w:val="0"/>
        <w:kinsoku/>
        <w:overflowPunct/>
        <w:bidi w:val="0"/>
        <w:spacing w:line="360" w:lineRule="auto"/>
        <w:ind w:firstLine="422"/>
        <w:rPr>
          <w:rFonts w:hint="eastAsia"/>
          <w:color w:val="auto"/>
          <w:highlight w:val="none"/>
        </w:rPr>
      </w:pPr>
    </w:p>
    <w:p w14:paraId="39A8E2BC">
      <w:pPr>
        <w:keepLines w:val="0"/>
        <w:pageBreakBefore w:val="0"/>
        <w:kinsoku/>
        <w:overflowPunct/>
        <w:bidi w:val="0"/>
        <w:spacing w:line="360" w:lineRule="auto"/>
        <w:ind w:firstLine="422"/>
        <w:rPr>
          <w:rFonts w:hint="eastAsia"/>
          <w:color w:val="auto"/>
          <w:highlight w:val="none"/>
        </w:rPr>
      </w:pPr>
    </w:p>
    <w:p w14:paraId="29D2F7C2">
      <w:pPr>
        <w:keepLines w:val="0"/>
        <w:pageBreakBefore w:val="0"/>
        <w:kinsoku/>
        <w:overflowPunct/>
        <w:bidi w:val="0"/>
        <w:spacing w:line="360" w:lineRule="auto"/>
        <w:ind w:firstLine="422"/>
        <w:rPr>
          <w:rFonts w:hint="eastAsia"/>
          <w:color w:val="auto"/>
          <w:highlight w:val="none"/>
        </w:rPr>
      </w:pPr>
    </w:p>
    <w:p w14:paraId="2DF1CFC1">
      <w:pPr>
        <w:keepLines w:val="0"/>
        <w:pageBreakBefore w:val="0"/>
        <w:kinsoku/>
        <w:overflowPunct/>
        <w:bidi w:val="0"/>
        <w:spacing w:line="360" w:lineRule="auto"/>
        <w:ind w:firstLine="422"/>
        <w:rPr>
          <w:rFonts w:hint="eastAsia"/>
          <w:color w:val="auto"/>
          <w:highlight w:val="none"/>
        </w:rPr>
      </w:pPr>
    </w:p>
    <w:p w14:paraId="335E221B">
      <w:pPr>
        <w:keepLines w:val="0"/>
        <w:pageBreakBefore w:val="0"/>
        <w:kinsoku/>
        <w:overflowPunct/>
        <w:bidi w:val="0"/>
        <w:spacing w:line="360" w:lineRule="auto"/>
        <w:ind w:firstLine="422"/>
        <w:rPr>
          <w:rFonts w:hint="eastAsia"/>
          <w:color w:val="auto"/>
          <w:highlight w:val="none"/>
        </w:rPr>
      </w:pPr>
    </w:p>
    <w:p w14:paraId="39880281">
      <w:pPr>
        <w:keepLines w:val="0"/>
        <w:pageBreakBefore w:val="0"/>
        <w:kinsoku/>
        <w:overflowPunct/>
        <w:bidi w:val="0"/>
        <w:spacing w:line="360" w:lineRule="auto"/>
        <w:ind w:firstLine="422"/>
        <w:rPr>
          <w:rFonts w:hint="eastAsia"/>
          <w:color w:val="auto"/>
          <w:highlight w:val="none"/>
        </w:rPr>
      </w:pPr>
    </w:p>
    <w:p w14:paraId="11900867">
      <w:pPr>
        <w:keepLines w:val="0"/>
        <w:pageBreakBefore w:val="0"/>
        <w:kinsoku/>
        <w:overflowPunct/>
        <w:bidi w:val="0"/>
        <w:spacing w:line="360" w:lineRule="auto"/>
        <w:ind w:firstLine="422"/>
        <w:rPr>
          <w:rFonts w:hint="eastAsia"/>
          <w:color w:val="auto"/>
          <w:highlight w:val="none"/>
        </w:rPr>
      </w:pPr>
    </w:p>
    <w:p w14:paraId="3C2C595B">
      <w:pPr>
        <w:keepLines w:val="0"/>
        <w:pageBreakBefore w:val="0"/>
        <w:kinsoku/>
        <w:overflowPunct/>
        <w:bidi w:val="0"/>
        <w:spacing w:line="360" w:lineRule="auto"/>
        <w:ind w:firstLine="422"/>
        <w:rPr>
          <w:rFonts w:hint="eastAsia"/>
          <w:color w:val="auto"/>
          <w:highlight w:val="none"/>
        </w:rPr>
      </w:pPr>
    </w:p>
    <w:p w14:paraId="7EC1354B">
      <w:pPr>
        <w:keepLines w:val="0"/>
        <w:pageBreakBefore w:val="0"/>
        <w:kinsoku/>
        <w:overflowPunct/>
        <w:bidi w:val="0"/>
        <w:spacing w:line="360" w:lineRule="auto"/>
        <w:ind w:firstLine="422"/>
        <w:rPr>
          <w:rFonts w:hint="eastAsia" w:ascii="宋体" w:hAnsi="宋体" w:cs="宋体"/>
          <w:b/>
          <w:color w:val="auto"/>
          <w:kern w:val="0"/>
          <w:sz w:val="21"/>
          <w:szCs w:val="24"/>
          <w:highlight w:val="none"/>
        </w:rPr>
      </w:pPr>
      <w:r>
        <w:rPr>
          <w:rFonts w:hint="eastAsia"/>
          <w:color w:val="auto"/>
          <w:highlight w:val="none"/>
        </w:rPr>
        <w:t>附表1：</w:t>
      </w:r>
    </w:p>
    <w:p w14:paraId="194C3C1C">
      <w:pPr>
        <w:keepLines w:val="0"/>
        <w:pageBreakBefore w:val="0"/>
        <w:kinsoku/>
        <w:overflowPunct/>
        <w:bidi w:val="0"/>
        <w:spacing w:line="360" w:lineRule="auto"/>
        <w:ind w:firstLine="0" w:firstLineChars="0"/>
        <w:jc w:val="center"/>
        <w:rPr>
          <w:rFonts w:hint="eastAsia" w:ascii="宋体" w:hAnsi="宋体" w:cs="宋体"/>
          <w:color w:val="auto"/>
          <w:sz w:val="44"/>
          <w:szCs w:val="24"/>
          <w:highlight w:val="none"/>
        </w:rPr>
      </w:pPr>
      <w:r>
        <w:rPr>
          <w:rFonts w:hint="eastAsia" w:ascii="宋体" w:hAnsi="宋体" w:cs="宋体"/>
          <w:color w:val="auto"/>
          <w:sz w:val="44"/>
          <w:szCs w:val="24"/>
          <w:highlight w:val="none"/>
        </w:rPr>
        <w:t>质疑函（格式）</w:t>
      </w:r>
    </w:p>
    <w:p w14:paraId="00A272C4">
      <w:pPr>
        <w:keepLines w:val="0"/>
        <w:pageBreakBefore w:val="0"/>
        <w:kinsoku/>
        <w:overflowPunct/>
        <w:bidi w:val="0"/>
        <w:snapToGrid w:val="0"/>
        <w:spacing w:line="360" w:lineRule="auto"/>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1780DF84">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bCs/>
          <w:color w:val="auto"/>
          <w:sz w:val="21"/>
          <w:szCs w:val="20"/>
          <w:highlight w:val="none"/>
          <w:u w:val="single"/>
        </w:rPr>
        <w:t xml:space="preserve">                                                                 </w:t>
      </w:r>
    </w:p>
    <w:p w14:paraId="470648A1">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776FC657">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联系人：联系电话：</w:t>
      </w:r>
      <w:r>
        <w:rPr>
          <w:rFonts w:hint="eastAsia" w:ascii="宋体" w:hAnsi="宋体" w:cs="宋体"/>
          <w:bCs/>
          <w:color w:val="auto"/>
          <w:sz w:val="21"/>
          <w:szCs w:val="20"/>
          <w:highlight w:val="none"/>
          <w:u w:val="single"/>
        </w:rPr>
        <w:t xml:space="preserve">                                                                 </w:t>
      </w:r>
    </w:p>
    <w:p w14:paraId="0D74BDBB">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bCs/>
          <w:color w:val="auto"/>
          <w:sz w:val="21"/>
          <w:szCs w:val="20"/>
          <w:highlight w:val="none"/>
          <w:u w:val="single"/>
        </w:rPr>
        <w:t xml:space="preserve">                                                                 </w:t>
      </w:r>
    </w:p>
    <w:p w14:paraId="02A5DB86">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263EB78C">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79A21CC8">
      <w:pPr>
        <w:keepLines w:val="0"/>
        <w:pageBreakBefore w:val="0"/>
        <w:kinsoku/>
        <w:overflowPunct/>
        <w:bidi w:val="0"/>
        <w:snapToGrid w:val="0"/>
        <w:spacing w:line="360" w:lineRule="auto"/>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109DD3DF">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0B04700B">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2252D2A3">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340B5D87">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质疑事项：</w:t>
      </w:r>
      <w:r>
        <w:rPr>
          <w:rFonts w:hint="eastAsia" w:ascii="宋体" w:hAnsi="宋体" w:cs="宋体"/>
          <w:bCs/>
          <w:color w:val="auto"/>
          <w:sz w:val="21"/>
          <w:szCs w:val="20"/>
          <w:highlight w:val="none"/>
          <w:u w:val="single"/>
        </w:rPr>
        <w:t xml:space="preserve">                                                                 </w:t>
      </w:r>
    </w:p>
    <w:p w14:paraId="7E6FE397">
      <w:pPr>
        <w:keepLines w:val="0"/>
        <w:pageBreakBefore w:val="0"/>
        <w:kinsoku/>
        <w:overflowPunct/>
        <w:bidi w:val="0"/>
        <w:spacing w:line="360" w:lineRule="auto"/>
        <w:ind w:left="29" w:leftChars="12" w:firstLine="441" w:firstLineChars="147"/>
        <w:rPr>
          <w:rFonts w:hint="eastAsia"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谈判文件   谈判文件获取日期：</w:t>
      </w:r>
      <w:r>
        <w:rPr>
          <w:rFonts w:hint="eastAsia" w:ascii="宋体" w:hAnsi="宋体" w:cs="宋体"/>
          <w:bCs/>
          <w:color w:val="auto"/>
          <w:sz w:val="21"/>
          <w:szCs w:val="20"/>
          <w:highlight w:val="none"/>
          <w:u w:val="single"/>
        </w:rPr>
        <w:t xml:space="preserve">                                                                 </w:t>
      </w:r>
    </w:p>
    <w:p w14:paraId="0BF009C9">
      <w:pPr>
        <w:keepLines w:val="0"/>
        <w:pageBreakBefore w:val="0"/>
        <w:kinsoku/>
        <w:overflowPunct/>
        <w:bidi w:val="0"/>
        <w:spacing w:line="360" w:lineRule="auto"/>
        <w:ind w:left="29" w:leftChars="12" w:firstLine="441" w:firstLineChars="147"/>
        <w:rPr>
          <w:rFonts w:hint="eastAsia"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69E91157">
      <w:pPr>
        <w:keepLines w:val="0"/>
        <w:pageBreakBefore w:val="0"/>
        <w:kinsoku/>
        <w:overflowPunct/>
        <w:bidi w:val="0"/>
        <w:spacing w:line="360" w:lineRule="auto"/>
        <w:ind w:left="29" w:leftChars="12" w:firstLine="441" w:firstLineChars="147"/>
        <w:rPr>
          <w:rFonts w:hint="eastAsia"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64ADCA36">
      <w:pPr>
        <w:keepLines w:val="0"/>
        <w:pageBreakBefore w:val="0"/>
        <w:kinsoku/>
        <w:overflowPunct/>
        <w:bidi w:val="0"/>
        <w:spacing w:line="360" w:lineRule="auto"/>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656D23D9">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质疑事项1：</w:t>
      </w:r>
    </w:p>
    <w:p w14:paraId="54340FDD">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bCs/>
          <w:color w:val="auto"/>
          <w:sz w:val="21"/>
          <w:szCs w:val="20"/>
          <w:highlight w:val="none"/>
          <w:u w:val="single"/>
        </w:rPr>
        <w:t xml:space="preserve">                                                                 </w:t>
      </w:r>
    </w:p>
    <w:p w14:paraId="3C90C9BF">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bCs/>
          <w:color w:val="auto"/>
          <w:sz w:val="21"/>
          <w:szCs w:val="20"/>
          <w:highlight w:val="none"/>
          <w:u w:val="single"/>
        </w:rPr>
        <w:t xml:space="preserve">                                                                 </w:t>
      </w:r>
    </w:p>
    <w:p w14:paraId="5E633C8C">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质疑事项2</w:t>
      </w:r>
    </w:p>
    <w:p w14:paraId="797E3C16">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w:t>
      </w:r>
    </w:p>
    <w:p w14:paraId="085087F0">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0CBD7E6D">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bCs/>
          <w:color w:val="auto"/>
          <w:sz w:val="21"/>
          <w:szCs w:val="20"/>
          <w:highlight w:val="none"/>
          <w:u w:val="single"/>
        </w:rPr>
        <w:t xml:space="preserve">                                                                 </w:t>
      </w:r>
    </w:p>
    <w:p w14:paraId="0122D02A">
      <w:pPr>
        <w:keepLines w:val="0"/>
        <w:pageBreakBefore w:val="0"/>
        <w:kinsoku/>
        <w:overflowPunct/>
        <w:bidi w:val="0"/>
        <w:spacing w:line="360" w:lineRule="auto"/>
        <w:ind w:left="29" w:leftChars="12" w:firstLine="308" w:firstLineChars="147"/>
        <w:rPr>
          <w:rFonts w:hint="eastAsia" w:ascii="宋体" w:hAnsi="宋体" w:cs="宋体"/>
          <w:color w:val="auto"/>
          <w:sz w:val="21"/>
          <w:szCs w:val="21"/>
          <w:highlight w:val="none"/>
        </w:rPr>
      </w:pPr>
    </w:p>
    <w:p w14:paraId="528F49CD">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签字（签章）：                                       公章：</w:t>
      </w:r>
    </w:p>
    <w:p w14:paraId="2B532836">
      <w:pPr>
        <w:keepLines w:val="0"/>
        <w:pageBreakBefore w:val="0"/>
        <w:kinsoku/>
        <w:overflowPunct/>
        <w:bidi w:val="0"/>
        <w:spacing w:line="360" w:lineRule="auto"/>
        <w:ind w:left="29" w:leftChars="12" w:firstLine="308" w:firstLineChars="147"/>
        <w:rPr>
          <w:rFonts w:hint="eastAsia" w:ascii="宋体" w:hAnsi="宋体" w:cs="宋体"/>
          <w:color w:val="auto"/>
          <w:sz w:val="21"/>
          <w:szCs w:val="21"/>
          <w:highlight w:val="none"/>
        </w:rPr>
      </w:pPr>
    </w:p>
    <w:p w14:paraId="2E32A297">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日期：</w:t>
      </w:r>
    </w:p>
    <w:p w14:paraId="090DEC4F">
      <w:pPr>
        <w:keepLines w:val="0"/>
        <w:pageBreakBefore w:val="0"/>
        <w:kinsoku/>
        <w:overflowPunct/>
        <w:bidi w:val="0"/>
        <w:snapToGrid w:val="0"/>
        <w:spacing w:line="360" w:lineRule="auto"/>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说明：</w:t>
      </w:r>
    </w:p>
    <w:p w14:paraId="1B5AC4FD">
      <w:pPr>
        <w:keepLines w:val="0"/>
        <w:pageBreakBefore w:val="0"/>
        <w:kinsoku/>
        <w:overflowPunct/>
        <w:bidi w:val="0"/>
        <w:snapToGrid w:val="0"/>
        <w:spacing w:line="360" w:lineRule="auto"/>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424BD52C">
      <w:pPr>
        <w:keepLines w:val="0"/>
        <w:pageBreakBefore w:val="0"/>
        <w:kinsoku/>
        <w:overflowPunct/>
        <w:bidi w:val="0"/>
        <w:snapToGrid w:val="0"/>
        <w:spacing w:line="360" w:lineRule="auto"/>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B8C52A9">
      <w:pPr>
        <w:keepLines w:val="0"/>
        <w:pageBreakBefore w:val="0"/>
        <w:kinsoku/>
        <w:overflowPunct/>
        <w:bidi w:val="0"/>
        <w:snapToGrid w:val="0"/>
        <w:spacing w:line="360" w:lineRule="auto"/>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0F6F7C11">
      <w:pPr>
        <w:keepLines w:val="0"/>
        <w:pageBreakBefore w:val="0"/>
        <w:kinsoku/>
        <w:overflowPunct/>
        <w:bidi w:val="0"/>
        <w:snapToGrid w:val="0"/>
        <w:spacing w:line="360" w:lineRule="auto"/>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63D72650">
      <w:pPr>
        <w:keepLines w:val="0"/>
        <w:pageBreakBefore w:val="0"/>
        <w:kinsoku/>
        <w:overflowPunct/>
        <w:bidi w:val="0"/>
        <w:snapToGrid w:val="0"/>
        <w:spacing w:line="360" w:lineRule="auto"/>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26F8ADEF">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2A1F41D6">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2F460344">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56DE66B7">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4FDC5713">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403B9681">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0E845521">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74720168">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36109E97">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21C9B67D">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4D2E70E8">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5A2739D7">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7EA5CEF4">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5B5AF125">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53677EDC">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54E81508">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54E9202D">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1B47DB39">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1114B5EC">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2BFD0AF2">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288FAB71">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555FAFD0">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2FC7D319">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7E170497">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28EE3CF7">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2B015E4D">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r>
        <w:rPr>
          <w:rFonts w:hint="eastAsia" w:ascii="宋体" w:hAnsi="宋体" w:cs="宋体"/>
          <w:color w:val="auto"/>
          <w:szCs w:val="24"/>
          <w:highlight w:val="none"/>
        </w:rPr>
        <w:t>附表2：</w:t>
      </w:r>
    </w:p>
    <w:p w14:paraId="78838DB9">
      <w:pPr>
        <w:keepLines w:val="0"/>
        <w:pageBreakBefore w:val="0"/>
        <w:kinsoku/>
        <w:overflowPunct/>
        <w:bidi w:val="0"/>
        <w:spacing w:line="360" w:lineRule="auto"/>
        <w:ind w:left="2940" w:firstLine="0" w:firstLineChars="0"/>
        <w:rPr>
          <w:color w:val="auto"/>
          <w:sz w:val="21"/>
          <w:szCs w:val="24"/>
          <w:highlight w:val="none"/>
        </w:rPr>
      </w:pPr>
    </w:p>
    <w:p w14:paraId="409470FA">
      <w:pPr>
        <w:keepLines w:val="0"/>
        <w:pageBreakBefore w:val="0"/>
        <w:kinsoku/>
        <w:overflowPunct/>
        <w:bidi w:val="0"/>
        <w:spacing w:line="360" w:lineRule="auto"/>
        <w:ind w:firstLine="0" w:firstLineChars="0"/>
        <w:jc w:val="center"/>
        <w:rPr>
          <w:rFonts w:hint="eastAsia" w:ascii="宋体" w:hAnsi="宋体" w:cs="宋体"/>
          <w:color w:val="auto"/>
          <w:sz w:val="44"/>
          <w:szCs w:val="24"/>
          <w:highlight w:val="none"/>
        </w:rPr>
      </w:pPr>
      <w:r>
        <w:rPr>
          <w:rFonts w:hint="eastAsia" w:ascii="宋体" w:hAnsi="宋体" w:cs="宋体"/>
          <w:color w:val="auto"/>
          <w:sz w:val="44"/>
          <w:szCs w:val="24"/>
          <w:highlight w:val="none"/>
        </w:rPr>
        <w:t>投诉书（格式）</w:t>
      </w:r>
    </w:p>
    <w:p w14:paraId="61AC83B9">
      <w:pPr>
        <w:keepLines w:val="0"/>
        <w:pageBreakBefore w:val="0"/>
        <w:kinsoku/>
        <w:overflowPunct/>
        <w:bidi w:val="0"/>
        <w:snapToGrid w:val="0"/>
        <w:spacing w:line="360" w:lineRule="auto"/>
        <w:ind w:firstLine="422"/>
        <w:rPr>
          <w:rFonts w:hint="eastAsia" w:ascii="宋体" w:hAnsi="宋体" w:cs="宋体"/>
          <w:b/>
          <w:bCs/>
          <w:color w:val="auto"/>
          <w:sz w:val="21"/>
          <w:szCs w:val="20"/>
          <w:highlight w:val="none"/>
        </w:rPr>
      </w:pPr>
    </w:p>
    <w:p w14:paraId="5096B47E">
      <w:pPr>
        <w:keepLines w:val="0"/>
        <w:pageBreakBefore w:val="0"/>
        <w:kinsoku/>
        <w:overflowPunct/>
        <w:bidi w:val="0"/>
        <w:snapToGrid w:val="0"/>
        <w:spacing w:line="360" w:lineRule="auto"/>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1AD31935">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bCs/>
          <w:color w:val="auto"/>
          <w:sz w:val="21"/>
          <w:szCs w:val="20"/>
          <w:highlight w:val="none"/>
          <w:u w:val="single"/>
        </w:rPr>
        <w:t xml:space="preserve">                                                                 </w:t>
      </w:r>
    </w:p>
    <w:p w14:paraId="7202393C">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4C9482A0">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bCs/>
          <w:color w:val="auto"/>
          <w:sz w:val="21"/>
          <w:szCs w:val="20"/>
          <w:highlight w:val="none"/>
          <w:u w:val="single"/>
        </w:rPr>
        <w:t xml:space="preserve">                                                                 </w:t>
      </w:r>
    </w:p>
    <w:p w14:paraId="428F3108">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6C8C68B1">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授权代表：联系电话：</w:t>
      </w:r>
      <w:r>
        <w:rPr>
          <w:rFonts w:hint="eastAsia" w:ascii="宋体" w:hAnsi="宋体" w:cs="宋体"/>
          <w:bCs/>
          <w:color w:val="auto"/>
          <w:sz w:val="21"/>
          <w:szCs w:val="20"/>
          <w:highlight w:val="none"/>
          <w:u w:val="single"/>
        </w:rPr>
        <w:t xml:space="preserve">                                                                 </w:t>
      </w:r>
    </w:p>
    <w:p w14:paraId="62DB8BBE">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2F3EAF50">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被投诉人1：</w:t>
      </w:r>
    </w:p>
    <w:p w14:paraId="3B51CBAE">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5F3F9DDC">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联系人：联系电话：</w:t>
      </w:r>
      <w:r>
        <w:rPr>
          <w:rFonts w:hint="eastAsia" w:ascii="宋体" w:hAnsi="宋体" w:cs="宋体"/>
          <w:bCs/>
          <w:color w:val="auto"/>
          <w:sz w:val="21"/>
          <w:szCs w:val="20"/>
          <w:highlight w:val="none"/>
          <w:u w:val="single"/>
        </w:rPr>
        <w:t xml:space="preserve">                                                                 </w:t>
      </w:r>
    </w:p>
    <w:p w14:paraId="515F21FA">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被投诉人2：</w:t>
      </w:r>
    </w:p>
    <w:p w14:paraId="56EBCCFD">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w:t>
      </w:r>
    </w:p>
    <w:p w14:paraId="0A2BDEA8">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bCs/>
          <w:color w:val="auto"/>
          <w:sz w:val="21"/>
          <w:szCs w:val="20"/>
          <w:highlight w:val="none"/>
          <w:u w:val="single"/>
        </w:rPr>
        <w:t xml:space="preserve">                                                                      </w:t>
      </w:r>
    </w:p>
    <w:p w14:paraId="1C919D4C">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0C427C3E">
      <w:pPr>
        <w:keepLines w:val="0"/>
        <w:pageBreakBefore w:val="0"/>
        <w:kinsoku/>
        <w:overflowPunct/>
        <w:bidi w:val="0"/>
        <w:snapToGrid w:val="0"/>
        <w:spacing w:line="360" w:lineRule="auto"/>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10AC60B2">
      <w:pPr>
        <w:keepLines w:val="0"/>
        <w:pageBreakBefore w:val="0"/>
        <w:kinsoku/>
        <w:overflowPunct/>
        <w:bidi w:val="0"/>
        <w:snapToGrid w:val="0"/>
        <w:spacing w:line="360" w:lineRule="auto"/>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78C95784">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2EE572B4">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27A42744">
      <w:pPr>
        <w:keepLines w:val="0"/>
        <w:pageBreakBefore w:val="0"/>
        <w:kinsoku/>
        <w:overflowPunct/>
        <w:bidi w:val="0"/>
        <w:spacing w:line="360" w:lineRule="auto"/>
        <w:ind w:left="29" w:leftChars="12" w:firstLine="413" w:firstLineChars="197"/>
        <w:rPr>
          <w:rFonts w:hint="eastAsia"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5F6BE574">
      <w:pPr>
        <w:keepLines w:val="0"/>
        <w:pageBreakBefore w:val="0"/>
        <w:kinsoku/>
        <w:overflowPunct/>
        <w:bidi w:val="0"/>
        <w:spacing w:line="360" w:lineRule="auto"/>
        <w:ind w:left="29" w:leftChars="12" w:firstLine="413" w:firstLineChars="197"/>
        <w:rPr>
          <w:rFonts w:hint="eastAsia"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bCs/>
          <w:color w:val="auto"/>
          <w:sz w:val="21"/>
          <w:szCs w:val="20"/>
          <w:highlight w:val="none"/>
          <w:u w:val="single"/>
        </w:rPr>
        <w:t xml:space="preserve">                                                                 </w:t>
      </w:r>
    </w:p>
    <w:p w14:paraId="17631EC2">
      <w:pPr>
        <w:keepLines w:val="0"/>
        <w:pageBreakBefore w:val="0"/>
        <w:kinsoku/>
        <w:overflowPunct/>
        <w:bidi w:val="0"/>
        <w:spacing w:line="360" w:lineRule="auto"/>
        <w:ind w:left="29" w:leftChars="12" w:firstLine="413" w:firstLineChars="197"/>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1E524AC8">
      <w:pPr>
        <w:keepLines w:val="0"/>
        <w:pageBreakBefore w:val="0"/>
        <w:kinsoku/>
        <w:overflowPunct/>
        <w:bidi w:val="0"/>
        <w:spacing w:line="360" w:lineRule="auto"/>
        <w:ind w:left="29" w:leftChars="12" w:firstLine="413" w:firstLineChars="197"/>
        <w:rPr>
          <w:rFonts w:hint="eastAsia"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401F0446">
      <w:pPr>
        <w:keepLines w:val="0"/>
        <w:pageBreakBefore w:val="0"/>
        <w:kinsoku/>
        <w:overflowPunct/>
        <w:bidi w:val="0"/>
        <w:spacing w:line="360" w:lineRule="auto"/>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0D9E7C9F">
      <w:pPr>
        <w:keepLines w:val="0"/>
        <w:pageBreakBefore w:val="0"/>
        <w:kinsoku/>
        <w:overflowPunct/>
        <w:bidi w:val="0"/>
        <w:spacing w:line="360" w:lineRule="auto"/>
        <w:ind w:left="29" w:leftChars="12" w:firstLine="833" w:firstLineChars="397"/>
        <w:rPr>
          <w:rFonts w:hint="eastAsia" w:ascii="宋体" w:hAnsi="宋体" w:cs="宋体"/>
          <w:color w:val="auto"/>
          <w:sz w:val="21"/>
          <w:szCs w:val="21"/>
          <w:highlight w:val="none"/>
        </w:rPr>
      </w:pPr>
      <w:r>
        <w:rPr>
          <w:rFonts w:hint="eastAsia" w:ascii="宋体" w:hAnsi="宋体" w:cs="宋体"/>
          <w:color w:val="auto"/>
          <w:sz w:val="21"/>
          <w:szCs w:val="21"/>
          <w:highlight w:val="none"/>
        </w:rPr>
        <w:t>投诉人于</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年</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月</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日，向提出质疑，质疑事项为：</w:t>
      </w:r>
      <w:r>
        <w:rPr>
          <w:rFonts w:hint="eastAsia" w:ascii="宋体" w:hAnsi="宋体" w:cs="宋体"/>
          <w:bCs/>
          <w:color w:val="auto"/>
          <w:sz w:val="21"/>
          <w:szCs w:val="20"/>
          <w:highlight w:val="none"/>
          <w:u w:val="single"/>
        </w:rPr>
        <w:t xml:space="preserve">                                    </w:t>
      </w:r>
    </w:p>
    <w:p w14:paraId="687BD8B7">
      <w:pPr>
        <w:keepLines w:val="0"/>
        <w:pageBreakBefore w:val="0"/>
        <w:kinsoku/>
        <w:overflowPunct/>
        <w:bidi w:val="0"/>
        <w:spacing w:line="360" w:lineRule="auto"/>
        <w:ind w:firstLine="0" w:firstLineChars="0"/>
        <w:rPr>
          <w:rFonts w:hint="eastAsia" w:ascii="宋体" w:hAnsi="宋体" w:cs="宋体"/>
          <w:bCs/>
          <w:color w:val="auto"/>
          <w:sz w:val="21"/>
          <w:szCs w:val="20"/>
          <w:highlight w:val="none"/>
          <w:u w:val="single"/>
        </w:rPr>
      </w:pPr>
    </w:p>
    <w:p w14:paraId="31BF826F">
      <w:pPr>
        <w:keepLines w:val="0"/>
        <w:pageBreakBefore w:val="0"/>
        <w:kinsoku/>
        <w:overflowPunct/>
        <w:bidi w:val="0"/>
        <w:spacing w:line="360" w:lineRule="auto"/>
        <w:ind w:firstLine="0" w:firstLineChars="0"/>
        <w:rPr>
          <w:rFonts w:hint="eastAsia" w:ascii="宋体" w:hAnsi="宋体" w:cs="宋体"/>
          <w:bCs/>
          <w:color w:val="auto"/>
          <w:sz w:val="21"/>
          <w:szCs w:val="20"/>
          <w:highlight w:val="none"/>
          <w:u w:val="single"/>
        </w:rPr>
      </w:pPr>
    </w:p>
    <w:p w14:paraId="78A5AD99">
      <w:pPr>
        <w:keepLines w:val="0"/>
        <w:pageBreakBefore w:val="0"/>
        <w:kinsoku/>
        <w:overflowPunct/>
        <w:bidi w:val="0"/>
        <w:spacing w:line="360" w:lineRule="auto"/>
        <w:ind w:firstLine="0" w:firstLineChars="0"/>
        <w:rPr>
          <w:rFonts w:hint="eastAsia" w:ascii="宋体" w:hAnsi="宋体" w:cs="宋体"/>
          <w:color w:val="auto"/>
          <w:sz w:val="21"/>
          <w:szCs w:val="21"/>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于</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年</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月</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日，</w:t>
      </w:r>
      <w:r>
        <w:rPr>
          <w:rFonts w:hint="eastAsia" w:ascii="宋体" w:hAnsi="宋体" w:cs="宋体"/>
          <w:bCs/>
          <w:color w:val="auto"/>
          <w:sz w:val="21"/>
          <w:szCs w:val="20"/>
          <w:highlight w:val="none"/>
        </w:rPr>
        <w:t xml:space="preserve">就质疑事项作出了答复/没有在法定期限内作出答复。                                                                                             </w:t>
      </w:r>
    </w:p>
    <w:p w14:paraId="24A0782D">
      <w:pPr>
        <w:keepLines w:val="0"/>
        <w:pageBreakBefore w:val="0"/>
        <w:kinsoku/>
        <w:overflowPunct/>
        <w:bidi w:val="0"/>
        <w:spacing w:line="360" w:lineRule="auto"/>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51A54E59">
      <w:pPr>
        <w:keepLines w:val="0"/>
        <w:pageBreakBefore w:val="0"/>
        <w:kinsoku/>
        <w:overflowPunct/>
        <w:bidi w:val="0"/>
        <w:spacing w:line="360" w:lineRule="auto"/>
        <w:ind w:left="29" w:leftChars="12" w:firstLine="413" w:firstLineChars="197"/>
        <w:rPr>
          <w:rFonts w:hint="eastAsia" w:ascii="宋体" w:hAnsi="宋体" w:cs="宋体"/>
          <w:bCs/>
          <w:color w:val="auto"/>
          <w:sz w:val="21"/>
          <w:szCs w:val="20"/>
          <w:highlight w:val="none"/>
          <w:u w:val="single"/>
        </w:rPr>
      </w:pPr>
      <w:r>
        <w:rPr>
          <w:rFonts w:hint="eastAsia" w:ascii="宋体" w:hAnsi="宋体" w:cs="宋体"/>
          <w:color w:val="auto"/>
          <w:sz w:val="21"/>
          <w:szCs w:val="21"/>
          <w:highlight w:val="none"/>
        </w:rPr>
        <w:t>投诉事项1：</w:t>
      </w:r>
    </w:p>
    <w:p w14:paraId="0B44F676">
      <w:pPr>
        <w:keepLines w:val="0"/>
        <w:pageBreakBefore w:val="0"/>
        <w:kinsoku/>
        <w:overflowPunct/>
        <w:bidi w:val="0"/>
        <w:spacing w:line="360" w:lineRule="auto"/>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bCs/>
          <w:color w:val="auto"/>
          <w:sz w:val="21"/>
          <w:szCs w:val="20"/>
          <w:highlight w:val="none"/>
          <w:u w:val="single"/>
        </w:rPr>
        <w:t xml:space="preserve">                               </w:t>
      </w:r>
    </w:p>
    <w:p w14:paraId="1F24D937">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p>
    <w:p w14:paraId="269F56D5">
      <w:pPr>
        <w:keepLines w:val="0"/>
        <w:pageBreakBefore w:val="0"/>
        <w:kinsoku/>
        <w:overflowPunct/>
        <w:bidi w:val="0"/>
        <w:spacing w:line="360" w:lineRule="auto"/>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bCs/>
          <w:color w:val="auto"/>
          <w:sz w:val="21"/>
          <w:szCs w:val="20"/>
          <w:highlight w:val="none"/>
          <w:u w:val="single"/>
        </w:rPr>
        <w:t xml:space="preserve">                               </w:t>
      </w:r>
    </w:p>
    <w:p w14:paraId="03BF2E26">
      <w:pPr>
        <w:keepLines w:val="0"/>
        <w:pageBreakBefore w:val="0"/>
        <w:kinsoku/>
        <w:overflowPunct/>
        <w:bidi w:val="0"/>
        <w:spacing w:line="360" w:lineRule="auto"/>
        <w:ind w:left="29" w:leftChars="12" w:firstLine="308" w:firstLineChars="147"/>
        <w:rPr>
          <w:rFonts w:hint="eastAsia" w:ascii="宋体" w:hAnsi="宋体" w:cs="宋体"/>
          <w:bCs/>
          <w:color w:val="auto"/>
          <w:sz w:val="21"/>
          <w:szCs w:val="20"/>
          <w:highlight w:val="none"/>
          <w:u w:val="single"/>
        </w:rPr>
      </w:pPr>
    </w:p>
    <w:p w14:paraId="7DD949F9">
      <w:pPr>
        <w:keepLines w:val="0"/>
        <w:pageBreakBefore w:val="0"/>
        <w:kinsoku/>
        <w:overflowPunct/>
        <w:bidi w:val="0"/>
        <w:spacing w:line="360" w:lineRule="auto"/>
        <w:ind w:left="29" w:leftChars="12" w:firstLine="413" w:firstLineChars="197"/>
        <w:rPr>
          <w:rFonts w:hint="eastAsia"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p>
    <w:p w14:paraId="469EC33E">
      <w:pPr>
        <w:keepLines w:val="0"/>
        <w:pageBreakBefore w:val="0"/>
        <w:kinsoku/>
        <w:overflowPunct/>
        <w:bidi w:val="0"/>
        <w:spacing w:line="360" w:lineRule="auto"/>
        <w:ind w:left="29" w:leftChars="12" w:firstLine="413" w:firstLineChars="197"/>
        <w:rPr>
          <w:rFonts w:hint="eastAsia" w:ascii="宋体" w:hAnsi="宋体" w:cs="宋体"/>
          <w:bCs/>
          <w:color w:val="auto"/>
          <w:sz w:val="21"/>
          <w:szCs w:val="20"/>
          <w:highlight w:val="none"/>
        </w:rPr>
      </w:pPr>
      <w:r>
        <w:rPr>
          <w:rFonts w:hint="eastAsia" w:ascii="宋体" w:hAnsi="宋体" w:cs="宋体"/>
          <w:bCs/>
          <w:color w:val="auto"/>
          <w:sz w:val="21"/>
          <w:szCs w:val="20"/>
          <w:highlight w:val="none"/>
        </w:rPr>
        <w:t>……</w:t>
      </w:r>
    </w:p>
    <w:p w14:paraId="2A2B95A4">
      <w:pPr>
        <w:keepLines w:val="0"/>
        <w:pageBreakBefore w:val="0"/>
        <w:kinsoku/>
        <w:overflowPunct/>
        <w:bidi w:val="0"/>
        <w:spacing w:line="360" w:lineRule="auto"/>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765060A6">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bCs/>
          <w:color w:val="auto"/>
          <w:sz w:val="21"/>
          <w:szCs w:val="20"/>
          <w:highlight w:val="none"/>
          <w:u w:val="single"/>
        </w:rPr>
        <w:t xml:space="preserve">                               </w:t>
      </w:r>
    </w:p>
    <w:p w14:paraId="7A7148C9">
      <w:pPr>
        <w:keepLines w:val="0"/>
        <w:pageBreakBefore w:val="0"/>
        <w:kinsoku/>
        <w:overflowPunct/>
        <w:bidi w:val="0"/>
        <w:spacing w:line="360" w:lineRule="auto"/>
        <w:ind w:left="29" w:leftChars="12" w:firstLine="308" w:firstLineChars="147"/>
        <w:rPr>
          <w:rFonts w:hint="eastAsia" w:ascii="宋体" w:hAnsi="宋体" w:cs="宋体"/>
          <w:color w:val="auto"/>
          <w:sz w:val="21"/>
          <w:szCs w:val="21"/>
          <w:highlight w:val="none"/>
        </w:rPr>
      </w:pPr>
    </w:p>
    <w:p w14:paraId="422CA956">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签字（签章）：</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 xml:space="preserve">          公章：</w:t>
      </w:r>
      <w:r>
        <w:rPr>
          <w:rFonts w:hint="eastAsia" w:ascii="宋体" w:hAnsi="宋体" w:cs="宋体"/>
          <w:bCs/>
          <w:color w:val="auto"/>
          <w:sz w:val="21"/>
          <w:szCs w:val="20"/>
          <w:highlight w:val="none"/>
          <w:u w:val="single"/>
        </w:rPr>
        <w:t xml:space="preserve">                               </w:t>
      </w:r>
    </w:p>
    <w:p w14:paraId="40FA00B2">
      <w:pPr>
        <w:keepLines w:val="0"/>
        <w:pageBreakBefore w:val="0"/>
        <w:kinsoku/>
        <w:overflowPunct/>
        <w:bidi w:val="0"/>
        <w:spacing w:line="360" w:lineRule="auto"/>
        <w:ind w:left="29" w:leftChars="12" w:firstLine="308" w:firstLineChars="147"/>
        <w:rPr>
          <w:rFonts w:hint="eastAsia" w:ascii="宋体" w:hAnsi="宋体" w:cs="宋体"/>
          <w:color w:val="auto"/>
          <w:sz w:val="21"/>
          <w:szCs w:val="21"/>
          <w:highlight w:val="none"/>
        </w:rPr>
      </w:pPr>
    </w:p>
    <w:p w14:paraId="74BD91C3">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日期：</w:t>
      </w:r>
      <w:r>
        <w:rPr>
          <w:rFonts w:hint="eastAsia" w:ascii="宋体" w:hAnsi="宋体" w:cs="宋体"/>
          <w:bCs/>
          <w:color w:val="auto"/>
          <w:sz w:val="21"/>
          <w:szCs w:val="20"/>
          <w:highlight w:val="none"/>
          <w:u w:val="single"/>
        </w:rPr>
        <w:t xml:space="preserve">                               </w:t>
      </w:r>
    </w:p>
    <w:p w14:paraId="6DCE64DE">
      <w:pPr>
        <w:keepLines w:val="0"/>
        <w:pageBreakBefore w:val="0"/>
        <w:kinsoku/>
        <w:overflowPunct/>
        <w:bidi w:val="0"/>
        <w:spacing w:line="360" w:lineRule="auto"/>
        <w:ind w:left="29" w:leftChars="12" w:firstLine="413" w:firstLineChars="197"/>
        <w:rPr>
          <w:rFonts w:hint="eastAsia" w:ascii="宋体" w:hAnsi="宋体" w:cs="宋体"/>
          <w:color w:val="auto"/>
          <w:sz w:val="21"/>
          <w:szCs w:val="21"/>
          <w:highlight w:val="none"/>
        </w:rPr>
      </w:pPr>
    </w:p>
    <w:p w14:paraId="6F8588DD">
      <w:pPr>
        <w:keepLines w:val="0"/>
        <w:pageBreakBefore w:val="0"/>
        <w:kinsoku/>
        <w:overflowPunct/>
        <w:bidi w:val="0"/>
        <w:snapToGrid w:val="0"/>
        <w:spacing w:line="360" w:lineRule="auto"/>
        <w:ind w:firstLine="0" w:firstLineChars="0"/>
        <w:rPr>
          <w:rFonts w:hint="eastAsia" w:ascii="宋体" w:hAnsi="宋体" w:cs="宋体"/>
          <w:b/>
          <w:color w:val="auto"/>
          <w:sz w:val="21"/>
          <w:szCs w:val="21"/>
          <w:highlight w:val="none"/>
        </w:rPr>
      </w:pPr>
    </w:p>
    <w:p w14:paraId="015EA19D">
      <w:pPr>
        <w:keepLines w:val="0"/>
        <w:pageBreakBefore w:val="0"/>
        <w:kinsoku/>
        <w:overflowPunct/>
        <w:bidi w:val="0"/>
        <w:spacing w:line="360" w:lineRule="auto"/>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说明：</w:t>
      </w:r>
    </w:p>
    <w:p w14:paraId="5294F854">
      <w:pPr>
        <w:keepLines w:val="0"/>
        <w:pageBreakBefore w:val="0"/>
        <w:kinsoku/>
        <w:overflowPunct/>
        <w:bidi w:val="0"/>
        <w:spacing w:line="360" w:lineRule="auto"/>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2220753C">
      <w:pPr>
        <w:keepLines w:val="0"/>
        <w:pageBreakBefore w:val="0"/>
        <w:kinsoku/>
        <w:overflowPunct/>
        <w:bidi w:val="0"/>
        <w:spacing w:line="360" w:lineRule="auto"/>
        <w:ind w:left="29" w:leftChars="12" w:firstLine="310" w:firstLineChars="147"/>
        <w:rPr>
          <w:rFonts w:hint="eastAsia" w:ascii="宋体" w:hAnsi="宋体"/>
          <w:b/>
          <w:color w:val="auto"/>
          <w:sz w:val="21"/>
          <w:szCs w:val="20"/>
          <w:highlight w:val="none"/>
        </w:rPr>
      </w:pPr>
      <w:r>
        <w:rPr>
          <w:rFonts w:hint="eastAsia" w:ascii="宋体" w:hAnsi="宋体" w:cs="宋体"/>
          <w:b/>
          <w:color w:val="auto"/>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131A252">
      <w:pPr>
        <w:keepLines w:val="0"/>
        <w:pageBreakBefore w:val="0"/>
        <w:kinsoku/>
        <w:overflowPunct/>
        <w:bidi w:val="0"/>
        <w:spacing w:line="360" w:lineRule="auto"/>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050C6E79">
      <w:pPr>
        <w:keepLines w:val="0"/>
        <w:pageBreakBefore w:val="0"/>
        <w:kinsoku/>
        <w:overflowPunct/>
        <w:bidi w:val="0"/>
        <w:spacing w:line="360" w:lineRule="auto"/>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41B0EE68">
      <w:pPr>
        <w:keepLines w:val="0"/>
        <w:pageBreakBefore w:val="0"/>
        <w:kinsoku/>
        <w:overflowPunct/>
        <w:bidi w:val="0"/>
        <w:spacing w:line="360" w:lineRule="auto"/>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03A6C13D">
      <w:pPr>
        <w:keepLines w:val="0"/>
        <w:pageBreakBefore w:val="0"/>
        <w:kinsoku/>
        <w:overflowPunct/>
        <w:bidi w:val="0"/>
        <w:spacing w:line="360" w:lineRule="auto"/>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52A83A30">
      <w:pPr>
        <w:keepLines w:val="0"/>
        <w:pageBreakBefore w:val="0"/>
        <w:kinsoku/>
        <w:overflowPunct/>
        <w:bidi w:val="0"/>
        <w:spacing w:line="360" w:lineRule="auto"/>
        <w:ind w:left="29" w:leftChars="12" w:firstLine="310" w:firstLineChars="147"/>
        <w:rPr>
          <w:rFonts w:hint="eastAsia" w:ascii="宋体" w:hAnsi="宋体" w:cs="宋体"/>
          <w:b/>
          <w:color w:val="auto"/>
          <w:kern w:val="0"/>
          <w:sz w:val="21"/>
          <w:szCs w:val="21"/>
          <w:highlight w:val="none"/>
        </w:rPr>
      </w:pPr>
    </w:p>
    <w:p w14:paraId="2EB444D7">
      <w:pPr>
        <w:keepLines w:val="0"/>
        <w:pageBreakBefore w:val="0"/>
        <w:kinsoku/>
        <w:overflowPunct/>
        <w:bidi w:val="0"/>
        <w:spacing w:line="360" w:lineRule="auto"/>
        <w:ind w:left="29" w:leftChars="12" w:firstLine="310" w:firstLineChars="147"/>
        <w:rPr>
          <w:rFonts w:hint="eastAsia" w:ascii="宋体" w:hAnsi="宋体"/>
          <w:b/>
          <w:color w:val="auto"/>
          <w:kern w:val="0"/>
          <w:sz w:val="21"/>
          <w:szCs w:val="21"/>
          <w:highlight w:val="none"/>
        </w:rPr>
      </w:pPr>
    </w:p>
    <w:p w14:paraId="5C3330C0">
      <w:pPr>
        <w:keepLines w:val="0"/>
        <w:pageBreakBefore w:val="0"/>
        <w:tabs>
          <w:tab w:val="center" w:pos="4410"/>
          <w:tab w:val="left" w:pos="6735"/>
        </w:tabs>
        <w:kinsoku/>
        <w:overflowPunct/>
        <w:bidi w:val="0"/>
        <w:spacing w:line="360" w:lineRule="auto"/>
        <w:ind w:firstLine="0" w:firstLineChars="0"/>
        <w:jc w:val="center"/>
        <w:rPr>
          <w:rFonts w:hint="eastAsia" w:ascii="宋体" w:hAnsi="宋体"/>
          <w:b/>
          <w:color w:val="auto"/>
          <w:kern w:val="0"/>
          <w:sz w:val="32"/>
          <w:szCs w:val="32"/>
          <w:highlight w:val="none"/>
        </w:rPr>
      </w:pPr>
    </w:p>
    <w:p w14:paraId="2CDC1E07">
      <w:pPr>
        <w:keepLines w:val="0"/>
        <w:pageBreakBefore w:val="0"/>
        <w:tabs>
          <w:tab w:val="center" w:pos="4410"/>
          <w:tab w:val="left" w:pos="6735"/>
        </w:tabs>
        <w:kinsoku/>
        <w:overflowPunct/>
        <w:bidi w:val="0"/>
        <w:spacing w:line="360" w:lineRule="auto"/>
        <w:ind w:firstLine="0" w:firstLineChars="0"/>
        <w:jc w:val="center"/>
        <w:rPr>
          <w:rFonts w:hint="eastAsia" w:ascii="宋体" w:hAnsi="宋体"/>
          <w:b/>
          <w:color w:val="auto"/>
          <w:kern w:val="0"/>
          <w:sz w:val="32"/>
          <w:szCs w:val="32"/>
          <w:highlight w:val="none"/>
        </w:rPr>
      </w:pPr>
    </w:p>
    <w:p w14:paraId="748568F8">
      <w:pPr>
        <w:keepLines w:val="0"/>
        <w:pageBreakBefore w:val="0"/>
        <w:tabs>
          <w:tab w:val="center" w:pos="4410"/>
          <w:tab w:val="left" w:pos="6735"/>
        </w:tabs>
        <w:kinsoku/>
        <w:overflowPunct/>
        <w:bidi w:val="0"/>
        <w:spacing w:line="360" w:lineRule="auto"/>
        <w:ind w:firstLine="0" w:firstLineChars="0"/>
        <w:jc w:val="center"/>
        <w:rPr>
          <w:rFonts w:hint="eastAsia" w:ascii="宋体" w:hAnsi="宋体"/>
          <w:b/>
          <w:color w:val="auto"/>
          <w:kern w:val="0"/>
          <w:sz w:val="32"/>
          <w:szCs w:val="32"/>
          <w:highlight w:val="none"/>
        </w:rPr>
      </w:pPr>
    </w:p>
    <w:p w14:paraId="592ECD60">
      <w:pPr>
        <w:keepLines w:val="0"/>
        <w:pageBreakBefore w:val="0"/>
        <w:tabs>
          <w:tab w:val="center" w:pos="4410"/>
          <w:tab w:val="left" w:pos="6735"/>
        </w:tabs>
        <w:kinsoku/>
        <w:overflowPunct/>
        <w:bidi w:val="0"/>
        <w:spacing w:line="360" w:lineRule="auto"/>
        <w:ind w:firstLine="0" w:firstLineChars="0"/>
        <w:jc w:val="center"/>
        <w:rPr>
          <w:rFonts w:hint="eastAsia" w:ascii="宋体" w:hAnsi="宋体"/>
          <w:b/>
          <w:color w:val="auto"/>
          <w:kern w:val="0"/>
          <w:sz w:val="32"/>
          <w:szCs w:val="32"/>
          <w:highlight w:val="none"/>
        </w:rPr>
      </w:pPr>
    </w:p>
    <w:p w14:paraId="5236761D">
      <w:pPr>
        <w:keepLines w:val="0"/>
        <w:pageBreakBefore w:val="0"/>
        <w:tabs>
          <w:tab w:val="center" w:pos="4410"/>
          <w:tab w:val="left" w:pos="6735"/>
        </w:tabs>
        <w:kinsoku/>
        <w:overflowPunct/>
        <w:bidi w:val="0"/>
        <w:spacing w:line="360" w:lineRule="auto"/>
        <w:ind w:firstLine="0" w:firstLineChars="0"/>
        <w:jc w:val="center"/>
        <w:rPr>
          <w:rFonts w:hint="eastAsia" w:ascii="宋体" w:hAnsi="宋体"/>
          <w:b/>
          <w:color w:val="auto"/>
          <w:kern w:val="0"/>
          <w:sz w:val="32"/>
          <w:szCs w:val="32"/>
          <w:highlight w:val="none"/>
        </w:rPr>
      </w:pPr>
    </w:p>
    <w:p w14:paraId="0D2C3537">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p>
    <w:p w14:paraId="3506F3E6">
      <w:pPr>
        <w:keepLines w:val="0"/>
        <w:pageBreakBefore w:val="0"/>
        <w:widowControl/>
        <w:kinsoku/>
        <w:overflowPunct/>
        <w:bidi w:val="0"/>
        <w:spacing w:line="360" w:lineRule="auto"/>
        <w:ind w:firstLine="0" w:firstLineChars="0"/>
        <w:jc w:val="left"/>
        <w:rPr>
          <w:rFonts w:hint="eastAsia" w:ascii="方正小标宋简体" w:hAnsi="仿宋" w:eastAsia="方正小标宋简体" w:cs="Times New Roman"/>
          <w:color w:val="auto"/>
          <w:kern w:val="0"/>
          <w:sz w:val="28"/>
          <w:szCs w:val="28"/>
          <w:highlight w:val="none"/>
        </w:rPr>
      </w:pPr>
      <w:r>
        <w:rPr>
          <w:rFonts w:hint="eastAsia" w:ascii="方正小标宋简体" w:hAnsi="仿宋" w:eastAsia="方正小标宋简体" w:cs="Times New Roman"/>
          <w:color w:val="auto"/>
          <w:kern w:val="0"/>
          <w:sz w:val="28"/>
          <w:szCs w:val="28"/>
          <w:highlight w:val="none"/>
        </w:rPr>
        <w:t>附表3：</w:t>
      </w:r>
    </w:p>
    <w:p w14:paraId="3CACC60C">
      <w:pPr>
        <w:keepLines w:val="0"/>
        <w:pageBreakBefore w:val="0"/>
        <w:kinsoku/>
        <w:overflowPunct/>
        <w:bidi w:val="0"/>
        <w:spacing w:line="360" w:lineRule="auto"/>
        <w:ind w:firstLine="0" w:firstLineChars="0"/>
        <w:jc w:val="center"/>
        <w:rPr>
          <w:rFonts w:hint="eastAsia" w:ascii="宋体" w:hAnsi="宋体" w:cs="宋体"/>
          <w:color w:val="auto"/>
          <w:sz w:val="44"/>
          <w:szCs w:val="24"/>
          <w:highlight w:val="none"/>
        </w:rPr>
      </w:pPr>
      <w:r>
        <w:rPr>
          <w:rFonts w:hint="eastAsia" w:ascii="宋体" w:hAnsi="宋体" w:cs="宋体"/>
          <w:color w:val="auto"/>
          <w:sz w:val="44"/>
          <w:szCs w:val="24"/>
          <w:highlight w:val="none"/>
        </w:rPr>
        <w:t>桂林市政府采购项目合同验收书（格式）</w:t>
      </w:r>
    </w:p>
    <w:p w14:paraId="2A1321C6">
      <w:pPr>
        <w:keepLines w:val="0"/>
        <w:pageBreakBefore w:val="0"/>
        <w:widowControl/>
        <w:kinsoku/>
        <w:overflowPunct/>
        <w:bidi w:val="0"/>
        <w:spacing w:line="360" w:lineRule="auto"/>
        <w:ind w:firstLine="0" w:firstLineChars="0"/>
        <w:jc w:val="center"/>
        <w:rPr>
          <w:rFonts w:hint="eastAsia" w:ascii="方正小标宋简体" w:hAnsi="仿宋" w:eastAsia="方正小标宋简体"/>
          <w:color w:val="auto"/>
          <w:kern w:val="0"/>
          <w:sz w:val="36"/>
          <w:szCs w:val="36"/>
          <w:highlight w:val="none"/>
        </w:rPr>
      </w:pPr>
    </w:p>
    <w:p w14:paraId="69AC9CF7">
      <w:pPr>
        <w:keepLines w:val="0"/>
        <w:pageBreakBefore w:val="0"/>
        <w:widowControl/>
        <w:kinsoku/>
        <w:overflowPunct/>
        <w:bidi w:val="0"/>
        <w:spacing w:line="360" w:lineRule="auto"/>
        <w:ind w:firstLine="482" w:firstLineChars="0"/>
        <w:jc w:val="left"/>
        <w:rPr>
          <w:rFonts w:hint="eastAsia"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softHyphen/>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）政府采购项目成交供应商（</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w:t>
      </w:r>
      <w:r>
        <w:rPr>
          <w:rFonts w:ascii="宋体" w:hAnsi="宋体"/>
          <w:color w:val="auto"/>
          <w:kern w:val="0"/>
          <w:szCs w:val="24"/>
          <w:highlight w:val="none"/>
        </w:rPr>
        <w:t> </w:t>
      </w:r>
      <w:r>
        <w:rPr>
          <w:rFonts w:hint="eastAsia" w:ascii="宋体" w:hAnsi="宋体" w:cs="仿宋"/>
          <w:color w:val="auto"/>
          <w:kern w:val="0"/>
          <w:szCs w:val="24"/>
          <w:highlight w:val="none"/>
        </w:rPr>
        <w:t>提供的货物进行了验收，验收情况如下：</w:t>
      </w:r>
    </w:p>
    <w:tbl>
      <w:tblPr>
        <w:tblStyle w:val="43"/>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15A8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71D8CB3A">
            <w:pPr>
              <w:keepLines w:val="0"/>
              <w:pageBreakBefore w:val="0"/>
              <w:widowControl/>
              <w:kinsoku/>
              <w:overflowPunct/>
              <w:bidi w:val="0"/>
              <w:spacing w:line="360" w:lineRule="auto"/>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34F6EE4B">
            <w:pPr>
              <w:keepLines w:val="0"/>
              <w:pageBreakBefore w:val="0"/>
              <w:widowControl/>
              <w:kinsoku/>
              <w:overflowPunct/>
              <w:bidi w:val="0"/>
              <w:spacing w:line="360" w:lineRule="auto"/>
              <w:ind w:firstLine="480" w:firstLineChars="0"/>
              <w:jc w:val="center"/>
              <w:rPr>
                <w:rFonts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1C88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23690E13">
            <w:pPr>
              <w:keepLines w:val="0"/>
              <w:pageBreakBefore w:val="0"/>
              <w:widowControl/>
              <w:kinsoku/>
              <w:overflowPunct/>
              <w:bidi w:val="0"/>
              <w:spacing w:line="360" w:lineRule="auto"/>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01FE020C">
            <w:pPr>
              <w:keepLines w:val="0"/>
              <w:pageBreakBefore w:val="0"/>
              <w:widowControl/>
              <w:kinsoku/>
              <w:overflowPunct/>
              <w:bidi w:val="0"/>
              <w:spacing w:line="360" w:lineRule="auto"/>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名</w:t>
            </w:r>
            <w:r>
              <w:rPr>
                <w:rFonts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50DF3EA1">
            <w:pPr>
              <w:keepLines w:val="0"/>
              <w:pageBreakBefore w:val="0"/>
              <w:widowControl/>
              <w:kinsoku/>
              <w:overflowPunct/>
              <w:bidi w:val="0"/>
              <w:spacing w:line="360" w:lineRule="auto"/>
              <w:ind w:firstLine="2"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货物型号规格、标准及配置等</w:t>
            </w:r>
          </w:p>
          <w:p w14:paraId="569BCE73">
            <w:pPr>
              <w:keepLines w:val="0"/>
              <w:pageBreakBefore w:val="0"/>
              <w:widowControl/>
              <w:kinsoku/>
              <w:overflowPunct/>
              <w:bidi w:val="0"/>
              <w:spacing w:line="360" w:lineRule="auto"/>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（或服务内容、标准）</w:t>
            </w:r>
          </w:p>
        </w:tc>
        <w:tc>
          <w:tcPr>
            <w:tcW w:w="998" w:type="dxa"/>
            <w:gridSpan w:val="2"/>
            <w:vAlign w:val="center"/>
          </w:tcPr>
          <w:p w14:paraId="03D90ED5">
            <w:pPr>
              <w:keepLines w:val="0"/>
              <w:pageBreakBefore w:val="0"/>
              <w:widowControl/>
              <w:kinsoku/>
              <w:overflowPunct/>
              <w:bidi w:val="0"/>
              <w:spacing w:line="360" w:lineRule="auto"/>
              <w:ind w:firstLine="0"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44F7CC97">
            <w:pPr>
              <w:keepLines w:val="0"/>
              <w:pageBreakBefore w:val="0"/>
              <w:widowControl/>
              <w:kinsoku/>
              <w:overflowPunct/>
              <w:bidi w:val="0"/>
              <w:spacing w:line="360" w:lineRule="auto"/>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金</w:t>
            </w:r>
            <w:r>
              <w:rPr>
                <w:rFonts w:ascii="宋体"/>
                <w:color w:val="auto"/>
                <w:kern w:val="0"/>
                <w:sz w:val="21"/>
                <w:szCs w:val="24"/>
                <w:highlight w:val="none"/>
              </w:rPr>
              <w:t> </w:t>
            </w:r>
            <w:r>
              <w:rPr>
                <w:rFonts w:hint="eastAsia" w:ascii="宋体" w:hAnsi="宋体" w:cs="宋体"/>
                <w:color w:val="auto"/>
                <w:kern w:val="0"/>
                <w:sz w:val="21"/>
                <w:szCs w:val="24"/>
                <w:highlight w:val="none"/>
              </w:rPr>
              <w:t>额</w:t>
            </w:r>
          </w:p>
        </w:tc>
      </w:tr>
      <w:tr w14:paraId="568C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4F16763B">
            <w:pPr>
              <w:keepLines w:val="0"/>
              <w:pageBreakBefore w:val="0"/>
              <w:widowControl/>
              <w:kinsoku/>
              <w:overflowPunct/>
              <w:bidi w:val="0"/>
              <w:spacing w:line="360" w:lineRule="auto"/>
              <w:ind w:firstLine="5"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2CB559BC">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4E3438AB">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2E50BD07">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38FE77EF">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58B2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78E83583">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04D565FE">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4C5E5200">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3DA4CA7E">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202A4DB6">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2190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4F583593">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424A2C87">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5C5775E9">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73A1399B">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41501A30">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5159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0F6FDD03">
            <w:pPr>
              <w:keepLines w:val="0"/>
              <w:pageBreakBefore w:val="0"/>
              <w:widowControl/>
              <w:kinsoku/>
              <w:overflowPunct/>
              <w:bidi w:val="0"/>
              <w:spacing w:line="360" w:lineRule="auto"/>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合</w:t>
            </w:r>
            <w:r>
              <w:rPr>
                <w:rFonts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36C864BF">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1CF1606D">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0028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669D2016">
            <w:pPr>
              <w:keepLines w:val="0"/>
              <w:pageBreakBefore w:val="0"/>
              <w:widowControl/>
              <w:kinsoku/>
              <w:overflowPunct/>
              <w:bidi w:val="0"/>
              <w:spacing w:line="360" w:lineRule="auto"/>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万</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元</w:t>
            </w:r>
          </w:p>
        </w:tc>
      </w:tr>
      <w:tr w14:paraId="6D13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02785324">
            <w:pPr>
              <w:keepLines w:val="0"/>
              <w:pageBreakBefore w:val="0"/>
              <w:widowControl/>
              <w:kinsoku/>
              <w:overflowPunct/>
              <w:bidi w:val="0"/>
              <w:spacing w:line="360" w:lineRule="auto"/>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实际供货日期</w:t>
            </w:r>
          </w:p>
        </w:tc>
        <w:tc>
          <w:tcPr>
            <w:tcW w:w="3240" w:type="dxa"/>
            <w:gridSpan w:val="2"/>
            <w:vAlign w:val="center"/>
          </w:tcPr>
          <w:p w14:paraId="3E39B190">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3336C8BD">
            <w:pPr>
              <w:keepLines w:val="0"/>
              <w:pageBreakBefore w:val="0"/>
              <w:widowControl/>
              <w:kinsoku/>
              <w:overflowPunct/>
              <w:bidi w:val="0"/>
              <w:spacing w:line="360" w:lineRule="auto"/>
              <w:ind w:firstLine="46"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合同交货验收日期</w:t>
            </w:r>
          </w:p>
        </w:tc>
        <w:tc>
          <w:tcPr>
            <w:tcW w:w="2160" w:type="dxa"/>
            <w:gridSpan w:val="2"/>
            <w:vAlign w:val="center"/>
          </w:tcPr>
          <w:p w14:paraId="1A1C0853">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3A6D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657B6BAB">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240" w:type="dxa"/>
            <w:gridSpan w:val="2"/>
            <w:vAlign w:val="center"/>
          </w:tcPr>
          <w:p w14:paraId="2EF7FDA6">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59FA74E8">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160" w:type="dxa"/>
            <w:gridSpan w:val="2"/>
            <w:vAlign w:val="center"/>
          </w:tcPr>
          <w:p w14:paraId="02A06075">
            <w:pPr>
              <w:keepLines w:val="0"/>
              <w:pageBreakBefore w:val="0"/>
              <w:widowControl/>
              <w:kinsoku/>
              <w:overflowPunct/>
              <w:bidi w:val="0"/>
              <w:spacing w:line="360" w:lineRule="auto"/>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7C9F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59FF6837">
            <w:pPr>
              <w:keepLines w:val="0"/>
              <w:pageBreakBefore w:val="0"/>
              <w:widowControl/>
              <w:kinsoku/>
              <w:overflowPunct/>
              <w:bidi w:val="0"/>
              <w:spacing w:line="360" w:lineRule="auto"/>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6FAC2CF6">
            <w:pPr>
              <w:keepLines w:val="0"/>
              <w:pageBreakBefore w:val="0"/>
              <w:widowControl/>
              <w:kinsoku/>
              <w:overflowPunct/>
              <w:bidi w:val="0"/>
              <w:spacing w:line="360" w:lineRule="auto"/>
              <w:ind w:firstLine="0" w:firstLineChars="0"/>
              <w:jc w:val="left"/>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（应按采购合同、采购文件、响应文件及验收方案等进行验收。可附件</w:t>
            </w:r>
            <w:r>
              <w:rPr>
                <w:rFonts w:hint="eastAsia" w:ascii="宋体" w:hAnsi="宋体" w:cs="宋体"/>
                <w:color w:val="auto"/>
                <w:kern w:val="0"/>
                <w:sz w:val="21"/>
                <w:szCs w:val="24"/>
                <w:highlight w:val="none"/>
                <w:lang w:eastAsia="zh-CN"/>
              </w:rPr>
              <w:t>）</w:t>
            </w:r>
          </w:p>
        </w:tc>
      </w:tr>
      <w:tr w14:paraId="513F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6DD62E17">
            <w:pPr>
              <w:keepLines w:val="0"/>
              <w:pageBreakBefore w:val="0"/>
              <w:widowControl/>
              <w:kinsoku/>
              <w:overflowPunct/>
              <w:bidi w:val="0"/>
              <w:spacing w:line="360" w:lineRule="auto"/>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1EE1D203">
            <w:pPr>
              <w:keepLines w:val="0"/>
              <w:pageBreakBefore w:val="0"/>
              <w:widowControl/>
              <w:kinsoku/>
              <w:overflowPunct/>
              <w:bidi w:val="0"/>
              <w:spacing w:line="360" w:lineRule="auto"/>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23BF44AF">
            <w:pPr>
              <w:keepLines w:val="0"/>
              <w:pageBreakBefore w:val="0"/>
              <w:widowControl/>
              <w:kinsoku/>
              <w:overflowPunct/>
              <w:bidi w:val="0"/>
              <w:spacing w:line="360" w:lineRule="auto"/>
              <w:ind w:firstLine="0" w:firstLineChars="0"/>
              <w:jc w:val="left"/>
              <w:rPr>
                <w:rFonts w:ascii="宋体"/>
                <w:color w:val="auto"/>
                <w:kern w:val="0"/>
                <w:sz w:val="21"/>
                <w:szCs w:val="24"/>
                <w:highlight w:val="none"/>
              </w:rPr>
            </w:pPr>
            <w:r>
              <w:rPr>
                <w:rFonts w:ascii="宋体"/>
                <w:color w:val="auto"/>
                <w:kern w:val="0"/>
                <w:sz w:val="21"/>
                <w:szCs w:val="24"/>
                <w:highlight w:val="none"/>
              </w:rPr>
              <w:t> </w:t>
            </w:r>
          </w:p>
        </w:tc>
      </w:tr>
      <w:tr w14:paraId="091D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vAlign w:val="center"/>
          </w:tcPr>
          <w:p w14:paraId="434C9DCB">
            <w:pPr>
              <w:keepLines w:val="0"/>
              <w:pageBreakBefore w:val="0"/>
              <w:widowControl/>
              <w:kinsoku/>
              <w:overflowPunct/>
              <w:bidi w:val="0"/>
              <w:spacing w:line="360" w:lineRule="auto"/>
              <w:ind w:firstLine="0" w:firstLineChars="0"/>
              <w:jc w:val="left"/>
              <w:rPr>
                <w:rFonts w:ascii="宋体"/>
                <w:color w:val="auto"/>
                <w:kern w:val="0"/>
                <w:sz w:val="21"/>
                <w:szCs w:val="24"/>
                <w:highlight w:val="none"/>
              </w:rPr>
            </w:pPr>
          </w:p>
        </w:tc>
        <w:tc>
          <w:tcPr>
            <w:tcW w:w="8100" w:type="dxa"/>
            <w:gridSpan w:val="6"/>
            <w:vAlign w:val="center"/>
          </w:tcPr>
          <w:p w14:paraId="0A87076B">
            <w:pPr>
              <w:keepLines w:val="0"/>
              <w:pageBreakBefore w:val="0"/>
              <w:widowControl/>
              <w:kinsoku/>
              <w:overflowPunct/>
              <w:bidi w:val="0"/>
              <w:spacing w:line="360" w:lineRule="auto"/>
              <w:ind w:firstLine="96"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00BA28AD">
            <w:pPr>
              <w:keepLines w:val="0"/>
              <w:pageBreakBefore w:val="0"/>
              <w:widowControl/>
              <w:kinsoku/>
              <w:overflowPunct/>
              <w:bidi w:val="0"/>
              <w:spacing w:line="360" w:lineRule="auto"/>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472A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5431F72A">
            <w:pPr>
              <w:keepLines w:val="0"/>
              <w:pageBreakBefore w:val="0"/>
              <w:widowControl/>
              <w:kinsoku/>
              <w:overflowPunct/>
              <w:bidi w:val="0"/>
              <w:spacing w:line="360" w:lineRule="auto"/>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3574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50FBD2E5">
            <w:pPr>
              <w:keepLines w:val="0"/>
              <w:pageBreakBefore w:val="0"/>
              <w:widowControl/>
              <w:kinsoku/>
              <w:overflowPunct/>
              <w:bidi w:val="0"/>
              <w:spacing w:line="360" w:lineRule="auto"/>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480E6852">
            <w:pPr>
              <w:keepLines w:val="0"/>
              <w:pageBreakBefore w:val="0"/>
              <w:widowControl/>
              <w:kinsoku/>
              <w:overflowPunct/>
              <w:bidi w:val="0"/>
              <w:spacing w:line="360" w:lineRule="auto"/>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175E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6A19ED13">
            <w:pPr>
              <w:keepLines w:val="0"/>
              <w:pageBreakBefore w:val="0"/>
              <w:widowControl/>
              <w:kinsoku/>
              <w:overflowPunct/>
              <w:bidi w:val="0"/>
              <w:spacing w:line="360" w:lineRule="auto"/>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成交供应商负责人签字或盖章：</w:t>
            </w:r>
          </w:p>
          <w:p w14:paraId="1FEC2C06">
            <w:pPr>
              <w:keepLines w:val="0"/>
              <w:pageBreakBefore w:val="0"/>
              <w:widowControl/>
              <w:kinsoku/>
              <w:overflowPunct/>
              <w:bidi w:val="0"/>
              <w:spacing w:line="360" w:lineRule="auto"/>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月</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3E59959F">
            <w:pPr>
              <w:keepLines w:val="0"/>
              <w:pageBreakBefore w:val="0"/>
              <w:widowControl/>
              <w:kinsoku/>
              <w:overflowPunct/>
              <w:bidi w:val="0"/>
              <w:spacing w:line="360" w:lineRule="auto"/>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7EA94D9F">
            <w:pPr>
              <w:keepLines w:val="0"/>
              <w:pageBreakBefore w:val="0"/>
              <w:widowControl/>
              <w:kinsoku/>
              <w:overflowPunct/>
              <w:bidi w:val="0"/>
              <w:spacing w:line="360" w:lineRule="auto"/>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月</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13CB2B60">
      <w:pPr>
        <w:pStyle w:val="22"/>
        <w:keepLines w:val="0"/>
        <w:pageBreakBefore w:val="0"/>
        <w:kinsoku/>
        <w:overflowPunct/>
        <w:bidi w:val="0"/>
        <w:spacing w:line="360" w:lineRule="auto"/>
        <w:ind w:left="0" w:leftChars="0" w:firstLine="0" w:firstLineChars="0"/>
        <w:rPr>
          <w:color w:val="auto"/>
          <w:highlight w:val="none"/>
        </w:rPr>
      </w:pPr>
    </w:p>
    <w:p w14:paraId="5AD7E655">
      <w:pPr>
        <w:keepLines w:val="0"/>
        <w:pageBreakBefore w:val="0"/>
        <w:kinsoku/>
        <w:overflowPunct/>
        <w:bidi w:val="0"/>
        <w:snapToGrid w:val="0"/>
        <w:spacing w:line="360" w:lineRule="auto"/>
        <w:ind w:firstLine="0" w:firstLineChars="0"/>
        <w:rPr>
          <w:rFonts w:hint="eastAsia" w:ascii="宋体" w:hAnsi="宋体" w:cs="宋体"/>
          <w:color w:val="auto"/>
          <w:szCs w:val="24"/>
          <w:highlight w:val="none"/>
        </w:rPr>
      </w:pPr>
      <w:r>
        <w:rPr>
          <w:rFonts w:hint="eastAsia" w:ascii="宋体" w:hAnsi="宋体" w:cs="宋体"/>
          <w:color w:val="auto"/>
          <w:szCs w:val="24"/>
          <w:highlight w:val="none"/>
        </w:rPr>
        <w:t>附表4：</w:t>
      </w:r>
    </w:p>
    <w:p w14:paraId="082E7FA0">
      <w:pPr>
        <w:pStyle w:val="22"/>
        <w:keepLines w:val="0"/>
        <w:pageBreakBefore w:val="0"/>
        <w:kinsoku/>
        <w:overflowPunct/>
        <w:bidi w:val="0"/>
        <w:spacing w:line="360" w:lineRule="auto"/>
        <w:rPr>
          <w:color w:val="auto"/>
          <w:highlight w:val="none"/>
        </w:rPr>
      </w:pPr>
    </w:p>
    <w:p w14:paraId="2BE73F59">
      <w:pPr>
        <w:pStyle w:val="22"/>
        <w:keepLines w:val="0"/>
        <w:pageBreakBefore w:val="0"/>
        <w:kinsoku/>
        <w:overflowPunct/>
        <w:bidi w:val="0"/>
        <w:spacing w:line="360" w:lineRule="auto"/>
        <w:rPr>
          <w:color w:val="auto"/>
          <w:highlight w:val="none"/>
        </w:rPr>
      </w:pPr>
    </w:p>
    <w:p w14:paraId="589FE141">
      <w:pPr>
        <w:pStyle w:val="22"/>
        <w:keepLines w:val="0"/>
        <w:pageBreakBefore w:val="0"/>
        <w:kinsoku/>
        <w:overflowPunct/>
        <w:bidi w:val="0"/>
        <w:spacing w:line="360" w:lineRule="auto"/>
        <w:rPr>
          <w:color w:val="auto"/>
          <w:highlight w:val="none"/>
        </w:rPr>
      </w:pPr>
    </w:p>
    <w:p w14:paraId="49CE4E80">
      <w:pPr>
        <w:pStyle w:val="22"/>
        <w:keepLines w:val="0"/>
        <w:pageBreakBefore w:val="0"/>
        <w:kinsoku/>
        <w:overflowPunct/>
        <w:bidi w:val="0"/>
        <w:spacing w:line="360" w:lineRule="auto"/>
        <w:jc w:val="center"/>
        <w:rPr>
          <w:color w:val="auto"/>
          <w:highlight w:val="none"/>
        </w:rPr>
      </w:pPr>
      <w:r>
        <w:rPr>
          <w:rFonts w:hint="eastAsia"/>
          <w:color w:val="auto"/>
          <w:highlight w:val="none"/>
        </w:rPr>
        <w:drawing>
          <wp:inline distT="0" distB="0" distL="114300" distR="114300">
            <wp:extent cx="5509895" cy="6123940"/>
            <wp:effectExtent l="0" t="0" r="1460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5509895" cy="6123940"/>
                    </a:xfrm>
                    <a:prstGeom prst="rect">
                      <a:avLst/>
                    </a:prstGeom>
                    <a:noFill/>
                    <a:ln>
                      <a:noFill/>
                    </a:ln>
                  </pic:spPr>
                </pic:pic>
              </a:graphicData>
            </a:graphic>
          </wp:inline>
        </w:drawing>
      </w:r>
    </w:p>
    <w:p w14:paraId="3CB86A04">
      <w:pPr>
        <w:pStyle w:val="22"/>
        <w:keepLines w:val="0"/>
        <w:pageBreakBefore w:val="0"/>
        <w:kinsoku/>
        <w:overflowPunct/>
        <w:bidi w:val="0"/>
        <w:spacing w:line="360" w:lineRule="auto"/>
        <w:jc w:val="center"/>
        <w:rPr>
          <w:color w:val="auto"/>
          <w:highlight w:val="none"/>
        </w:rPr>
      </w:pPr>
    </w:p>
    <w:p w14:paraId="11743133">
      <w:pPr>
        <w:pStyle w:val="22"/>
        <w:keepLines w:val="0"/>
        <w:pageBreakBefore w:val="0"/>
        <w:kinsoku/>
        <w:overflowPunct/>
        <w:bidi w:val="0"/>
        <w:spacing w:line="360" w:lineRule="auto"/>
        <w:jc w:val="center"/>
        <w:rPr>
          <w:color w:val="auto"/>
          <w:highlight w:val="none"/>
        </w:rPr>
      </w:pPr>
    </w:p>
    <w:p w14:paraId="6432E79F">
      <w:pPr>
        <w:pStyle w:val="22"/>
        <w:keepLines w:val="0"/>
        <w:pageBreakBefore w:val="0"/>
        <w:kinsoku/>
        <w:overflowPunct/>
        <w:bidi w:val="0"/>
        <w:spacing w:line="360" w:lineRule="auto"/>
        <w:jc w:val="center"/>
        <w:rPr>
          <w:color w:val="auto"/>
          <w:highlight w:val="none"/>
        </w:rPr>
      </w:pPr>
    </w:p>
    <w:p w14:paraId="5D9308BB">
      <w:pPr>
        <w:pStyle w:val="22"/>
        <w:keepLines w:val="0"/>
        <w:pageBreakBefore w:val="0"/>
        <w:kinsoku/>
        <w:overflowPunct/>
        <w:bidi w:val="0"/>
        <w:spacing w:line="360" w:lineRule="auto"/>
        <w:jc w:val="center"/>
        <w:rPr>
          <w:color w:val="auto"/>
          <w:highlight w:val="none"/>
        </w:rPr>
      </w:pPr>
    </w:p>
    <w:p w14:paraId="4888A13E">
      <w:pPr>
        <w:pStyle w:val="22"/>
        <w:keepLines w:val="0"/>
        <w:pageBreakBefore w:val="0"/>
        <w:kinsoku/>
        <w:overflowPunct/>
        <w:bidi w:val="0"/>
        <w:spacing w:line="360" w:lineRule="auto"/>
        <w:ind w:left="0" w:leftChars="0" w:firstLine="0" w:firstLineChars="0"/>
        <w:jc w:val="both"/>
        <w:rPr>
          <w:color w:val="auto"/>
          <w:highlight w:val="none"/>
        </w:rPr>
      </w:pPr>
    </w:p>
    <w:p w14:paraId="5DC66F3C">
      <w:pPr>
        <w:pStyle w:val="40"/>
        <w:keepLines w:val="0"/>
        <w:pageBreakBefore w:val="0"/>
        <w:kinsoku/>
        <w:overflowPunct/>
        <w:bidi w:val="0"/>
        <w:spacing w:line="360" w:lineRule="auto"/>
        <w:rPr>
          <w:color w:val="auto"/>
          <w:highlight w:val="none"/>
        </w:rPr>
      </w:pPr>
      <w:bookmarkStart w:id="41" w:name="_Toc155531034"/>
      <w:r>
        <w:rPr>
          <w:rFonts w:hint="eastAsia"/>
          <w:color w:val="auto"/>
          <w:highlight w:val="none"/>
        </w:rPr>
        <w:t>第三章</w:t>
      </w:r>
      <w:bookmarkEnd w:id="0"/>
      <w:r>
        <w:rPr>
          <w:rFonts w:hint="eastAsia"/>
          <w:color w:val="auto"/>
          <w:highlight w:val="none"/>
          <w:lang w:val="en-US" w:eastAsia="zh-CN"/>
        </w:rPr>
        <w:t xml:space="preserve"> </w:t>
      </w:r>
      <w:r>
        <w:rPr>
          <w:rFonts w:hint="eastAsia"/>
          <w:color w:val="auto"/>
          <w:highlight w:val="none"/>
        </w:rPr>
        <w:t>采购需求</w:t>
      </w:r>
      <w:bookmarkEnd w:id="41"/>
    </w:p>
    <w:p w14:paraId="2B47570F">
      <w:pPr>
        <w:keepNext w:val="0"/>
        <w:keepLines w:val="0"/>
        <w:pageBreakBefore w:val="0"/>
        <w:widowControl w:val="0"/>
        <w:kinsoku/>
        <w:wordWrap/>
        <w:overflowPunct/>
        <w:topLinePunct w:val="0"/>
        <w:autoSpaceDE/>
        <w:autoSpaceDN/>
        <w:bidi w:val="0"/>
        <w:adjustRightInd w:val="0"/>
        <w:snapToGrid/>
        <w:spacing w:line="360" w:lineRule="auto"/>
        <w:ind w:firstLine="230" w:firstLineChars="82"/>
        <w:textAlignment w:val="auto"/>
        <w:rPr>
          <w:rFonts w:hint="eastAsia" w:ascii="宋体" w:hAnsi="宋体"/>
          <w:b/>
          <w:color w:val="auto"/>
          <w:sz w:val="28"/>
          <w:szCs w:val="28"/>
          <w:highlight w:val="none"/>
          <w:lang w:val="zh-CN"/>
        </w:rPr>
      </w:pPr>
      <w:r>
        <w:rPr>
          <w:rFonts w:hint="eastAsia" w:ascii="宋体" w:hAnsi="宋体"/>
          <w:b/>
          <w:color w:val="auto"/>
          <w:sz w:val="28"/>
          <w:szCs w:val="28"/>
          <w:highlight w:val="none"/>
          <w:lang w:val="zh-CN"/>
        </w:rPr>
        <w:t>Ⅰ、说明：</w:t>
      </w:r>
    </w:p>
    <w:p w14:paraId="7DE84F0E">
      <w:pPr>
        <w:keepNext w:val="0"/>
        <w:keepLines w:val="0"/>
        <w:pageBreakBefore w:val="0"/>
        <w:widowControl w:val="0"/>
        <w:kinsoku/>
        <w:wordWrap/>
        <w:overflowPunct/>
        <w:topLinePunct w:val="0"/>
        <w:autoSpaceDE/>
        <w:autoSpaceDN/>
        <w:bidi w:val="0"/>
        <w:adjustRightInd w:val="0"/>
        <w:snapToGrid/>
        <w:spacing w:line="360" w:lineRule="auto"/>
        <w:ind w:firstLine="422"/>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一、本项目所要执行的政府采购政策：</w:t>
      </w:r>
    </w:p>
    <w:p w14:paraId="4EB3F410">
      <w:pPr>
        <w:keepNext w:val="0"/>
        <w:keepLines w:val="0"/>
        <w:pageBreakBefore w:val="0"/>
        <w:widowControl w:val="0"/>
        <w:kinsoku/>
        <w:wordWrap/>
        <w:overflowPunct/>
        <w:topLinePunct w:val="0"/>
        <w:autoSpaceDE/>
        <w:autoSpaceDN/>
        <w:bidi w:val="0"/>
        <w:snapToGrid/>
        <w:spacing w:line="360" w:lineRule="auto"/>
        <w:ind w:firstLine="405" w:firstLineChars="193"/>
        <w:textAlignment w:val="auto"/>
        <w:rPr>
          <w:rFonts w:hint="eastAsia" w:ascii="宋体" w:hAnsi="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kern w:val="0"/>
          <w:sz w:val="21"/>
          <w:szCs w:val="21"/>
          <w:highlight w:val="none"/>
        </w:rPr>
        <w:t>根据《政府采购促进中小企业发展管理办法》（财库[2020]46号）及《广西壮族自治区财政厅关于持续优化政府采购营商环境推动高质量发展的通知》（桂财采〔2024〕55号），本项目提供的货物全部由符合政策要求的小型或者微型企业制造，即货物由小型或者微型企业生产且使用该小型或者微型企业商号或者注册商标的，供应商的最后报价给予</w:t>
      </w:r>
      <w:r>
        <w:rPr>
          <w:rFonts w:ascii="宋体" w:hAnsi="宋体" w:cs="宋体"/>
          <w:color w:val="auto"/>
          <w:kern w:val="0"/>
          <w:sz w:val="21"/>
          <w:szCs w:val="21"/>
          <w:highlight w:val="none"/>
        </w:rPr>
        <w:t>20</w:t>
      </w:r>
      <w:r>
        <w:rPr>
          <w:rFonts w:hint="eastAsia" w:ascii="宋体" w:hAnsi="宋体" w:cs="宋体"/>
          <w:color w:val="auto"/>
          <w:kern w:val="0"/>
          <w:sz w:val="21"/>
          <w:szCs w:val="21"/>
          <w:highlight w:val="none"/>
        </w:rPr>
        <w:t>%的扣除。</w:t>
      </w:r>
      <w:r>
        <w:rPr>
          <w:rFonts w:hint="eastAsia" w:ascii="宋体" w:hAnsi="宋体"/>
          <w:color w:val="auto"/>
          <w:sz w:val="21"/>
          <w:szCs w:val="21"/>
          <w:highlight w:val="none"/>
        </w:rPr>
        <w:t>监狱企业、残疾人福利性单位属于小型、微型企业的，不重复享受政策。</w:t>
      </w:r>
    </w:p>
    <w:p w14:paraId="7FD9C351">
      <w:pPr>
        <w:keepNext w:val="0"/>
        <w:keepLines w:val="0"/>
        <w:pageBreakBefore w:val="0"/>
        <w:widowControl w:val="0"/>
        <w:kinsoku/>
        <w:wordWrap/>
        <w:overflowPunct/>
        <w:topLinePunct w:val="0"/>
        <w:autoSpaceDE/>
        <w:autoSpaceDN/>
        <w:bidi w:val="0"/>
        <w:snapToGrid/>
        <w:spacing w:line="360" w:lineRule="auto"/>
        <w:ind w:firstLine="42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2.根据财政部、司法部《关于政府采购支持监狱企业发展有关问题的通知》（财库[2014]68号），监狱企业视同小型、微型企业，享受预留份额、评审中价格扣除等政府采购政策。</w:t>
      </w:r>
      <w:r>
        <w:rPr>
          <w:rFonts w:hint="eastAsia" w:ascii="宋体" w:hAnsi="宋体" w:cs="宋体"/>
          <w:bCs/>
          <w:color w:val="auto"/>
          <w:sz w:val="21"/>
          <w:szCs w:val="21"/>
          <w:highlight w:val="none"/>
        </w:rPr>
        <w:t>监狱企业属于小型、微型企业的，不重复享受政策。</w:t>
      </w:r>
    </w:p>
    <w:p w14:paraId="65BB52DB">
      <w:pPr>
        <w:keepNext w:val="0"/>
        <w:keepLines w:val="0"/>
        <w:pageBreakBefore w:val="0"/>
        <w:widowControl w:val="0"/>
        <w:kinsoku/>
        <w:wordWrap/>
        <w:overflowPunct/>
        <w:topLinePunct w:val="0"/>
        <w:autoSpaceDE/>
        <w:autoSpaceDN/>
        <w:bidi w:val="0"/>
        <w:snapToGrid/>
        <w:spacing w:line="360" w:lineRule="auto"/>
        <w:ind w:firstLine="420"/>
        <w:textAlignment w:val="auto"/>
        <w:rPr>
          <w:rFonts w:hint="eastAsia" w:ascii="宋体" w:hAnsi="宋体" w:cs="宋体"/>
          <w:bCs/>
          <w:color w:val="auto"/>
          <w:sz w:val="21"/>
          <w:szCs w:val="21"/>
          <w:highlight w:val="none"/>
        </w:rPr>
      </w:pPr>
      <w:r>
        <w:rPr>
          <w:rFonts w:hint="eastAsia" w:ascii="宋体" w:hAnsi="宋体" w:cs="宋体"/>
          <w:color w:val="auto"/>
          <w:sz w:val="21"/>
          <w:szCs w:val="21"/>
          <w:highlight w:val="none"/>
        </w:rPr>
        <w:t>3.按照</w:t>
      </w:r>
      <w:r>
        <w:rPr>
          <w:rFonts w:hint="eastAsia" w:ascii="宋体" w:hAnsi="宋体" w:cs="宋体"/>
          <w:bCs/>
          <w:color w:val="auto"/>
          <w:sz w:val="21"/>
          <w:szCs w:val="21"/>
          <w:highlight w:val="none"/>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74E831F7">
      <w:pPr>
        <w:keepNext w:val="0"/>
        <w:keepLines w:val="0"/>
        <w:pageBreakBefore w:val="0"/>
        <w:widowControl w:val="0"/>
        <w:kinsoku/>
        <w:wordWrap/>
        <w:overflowPunct/>
        <w:topLinePunct w:val="0"/>
        <w:autoSpaceDE/>
        <w:autoSpaceDN/>
        <w:bidi w:val="0"/>
        <w:snapToGrid/>
        <w:spacing w:line="360" w:lineRule="auto"/>
        <w:ind w:firstLine="42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4.根据财政部、发展改革委、生态环境部、市场监管总局《关于调整优化节能产品、环境标志产品政府采购执行机制的通知》（财库〔2019〕9号）及《关于印发节能产品政府采购品目清单的通知》</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财库〔2019〕19号</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文件规定，台式计算机，便携式计算机、平板式微型计算机，液晶显示器，制冷压缩机（冷水机组、水源热泵机组、溴化锂吸收式冷水机组），空调机组[多联式空调（热泵）机组（制冷量＞14000W），单元式空气调节机（制冷量＞14000W）]，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的品目，属于政府强制采购节能产品。</w:t>
      </w:r>
      <w:r>
        <w:rPr>
          <w:rFonts w:hint="eastAsia" w:ascii="宋体" w:hAnsi="宋体" w:cs="宋体"/>
          <w:b/>
          <w:bCs w:val="0"/>
          <w:color w:val="auto"/>
          <w:sz w:val="21"/>
          <w:szCs w:val="21"/>
          <w:highlight w:val="none"/>
        </w:rPr>
        <w:t>若采购货物属于以上品目清单的产品时，供应商提供的货物必须使用政府强制采购的节能产品，供应商于响应文件中必须提供由国家确定的认证机构出具的处于有效期之内的节能产品认证证书复印件（加盖供应商电子签章），否则响应文件作无效处理。</w:t>
      </w:r>
    </w:p>
    <w:p w14:paraId="0B1D608C">
      <w:pPr>
        <w:keepNext w:val="0"/>
        <w:keepLines w:val="0"/>
        <w:pageBreakBefore w:val="0"/>
        <w:widowControl w:val="0"/>
        <w:kinsoku/>
        <w:wordWrap/>
        <w:overflowPunct/>
        <w:topLinePunct w:val="0"/>
        <w:autoSpaceDE/>
        <w:autoSpaceDN/>
        <w:bidi w:val="0"/>
        <w:snapToGrid/>
        <w:spacing w:line="360" w:lineRule="auto"/>
        <w:ind w:firstLine="420"/>
        <w:textAlignment w:val="auto"/>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lang w:val="en-US" w:eastAsia="zh-CN"/>
        </w:rPr>
        <w:t>5.</w:t>
      </w:r>
      <w:r>
        <w:rPr>
          <w:rFonts w:hint="eastAsia" w:ascii="宋体" w:hAnsi="宋体" w:cs="宋体"/>
          <w:bCs/>
          <w:color w:val="auto"/>
          <w:sz w:val="21"/>
          <w:szCs w:val="21"/>
          <w:highlight w:val="none"/>
        </w:rPr>
        <w:t>根据《关于在政府采购活动中对有关美国企业采取相关措施的通知》（财库〔2026〕10号）的规定，供应商提供的产品不得为财库〔2026〕10号文件附件规定的46家美国企业（不包括在华美资企业）生产的产品</w:t>
      </w:r>
      <w:r>
        <w:rPr>
          <w:rFonts w:hint="eastAsia" w:ascii="宋体" w:hAnsi="宋体" w:cs="宋体"/>
          <w:bCs/>
          <w:color w:val="auto"/>
          <w:sz w:val="21"/>
          <w:szCs w:val="21"/>
          <w:highlight w:val="none"/>
          <w:lang w:eastAsia="zh-CN"/>
        </w:rPr>
        <w:t>。</w:t>
      </w:r>
    </w:p>
    <w:p w14:paraId="3D34B291">
      <w:pPr>
        <w:keepNext w:val="0"/>
        <w:keepLines w:val="0"/>
        <w:pageBreakBefore w:val="0"/>
        <w:widowControl w:val="0"/>
        <w:kinsoku/>
        <w:wordWrap/>
        <w:overflowPunct/>
        <w:topLinePunct w:val="0"/>
        <w:autoSpaceDE/>
        <w:autoSpaceDN/>
        <w:bidi w:val="0"/>
        <w:snapToGrid/>
        <w:spacing w:line="360" w:lineRule="auto"/>
        <w:ind w:firstLine="42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lang w:val="en-US" w:eastAsia="zh-CN"/>
        </w:rPr>
        <w:t>6</w:t>
      </w:r>
      <w:r>
        <w:rPr>
          <w:rFonts w:hint="eastAsia" w:ascii="宋体" w:hAnsi="宋体" w:cs="宋体"/>
          <w:bCs/>
          <w:color w:val="auto"/>
          <w:sz w:val="21"/>
          <w:szCs w:val="21"/>
          <w:highlight w:val="none"/>
        </w:rPr>
        <w:t>.优先采购环境标志产品、节能产品。</w:t>
      </w:r>
    </w:p>
    <w:p w14:paraId="61D3B7EF">
      <w:pPr>
        <w:keepNext w:val="0"/>
        <w:keepLines w:val="0"/>
        <w:pageBreakBefore w:val="0"/>
        <w:widowControl w:val="0"/>
        <w:kinsoku/>
        <w:wordWrap/>
        <w:overflowPunct/>
        <w:topLinePunct w:val="0"/>
        <w:autoSpaceDE/>
        <w:autoSpaceDN/>
        <w:bidi w:val="0"/>
        <w:snapToGrid/>
        <w:spacing w:line="360" w:lineRule="auto"/>
        <w:ind w:firstLine="42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7</w:t>
      </w:r>
      <w:r>
        <w:rPr>
          <w:rFonts w:hint="eastAsia" w:ascii="宋体" w:hAnsi="宋体" w:cs="宋体"/>
          <w:bCs/>
          <w:color w:val="auto"/>
          <w:sz w:val="21"/>
          <w:szCs w:val="21"/>
          <w:highlight w:val="none"/>
        </w:rPr>
        <w:t>.</w:t>
      </w:r>
      <w:r>
        <w:rPr>
          <w:rFonts w:hint="eastAsia" w:ascii="宋体" w:hAnsi="宋体" w:eastAsia="宋体" w:cs="宋体"/>
          <w:bCs/>
          <w:color w:val="auto"/>
          <w:sz w:val="21"/>
          <w:szCs w:val="21"/>
          <w:highlight w:val="none"/>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8DF59BF">
      <w:pPr>
        <w:keepNext w:val="0"/>
        <w:keepLines w:val="0"/>
        <w:pageBreakBefore w:val="0"/>
        <w:widowControl w:val="0"/>
        <w:kinsoku/>
        <w:wordWrap/>
        <w:overflowPunct/>
        <w:topLinePunct w:val="0"/>
        <w:autoSpaceDE/>
        <w:autoSpaceDN/>
        <w:bidi w:val="0"/>
        <w:adjustRightInd w:val="0"/>
        <w:snapToGrid/>
        <w:spacing w:line="360" w:lineRule="auto"/>
        <w:ind w:firstLine="422"/>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二、采购需求中出现的品牌、型号或生产供应商仅起参考作用，不属于指定品牌、型号或生产供应商的情形。供应商可参照或选用其他相当的品牌、型号或生产供应商替代。</w:t>
      </w:r>
    </w:p>
    <w:p w14:paraId="2F3ECB6C">
      <w:pPr>
        <w:keepNext w:val="0"/>
        <w:keepLines w:val="0"/>
        <w:pageBreakBefore w:val="0"/>
        <w:widowControl w:val="0"/>
        <w:kinsoku/>
        <w:wordWrap/>
        <w:overflowPunct/>
        <w:topLinePunct w:val="0"/>
        <w:autoSpaceDE/>
        <w:autoSpaceDN/>
        <w:bidi w:val="0"/>
        <w:adjustRightInd w:val="0"/>
        <w:snapToGrid/>
        <w:spacing w:line="360" w:lineRule="auto"/>
        <w:ind w:firstLine="422"/>
        <w:textAlignment w:val="auto"/>
        <w:rPr>
          <w:rFonts w:hint="default"/>
          <w:color w:val="auto"/>
          <w:sz w:val="21"/>
          <w:szCs w:val="21"/>
          <w:highlight w:val="none"/>
          <w:lang w:val="en-US"/>
        </w:rPr>
      </w:pPr>
      <w:r>
        <w:rPr>
          <w:rFonts w:hint="eastAsia" w:ascii="宋体" w:hAnsi="宋体" w:eastAsia="宋体" w:cs="宋体"/>
          <w:b/>
          <w:color w:val="auto"/>
          <w:kern w:val="0"/>
          <w:sz w:val="21"/>
          <w:szCs w:val="21"/>
          <w:highlight w:val="none"/>
        </w:rPr>
        <w:t>三、谈判文件“采购需求”中所有条款以及谈判文件要求“必须提供”的条款均属于实质性要求，若有任意一项负偏离作响应文件无效处理。技术参数中标记“</w:t>
      </w:r>
      <w:r>
        <w:rPr>
          <w:rFonts w:hint="eastAsia" w:ascii="宋体" w:hAnsi="宋体" w:eastAsia="宋体" w:cs="宋体"/>
          <w:b/>
          <w:color w:val="auto"/>
          <w:kern w:val="0"/>
          <w:sz w:val="21"/>
          <w:szCs w:val="21"/>
          <w:highlight w:val="none"/>
          <w:lang w:val="en-US" w:eastAsia="zh-CN"/>
        </w:rPr>
        <w:t>★</w:t>
      </w:r>
      <w:r>
        <w:rPr>
          <w:rFonts w:hint="eastAsia" w:ascii="宋体" w:hAnsi="宋体" w:eastAsia="宋体" w:cs="宋体"/>
          <w:b/>
          <w:color w:val="auto"/>
          <w:kern w:val="0"/>
          <w:sz w:val="21"/>
          <w:szCs w:val="21"/>
          <w:highlight w:val="none"/>
        </w:rPr>
        <w:t>”的参数，供应商</w:t>
      </w:r>
      <w:r>
        <w:rPr>
          <w:rFonts w:hint="eastAsia" w:ascii="宋体" w:hAnsi="宋体" w:eastAsia="宋体" w:cs="宋体"/>
          <w:b/>
          <w:color w:val="auto"/>
          <w:kern w:val="0"/>
          <w:sz w:val="21"/>
          <w:szCs w:val="21"/>
          <w:highlight w:val="none"/>
          <w:lang w:eastAsia="zh-CN"/>
        </w:rPr>
        <w:t>需</w:t>
      </w:r>
      <w:r>
        <w:rPr>
          <w:rFonts w:hint="eastAsia" w:ascii="宋体" w:hAnsi="宋体" w:cs="宋体"/>
          <w:b/>
          <w:color w:val="auto"/>
          <w:kern w:val="0"/>
          <w:sz w:val="21"/>
          <w:szCs w:val="21"/>
          <w:highlight w:val="none"/>
          <w:lang w:val="en-US" w:eastAsia="zh-CN"/>
        </w:rPr>
        <w:t>按要求</w:t>
      </w:r>
      <w:r>
        <w:rPr>
          <w:rFonts w:hint="eastAsia" w:ascii="宋体" w:hAnsi="宋体" w:eastAsia="宋体" w:cs="宋体"/>
          <w:b/>
          <w:color w:val="auto"/>
          <w:kern w:val="0"/>
          <w:sz w:val="21"/>
          <w:szCs w:val="21"/>
          <w:highlight w:val="none"/>
          <w:lang w:eastAsia="zh-CN"/>
        </w:rPr>
        <w:t>提供</w:t>
      </w:r>
      <w:r>
        <w:rPr>
          <w:rFonts w:hint="eastAsia" w:ascii="宋体" w:hAnsi="宋体" w:cs="宋体"/>
          <w:b/>
          <w:color w:val="auto"/>
          <w:kern w:val="0"/>
          <w:sz w:val="21"/>
          <w:szCs w:val="21"/>
          <w:highlight w:val="none"/>
          <w:lang w:val="en-US" w:eastAsia="zh-CN"/>
        </w:rPr>
        <w:t>相关</w:t>
      </w:r>
      <w:r>
        <w:rPr>
          <w:rFonts w:hint="eastAsia" w:ascii="宋体" w:hAnsi="宋体" w:eastAsia="宋体" w:cs="宋体"/>
          <w:b/>
          <w:color w:val="auto"/>
          <w:kern w:val="0"/>
          <w:sz w:val="21"/>
          <w:szCs w:val="21"/>
          <w:highlight w:val="none"/>
          <w:lang w:eastAsia="zh-CN"/>
        </w:rPr>
        <w:t>证明材料</w:t>
      </w:r>
      <w:r>
        <w:rPr>
          <w:rFonts w:hint="eastAsia" w:ascii="宋体" w:hAnsi="宋体" w:cs="宋体"/>
          <w:b/>
          <w:color w:val="auto"/>
          <w:kern w:val="0"/>
          <w:sz w:val="21"/>
          <w:szCs w:val="21"/>
          <w:highlight w:val="none"/>
          <w:lang w:val="en-US" w:eastAsia="zh-CN"/>
        </w:rPr>
        <w:t>复印件。</w:t>
      </w:r>
    </w:p>
    <w:p w14:paraId="613D88B0">
      <w:pPr>
        <w:keepNext w:val="0"/>
        <w:keepLines w:val="0"/>
        <w:pageBreakBefore w:val="0"/>
        <w:widowControl w:val="0"/>
        <w:kinsoku/>
        <w:wordWrap/>
        <w:overflowPunct/>
        <w:topLinePunct w:val="0"/>
        <w:autoSpaceDE/>
        <w:autoSpaceDN/>
        <w:bidi w:val="0"/>
        <w:adjustRightInd w:val="0"/>
        <w:snapToGrid/>
        <w:spacing w:line="360" w:lineRule="auto"/>
        <w:ind w:firstLine="422"/>
        <w:textAlignment w:val="auto"/>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lang w:val="en-US" w:eastAsia="zh-CN"/>
        </w:rPr>
        <w:t>四、本项目政府采购预算金额为人民币</w:t>
      </w:r>
      <w:r>
        <w:rPr>
          <w:rFonts w:hint="eastAsia" w:ascii="宋体" w:hAnsi="宋体" w:cs="宋体"/>
          <w:b/>
          <w:color w:val="auto"/>
          <w:kern w:val="0"/>
          <w:sz w:val="21"/>
          <w:szCs w:val="21"/>
          <w:highlight w:val="none"/>
          <w:lang w:val="en-US" w:eastAsia="zh-CN"/>
        </w:rPr>
        <w:t>柒拾捌万叁仟柒佰陆拾元整（¥783760.00）</w:t>
      </w:r>
      <w:r>
        <w:rPr>
          <w:rFonts w:hint="eastAsia" w:ascii="宋体" w:hAnsi="宋体" w:eastAsia="宋体" w:cs="宋体"/>
          <w:b/>
          <w:color w:val="auto"/>
          <w:kern w:val="0"/>
          <w:sz w:val="21"/>
          <w:szCs w:val="21"/>
          <w:highlight w:val="none"/>
          <w:lang w:val="en-US" w:eastAsia="zh-CN"/>
        </w:rPr>
        <w:t>，报价超出采购预算金额的按响应无效处理。</w:t>
      </w:r>
    </w:p>
    <w:p w14:paraId="07B75C0B">
      <w:pPr>
        <w:keepNext w:val="0"/>
        <w:keepLines w:val="0"/>
        <w:pageBreakBefore w:val="0"/>
        <w:widowControl w:val="0"/>
        <w:kinsoku/>
        <w:wordWrap/>
        <w:overflowPunct/>
        <w:topLinePunct w:val="0"/>
        <w:autoSpaceDE/>
        <w:autoSpaceDN/>
        <w:bidi w:val="0"/>
        <w:adjustRightInd w:val="0"/>
        <w:snapToGrid/>
        <w:spacing w:line="360" w:lineRule="auto"/>
        <w:ind w:left="0" w:leftChars="0" w:firstLine="562" w:firstLineChars="200"/>
        <w:textAlignment w:val="auto"/>
        <w:rPr>
          <w:rFonts w:hint="eastAsia" w:ascii="宋体" w:hAnsi="宋体"/>
          <w:b/>
          <w:color w:val="auto"/>
          <w:sz w:val="28"/>
          <w:szCs w:val="24"/>
          <w:highlight w:val="none"/>
        </w:rPr>
      </w:pPr>
      <w:r>
        <w:rPr>
          <w:rFonts w:hint="eastAsia" w:ascii="宋体" w:hAnsi="宋体"/>
          <w:b/>
          <w:color w:val="auto"/>
          <w:sz w:val="28"/>
          <w:szCs w:val="24"/>
          <w:highlight w:val="none"/>
        </w:rPr>
        <w:t>Ⅱ.采购需求一览表：</w:t>
      </w:r>
    </w:p>
    <w:tbl>
      <w:tblPr>
        <w:tblStyle w:val="43"/>
        <w:tblpPr w:leftFromText="180" w:rightFromText="180" w:vertAnchor="text" w:horzAnchor="page" w:tblpX="1062" w:tblpY="297"/>
        <w:tblOverlap w:val="never"/>
        <w:tblW w:w="536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6"/>
        <w:gridCol w:w="847"/>
        <w:gridCol w:w="5747"/>
        <w:gridCol w:w="512"/>
        <w:gridCol w:w="775"/>
        <w:gridCol w:w="825"/>
        <w:gridCol w:w="963"/>
      </w:tblGrid>
      <w:tr w14:paraId="10BDD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3D0C1">
            <w:pPr>
              <w:pStyle w:val="19"/>
              <w:ind w:left="0" w:leftChars="0" w:firstLine="0" w:firstLineChars="0"/>
              <w:rPr>
                <w:rFonts w:hint="eastAsia" w:asciiTheme="minorEastAsia" w:hAnsiTheme="minorEastAsia" w:eastAsiaTheme="minorEastAsia" w:cstheme="minorEastAsia"/>
                <w:b/>
                <w:bCs/>
                <w:i w:val="0"/>
                <w:iCs w:val="0"/>
                <w:color w:val="auto"/>
                <w:kern w:val="0"/>
                <w:sz w:val="28"/>
                <w:szCs w:val="28"/>
                <w:u w:val="none"/>
                <w:lang w:val="en-US" w:eastAsia="zh-CN" w:bidi="ar"/>
              </w:rPr>
            </w:pPr>
            <w:r>
              <w:rPr>
                <w:rFonts w:hint="eastAsia"/>
                <w:b/>
                <w:bCs w:val="0"/>
                <w:color w:val="auto"/>
                <w:sz w:val="28"/>
                <w:szCs w:val="28"/>
                <w:highlight w:val="none"/>
                <w:lang w:val="en-US" w:eastAsia="zh-CN"/>
              </w:rPr>
              <w:t>一、技术要求：</w:t>
            </w:r>
          </w:p>
        </w:tc>
      </w:tr>
      <w:tr w14:paraId="41E89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04C9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center"/>
              <w:rPr>
                <w:rFonts w:hint="eastAsia" w:asciiTheme="minorEastAsia" w:hAnsiTheme="minorEastAsia" w:eastAsiaTheme="minorEastAsia" w:cstheme="minorEastAsia"/>
                <w:b/>
                <w:bCs/>
                <w:i w:val="0"/>
                <w:iCs w:val="0"/>
                <w:color w:val="auto"/>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8"/>
                <w:szCs w:val="28"/>
                <w:u w:val="none"/>
                <w:lang w:val="en-US" w:eastAsia="zh-CN" w:bidi="ar"/>
              </w:rPr>
              <w:t>6号教学楼监控</w:t>
            </w:r>
          </w:p>
        </w:tc>
      </w:tr>
      <w:tr w14:paraId="042C0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BB4B6">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Theme="minorEastAsia" w:hAnsiTheme="minorEastAsia" w:eastAsiaTheme="minorEastAsia" w:cstheme="minorEastAsia"/>
                <w:b/>
                <w:bCs/>
                <w:i w:val="0"/>
                <w:iCs w:val="0"/>
                <w:color w:val="auto"/>
                <w:sz w:val="21"/>
                <w:szCs w:val="21"/>
                <w:u w:val="none"/>
                <w:lang w:val="en-US" w:eastAsia="zh-CN"/>
              </w:rPr>
            </w:pPr>
            <w:r>
              <w:rPr>
                <w:rFonts w:hint="eastAsia" w:asciiTheme="minorEastAsia" w:hAnsiTheme="minorEastAsia" w:eastAsiaTheme="minorEastAsia" w:cstheme="minorEastAsia"/>
                <w:b/>
                <w:bCs/>
                <w:i w:val="0"/>
                <w:iCs w:val="0"/>
                <w:color w:val="auto"/>
                <w:sz w:val="21"/>
                <w:szCs w:val="21"/>
                <w:u w:val="none"/>
                <w:lang w:val="en-US" w:eastAsia="zh-CN"/>
              </w:rPr>
              <w:t>序号</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115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产品名称</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E420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技术参数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B016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单位</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8637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数量</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5A07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1"/>
                <w:szCs w:val="21"/>
                <w:u w:val="none"/>
                <w:lang w:val="en-US" w:eastAsia="zh-CN" w:bidi="ar"/>
              </w:rPr>
              <w:t>预算单价（元）</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2300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1"/>
                <w:szCs w:val="21"/>
                <w:u w:val="none"/>
                <w:lang w:val="en-US" w:eastAsia="zh-CN" w:bidi="ar"/>
              </w:rPr>
              <w:t>预算合价（元）</w:t>
            </w:r>
          </w:p>
        </w:tc>
      </w:tr>
      <w:tr w14:paraId="22C03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F1B4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EE98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户外枪机</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8AB0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1、具有≥400 万像素 CMOS 传感器，靶面尺寸≥1/2.7英寸，在≥ 2560x1440 @ 25fps 下，清晰度≥1400TVL。</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2、设备支持最低照度彩色≤0.005 lx，黑白≤0.0005lx，最大亮度鉴别等级≥11级。</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3、设备支持H.265/H.264。</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4、设备支持图像设置：镜像，饱和度，亮度，对比度，锐度，AGC，白平衡通过客户端或者浏览器可调。</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5、设备支持多浏览器浏览功能，可通过IE、Chrome、Firefox、Safari等浏览器浏览视频图像。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6、支持人形检测、异常报警触发。</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7、支持背光补偿，强光抑制，3D数字降噪，数字宽动态。</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8、支持SmartIR，防止夜间红外过曝。</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9、支持红外补光，红外最远≥50 m，支持切换白光补光，白光最远≥30 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10、支持白天，夜晚，自动，定时切换日夜转换模式。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11、支持ONVIF、SDK，GB28181协议。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12、设备的防护等级≥IP67，支持DC12V和POE供电，且在 DC12V±25%范围内变化时可以正常工作。</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13、内置麦克风,支持8 kHz/16 kHz音频采样率,≥G.711alaw/AAC-LC,音频压缩标准,64 Kbps（G.711alaw）/16~64 Kbps（AAC-LC）音频压缩码率。</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F5F6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FE17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C9BC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568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042B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2840</w:t>
            </w:r>
          </w:p>
        </w:tc>
      </w:tr>
      <w:tr w14:paraId="58998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6EB5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CF46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室内枪机（核心产品）</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6B0E0AE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1、具有≥400 万像素 CMOS 传感器，靶面尺寸≥1/2.7英寸，在≥ 2560x1440 @ 25fps 下，清晰度≥1400TVL。</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2、设备支持最低照度彩色≤0.005 lx，黑白≤0.0005lx，最大亮度鉴别等级≥11级。</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3、设备支持H.265/H.264。</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4、设备支持图像设置：镜像，饱和度，亮度，对比度，锐度，AGC，白平衡通过客户端或者浏览器可调。</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5、设备支持多浏览器浏览功能，可通过IE、Chrome、Firefox、Safari等浏览器浏览视频图像。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6、支持人形检测、异常报警触发。</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7、支持背光补偿，强光抑制，3D数字降噪，数字宽动态。</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8、支持SmartIR，防止夜间红外过曝。</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9、支持红外补光，红外最远≥50 m，支持切换白光补光，白光最远≥30 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10、支持白天，夜晚，自动，定时切换日夜转换模式。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11、支持ONVIF、SDK，GB28181协议。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12、设备的防护等级≥IP67，支持DC12V和POE供电，且在 DC12V±25%范围内变化时可以正常工作。</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13、内置麦克风,支持8 kHz/16 kHz音频采样率,≥G.711alaw/AAC-LC,音频压缩标准,64 Kbps（G.711alaw）/16~64 Kbps（AAC-LC）音频压缩码率。</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7D6E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9446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112</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1E18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568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D16D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63616</w:t>
            </w:r>
          </w:p>
        </w:tc>
      </w:tr>
      <w:tr w14:paraId="399F5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6A86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46B3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室内半球</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72B2945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1、具有≥400 万像素 CMOS 传感器，靶面尺寸≥1/1.8英寸，在≥2560×1440 @25fps 下，清晰度≥1100TVL。</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2、支持最低照度彩色≤0.005 lx，黑白≤0.0005 lx，最大亮度鉴别等级≥11级，支持H.265/H.264/MJPEG。</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3、支持背光补偿，强光抑制，3D数字降噪，数字宽动态。</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4、★具有AI-ISP图像质量提升功能，在低照度环境下，可自动调节预览场景视频画面中人脸、人体、车辆等目标及预览场景视频画面的区域曝光、亮度、色彩饱和度、对比度、锐度等</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补光灯灯杯采用双层透镜结构，外表平面为柔光层，采用复眼式微透镜阵列，具有六边形阵列纹路;下层束光层为鳞甲TIR透镜，内壁具有鳞甲阵列纹路；补光灯开启后，灯光为椭圆形形状，且补光灯均匀无波纹状、圆环状、麻点状、条纹状和不规则亮斑</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6、开启补光灯，可识别距离≥30m处人体轮廓。</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7、当智能分析行为类型为移动侦测，报警目标设置为人形时，仅当检测场景中出现人形时触发报警，在设定区域内出现以下情况时，不触发报警：光线明暗变化、篮球滚动、狗行走、树摇晃、旗帜飘动、车辆。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8、可设置码流套餐为画质优先、均衡模式、存储优先及自定义≥4种类型。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9、内置大模型算法，可对人、机动车等目标进行解析，通过ROI分割技术，分离前景目标与背景区域，前景目标采用常规编码，背景区域采用压缩算法降低存储占用。</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10、支持水平：≥0°~360°，垂直：≥0°~75°，旋转：≥0°~360°角度调节。</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11、内置≥1颗CPU、GPU、NPU于一体的芯片，支持ONVIF、SDK，GB28181协议。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12、≥1个内置麦克风、≥1个内置扬声器。</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13、设备的防护等级≥IP67，支持DC12V和POE供电，且在 DC12V±25%范围内变化时可以正常工作。</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B3A4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659A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73C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592</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EDB3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12432</w:t>
            </w:r>
          </w:p>
        </w:tc>
      </w:tr>
      <w:tr w14:paraId="5A8DE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7AF7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w:t>
            </w:r>
          </w:p>
        </w:tc>
        <w:tc>
          <w:tcPr>
            <w:tcW w:w="414" w:type="pct"/>
            <w:tcBorders>
              <w:top w:val="single" w:color="000000" w:sz="4" w:space="0"/>
              <w:left w:val="single" w:color="000000" w:sz="4" w:space="0"/>
              <w:bottom w:val="single" w:color="auto" w:sz="4" w:space="0"/>
              <w:right w:val="single" w:color="000000" w:sz="4" w:space="0"/>
            </w:tcBorders>
            <w:shd w:val="clear" w:color="auto" w:fill="auto"/>
            <w:vAlign w:val="center"/>
          </w:tcPr>
          <w:p w14:paraId="2B2C29F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8口千兆POE监控交换机</w:t>
            </w:r>
          </w:p>
        </w:tc>
        <w:tc>
          <w:tcPr>
            <w:tcW w:w="2815" w:type="pct"/>
            <w:tcBorders>
              <w:top w:val="single" w:color="000000" w:sz="4" w:space="0"/>
              <w:left w:val="single" w:color="000000" w:sz="4" w:space="0"/>
              <w:bottom w:val="single" w:color="auto" w:sz="4" w:space="0"/>
              <w:right w:val="single" w:color="000000" w:sz="4" w:space="0"/>
            </w:tcBorders>
            <w:shd w:val="clear" w:color="auto" w:fill="auto"/>
            <w:vAlign w:val="top"/>
          </w:tcPr>
          <w:p w14:paraId="10181AF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1、≥8个千兆PoE电口、≥2个千兆光口。</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2、≥20Gbps交换容量、≥14.88Mpps转发性能。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3、浪涌（冲击）抗扰度符合GB/T17626.5。</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4、支持64Bytes-1518Bytes下均能线速转发。</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5、支持IEEE 802.3、IEEE 802.3u、IEEE 802.3x、IEEE 802.3ab、IEEE 802.3z、IEEE 802.3at/af标准。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6、整机最大供电功率：≥110 W、端口最大供电功率：≥30 W</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7、支持通过管理平台和手机APP对交换机进行POE功率管理，包括监控整机/端口功率，开启/关闭POE功能，，支持POE 过载保护/过压保护功能，支持POE上电/下电功率管理功能，支持POE看门狗功能。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8、支持链路聚合、QoS、STP/RSTP、端口镜像、端口隔离、风暴抑制功能，支持SNMP管理、LLDP功能，支持SNMP管理、LLDP功能。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9、★支持展示并管理交换机的拓扑，交换机支持不同拓扑连接方式，包括网线连接、光纤连接、无线连接，支持在网络拓扑中展示交换机详情，包括基本信息、交换机性能使用信息、交换机面板状态、端口信息</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10、★支持对交换机进行远程控制、状态查看、远程升级和远程重启</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11、★支持在交换机网络断开、电源故障、端口故障等异常情况时，能实时显示交换机告警内容</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12、支持通过管理平台和手机APP对交换机的端口进行速率、流控、使能配置及实时收发速率、峰值收发速率统计。</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13、支持通过管理平台和手机APP对交换机的VLAN功能进行配置。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14、★支持对交换机进行准入配置，识别接入终端并进行终端准入管控，阻止异常终端接入</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15、整机为金属外壳、无风扇设计。</w:t>
            </w:r>
          </w:p>
        </w:tc>
        <w:tc>
          <w:tcPr>
            <w:tcW w:w="25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1F0593E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46DE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107D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588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75AA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1176</w:t>
            </w:r>
          </w:p>
        </w:tc>
      </w:tr>
      <w:tr w14:paraId="5AE51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469C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414" w:type="pct"/>
            <w:tcBorders>
              <w:top w:val="single" w:color="auto" w:sz="4" w:space="0"/>
              <w:left w:val="single" w:color="000000" w:sz="4" w:space="0"/>
              <w:bottom w:val="single" w:color="auto" w:sz="4" w:space="0"/>
              <w:right w:val="single" w:color="000000" w:sz="4" w:space="0"/>
            </w:tcBorders>
            <w:shd w:val="clear" w:color="auto" w:fill="auto"/>
            <w:vAlign w:val="center"/>
          </w:tcPr>
          <w:p w14:paraId="5138A44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16口千兆POE监控交换机</w:t>
            </w:r>
          </w:p>
        </w:tc>
        <w:tc>
          <w:tcPr>
            <w:tcW w:w="2815" w:type="pct"/>
            <w:tcBorders>
              <w:top w:val="single" w:color="auto" w:sz="4" w:space="0"/>
              <w:left w:val="nil"/>
              <w:bottom w:val="single" w:color="auto" w:sz="4" w:space="0"/>
              <w:right w:val="nil"/>
            </w:tcBorders>
            <w:shd w:val="clear" w:color="auto" w:fill="auto"/>
            <w:vAlign w:val="top"/>
          </w:tcPr>
          <w:p w14:paraId="18CC177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1、可用千兆PoE电接口数量≥16，千兆光口数量≥2。</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 交换容量≥36 Gbps、转发性能≥26.79 Mpps。</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3、支持自适应802.3af/at供电标准，整机最大输出功率≥125 W。</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4、支持PoE输出功率管理。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5、支持IEEE 802.3、IEEE 802.3u、IEEE 802.3x、IEEE 802.3at/af。</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6、支持≥6KV防浪涌（PoE口）。</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7、MAC地址表：≥8 K。</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8、缓存：≥4.1 Mbits。</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9、金属外壳。</w:t>
            </w:r>
          </w:p>
        </w:tc>
        <w:tc>
          <w:tcPr>
            <w:tcW w:w="25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FBD950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F173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481C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1323</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9E91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13230</w:t>
            </w:r>
          </w:p>
        </w:tc>
      </w:tr>
      <w:tr w14:paraId="77B8A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7971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w:t>
            </w:r>
          </w:p>
        </w:tc>
        <w:tc>
          <w:tcPr>
            <w:tcW w:w="414" w:type="pct"/>
            <w:tcBorders>
              <w:top w:val="single" w:color="auto" w:sz="4" w:space="0"/>
              <w:left w:val="single" w:color="000000" w:sz="4" w:space="0"/>
              <w:bottom w:val="single" w:color="000000" w:sz="4" w:space="0"/>
              <w:right w:val="single" w:color="000000" w:sz="4" w:space="0"/>
            </w:tcBorders>
            <w:shd w:val="clear" w:color="auto" w:fill="auto"/>
            <w:vAlign w:val="center"/>
          </w:tcPr>
          <w:p w14:paraId="15FB16E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24口万兆汇聚交换机</w:t>
            </w:r>
          </w:p>
        </w:tc>
        <w:tc>
          <w:tcPr>
            <w:tcW w:w="2815" w:type="pct"/>
            <w:tcBorders>
              <w:top w:val="single" w:color="auto" w:sz="4" w:space="0"/>
              <w:left w:val="single" w:color="000000" w:sz="4" w:space="0"/>
              <w:bottom w:val="single" w:color="000000" w:sz="4" w:space="0"/>
              <w:right w:val="single" w:color="000000" w:sz="4" w:space="0"/>
            </w:tcBorders>
            <w:shd w:val="clear" w:color="auto" w:fill="auto"/>
            <w:vAlign w:val="top"/>
          </w:tcPr>
          <w:p w14:paraId="0294247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1、≥24个千兆光接口、≥8个复用的千兆电口、≥4个非复用万兆光接口。</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2、交换容量≥336Gbps/3.36Tbps，包转发率≥126Mpps。</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3、≥16K MAC地址、≥4K VLAN容量。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4、支持STP、RSTP、MSTP、ERPS功能，支持OSPF FRR 功能，支持802.1X认证、Portal认证、Triple 认证功能。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5、支持独立的console管理串口、支持端口节能功能。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6、支持NQA功能，NQA能够正常探测。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7、支持IRF本地负载分担、IRF单点管理功能，支持堆叠链路负载分担，支持链路聚合及聚合零丢包功能。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8、支持流镜像、端口镜像、远程镜像功能。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9、支持BFD for IPv4路由功能、支持BFD for IPv6路由功能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设备支持多个配置文件本地保存，支持配置回滚，支持命令行(CLI)配置。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10、支持CPU保护功能。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11、支持IPv4路由≥900条；IPv6路由≥200条。</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12、支持以不同图标展示接入设备间的连接方式，包括网线、光纤和无线连接。</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13、支持对交换机和摄像头、门禁、对讲等终端设备进行系统拓扑展示及管理功能。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14、支持接入设备间的链路详情展示，包括传输速率、链路两端设备信息和链路带宽告警展示。</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15、支持在网络拓扑中展示设备详情，包括设备基本信息、性能使用信息、面板状态和端口信息。</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16、支持基于流的包过滤、流量统计、重定向、限速。</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17、支持RRPP，可为环形组网提供更快的拓扑收敛。</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18、支持 AAA&amp;RADIUS&amp;HWTACACS 认证。</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19、支持 FTP、TFTP、Xmodem、SFTP 文件上下载管理。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20、支持≥10KV业务端口防雷能力。</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21、支持双风扇设计。</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B8DD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4A31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1A2E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5350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FB46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5350</w:t>
            </w:r>
          </w:p>
        </w:tc>
      </w:tr>
      <w:tr w14:paraId="1A10A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19CD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E1FE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千兆光模块</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4C8A345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1、单模双纤千兆光模块。</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2、传输距离：≥10km。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3、发射光功率:≥-9～-3dBm。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4、接收灵敏度:≥-21dBm。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5、工作温度：≥0～70℃。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A85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853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814B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133</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07E3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3192</w:t>
            </w:r>
          </w:p>
        </w:tc>
      </w:tr>
      <w:tr w14:paraId="462B1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827B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591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视频监控录像机</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0F5F714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1、配置≥64位多核处理器，标配8GB内存，内置EMMC系统盘，硬盘数量可按需配置，最大可配置36块；最多支持2个风扇，可热插拔冗余温控调速风扇。</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2、RAID组可设置为RAID0、RAID1、RAID5、RAID6、RAID10、RAID50、VRAID模式，并支持RAID即建即用（RAID创建后拔掉任意一块硬盘都不影响数据读写）。</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3、能在RAID内丢失2块（含）以上硬盘但至少有1块正常磁盘时，无需等待丢失盘恢复，保留的硬盘中的数据可正常读出，且新数据可正常写入。</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4、RAID模式下，当RAID内某一块硬盘发生故障，更换该硬盘或热备盘替换时，可自动进行RAID重构。当RAID处于降级或重构状态下，不影响数据写入。且存储的数据不丢失。</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5、可接入MPEG4、H.264、H.265、Smart265、SVAC编码格式和分辨率为4096×2160的前端设备并存储录像文件。</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6、支持接入≥450路视频接入，接入带宽≥900Mbps。</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7、可将接入网络设备的IP地址、端口号等信息以excel形式进行导入导出。</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8、支持录像存储过程中加入特殊字段，防止录像被篡改或伪造，以保证录像的原始性及完整性。可对录像的某个时间点添加标签，并可进行查询、回放、下载。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9、能预录报警触发前1-40min的视频录像。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10、当接入的视频图像的警戒区域内探测到移动目标时，可给出报警提示信息并进行录像。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11、通过一键配置快速部署网络，时间，阵列，存储池。一键配置完成后添加通道关联存储池即可直接录像。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12、管理口支持切换为数据口使用，提升设备的接入和冗余能力。</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13、支持对存储硬盘进行SMART检测，并可自动分析当前磁盘的健康度，磁盘健康度状态可提醒用户关注。</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14、支持局部重构，原盘或其克隆盘拔出设备后再插回，未被覆盖数据可快速恢复。</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15、支持视频检索功能，按照监控点编号、录像类型、时间组合等条件查询。</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16、≥1个RS232串口/CONSOLE接口、≥1个VGA接口、≥1个HDMI接口、≥2个USB2.0接口、≥2个USB3.0接口、≥3个2.5G网口、≥1个2.5G管理网口、≥1个Esata接口、采用可热插拔1+1AC220V电源。</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8E3A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B8EA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A8F8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26460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6438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26460</w:t>
            </w:r>
          </w:p>
        </w:tc>
      </w:tr>
      <w:tr w14:paraId="1D168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97F5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EEC2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视频监控硬盘</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583D130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1、≥12TB容量，3.5英寸，SATA3.0接口企业级硬盘。</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2、CMR传统磁记录。</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3、传输速率≥267 MB/s。</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4、转速：≥7200RPM。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5、MTBF可达2000000小时。</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194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块</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DBA6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6951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5625</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16D8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135000</w:t>
            </w:r>
          </w:p>
        </w:tc>
      </w:tr>
      <w:tr w14:paraId="59FB4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370E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6C6B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防水POE电源防雷器</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1E0F5CC6">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工作电压：12-57V，</w:t>
            </w:r>
          </w:p>
          <w:p w14:paraId="6B18F874">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工作温度：-30℃~+70℃，</w:t>
            </w:r>
          </w:p>
          <w:p w14:paraId="48124354">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数据传输速率≥10/100/1000Mbps,</w:t>
            </w:r>
          </w:p>
          <w:p w14:paraId="461B380E">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最大放电电流≥5KA</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5BEB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7986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A982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39</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16BC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195</w:t>
            </w:r>
          </w:p>
        </w:tc>
      </w:tr>
      <w:tr w14:paraId="5D48E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9DEE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7EE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12U网络机柜</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07D09BB2">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标准19英寸机柜，</w:t>
            </w:r>
          </w:p>
          <w:p w14:paraId="32E10EFE">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 xml:space="preserve">尺寸：540*450*580mm </w:t>
            </w:r>
          </w:p>
          <w:p w14:paraId="13571BB5">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规格12U，</w:t>
            </w:r>
          </w:p>
          <w:p w14:paraId="50DADB20">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颜色：黑色，</w:t>
            </w:r>
          </w:p>
          <w:p w14:paraId="3B18F9BC">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承重≥50KG；</w:t>
            </w:r>
          </w:p>
          <w:p w14:paraId="0AF71D87">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前茶色玻璃门，后钢板，标配。</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DBDE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35EC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F6A5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588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F6EB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2940</w:t>
            </w:r>
          </w:p>
        </w:tc>
      </w:tr>
      <w:tr w14:paraId="05189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9D2E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12</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EB4C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机架防雷插排</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3B0F526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1.输入：L+N+PE,国标10A插头</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2.额定值：10A 250V 2500W</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 xml:space="preserve">3.6位 10A新国标五孔  </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 xml:space="preserve">4.3*1平方线 ,纯线长1.8M  </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5.带总开关</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6.安装 1U高</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6857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0CFC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475F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93</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CFE8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465</w:t>
            </w:r>
          </w:p>
        </w:tc>
      </w:tr>
      <w:tr w14:paraId="49441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75A9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646A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超五类非屏蔽网线</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69DD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1、导体：0.50±0.01mm（无氧铜丝）</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2、绝缘：高密度聚乙烯</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3、护套：4.8±0.3mm（PVC）</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4、近端串音最小值:100MHZ≥32.3dB</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5、回波损耗最小值:100MHZ≥15.0dB</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6、功率和近端串音:32.3dB</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7、执行标准:YD/T 1019-2023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3346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5DD5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14800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B473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2.7</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7D43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39960</w:t>
            </w:r>
          </w:p>
        </w:tc>
      </w:tr>
      <w:tr w14:paraId="4BE6B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D22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14</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3378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4芯光纤</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0512D">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光纤纤芯：G652，9/125um</w:t>
            </w:r>
          </w:p>
          <w:p w14:paraId="295D5A82">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紧套管材料：聚氯乙烯PVC</w:t>
            </w:r>
          </w:p>
          <w:p w14:paraId="3C748510">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加强件：芳纶纱</w:t>
            </w:r>
          </w:p>
          <w:p w14:paraId="7C6D59F7">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护套材料：黄色聚氯乙烯PVC</w:t>
            </w:r>
          </w:p>
          <w:p w14:paraId="194DC2A5">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动态/静态弯曲半径：20D/10D</w:t>
            </w:r>
          </w:p>
          <w:p w14:paraId="0D9CBA8A">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长期/短期允许压扁力（N/100mm）:200/350</w:t>
            </w:r>
          </w:p>
          <w:p w14:paraId="23DB44B5">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长期/短期允许拉伸力（N）:70/220</w:t>
            </w:r>
          </w:p>
          <w:p w14:paraId="73EA8F51">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使用温度：-20℃~+60℃</w:t>
            </w:r>
          </w:p>
          <w:p w14:paraId="6A7F4F38">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衰减系数@20℃（dB/km）：@1310≤0.8，@1550≤0.6</w:t>
            </w:r>
          </w:p>
          <w:p w14:paraId="50055C91">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1258.4-2019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23C3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B27B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620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F460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1.6</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C0B8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992</w:t>
            </w:r>
          </w:p>
        </w:tc>
      </w:tr>
      <w:tr w14:paraId="6BF58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898A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15</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7A25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4口光纤终端盒</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E83C8">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终端盒材质：0.8冷轧钢板（黑色静电喷塑）</w:t>
            </w:r>
          </w:p>
          <w:p w14:paraId="68E9558C">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外观尺寸：约150mm*95mm*35mm</w:t>
            </w:r>
          </w:p>
          <w:p w14:paraId="01F663B4">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安装方式：壁挂式或摆放</w:t>
            </w:r>
          </w:p>
          <w:p w14:paraId="4478E914">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熔纤盘材质：阻燃ABS塑料</w:t>
            </w:r>
          </w:p>
          <w:p w14:paraId="377486E2">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耐压强度：DC 1000V(AC 700V)1分钟无击穿和飞弧现象</w:t>
            </w:r>
          </w:p>
          <w:p w14:paraId="315D5E1E">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绝缘电阻：≥500MΩ</w:t>
            </w:r>
          </w:p>
          <w:p w14:paraId="0B3586B4">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环境温度：-25℃到50℃</w:t>
            </w:r>
          </w:p>
          <w:p w14:paraId="7ACB1ACA">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相对湿度：≤85%</w:t>
            </w:r>
          </w:p>
          <w:p w14:paraId="08316935">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辅件：热熔缩管和纤芯保护套管</w:t>
            </w:r>
          </w:p>
          <w:p w14:paraId="54F9FDCC">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925-2009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0FE0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FCF9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5F4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39</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F28D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234</w:t>
            </w:r>
          </w:p>
        </w:tc>
      </w:tr>
      <w:tr w14:paraId="525CB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A945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16</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854B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24口LC光纤盒（LC满配48条尾纤）</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332BF">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主体材质：冷轧钢板（电脑灰喷塑）</w:t>
            </w:r>
          </w:p>
          <w:p w14:paraId="13F70CF1">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尺寸：约430*300*70mm</w:t>
            </w:r>
          </w:p>
          <w:p w14:paraId="161EF330">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熔纤盘材质：阻燃ABS工程塑料</w:t>
            </w:r>
          </w:p>
          <w:p w14:paraId="5E398935">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开启设计：卡扣开启，抽屉式拉出</w:t>
            </w:r>
          </w:p>
          <w:p w14:paraId="01C01A76">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耐压强度：DC 1000V(AC 700V)1分钟无击穿和飞弧现象</w:t>
            </w:r>
          </w:p>
          <w:p w14:paraId="438EFE1B">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绝缘电阻：≥500MΩ</w:t>
            </w:r>
          </w:p>
          <w:p w14:paraId="6A602C57">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使用温度：-25℃到50℃</w:t>
            </w:r>
          </w:p>
          <w:p w14:paraId="71C5A437">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相对湿度：≤85%</w:t>
            </w:r>
          </w:p>
          <w:p w14:paraId="5596DBB7">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辅件：热熔缩管和纤芯保护套管</w:t>
            </w:r>
          </w:p>
          <w:p w14:paraId="0D4CAF07">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容量：48芯</w:t>
            </w:r>
          </w:p>
          <w:p w14:paraId="45D3FDF1">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标准：YD/T 778-2011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8ABD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9615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72AD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539</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5994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539</w:t>
            </w:r>
          </w:p>
        </w:tc>
      </w:tr>
      <w:tr w14:paraId="1407E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8CA4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17</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0631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耦合器</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B0F7F">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材料：氧化锆陶瓷套管</w:t>
            </w:r>
          </w:p>
          <w:p w14:paraId="0368BCB4">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插入损耗：≤0.3dB</w:t>
            </w:r>
          </w:p>
          <w:p w14:paraId="5A9E37D7">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互换性：≤0.2dB</w:t>
            </w:r>
          </w:p>
          <w:p w14:paraId="24270D3C">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插拔次数：≥500</w:t>
            </w:r>
          </w:p>
          <w:p w14:paraId="55684FCB">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抗张力：200-600N</w:t>
            </w:r>
          </w:p>
          <w:p w14:paraId="2F5A1770">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使用温度：-25℃~+70℃</w:t>
            </w:r>
          </w:p>
          <w:p w14:paraId="01052500">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1272-2018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E765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4507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2726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9E96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48</w:t>
            </w:r>
          </w:p>
        </w:tc>
      </w:tr>
      <w:tr w14:paraId="0606A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A86F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18</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7BF3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SC-LC光纤跳线</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98017">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光纤纤芯：G652，9/125</w:t>
            </w:r>
          </w:p>
          <w:p w14:paraId="2360A5A5">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护套材料：黄色聚氯乙烯PVC</w:t>
            </w:r>
          </w:p>
          <w:p w14:paraId="4F3F8320">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光缆外径：3.0±0.2mm</w:t>
            </w:r>
          </w:p>
          <w:p w14:paraId="044B3739">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工作波长：1310nm/1550nm</w:t>
            </w:r>
          </w:p>
          <w:p w14:paraId="204DE578">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插入损耗：≤0.3dB</w:t>
            </w:r>
          </w:p>
          <w:p w14:paraId="75513A83">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回波损耗：≥50dB</w:t>
            </w:r>
          </w:p>
          <w:p w14:paraId="53A9E164">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重复性：≥1000</w:t>
            </w:r>
          </w:p>
          <w:p w14:paraId="515553B3">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弯曲半径：≥10D</w:t>
            </w:r>
          </w:p>
          <w:p w14:paraId="7FD98ED3">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使用温度：-25℃~+70℃</w:t>
            </w:r>
          </w:p>
          <w:p w14:paraId="23E7CE6A">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1272-2018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F9EE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条</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37C8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44</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03EE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E21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616</w:t>
            </w:r>
          </w:p>
        </w:tc>
      </w:tr>
      <w:tr w14:paraId="12951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D93C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DBB5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壁装枪机支架</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5887142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1、铝合金材质壁装支架。</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2、表面做喷塑处理。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3、支架带出线孔。</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4、安装座表面有海绵垫。</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5、调整角度：水平：≥360°，垂直：≥-45°~45°。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C080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B9DD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127</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CAE6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5E7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1778</w:t>
            </w:r>
          </w:p>
        </w:tc>
      </w:tr>
      <w:tr w14:paraId="1E95D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F971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20</w:t>
            </w:r>
          </w:p>
        </w:tc>
        <w:tc>
          <w:tcPr>
            <w:tcW w:w="414" w:type="pct"/>
            <w:tcBorders>
              <w:top w:val="single" w:color="000000" w:sz="4" w:space="0"/>
              <w:left w:val="single" w:color="000000" w:sz="4" w:space="0"/>
              <w:bottom w:val="single" w:color="000000" w:sz="4" w:space="0"/>
              <w:right w:val="nil"/>
            </w:tcBorders>
            <w:shd w:val="clear" w:color="auto" w:fill="auto"/>
            <w:noWrap/>
            <w:vAlign w:val="center"/>
          </w:tcPr>
          <w:p w14:paraId="14F95D8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PVC线管</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0E4661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直径25mm，壁厚≥1.1mm，阻燃PVC线管</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3383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5F99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2800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71D1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743C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5600</w:t>
            </w:r>
          </w:p>
        </w:tc>
      </w:tr>
      <w:tr w14:paraId="415D6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8EDD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511D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辅材</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09D546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定制</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D480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AD0A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02BC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11600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1525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11600</w:t>
            </w:r>
          </w:p>
        </w:tc>
      </w:tr>
      <w:tr w14:paraId="4626D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3CB0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22</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B83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熔纤</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571804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光纤熔纤</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BB91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条</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5F67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9BCC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25</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BED7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600</w:t>
            </w:r>
          </w:p>
        </w:tc>
      </w:tr>
      <w:tr w14:paraId="6A83D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F19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03B7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布线施工</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0EB0AF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网络布线施工</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9A36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FB12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CC27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32500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9116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32500</w:t>
            </w:r>
          </w:p>
        </w:tc>
      </w:tr>
      <w:tr w14:paraId="78A7D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B8D2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D3BF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系统集成调试</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84CF39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系统整体安装及调试</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5016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2F66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67B5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19000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26FC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19000</w:t>
            </w:r>
          </w:p>
        </w:tc>
      </w:tr>
      <w:tr w14:paraId="67799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E9FD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center"/>
              <w:rPr>
                <w:rFonts w:hint="eastAsia" w:asciiTheme="minorEastAsia" w:hAnsiTheme="minorEastAsia" w:eastAsiaTheme="minorEastAsia" w:cstheme="minorEastAsia"/>
                <w:b/>
                <w:bCs/>
                <w:i w:val="0"/>
                <w:iCs w:val="0"/>
                <w:color w:val="auto"/>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8"/>
                <w:szCs w:val="28"/>
                <w:u w:val="none"/>
                <w:lang w:val="en-US" w:eastAsia="zh-CN" w:bidi="ar"/>
              </w:rPr>
              <w:t>校园周界补盲及校园监控系统平台</w:t>
            </w:r>
          </w:p>
        </w:tc>
      </w:tr>
      <w:tr w14:paraId="0114B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366E2">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b/>
                <w:bCs/>
                <w:i w:val="0"/>
                <w:iCs w:val="0"/>
                <w:color w:val="auto"/>
                <w:kern w:val="0"/>
                <w:sz w:val="21"/>
                <w:szCs w:val="21"/>
                <w:u w:val="none"/>
                <w:lang w:val="en-US" w:eastAsia="zh-CN" w:bidi="ar"/>
              </w:rPr>
              <w:t>序号</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895C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产品名称</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F88C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技术参数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DDBA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单位</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5734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数量</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739E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1"/>
                <w:szCs w:val="21"/>
                <w:u w:val="none"/>
                <w:lang w:val="en-US" w:eastAsia="zh-CN" w:bidi="ar"/>
              </w:rPr>
              <w:t>预算单价（元）</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B70D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1"/>
                <w:szCs w:val="21"/>
                <w:u w:val="none"/>
                <w:lang w:val="en-US" w:eastAsia="zh-CN" w:bidi="ar"/>
              </w:rPr>
              <w:t>预算合价（元）</w:t>
            </w:r>
          </w:p>
        </w:tc>
      </w:tr>
      <w:tr w14:paraId="120FB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10E5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25</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99E3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屋面警戒球机</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02F864D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 视频分辨率主码流≥2688×1520@30fps，靶面尺寸≥1/2.8英寸。</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2、最低照度彩色≤0.005 lx，黑白≤0.001 lx。</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3、具有H.264、H.265、MJPEG设置选项。</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4、支持水平≥0°~360°，连续旋转；垂直≥-15°~90°。</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5、光学变倍≥23倍，最大焦距≥135mm。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 可设置300个预置位，可按照设置的预置位设置8条巡航路径。具有预置位视频冻结功能。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7、白光补光灯开启，可识别距离设备≥100m处的人体轮廓，红外补光灯开启，可识别距离设备≥150m处的人体轮廓。</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8、支持区域入侵、越界等智能侦测，智能侦测支持大模型联动跟随，内置扬声器支持声光警戒。</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9、支持≥512G MicroSD/MicroSDHC/MicroSDXC卡存储。</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10、支持真宽动态、强光抑制、3D降噪、透雾、区域曝光、区域聚焦、饱和度/亮度/对比度/锐度图像设置。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11、具有耀光抑制功能，耀光区域≤1%。</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12、支持人、非机动车、车辆混行抓拍，可同时对人、非机动车、车辆进行抓拍。</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13、具有AI-ISP图像质量提升功能，在低照度环境下，可自动调节预览场景视频画面中人脸、人体、车辆等目标及预览场景视频画面的区域曝光、亮度、色彩饱和度、对比度、锐度等。</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14、镜头内置加热玻璃除雾。</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15、支持AI模型的下发和运行，检测结果的生成和上传。</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16、内置≥6颗补光灯、≥1个RJ45网络接口、≥1路音频输入接口、≥1路音频输出接口、≥2路报警输入接口、≥1路报警输出。</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8530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83A7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8480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2744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ABD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5488</w:t>
            </w:r>
          </w:p>
        </w:tc>
      </w:tr>
      <w:tr w14:paraId="56FFA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DD8C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598A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周界警戒球机</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772D81B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 视频分辨率主码流≥2688×1520@30fps，靶面尺寸≥1/2.8英寸。</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2、最低照度：红外灯关闭：彩色≤0.005Lux，黑白模式≤0.001Lux。</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3、具有H.264、H.265、MJPEG设置选项。</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4、支持水平≥0°~360°，连续旋转；垂直≥-15°~90°。</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5、光学变倍≥23倍，最大焦距≥135mm。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 可设置300个预置位，可按照设置的预置位设置8条巡航路径。具有预置位视频冻结功能。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7、白光补光灯开启，可识别距离设备≥100m处的人体轮廓，红外补光灯开启，可识别距离设备≥150m处的人体轮廓。</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8、对人或车辆进入警戒区域后，设备可发出白光警示、声音警示，并启动智能跟踪功能。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9、当智能行为分析设置为区域入侵，越界入侵，进入区域、离开区域时，可对行人、车、自行车、电瓶车、摩托车、三轮车等进行检测设备支持行为分析触发后联动聚焦、联动目标跟踪等多种报警触发方式。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10、支持真宽动态、强光抑制、3D降噪、透雾、区域曝光、区域聚焦、饱和度/亮度/对比度/锐度图像设置。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11、具有AI-ISP图像质量提升功能，在低照度环境下，可自动调节预览场景视频画面中人脸、人体、车辆等目标及预览场景视频画面的区域曝光、亮度、色彩饱和度、对比度、锐度等。</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12、支持人、非机动车、车辆混行抓拍，可同时对人、非机动车、车辆进行抓拍。</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13、★支持接入壁装和吊装警戒配件，警戒配件支持声光警戒功能，当人或车辆进入警戒区域后，警戒配件可发出红蓝灯警示，蜂鸣器报警</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b/>
                <w:bCs/>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14、支持对镜头前盖玻璃加热，去除玻璃上的冰状和水状附着物。</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15、支持AI模型的下发和运行，检测结果的生成和上传。</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16、内置≥6颗补光灯、≥1个RJ45网络接口、≥1路音频输入接口、≥1路音频输出接口、≥2路报警输入接口、≥1路报警输出。</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378F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73BF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C994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2744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ED65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54880</w:t>
            </w:r>
          </w:p>
        </w:tc>
      </w:tr>
      <w:tr w14:paraId="5142E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6C5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27</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6679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室外枪机</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0A4B32F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1、具有≥400 万像素 CMOS 传感器，靶面尺寸≥1/2.7英寸，在≥ 2560x1440 @ 25fps 下，清晰度≥1400TVL。</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2、设备支持最低照度彩色≤0.005 lx，黑白≤0.0005lx，最大亮度鉴别等级≥11级。</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3、设备支持H.265/H.264。</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4、设备支持图像设置：镜像，饱和度，亮度，对比度，锐度，AGC，白平衡通过客户端或者浏览器可调。</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5、设备支持多浏览器浏览功能，可通过IE、Chrome、Firefox、Safari等浏览器浏览视频图像。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6、支持人形检测、异常报警触发。</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7、支持背光补偿，强光抑制，3D数字降噪，数字宽动态。</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8、支持SmartIR，防止夜间红外过曝。</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9、支持红外补光，红外最远≥50 m，支持切换白光补光，白光最远≥30 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10、支持白天，夜晚，自动，定时切换日夜转换模式。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11、支持ONVIF、SDK，GB28181协议。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12、设备的防护等级≥IP67，支持DC12V和POE供电，且在 DC12V±25%范围内变化时可以正常工作。</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13、内置麦克风,支持8 kHz/16 kHz音频采样率,≥G.711alaw/AAC-LC,音频压缩标准,64 Kbps（G.711alaw）/16~64 Kbps（AAC-LC）音频压缩码率。</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3DE1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D8DF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10A0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568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12C4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2272</w:t>
            </w:r>
          </w:p>
        </w:tc>
      </w:tr>
      <w:tr w14:paraId="7EB2B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C995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28</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765E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校园监控系统平台软件</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497328F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1、平台依托视频、AI、物联感知等能力，提供智能安防、出入校园管理、后勤服务、智能检索、护学安校、数据驾驶舱等多场景应用。</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2、对用户、角色、组织、区域、人员、车辆、卡片、设备等基础资源进行管理调配。</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3、支持用户密码有效时间段进行设置管理，支持用户IP绑定，指定IP地址用户才能登陆平台。</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4、支持在工作台页面管理页面添加、编辑、删除、导入工作台模板。</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5、★支持配置工作台模板，可在可视化界面上自定义样式、布局、小部件等</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b/>
                <w:bCs/>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工作台支持展示校园总览数据、报警事件统计、设备运维统计、通知公告（展示已发布的通知公告）、待办列表（展示当前用户待办事项列表）、今日报警（展示今日告警事件列表）、消息列表（展示系统消息列表）</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7、报警事件统计支持展示今日报警事件总数、已处理数、未处理数、处理率；支持展示6点到22点每隔两小时的事件处理趋势。</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8、设备运维统计支持展示校园安防设备、监控设备的总数量、在线、离线数量统计结果。</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9、支持WEB端、CS客户端、移动客户端（Android、iOS）视频预览，支持多浏览器实时预览。</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10、支持客户端预览记忆功能，包括当前预览的监控点和当前分屏状态。</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11、支持在1/2/3/4/6/8/9/10/13/14/16/17/24/25画面分隔模式下进行监控点轮巡预览，轮巡时间可设置，支持全屏显示。</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12、预览画面支持亮度、对比度、色调、饱和度参数调节。</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13、支持监控点信息、语音对讲、开关声音、云台与镜头控制、抓图、多图抓拍等。</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14、支持主/子码流切换和预览码流自适应功能，可按4/9/16分屏进行主子码流切换，低于配置的数时主码流预览，高于配置的数时自动切换为子码流。</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15、支持定时录像、报警录像和移动侦测录像等录像模式，不同类型录像以不同颜色进行区分。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16、支持录像标签功能，支持搜索、修改、删除标签，并可通过标签定位录像并回放；支持通过车牌搜索定位录像并回放。</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17、支持按时间、监控点、录像存储方式检索录像；客户端回放支持1/4/6/7/9/16画面分隔模式及全屏显示；支持单帧回放、播放速度控制（1/16、1/8、1/4、1/2、1、2、4、8、16倍速）、同步回放、异步回放；录像回放支持拖动进度条或指定时间点来进行录像定位；支持分段回放，以分段缩略图展示录像片段。</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18、支持移动端预览、回放、监控点收藏等功能。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19、支持在视频预览、录像回放、即时回放、录像剪辑、手动录像和录像下载时叠加水印。</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20、★录像计划清除支持二次身份验证，用户应输入密码进行验证</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21、支持录像定时下载；支持查询图片批量下载。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22、支持多种事件类型配置联动规则，事件源包含：通用视频事件、入侵报警事件、IO事件；可配置的联动包括：实时预览界面弹出、录像、抓图、IO输出、短信、语音播报等。</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23、支持监控摄像机、编码设备、存储设备、解码设备等物联设备在线状态、工作状态、硬盘状态、指标采集。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24、支持监控点通道的在线状态、录制状态、录像完整性、录像保存天数指标检测。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25、支持告警信息统计展现。并支持对监控点、编码设备、解码设备、NVR、中心储存、门禁设备、门禁点、读卡器的告警阈值进行配置。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26、提供视频运维报表统计能力，包含区域综合排名统计、录像完整性统计、录像存储达标统计、在线状态统计、离线时长统计报表。</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27、支持巡检计划配置，可以按照类型和资源以及自定义的巡检周期进行巡检计划配置。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28、≥600路视频监控授权、≥600路设备运维管理。</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0777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E0B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EB03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25235</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E744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25235</w:t>
            </w:r>
          </w:p>
        </w:tc>
      </w:tr>
      <w:tr w14:paraId="6A7DB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6E6B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29</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629C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防火墙</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77B1AA2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1、网络层吞吐量≥1Gbps；IPS吞吐量≥500Mbps；AV吞吐量≥300Mbps；IPSec吞吐量≥800Mbps；IPSec 隧道数≥500；并发连接数≥100万；每秒新建连接数≥1万。</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2、桌面型机箱，配置≥10个千兆电口，≥2个千兆光口；≥1个CON口；≥1个USB 2.0口；交流单电源。</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3、★支持GB/T 28181协议准入、GB35114协议准入、支持RTSP协议准入、支持SIP协议准入、支持ONVIF协议准入、支持HIKSDK协议准入、支持DAHUASDK协议准入、支持SSH协议准入、支持GA/T1400协议准入控制、支持Ehome协议准入控制、支持ISUP协议准入控制。</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b/>
                <w:bCs/>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4、★支持NAT扩展和端口复用，可实现NAT地址的单个端口上建立多条会话。</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b/>
                <w:bCs/>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5、★支持外链检查防护，支持自定义外链特例防护动作，类型支持HTTP、HTTPS、FTP，支持记录日志或重置操作。</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b/>
                <w:bCs/>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6、支持入站SmartDNS,能自动判断访问者的IP地址并解析出对应的IP地址,提升网站访问速度。</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7、支持NetFlow技术，支持配置主动超时时间、源接口、模板刷新时间、数据包数量、企业字段等信息，实现对高速转发的IP数据流进行测试和统计。</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8、支持流量自学习功能，可设置自学习时间，并自动生成DDoS防范策略。</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9、支持HTTPS加密流量的安全检测，支持TCP代理和SSL代理，且代理策略中可同时配置多类过滤条件，具体包括：源安全域、目的安全域、源地址、目的地址、用户和服务。一类过滤条件可以配置多个匹配项。</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10、支持抓取原始数据包，查看网络威胁详情及分析取证。</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11、可基于每个SSL VPN用户的会话连接数、连接时间和流量阀值进行细颗粒度的管控。</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12、支持IPsec VPN智能选路，根据应用和隧道质量调度流量。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13、支持防止共享上网功能，可识别共享上网终端的数量。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14、支持网页诊断功能，用于当内网用户访问网页出现故障时，对网络进行基本的诊断，并给出故障原因。</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15、支持负载均衡功能，能根据安全策略将网络流量均衡到多台服务器上，并提供加权轮询、加权最小连接数、加权散列等多种负载均衡方式。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16、支持路由转发模式，其安全策略生效；支持透明传输模式，其安全策略生效；支持旁路模式、混合模式部署。</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17、支持基于源、目的IP策略路由；支持基于接口的策略路由；支持基于协议和端口的策略路由；支持基于应用类型的策略路由；并支持设置全局匹配顺序。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18、支持“多对一”的SNAT；支持“一对多”的DNAT；支持“多对多”的动态SNAT。</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0D58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3E26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FA6D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6664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AF99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6664</w:t>
            </w:r>
          </w:p>
        </w:tc>
      </w:tr>
      <w:tr w14:paraId="6DE34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5324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30</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9F18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全彩筒型摄像机</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495E641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1、≥400万像素筒型≥1/1.8" 传感器摄像机。</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2、最低照度：彩色≤0.0005 Lux。</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3、在2560x1440@25fps下，码率设置为2Mbps，清晰度不小于1400TVL。</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4、具有日夜场景自适应功能，在白天和夜晚环境下，均可输出彩色图像，在夜晚自动开启补光灯条件下，夜晚图像清晰度应不低于白天图像清晰度的95%。</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5、可通过浏览器或客户端开启白光补光。</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6、在低照环境下，开启补光灯，可识别距离50m处人体轮廓。</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7、内置1颗CPU、GPU、NPU于一体的芯片，支持智能编码加载大模型对行人、机动车等目标通过ROI分割分离前景目标与背景区域压缩降低存储。</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8、可通过IE浏览器设置码流套餐为画质优先、均衡模式、存储优先及自定义4种类型。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9、★具有AI-ISP图像质量提升功能，在低照度环境下，可自动调节预览场景视频画面中人脸、人体、车辆等目标及预览场景视频画面的区域曝光、亮度、色彩饱和度、对比度、锐度等。</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b/>
                <w:bCs/>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10、★补光灯灯杯采用双层透镜结构，外表平面为柔光层，采用复眼式微透镜阵列，具有六边形阵列纹路;下层束光层为鳞甲TIR透镜，内壁具有鳞甲阵列纹路。</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b/>
                <w:bCs/>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11、★补光灯开启后，灯光应为椭圆形形状，且补光灯均匀无波纹状、圆环状、麻点状、条纹状和不规则亮斑。</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b/>
                <w:bCs/>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12、支持人/车目标分类。</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13、支持DC12V或POE供电，≥IP67防尘防水设计，内置麦克风&amp;扬声器支持语音对讲。</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配套安装支架。</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BF3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136F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1344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651</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8D95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651</w:t>
            </w:r>
          </w:p>
        </w:tc>
      </w:tr>
      <w:tr w14:paraId="26FF7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0378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31</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FF76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大模型周界相机</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4886F8B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1、具有≥1/1.8"靶面尺寸，镜头光圈大小≥F1.0，内置≥1颗GPU芯片。</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2、最低照度彩色：≤0.0002lx，黑白:≤0.0001lx。</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3、中心水平分辨率达到1500线(2688*1520)、视频最大帧率≥30fps。</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4、在彩色模式下，当环境照度降低至设定阈值，可自动开启白光补光灯，在白天、夜晚均可输出彩色视频图像。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5、★内置容量≥4GB芯片，存储大模型算法及数据，内置大模型算法芯片，运用大模型算法检测并分类识别目标（人员、机动车、动物）。</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6、★具有AI-ISP图像质量提升功能，在低照度环境下，可自动调节预览场景视频画面中人脸、人体、车辆等目标及预览场景视频画面的区域曝光、亮度、色彩饱和度、对比度、锐度等。</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b/>
                <w:bCs/>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7、★水平视场角≥90°，可检测距离≥60m处肩宽≤19像素的行人；水平视场角≥90°，可检测距离≥70m处车头宽度≤39像素的机动车。</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8、采用智能大模型算法，当检测区域存在晃动的树叶、光影时，可对人员，机动车，狗进行目标检测。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9、具有设备重启和布防动态报警数据感知与记录功能，布防动态报警数据包括异常掉线、历史布防、实时布防3种类型；可记录报警的开始时间、结束时间、布防类型、报警链路地址、端口、链路续传。</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10、采用鳞镜式补光灯，补光灯开启后，正面不可见补光灯灯珠，补光亮度均匀，无明显波纹状、圆环状、麻点状、条纹状及不规则亮斑。</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11、具有耀光抑制功能，耀光区域≤1%。</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12、内置≥1个麦克风和扬声器。</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13、具有≥1个RS485接口、≥1路报警输入/输出接口、≥1路音频输入/输出接口。</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14、具有低温低气压适应性，可在不高于-45℃和气压70kPa环境下正常工作。</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15、≥IP67防尘防水等级，支持POE供电。</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CCF8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1CA2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4D75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1411</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207A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1411</w:t>
            </w:r>
          </w:p>
        </w:tc>
      </w:tr>
      <w:tr w14:paraId="77CA8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0721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32</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0E97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24口千兆接入交换机</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483C0E1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1、可用千兆电接口数量≥24个，千兆光接口数量≥4个，支持独立的console管理串口。</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2、交换容量≥336Gbps，包转发率≥78Mpps。</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3、支持IEEE 802.3、IEEE 802.3u、IEEE802.3x、IEEE 802.3ab、IEEE 802.3z标准。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4、支持客户端管理、互联APP管理。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5、支持基于源MAC地址的、目的MAC的 ACL，支持基于源MAC地址、目的MAC的 流分类。</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6、支持802.3ad链路聚合功能，支持MAC地址绑定功能，支持端口镜像，支持广播风暴抑制，支持IGMP Snooping。</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7、支持vlan数据泄露，在大流量下，可以保证各自VLAN的数据安全，不同VLAN的数据没有泄露。</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8、可以为远程连接用户提供访问控制，拒绝未通过验证的连接，能够限制telnet访问数量。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9、支持安全日志功能，日志内容包括安全事件来源，发生时间等。</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10、可以通过IPv6为远程连接用户提供访问控制，拒绝未通过验证的连接，可以限制基于IPv6的telnet的访问数量。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11、支持按端口划分VLAN，支持VLAN TRUNK。</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12支持通过平台进行区域分组管理，支持设备名称同步、设备名称下发、固件升级、一键免密远程跳转到设备web端、定位到拓扑图显示等操作。</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13、支持对交换机与摄像头、NVR、门禁设备、解码设备等物联设备进行资产统一管理，资产信息的导入和导出；查看每个设备的使用时间、负责人。</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14、支持通过平台进行整网VLAN配置，支持基于拓扑可视化选择划分VLAN的设备端口，支持自动识别网络设备端口对端的物联设备业务类型。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15、支持通过平台进行拓扑可视化配置业务优先；支持在拓扑图上直接选择任意两个设备配置为业务优先保障，系统自动完成相关配置的下发</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16、支持通过平台进行拓扑图链路提供运行信息，信息包括： 1）支持链路的实时速率、带宽利用率信息； 2）支持链路过去24小时/7天带宽利用率运行趋势。</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17、支持一键生成交付报告：报告包含设备清单、上联设备信息、网络拓扑等； 支持报告查看和导出功能。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18、支持端口隔离、风暴控制、MAC绑定、端口镜像。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19、支持STP/RSTP/MSTP。</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20、支持IPv6静态路由、静态路由。</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B209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C54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2CE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1519</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FA2C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3038</w:t>
            </w:r>
          </w:p>
        </w:tc>
      </w:tr>
      <w:tr w14:paraId="3ABC4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038D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33</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1E4A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8口千兆POE监控交换机</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0669DA5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1、提供≥8个千兆PoE电口、≥2个千兆光口。</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2、≥20 Gbps交换容量、≥14.88 Mpps包转发率、≥8 KMAC地址容量、≥4.1 Mbits缓存。</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3、支持IEEE 802.3、IEEE 802.3u、IEEE 802.3x、IEEE 802.3ab、IEEE 802.3z、IEEE 802.3at/af标准。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4、支持安防网络拓扑管理、链路聚合、端口管理。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5、整机最大供电功率：≥110 W。</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6、支持6 KV防浪涌（PoE口）。</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7、支持PoE输出功率管理。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8、支持VLAN、链路聚合、终端安全防护。</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9、支持DHCP CLIENT、DHCP Snooping。</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10、支持风暴控制、端口统计、流量控制、SNMP、LLDP、SADP协议。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11、支持所有端口收、发方向限速。</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12、支持端口隔离、STP/RSTP、端口镜像。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13、支持SSH、PoE看门狗、MAC地址表获取</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14、支持QoS、DHCP Snooping。</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15、支持web管理、拓扑页面展示、远程升级、默认参数恢复、日志查看、基本网络参数配置。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16、支持端口通断告警、 PoE_MAX告警、 PoE通断告警。</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17、支持端口的速率，流控配置，端口使能配置，支持端口通断告警。</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18、支持端口实时收发速率统计、 7天收发峰值速率统计。</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80BD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BEB1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F4BF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588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D16E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588</w:t>
            </w:r>
          </w:p>
        </w:tc>
      </w:tr>
      <w:tr w14:paraId="69E75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3BED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34</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3A07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电源防雷器</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366FED0B">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温度区间；-40℃~+80℃；</w:t>
            </w:r>
          </w:p>
          <w:p w14:paraId="17C56E83">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湿度区间≤90%（平均25℃时）；</w:t>
            </w:r>
          </w:p>
          <w:p w14:paraId="0B1B730A">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额定工作电压：≤220V，最大工作电压≤470V；</w:t>
            </w:r>
          </w:p>
          <w:p w14:paraId="48D444C8">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最大连续工作电流≤5A；</w:t>
            </w:r>
          </w:p>
          <w:p w14:paraId="59EA574F">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标称效电电流（8/20us)≤5KA,最大放电电流（8/20us)≤10KA；</w:t>
            </w:r>
          </w:p>
          <w:p w14:paraId="0FCD50CD">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保护级别：≤900V；7.响应时间：≤1ns</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65FB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8C5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22</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CAD1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53</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D676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1166</w:t>
            </w:r>
          </w:p>
        </w:tc>
      </w:tr>
      <w:tr w14:paraId="5592C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538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35</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B191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防水POE电源防雷器</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707F0F1D">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额定电压：12-57V，</w:t>
            </w:r>
          </w:p>
          <w:p w14:paraId="6D08C9F5">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工作温度：-30℃~+70℃，</w:t>
            </w:r>
          </w:p>
          <w:p w14:paraId="13A087A0">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数据传输速率：10/100/1000Mbps,</w:t>
            </w:r>
          </w:p>
          <w:p w14:paraId="2318C3AF">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最大放电电流：5KA</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4869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183D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CDF9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39</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5EDD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156</w:t>
            </w:r>
          </w:p>
        </w:tc>
      </w:tr>
      <w:tr w14:paraId="7FAE9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5EFB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AE48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超五类非屏蔽网线</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16C3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1、导体：0.50±0.01mm（无氧铜丝）</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2、绝缘：高密度聚乙烯</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3、护套：4.8±0.3mm（PVC）</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4、近端串音最小值:100MHZ≥32.3dB</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5、回波损耗最小值:100MHZ≥15.0dB</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6、功率和近端串音:32.3dB</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7、执行标准:YD/T 1019-2023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9F14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0E14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1000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143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2.7</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9935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2700</w:t>
            </w:r>
          </w:p>
        </w:tc>
      </w:tr>
      <w:tr w14:paraId="7B0C9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729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37</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EBAE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RVV2*1.5</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0920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1、导体：5类（铜丝）</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 xml:space="preserve">2、绝缘平均厚度：0.7mm（聚氯乙烯PVC）                                                                                                                                                                                                           3、护套平均厚度：0.8mm（聚氯乙烯PVC）                                                                                                                                       4、护套外径：6.8～8.6mm                                                                                                                                     5、70℃时绝缘电阻：≥0.010MΩ·km                                                                                                                 6、20℃导体电阻：≤13.3Ω/km                                                                                                                             7、执行标准：GB/T 5023-2008                                                                                                                         8、额定电压：300/500V    </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454F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54B0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3600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5FE9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934E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17280</w:t>
            </w:r>
          </w:p>
        </w:tc>
      </w:tr>
      <w:tr w14:paraId="1A90D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AC80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38</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2164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24芯光缆</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383D3">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光纤纤芯：G652，9/125um</w:t>
            </w:r>
          </w:p>
          <w:p w14:paraId="1473045C">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紧套管材料：聚氯乙烯PVC</w:t>
            </w:r>
          </w:p>
          <w:p w14:paraId="352C6310">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加强件：芳纶纱</w:t>
            </w:r>
          </w:p>
          <w:p w14:paraId="04258517">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护套材料：黄色聚氯乙烯PVC</w:t>
            </w:r>
          </w:p>
          <w:p w14:paraId="64ABDE88">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动态/静态弯曲半径：20D/10D</w:t>
            </w:r>
          </w:p>
          <w:p w14:paraId="108748AD">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长期/短期允许压扁力（N/100mm）:200/350</w:t>
            </w:r>
          </w:p>
          <w:p w14:paraId="4E69E28C">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长期/短期允许拉伸力（N）:70/220</w:t>
            </w:r>
          </w:p>
          <w:p w14:paraId="626F9204">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使用温度：-20℃~+60℃</w:t>
            </w:r>
          </w:p>
          <w:p w14:paraId="77C9AD3E">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衰减系数@20℃（dB/km）：@1310≤0.8， @1550≤0.6</w:t>
            </w:r>
          </w:p>
          <w:p w14:paraId="5A767635">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标准：YD/T 1258.4-2019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5DD8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497A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3000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F629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5.3</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EDC9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15900</w:t>
            </w:r>
          </w:p>
        </w:tc>
      </w:tr>
      <w:tr w14:paraId="57EDB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22BB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562E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4芯光纤</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A33C6">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光纤纤芯：G652，9/125um</w:t>
            </w:r>
          </w:p>
          <w:p w14:paraId="12F58401">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紧套管材料：聚氯乙烯PVC</w:t>
            </w:r>
          </w:p>
          <w:p w14:paraId="2F4679AD">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加强件：芳纶纱</w:t>
            </w:r>
          </w:p>
          <w:p w14:paraId="400905C2">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护套材料：黄色聚氯乙烯PVC</w:t>
            </w:r>
          </w:p>
          <w:p w14:paraId="774E6FCA">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动态/静态弯曲半径：20D/10D</w:t>
            </w:r>
          </w:p>
          <w:p w14:paraId="69EDA538">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长期/短期允许压扁力（N/100mm）:200/350</w:t>
            </w:r>
          </w:p>
          <w:p w14:paraId="0C747B32">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长期/短期允许拉伸力（N）:70/220</w:t>
            </w:r>
          </w:p>
          <w:p w14:paraId="24909222">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使用温度：-20℃~+60℃</w:t>
            </w:r>
          </w:p>
          <w:p w14:paraId="21AE1A2D">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衰减系数@20℃（dB/km）：@1310≤0.8，@1550≤0.6</w:t>
            </w:r>
          </w:p>
          <w:p w14:paraId="1689E9D3">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标准：YD/T 1258.4-2019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9E89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06EB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600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30F4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1.6</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33F4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960</w:t>
            </w:r>
          </w:p>
        </w:tc>
      </w:tr>
      <w:tr w14:paraId="3211B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300E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40</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0165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4口光纤终端盒</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D3769">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终端盒材质：0.8冷轧钢板（黑色静电喷塑）</w:t>
            </w:r>
          </w:p>
          <w:p w14:paraId="0C37138F">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外观尺寸：约150mm*95mm*35mm</w:t>
            </w:r>
          </w:p>
          <w:p w14:paraId="5CB89D4D">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安装方式：壁挂式或摆放</w:t>
            </w:r>
          </w:p>
          <w:p w14:paraId="0B0586A5">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熔纤盘材质：阻燃ABS塑料</w:t>
            </w:r>
          </w:p>
          <w:p w14:paraId="47A05665">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耐压强度：DC 1000V(AC 700V)1分钟无击穿和飞弧现象</w:t>
            </w:r>
          </w:p>
          <w:p w14:paraId="7C27C669">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绝缘电阻：≥500MΩ</w:t>
            </w:r>
          </w:p>
          <w:p w14:paraId="61706C31">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环境温度：-25℃到50℃</w:t>
            </w:r>
          </w:p>
          <w:p w14:paraId="5F3BBC48">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相对湿度：≤85%</w:t>
            </w:r>
          </w:p>
          <w:p w14:paraId="387E53B3">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辅件：热熔缩管和纤芯保护套管</w:t>
            </w:r>
          </w:p>
          <w:p w14:paraId="434AA2C7">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925-2009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0AEB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EE04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D6C7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39</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727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936</w:t>
            </w:r>
          </w:p>
        </w:tc>
      </w:tr>
      <w:tr w14:paraId="6D897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24EE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41</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EF29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24口LC光纤盒（LC满配48条尾纤）</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865EB">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主体材质：冷轧钢板（电脑灰喷塑）</w:t>
            </w:r>
          </w:p>
          <w:p w14:paraId="77701982">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尺寸：约430*300*70mm</w:t>
            </w:r>
          </w:p>
          <w:p w14:paraId="4AB98608">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熔纤盘材质：阻燃ABS工程塑料</w:t>
            </w:r>
          </w:p>
          <w:p w14:paraId="1D6C2894">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开启设计：卡扣开启，抽屉式拉出</w:t>
            </w:r>
          </w:p>
          <w:p w14:paraId="2B62662E">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耐压强度：DC 1000V(AC 700V)1分钟无击穿和飞弧现象</w:t>
            </w:r>
          </w:p>
          <w:p w14:paraId="1F233FFE">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绝缘电阻：≥500MΩ</w:t>
            </w:r>
          </w:p>
          <w:p w14:paraId="60D88D29">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使用温度：-25℃到50℃</w:t>
            </w:r>
          </w:p>
          <w:p w14:paraId="7C78A759">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相对湿度：≤85%</w:t>
            </w:r>
          </w:p>
          <w:p w14:paraId="07D07FB7">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辅件：热熔缩管和纤芯保护套管</w:t>
            </w:r>
          </w:p>
          <w:p w14:paraId="0A44E839">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容量：48芯</w:t>
            </w:r>
          </w:p>
          <w:p w14:paraId="3F81E14D">
            <w:pPr>
              <w:keepNext w:val="0"/>
              <w:keepLines w:val="0"/>
              <w:pageBreakBefore w:val="0"/>
              <w:widowControl/>
              <w:numPr>
                <w:ilvl w:val="0"/>
                <w:numId w:val="1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778-2011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B748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AD4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5AA1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539</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B83D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1078</w:t>
            </w:r>
          </w:p>
        </w:tc>
      </w:tr>
      <w:tr w14:paraId="340E2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E77F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42</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D895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12U网络机柜</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2B9B2DC0">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标准19英寸机柜，</w:t>
            </w:r>
          </w:p>
          <w:p w14:paraId="43F8A4EA">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 xml:space="preserve">尺寸：540*450*580mm </w:t>
            </w:r>
          </w:p>
          <w:p w14:paraId="13F2CA91">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规格:12U，</w:t>
            </w:r>
          </w:p>
          <w:p w14:paraId="2CF9CED4">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颜色：黑色，</w:t>
            </w:r>
          </w:p>
          <w:p w14:paraId="6821670E">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承重：50KG；</w:t>
            </w:r>
          </w:p>
          <w:p w14:paraId="66E7F657">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前茶色玻璃门，后钢板，标配。</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9045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A0D5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F385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588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00EE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2940</w:t>
            </w:r>
          </w:p>
        </w:tc>
      </w:tr>
      <w:tr w14:paraId="1D7E2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D1A5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EE0A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机架防雷插排</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48FCDC6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1.输入：L+N+PE,国标10A插头</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2.额定值：10A 250V 2500W</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 xml:space="preserve">3.6位 10A新国标五孔  </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 xml:space="preserve">4.3*1平方线 ,纯线长1.8M  </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5.黑色，塑料外壳，带总开关</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6.安装 1U高</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7.带纸盒包装"</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B980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A1FF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0978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93</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4064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465</w:t>
            </w:r>
          </w:p>
        </w:tc>
      </w:tr>
      <w:tr w14:paraId="12B55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1F6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44</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98A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耦合器</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5C704">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材料：氧化锆陶瓷套管</w:t>
            </w:r>
          </w:p>
          <w:p w14:paraId="1460DA5E">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插入损耗：≤0.3dB</w:t>
            </w:r>
          </w:p>
          <w:p w14:paraId="269C42C0">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互换性：≤0.2dB</w:t>
            </w:r>
          </w:p>
          <w:p w14:paraId="31CE4E44">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插拔次数：≥500</w:t>
            </w:r>
          </w:p>
          <w:p w14:paraId="5E134930">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抗张力：200-600N</w:t>
            </w:r>
          </w:p>
          <w:p w14:paraId="2834FE91">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使用温度：-25℃~+70℃</w:t>
            </w:r>
          </w:p>
          <w:p w14:paraId="1048E363">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标准：YD/T 1272-2018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0FF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229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A841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C90D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100</w:t>
            </w:r>
          </w:p>
        </w:tc>
      </w:tr>
      <w:tr w14:paraId="4500B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6E8F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45</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E073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SC尾纤</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04822">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光纤纤芯：G652，9/125</w:t>
            </w:r>
          </w:p>
          <w:p w14:paraId="71962320">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护套材料：黄色聚氯乙烯PVC</w:t>
            </w:r>
          </w:p>
          <w:p w14:paraId="454021CA">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光缆外径：3.0±0.2mm</w:t>
            </w:r>
          </w:p>
          <w:p w14:paraId="1BFD6DED">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工作波长：1310nm/1550nm</w:t>
            </w:r>
          </w:p>
          <w:p w14:paraId="1ACF899D">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插入损耗：≤0.3dB</w:t>
            </w:r>
          </w:p>
          <w:p w14:paraId="054828B0">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回波损耗：≥50dB</w:t>
            </w:r>
          </w:p>
          <w:p w14:paraId="3B1259A3">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重复性：≥1000</w:t>
            </w:r>
          </w:p>
          <w:p w14:paraId="6033155C">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弯曲半径：≥10D</w:t>
            </w:r>
          </w:p>
          <w:p w14:paraId="746DB54F">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使用温度：-25℃~+70℃</w:t>
            </w:r>
          </w:p>
          <w:p w14:paraId="6D4FEFA3">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1272-2018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137D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条</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424F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5071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EC2B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340</w:t>
            </w:r>
          </w:p>
        </w:tc>
      </w:tr>
      <w:tr w14:paraId="0FA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3BA8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DCF7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SC-LC光纤跳线</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93334">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光纤纤芯：G652，9/125</w:t>
            </w:r>
          </w:p>
          <w:p w14:paraId="13691BF3">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护套材料：黄色聚氯乙烯PVC</w:t>
            </w:r>
          </w:p>
          <w:p w14:paraId="5B2E21FA">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光缆外径：3.0±0.2mm</w:t>
            </w:r>
          </w:p>
          <w:p w14:paraId="49C2A42C">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工作波长：1310nm/1550nm</w:t>
            </w:r>
          </w:p>
          <w:p w14:paraId="0E0F9515">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插入损耗：≤0.3dB</w:t>
            </w:r>
          </w:p>
          <w:p w14:paraId="4131ED02">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回波损耗：≥50dB</w:t>
            </w:r>
          </w:p>
          <w:p w14:paraId="3BE90885">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重复性：≥1000</w:t>
            </w:r>
          </w:p>
          <w:p w14:paraId="43246664">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弯曲半径：≥10D</w:t>
            </w:r>
          </w:p>
          <w:p w14:paraId="6C04926F">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使用温度：-25℃~+70℃</w:t>
            </w:r>
          </w:p>
          <w:p w14:paraId="1DFC0004">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1272-2018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645C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条</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CDDE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63E9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568F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700</w:t>
            </w:r>
          </w:p>
        </w:tc>
      </w:tr>
      <w:tr w14:paraId="76551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87F2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47</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F91D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光纤收发器</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5247B93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1、≥1千兆电口、≥1千兆光口。</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2、传输距离：≥3 km。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3、发射功率：≥–9 dBm~–1 dBm。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4、接收灵敏度：≤ –21 dBm。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5、工作温度：≥–30 °C - 70 °C。</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6、桌面式。</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4E3B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CE37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22</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332E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205</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326E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4510</w:t>
            </w:r>
          </w:p>
        </w:tc>
      </w:tr>
      <w:tr w14:paraId="6F64F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608E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48</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7040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PVC线管</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3A224F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直径25mm，壁厚≥1.1mm，阻燃PVC线管</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3629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79CA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4200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9C52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4E9F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8400</w:t>
            </w:r>
          </w:p>
        </w:tc>
      </w:tr>
      <w:tr w14:paraId="0119A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AC6D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BA53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4米监控立杆</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1665162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4米高度变直径监控立杆，含30cm吊球横臂，含地笼及避雷针</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5D74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A149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418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392</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D1D0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7840</w:t>
            </w:r>
          </w:p>
        </w:tc>
      </w:tr>
      <w:tr w14:paraId="0F7CA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1365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50</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148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户外监控防水箱</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2304902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长300mm，宽250mm，厚160mm，材质镀锌板，含监控立杆抱箍</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3D09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1E4E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5D6F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5C10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1056</w:t>
            </w:r>
          </w:p>
        </w:tc>
      </w:tr>
      <w:tr w14:paraId="72F1C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1ED8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133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枪机支架</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6A1D732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1、铝合金材质壁装支架。</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2、表面做喷塑处理。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3、支架带出线孔。</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4、安装座表面有海绵垫。</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5、调整角度：水平：≥360°，垂直：≥-45°~45°。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9468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603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63D6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D165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56</w:t>
            </w:r>
          </w:p>
        </w:tc>
      </w:tr>
      <w:tr w14:paraId="7DB1F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3EF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52</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19FF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球机支架</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3A0AE3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铝合金材质壁装支架，表面做喷塑处理，带有安装调试口。</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2D8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CBC7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00AA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49</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F9E8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98</w:t>
            </w:r>
          </w:p>
        </w:tc>
      </w:tr>
      <w:tr w14:paraId="10B25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935A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80A6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熔纤</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4B5AB1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光纤熔纤</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29E4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条</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E3D4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1091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25</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8911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1250</w:t>
            </w:r>
          </w:p>
        </w:tc>
      </w:tr>
      <w:tr w14:paraId="7F390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094A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54</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ECA8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辅材</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4ACC68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定制</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B668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24F3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A6A0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19000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E8AB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19000</w:t>
            </w:r>
          </w:p>
        </w:tc>
      </w:tr>
      <w:tr w14:paraId="24958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5E21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55</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D09C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破路施工</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25B955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路面破开及恢复</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EAAA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DB5A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600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750A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40DE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36000</w:t>
            </w:r>
          </w:p>
        </w:tc>
      </w:tr>
      <w:tr w14:paraId="1590F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B3FC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A074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布线施工</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E0CA0C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网络布线施工</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A451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B1CA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1B9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28800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1F04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28800</w:t>
            </w:r>
          </w:p>
        </w:tc>
      </w:tr>
      <w:tr w14:paraId="0E66D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77C0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57</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1D9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系统集成调试</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2E8AC8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系统整体安装及调试</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DE24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72D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0822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7000</w:t>
            </w:r>
          </w:p>
        </w:tc>
        <w:tc>
          <w:tcPr>
            <w:tcW w:w="47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4FF331E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7000</w:t>
            </w:r>
          </w:p>
        </w:tc>
      </w:tr>
      <w:tr w14:paraId="63060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00" w:type="pct"/>
            <w:gridSpan w:val="7"/>
            <w:tcBorders>
              <w:top w:val="single" w:color="000000" w:sz="4" w:space="0"/>
              <w:left w:val="single" w:color="000000" w:sz="4" w:space="0"/>
              <w:bottom w:val="single" w:color="000000" w:sz="4" w:space="0"/>
              <w:right w:val="single" w:color="auto" w:sz="4" w:space="0"/>
            </w:tcBorders>
            <w:shd w:val="clear" w:color="auto" w:fill="auto"/>
            <w:noWrap/>
            <w:vAlign w:val="center"/>
          </w:tcPr>
          <w:p w14:paraId="0B06A5E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center"/>
              <w:rPr>
                <w:rFonts w:hint="eastAsia" w:asciiTheme="minorEastAsia" w:hAnsiTheme="minorEastAsia" w:eastAsiaTheme="minorEastAsia" w:cstheme="minorEastAsia"/>
                <w:b/>
                <w:bCs/>
                <w:i w:val="0"/>
                <w:iCs w:val="0"/>
                <w:color w:val="auto"/>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8"/>
                <w:szCs w:val="28"/>
                <w:u w:val="none"/>
                <w:lang w:val="en-US" w:eastAsia="zh-CN" w:bidi="ar"/>
              </w:rPr>
              <w:t>6号教学楼弱电设备</w:t>
            </w:r>
          </w:p>
        </w:tc>
      </w:tr>
      <w:tr w14:paraId="6D213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B5C8A">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default" w:asciiTheme="minorEastAsia" w:hAnsiTheme="minorEastAsia" w:eastAsiaTheme="minorEastAsia" w:cstheme="minorEastAsia"/>
                <w:b/>
                <w:bCs/>
                <w:i w:val="0"/>
                <w:iCs w:val="0"/>
                <w:color w:val="auto"/>
                <w:sz w:val="21"/>
                <w:szCs w:val="21"/>
                <w:u w:val="none"/>
                <w:lang w:val="en-US" w:eastAsia="zh-CN"/>
              </w:rPr>
            </w:pPr>
            <w:r>
              <w:rPr>
                <w:rFonts w:hint="eastAsia" w:asciiTheme="minorEastAsia" w:hAnsiTheme="minorEastAsia" w:eastAsiaTheme="minorEastAsia" w:cstheme="minorEastAsia"/>
                <w:b/>
                <w:bCs/>
                <w:i w:val="0"/>
                <w:iCs w:val="0"/>
                <w:color w:val="auto"/>
                <w:sz w:val="21"/>
                <w:szCs w:val="21"/>
                <w:u w:val="none"/>
                <w:lang w:val="en-US" w:eastAsia="zh-CN"/>
              </w:rPr>
              <w:t>序号</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6E33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产品名称</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884F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kern w:val="2"/>
                <w:sz w:val="21"/>
                <w:szCs w:val="21"/>
                <w:u w:val="none"/>
                <w:lang w:val="en-US" w:eastAsia="zh-CN" w:bidi="ar-SA"/>
              </w:rPr>
            </w:pPr>
            <w:r>
              <w:rPr>
                <w:rFonts w:hint="eastAsia" w:asciiTheme="minorEastAsia" w:hAnsiTheme="minorEastAsia" w:eastAsiaTheme="minorEastAsia" w:cstheme="minorEastAsia"/>
                <w:b/>
                <w:bCs/>
                <w:i w:val="0"/>
                <w:iCs w:val="0"/>
                <w:color w:val="auto"/>
                <w:kern w:val="0"/>
                <w:sz w:val="21"/>
                <w:szCs w:val="21"/>
                <w:u w:val="none"/>
                <w:lang w:val="en-US" w:eastAsia="zh-CN" w:bidi="ar"/>
              </w:rPr>
              <w:t>技术参数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76E2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单位</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3A1F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数量</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F6CC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1"/>
                <w:szCs w:val="21"/>
                <w:u w:val="none"/>
                <w:lang w:val="en-US" w:eastAsia="zh-CN" w:bidi="ar"/>
              </w:rPr>
              <w:t>预算单价（元）</w:t>
            </w:r>
          </w:p>
        </w:tc>
        <w:tc>
          <w:tcPr>
            <w:tcW w:w="47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71FEA2F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1"/>
                <w:szCs w:val="21"/>
                <w:u w:val="none"/>
                <w:lang w:val="en-US" w:eastAsia="zh-CN" w:bidi="ar"/>
              </w:rPr>
              <w:t>预算合价（元）</w:t>
            </w:r>
          </w:p>
        </w:tc>
      </w:tr>
      <w:tr w14:paraId="16324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97DD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58</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48AB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24口千兆接入交换机</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64979B1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1、可用千兆电接口数量≥24个，千兆光接口数量≥4个，支持独立的console管理串口。</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2、交换容量≥336Gbps，包转发率≥78Mpps。</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3、支持IEEE 802.3、IEEE 802.3u、IEEE802.3x、IEEE 802.3ab、IEEE 802.3z标准。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4、支持客户端管理、互联APP管理。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5、支持基于源MAC地址的、目的MAC的 ACL，支持基于源MAC地址、目的MAC的 流分类。</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6、支持802.3ad链路聚合功能，支持MAC地址绑定功能，支持端口镜像，支持广播风暴抑制，支持IGMP Snooping。</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7、支持vlan数据泄露，在大流量下，可以保证各自VLAN的数据安全，不同VLAN的数据没有泄露。</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8、可以为远程连接用户提供访问控制，拒绝未通过验证的连接，能够限制telnet访问数量。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9、支持安全日志功能，日志内容包括安全事件来源，发生时间等。</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10、可以通过IPv6为远程连接用户提供访问控制，拒绝未通过验证的连接，可以限制基于IPv6的telnet的访问数量。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11、支持按端口划分VLAN，支持VLAN TRUNK。</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12支持通过平台进行区域分组管理，支持设备名称同步、设备名称下发、固件升级、一键免密远程跳转到设备web端、定位到拓扑图显示等操作。</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13、支持对交换机与摄像头、NVR、门禁设备、解码设备等物联设备进行资产统一管理，资产信息的导入和导出；查看每个设备的使用时间、负责人。</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14、支持通过平台进行整网VLAN配置，支持基于拓扑可视化选择划分VLAN的设备端口，支持自动识别网络设备端口对端的物联设备业务类型。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15、支持通过平台进行拓扑可视化配置业务优先；支持在拓扑图上直接选择任意两个设备配置为业务优先保障，系统自动完成相关配置的下发</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16、支持通过平台进行拓扑图链路提供运行信息，信息包括： 1）支持链路的实时速率、带宽利用率信息； 2）支持链路过去24小时/7天带宽利用率运行趋势。</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17、支持一键生成交付报告：报告包含设备清单、上联设备信息、网络拓扑等； 支持报告查看和导出功能。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18、支持端口隔离、风暴控制、MAC绑定、端口镜像。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19、支持STP/RSTP/MSTP。</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20、支持IPv6静态路由、静态路由。</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5B61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318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5165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1519</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EB0F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7595</w:t>
            </w:r>
          </w:p>
        </w:tc>
      </w:tr>
      <w:tr w14:paraId="7A805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AA20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DFD3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24口万兆汇聚交换机</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3814877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1、≥24个千兆光接口、≥8个复用的千兆电口、≥4个非复用万兆光接口。</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2、交换容量≥336Gbps/3.36Tbps，包转发率≥126Mpps。</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3、≥16K MAC地址、≥4K VLAN容量。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4、支持STP、RSTP、MSTP、ERPS功能，支持OSPF FRR 功能，支持802.1X认证、Portal认证、Triple 认证功能。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5、支持独立的console管理串口、支持端口节能功能。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6、支持NQA功能，NQA能够正常探测。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7、支持IRF本地负载分担、IRF单点管理功能，支持堆叠链路负载分担，支持链路聚合及聚合零丢包功能。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8、支持流镜像、端口镜像、远程镜像功能。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9、支持BFD for IPv4路由功能、支持BFD for IPv6路由功能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设备支持多个配置文件本地保存，支持配置回滚，支持命令行(CLI)配置。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10、支持CPU保护功能。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11、支持IPv4路由≥900条；IPv6路由≥200条。</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12、支持以不同图标展示接入设备间的连接方式，包括网线、光纤和无线连接。</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13、支持对交换机和摄像头、门禁、对讲等终端设备进行系统拓扑展示及管理功能。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14、支持接入设备间的链路详情展示，包括传输速率、链路两端设备信息和链路带宽告警展示。</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15、支持在网络拓扑中展示设备详情，包括设备基本信息、性能使用信息、面板状态和端口信息。</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16、支持基于流的包过滤、流量统计、重定向、限速。</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17、支持RRPP，可为环形组网提供更快的拓扑收敛。</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18、支持 AAA&amp;RADIUS&amp;HWTACACS 认证。</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19、支持 FTP、TFTP、Xmodem、SFTP 文件上下载管理。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20、支持≥10KV业务端口防雷能力。</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21、支持双风扇设计。</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2B77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A24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C8A1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5350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9F0A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5350</w:t>
            </w:r>
          </w:p>
        </w:tc>
      </w:tr>
      <w:tr w14:paraId="1698C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49FB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60</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EF30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千兆光模块</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76B9361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1、单模双纤千兆光模块。</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2、传输距离：≥10km。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3、发射光功率:≥-9～-3dBm。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4、接收灵敏度:≥-21dBm。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5、工作温度：≥0～70℃。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7867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1816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BF39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133</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984B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1330</w:t>
            </w:r>
          </w:p>
        </w:tc>
      </w:tr>
      <w:tr w14:paraId="56C48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75B8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AC7C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万兆光模块</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56ADD42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1、单模双纤万兆光模块。</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2、传输距离：≥10km。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3、发射光功率:≥-9～-3dBm。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4、接收灵敏度:≥-21dBm。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5、工作温度：≥0～70℃。</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79AC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5580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8E9A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568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7C88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2272</w:t>
            </w:r>
          </w:p>
        </w:tc>
      </w:tr>
      <w:tr w14:paraId="75BD1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6989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62</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FB51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24网络配线架</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536ADDF2">
            <w:pPr>
              <w:keepNext w:val="0"/>
              <w:keepLines w:val="0"/>
              <w:pageBreakBefore w:val="0"/>
              <w:widowControl/>
              <w:numPr>
                <w:ilvl w:val="0"/>
                <w:numId w:val="2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主体材质：钢架结构+塑料面板</w:t>
            </w:r>
          </w:p>
          <w:p w14:paraId="70E2F50D">
            <w:pPr>
              <w:keepNext w:val="0"/>
              <w:keepLines w:val="0"/>
              <w:pageBreakBefore w:val="0"/>
              <w:widowControl/>
              <w:numPr>
                <w:ilvl w:val="0"/>
                <w:numId w:val="2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尺寸：19英寸安装，1U高度</w:t>
            </w:r>
          </w:p>
          <w:p w14:paraId="6CC67B81">
            <w:pPr>
              <w:keepNext w:val="0"/>
              <w:keepLines w:val="0"/>
              <w:pageBreakBefore w:val="0"/>
              <w:widowControl/>
              <w:numPr>
                <w:ilvl w:val="0"/>
                <w:numId w:val="2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IDC端子材质：磷青铜镀镍</w:t>
            </w:r>
          </w:p>
          <w:p w14:paraId="41A74361">
            <w:pPr>
              <w:keepNext w:val="0"/>
              <w:keepLines w:val="0"/>
              <w:pageBreakBefore w:val="0"/>
              <w:widowControl/>
              <w:numPr>
                <w:ilvl w:val="0"/>
                <w:numId w:val="2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金针材质：磷青铜表面镀金</w:t>
            </w:r>
          </w:p>
          <w:p w14:paraId="0B3CB351">
            <w:pPr>
              <w:keepNext w:val="0"/>
              <w:keepLines w:val="0"/>
              <w:pageBreakBefore w:val="0"/>
              <w:widowControl/>
              <w:numPr>
                <w:ilvl w:val="0"/>
                <w:numId w:val="2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卡接导体线规：22~26AWG</w:t>
            </w:r>
          </w:p>
          <w:p w14:paraId="09CD8230">
            <w:pPr>
              <w:keepNext w:val="0"/>
              <w:keepLines w:val="0"/>
              <w:pageBreakBefore w:val="0"/>
              <w:widowControl/>
              <w:numPr>
                <w:ilvl w:val="0"/>
                <w:numId w:val="2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端接寿命：≥250次</w:t>
            </w:r>
          </w:p>
          <w:p w14:paraId="4C26F183">
            <w:pPr>
              <w:keepNext w:val="0"/>
              <w:keepLines w:val="0"/>
              <w:pageBreakBefore w:val="0"/>
              <w:widowControl/>
              <w:numPr>
                <w:ilvl w:val="0"/>
                <w:numId w:val="2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前端端口类型：RJ45，非屏蔽模块化设计</w:t>
            </w:r>
          </w:p>
          <w:p w14:paraId="2ECBA7F9">
            <w:pPr>
              <w:keepNext w:val="0"/>
              <w:keepLines w:val="0"/>
              <w:pageBreakBefore w:val="0"/>
              <w:widowControl/>
              <w:numPr>
                <w:ilvl w:val="0"/>
                <w:numId w:val="2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前端标识：有机玻璃+纸质标签条</w:t>
            </w:r>
          </w:p>
          <w:p w14:paraId="4DAC91A7">
            <w:pPr>
              <w:keepNext w:val="0"/>
              <w:keepLines w:val="0"/>
              <w:pageBreakBefore w:val="0"/>
              <w:widowControl/>
              <w:numPr>
                <w:ilvl w:val="0"/>
                <w:numId w:val="2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拔插寿命：≥750次；</w:t>
            </w:r>
          </w:p>
          <w:p w14:paraId="484FD67F">
            <w:pPr>
              <w:keepNext w:val="0"/>
              <w:keepLines w:val="0"/>
              <w:pageBreakBefore w:val="0"/>
              <w:widowControl/>
              <w:numPr>
                <w:ilvl w:val="0"/>
                <w:numId w:val="2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背部理线：背部含1*24金属托线架</w:t>
            </w:r>
          </w:p>
          <w:p w14:paraId="579A9CAE">
            <w:pPr>
              <w:keepNext w:val="0"/>
              <w:keepLines w:val="0"/>
              <w:pageBreakBefore w:val="0"/>
              <w:widowControl/>
              <w:numPr>
                <w:ilvl w:val="0"/>
                <w:numId w:val="2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耐压强度：DC 1000V(AC 700V)1分钟无击穿和飞弧现象</w:t>
            </w:r>
          </w:p>
          <w:p w14:paraId="66BCE6B2">
            <w:pPr>
              <w:keepNext w:val="0"/>
              <w:keepLines w:val="0"/>
              <w:pageBreakBefore w:val="0"/>
              <w:widowControl/>
              <w:numPr>
                <w:ilvl w:val="0"/>
                <w:numId w:val="2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 xml:space="preserve">绝缘电阻：≥500MΩ </w:t>
            </w:r>
          </w:p>
          <w:p w14:paraId="24E957BA">
            <w:pPr>
              <w:keepNext w:val="0"/>
              <w:keepLines w:val="0"/>
              <w:pageBreakBefore w:val="0"/>
              <w:widowControl/>
              <w:numPr>
                <w:ilvl w:val="0"/>
                <w:numId w:val="2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支持带宽：250MHz</w:t>
            </w:r>
          </w:p>
          <w:p w14:paraId="2E90C69E">
            <w:pPr>
              <w:keepNext w:val="0"/>
              <w:keepLines w:val="0"/>
              <w:pageBreakBefore w:val="0"/>
              <w:widowControl/>
              <w:numPr>
                <w:ilvl w:val="0"/>
                <w:numId w:val="2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使用温度：-25℃~+60℃</w:t>
            </w:r>
          </w:p>
          <w:p w14:paraId="1E7D360F">
            <w:pPr>
              <w:keepNext w:val="0"/>
              <w:keepLines w:val="0"/>
              <w:pageBreakBefore w:val="0"/>
              <w:widowControl/>
              <w:numPr>
                <w:ilvl w:val="0"/>
                <w:numId w:val="20"/>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 YD/T 926.3-2024标准。</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3C52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C66E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0FA3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254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EE10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1270</w:t>
            </w:r>
          </w:p>
        </w:tc>
      </w:tr>
      <w:tr w14:paraId="0C6A1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162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58DC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网络跳线</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60DDCE30">
            <w:pPr>
              <w:keepNext w:val="0"/>
              <w:keepLines w:val="0"/>
              <w:pageBreakBefore w:val="0"/>
              <w:widowControl/>
              <w:numPr>
                <w:ilvl w:val="0"/>
                <w:numId w:val="2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导体材料：7芯多股绞合无氧铜</w:t>
            </w:r>
          </w:p>
          <w:p w14:paraId="7911DB0F">
            <w:pPr>
              <w:keepNext w:val="0"/>
              <w:keepLines w:val="0"/>
              <w:pageBreakBefore w:val="0"/>
              <w:widowControl/>
              <w:numPr>
                <w:ilvl w:val="0"/>
                <w:numId w:val="2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插头材料：阻燃透明聚碳酸酯PC+黄铜金属屏蔽层</w:t>
            </w:r>
          </w:p>
          <w:p w14:paraId="30DA79D7">
            <w:pPr>
              <w:keepNext w:val="0"/>
              <w:keepLines w:val="0"/>
              <w:pageBreakBefore w:val="0"/>
              <w:widowControl/>
              <w:numPr>
                <w:ilvl w:val="0"/>
                <w:numId w:val="2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黄片材料：磷青铜表面镀金</w:t>
            </w:r>
          </w:p>
          <w:p w14:paraId="2D891DB9">
            <w:pPr>
              <w:keepNext w:val="0"/>
              <w:keepLines w:val="0"/>
              <w:pageBreakBefore w:val="0"/>
              <w:widowControl/>
              <w:numPr>
                <w:ilvl w:val="0"/>
                <w:numId w:val="2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绝缘材料：高密度聚乙烯HDPE</w:t>
            </w:r>
          </w:p>
          <w:p w14:paraId="3819C5A2">
            <w:pPr>
              <w:keepNext w:val="0"/>
              <w:keepLines w:val="0"/>
              <w:pageBreakBefore w:val="0"/>
              <w:widowControl/>
              <w:numPr>
                <w:ilvl w:val="0"/>
                <w:numId w:val="2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护套材料：聚氯乙烯PVC</w:t>
            </w:r>
          </w:p>
          <w:p w14:paraId="5D500636">
            <w:pPr>
              <w:keepNext w:val="0"/>
              <w:keepLines w:val="0"/>
              <w:pageBreakBefore w:val="0"/>
              <w:widowControl/>
              <w:numPr>
                <w:ilvl w:val="0"/>
                <w:numId w:val="2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电缆外径：6.3±0.3mm</w:t>
            </w:r>
          </w:p>
          <w:p w14:paraId="220993B1">
            <w:pPr>
              <w:keepNext w:val="0"/>
              <w:keepLines w:val="0"/>
              <w:pageBreakBefore w:val="0"/>
              <w:widowControl/>
              <w:numPr>
                <w:ilvl w:val="0"/>
                <w:numId w:val="2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插拔次数：≥1000次</w:t>
            </w:r>
          </w:p>
          <w:p w14:paraId="1CCC7914">
            <w:pPr>
              <w:keepNext w:val="0"/>
              <w:keepLines w:val="0"/>
              <w:pageBreakBefore w:val="0"/>
              <w:widowControl/>
              <w:numPr>
                <w:ilvl w:val="0"/>
                <w:numId w:val="2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弯曲半径：≥8D</w:t>
            </w:r>
          </w:p>
          <w:p w14:paraId="0CE13E07">
            <w:pPr>
              <w:keepNext w:val="0"/>
              <w:keepLines w:val="0"/>
              <w:pageBreakBefore w:val="0"/>
              <w:widowControl/>
              <w:numPr>
                <w:ilvl w:val="0"/>
                <w:numId w:val="2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特性阻抗：100±15Ω</w:t>
            </w:r>
          </w:p>
          <w:p w14:paraId="7CA79D0E">
            <w:pPr>
              <w:keepNext w:val="0"/>
              <w:keepLines w:val="0"/>
              <w:pageBreakBefore w:val="0"/>
              <w:widowControl/>
              <w:numPr>
                <w:ilvl w:val="0"/>
                <w:numId w:val="2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支持带宽：250MHz</w:t>
            </w:r>
          </w:p>
          <w:p w14:paraId="3A5DB63C">
            <w:pPr>
              <w:keepNext w:val="0"/>
              <w:keepLines w:val="0"/>
              <w:pageBreakBefore w:val="0"/>
              <w:widowControl/>
              <w:numPr>
                <w:ilvl w:val="0"/>
                <w:numId w:val="2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使用温度：-20℃到60℃</w:t>
            </w:r>
          </w:p>
          <w:p w14:paraId="549C4684">
            <w:pPr>
              <w:keepNext w:val="0"/>
              <w:keepLines w:val="0"/>
              <w:pageBreakBefore w:val="0"/>
              <w:widowControl/>
              <w:numPr>
                <w:ilvl w:val="0"/>
                <w:numId w:val="21"/>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926.3-2024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35F4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条</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D1B4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120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A822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AACC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1680</w:t>
            </w:r>
          </w:p>
        </w:tc>
      </w:tr>
      <w:tr w14:paraId="1291F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D94A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64</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26A7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12U网络机柜</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790A257C">
            <w:pPr>
              <w:keepNext w:val="0"/>
              <w:keepLines w:val="0"/>
              <w:pageBreakBefore w:val="0"/>
              <w:widowControl/>
              <w:numPr>
                <w:ilvl w:val="0"/>
                <w:numId w:val="22"/>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标准19英寸机柜，</w:t>
            </w:r>
          </w:p>
          <w:p w14:paraId="380BA84B">
            <w:pPr>
              <w:keepNext w:val="0"/>
              <w:keepLines w:val="0"/>
              <w:pageBreakBefore w:val="0"/>
              <w:widowControl/>
              <w:numPr>
                <w:ilvl w:val="0"/>
                <w:numId w:val="22"/>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 xml:space="preserve">尺寸：540*450*580mm </w:t>
            </w:r>
          </w:p>
          <w:p w14:paraId="3D291E9D">
            <w:pPr>
              <w:keepNext w:val="0"/>
              <w:keepLines w:val="0"/>
              <w:pageBreakBefore w:val="0"/>
              <w:widowControl/>
              <w:numPr>
                <w:ilvl w:val="0"/>
                <w:numId w:val="22"/>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规格：12U，</w:t>
            </w:r>
          </w:p>
          <w:p w14:paraId="4590CA2A">
            <w:pPr>
              <w:keepNext w:val="0"/>
              <w:keepLines w:val="0"/>
              <w:pageBreakBefore w:val="0"/>
              <w:widowControl/>
              <w:numPr>
                <w:ilvl w:val="0"/>
                <w:numId w:val="22"/>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颜色：黑色，</w:t>
            </w:r>
          </w:p>
          <w:p w14:paraId="53C00AD0">
            <w:pPr>
              <w:keepNext w:val="0"/>
              <w:keepLines w:val="0"/>
              <w:pageBreakBefore w:val="0"/>
              <w:widowControl/>
              <w:numPr>
                <w:ilvl w:val="0"/>
                <w:numId w:val="22"/>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承重50KG；</w:t>
            </w:r>
          </w:p>
          <w:p w14:paraId="1F39B3B8">
            <w:pPr>
              <w:keepNext w:val="0"/>
              <w:keepLines w:val="0"/>
              <w:pageBreakBefore w:val="0"/>
              <w:widowControl/>
              <w:numPr>
                <w:ilvl w:val="0"/>
                <w:numId w:val="22"/>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前茶色玻璃门，后钢板，标配。</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DFCE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BD3C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2E9E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588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CF67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2940</w:t>
            </w:r>
          </w:p>
        </w:tc>
      </w:tr>
      <w:tr w14:paraId="76A0F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0418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65</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0871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42U网络机柜</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2B097C6D">
            <w:pPr>
              <w:keepNext w:val="0"/>
              <w:keepLines w:val="0"/>
              <w:pageBreakBefore w:val="0"/>
              <w:widowControl/>
              <w:numPr>
                <w:ilvl w:val="0"/>
                <w:numId w:val="23"/>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符合标准：ANSI/EIA RS-310C/D、兼容ETSI标准</w:t>
            </w:r>
          </w:p>
          <w:p w14:paraId="0AA12ADA">
            <w:pPr>
              <w:keepNext w:val="0"/>
              <w:keepLines w:val="0"/>
              <w:pageBreakBefore w:val="0"/>
              <w:widowControl/>
              <w:numPr>
                <w:ilvl w:val="0"/>
                <w:numId w:val="23"/>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材质为镀锌板、优质冷扎板</w:t>
            </w:r>
          </w:p>
          <w:p w14:paraId="27FB1FAB">
            <w:pPr>
              <w:keepNext w:val="0"/>
              <w:keepLines w:val="0"/>
              <w:pageBreakBefore w:val="0"/>
              <w:widowControl/>
              <w:numPr>
                <w:ilvl w:val="0"/>
                <w:numId w:val="23"/>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门板类型：玻璃门</w:t>
            </w:r>
          </w:p>
          <w:p w14:paraId="79A951F0">
            <w:pPr>
              <w:keepNext w:val="0"/>
              <w:keepLines w:val="0"/>
              <w:pageBreakBefore w:val="0"/>
              <w:widowControl/>
              <w:numPr>
                <w:ilvl w:val="0"/>
                <w:numId w:val="23"/>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机柜整体外观无螺丝设计，主体结构可承受60KG</w:t>
            </w:r>
          </w:p>
          <w:p w14:paraId="6237BEF0">
            <w:pPr>
              <w:keepNext w:val="0"/>
              <w:keepLines w:val="0"/>
              <w:pageBreakBefore w:val="0"/>
              <w:widowControl/>
              <w:numPr>
                <w:ilvl w:val="0"/>
                <w:numId w:val="23"/>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上下盖板：标准配备于上盖板安装静音胶热风扇1只，并加装防护装置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墙柜材料厚度：立柱厚度1.0mm、方孔条厚度1.2mm、托板1.2mm、冷轧板厚度1.0mm</w:t>
            </w:r>
          </w:p>
          <w:p w14:paraId="1011C2ED">
            <w:pPr>
              <w:keepNext w:val="0"/>
              <w:keepLines w:val="0"/>
              <w:pageBreakBefore w:val="0"/>
              <w:widowControl/>
              <w:numPr>
                <w:ilvl w:val="0"/>
                <w:numId w:val="23"/>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PDU电压220V,电源耐压250V，且附10A保护器及6K雷击保护</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D097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7933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9953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2254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457E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2254</w:t>
            </w:r>
          </w:p>
        </w:tc>
      </w:tr>
      <w:tr w14:paraId="112E1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0804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8ED0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4口光纤终端盒</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59E2FCB7">
            <w:pPr>
              <w:keepNext w:val="0"/>
              <w:keepLines w:val="0"/>
              <w:pageBreakBefore w:val="0"/>
              <w:widowControl/>
              <w:numPr>
                <w:ilvl w:val="0"/>
                <w:numId w:val="2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终端盒材质：0.8冷轧钢板（黑色静电喷塑）</w:t>
            </w:r>
          </w:p>
          <w:p w14:paraId="752474F7">
            <w:pPr>
              <w:keepNext w:val="0"/>
              <w:keepLines w:val="0"/>
              <w:pageBreakBefore w:val="0"/>
              <w:widowControl/>
              <w:numPr>
                <w:ilvl w:val="0"/>
                <w:numId w:val="2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外观尺寸：约150mm*95mm*35mm</w:t>
            </w:r>
          </w:p>
          <w:p w14:paraId="6040B974">
            <w:pPr>
              <w:keepNext w:val="0"/>
              <w:keepLines w:val="0"/>
              <w:pageBreakBefore w:val="0"/>
              <w:widowControl/>
              <w:numPr>
                <w:ilvl w:val="0"/>
                <w:numId w:val="2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安装方式：壁挂式或摆放</w:t>
            </w:r>
          </w:p>
          <w:p w14:paraId="3B503B52">
            <w:pPr>
              <w:keepNext w:val="0"/>
              <w:keepLines w:val="0"/>
              <w:pageBreakBefore w:val="0"/>
              <w:widowControl/>
              <w:numPr>
                <w:ilvl w:val="0"/>
                <w:numId w:val="2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熔纤盘材质：阻燃ABS塑料</w:t>
            </w:r>
          </w:p>
          <w:p w14:paraId="2D8A0B87">
            <w:pPr>
              <w:keepNext w:val="0"/>
              <w:keepLines w:val="0"/>
              <w:pageBreakBefore w:val="0"/>
              <w:widowControl/>
              <w:numPr>
                <w:ilvl w:val="0"/>
                <w:numId w:val="2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耐压强度：DC 1000V(AC 700V)1分钟无击穿和飞弧现象</w:t>
            </w:r>
          </w:p>
          <w:p w14:paraId="2F677833">
            <w:pPr>
              <w:keepNext w:val="0"/>
              <w:keepLines w:val="0"/>
              <w:pageBreakBefore w:val="0"/>
              <w:widowControl/>
              <w:numPr>
                <w:ilvl w:val="0"/>
                <w:numId w:val="2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绝缘电阻：≥500MΩ</w:t>
            </w:r>
          </w:p>
          <w:p w14:paraId="55752FE2">
            <w:pPr>
              <w:keepNext w:val="0"/>
              <w:keepLines w:val="0"/>
              <w:pageBreakBefore w:val="0"/>
              <w:widowControl/>
              <w:numPr>
                <w:ilvl w:val="0"/>
                <w:numId w:val="2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环境温度：-25℃到50℃</w:t>
            </w:r>
          </w:p>
          <w:p w14:paraId="3DBE3437">
            <w:pPr>
              <w:keepNext w:val="0"/>
              <w:keepLines w:val="0"/>
              <w:pageBreakBefore w:val="0"/>
              <w:widowControl/>
              <w:numPr>
                <w:ilvl w:val="0"/>
                <w:numId w:val="2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相对湿度：≤85%</w:t>
            </w:r>
          </w:p>
          <w:p w14:paraId="5E3191BA">
            <w:pPr>
              <w:keepNext w:val="0"/>
              <w:keepLines w:val="0"/>
              <w:pageBreakBefore w:val="0"/>
              <w:widowControl/>
              <w:numPr>
                <w:ilvl w:val="0"/>
                <w:numId w:val="2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辅件：热熔缩管和纤芯保护套管</w:t>
            </w:r>
          </w:p>
          <w:p w14:paraId="43F8CCED">
            <w:pPr>
              <w:keepNext w:val="0"/>
              <w:keepLines w:val="0"/>
              <w:pageBreakBefore w:val="0"/>
              <w:widowControl/>
              <w:numPr>
                <w:ilvl w:val="0"/>
                <w:numId w:val="2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925-2009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D300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FCD6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DB5D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39</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D7A4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390</w:t>
            </w:r>
          </w:p>
        </w:tc>
      </w:tr>
      <w:tr w14:paraId="0FAB5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27D0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67</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7552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耦合器</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0F20CA6C">
            <w:pPr>
              <w:keepNext w:val="0"/>
              <w:keepLines w:val="0"/>
              <w:pageBreakBefore w:val="0"/>
              <w:widowControl/>
              <w:numPr>
                <w:ilvl w:val="0"/>
                <w:numId w:val="25"/>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材料：氧化锆陶瓷套管</w:t>
            </w:r>
          </w:p>
          <w:p w14:paraId="179F5734">
            <w:pPr>
              <w:keepNext w:val="0"/>
              <w:keepLines w:val="0"/>
              <w:pageBreakBefore w:val="0"/>
              <w:widowControl/>
              <w:numPr>
                <w:ilvl w:val="0"/>
                <w:numId w:val="25"/>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插入损耗：≤0.3dB</w:t>
            </w:r>
          </w:p>
          <w:p w14:paraId="4737E047">
            <w:pPr>
              <w:keepNext w:val="0"/>
              <w:keepLines w:val="0"/>
              <w:pageBreakBefore w:val="0"/>
              <w:widowControl/>
              <w:numPr>
                <w:ilvl w:val="0"/>
                <w:numId w:val="25"/>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互换性：≤0.2dB</w:t>
            </w:r>
          </w:p>
          <w:p w14:paraId="56F4E8EF">
            <w:pPr>
              <w:keepNext w:val="0"/>
              <w:keepLines w:val="0"/>
              <w:pageBreakBefore w:val="0"/>
              <w:widowControl/>
              <w:numPr>
                <w:ilvl w:val="0"/>
                <w:numId w:val="25"/>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插拔次数：≥500</w:t>
            </w:r>
          </w:p>
          <w:p w14:paraId="34789B6B">
            <w:pPr>
              <w:keepNext w:val="0"/>
              <w:keepLines w:val="0"/>
              <w:pageBreakBefore w:val="0"/>
              <w:widowControl/>
              <w:numPr>
                <w:ilvl w:val="0"/>
                <w:numId w:val="25"/>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抗张力：200-600N</w:t>
            </w:r>
          </w:p>
          <w:p w14:paraId="357410B3">
            <w:pPr>
              <w:keepNext w:val="0"/>
              <w:keepLines w:val="0"/>
              <w:pageBreakBefore w:val="0"/>
              <w:widowControl/>
              <w:numPr>
                <w:ilvl w:val="0"/>
                <w:numId w:val="25"/>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使用温度：-25℃~+70℃</w:t>
            </w:r>
          </w:p>
          <w:p w14:paraId="0378DC67">
            <w:pPr>
              <w:keepNext w:val="0"/>
              <w:keepLines w:val="0"/>
              <w:pageBreakBefore w:val="0"/>
              <w:widowControl/>
              <w:numPr>
                <w:ilvl w:val="0"/>
                <w:numId w:val="25"/>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1272-2018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AA5B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BC97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3EE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7878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40</w:t>
            </w:r>
          </w:p>
        </w:tc>
      </w:tr>
      <w:tr w14:paraId="34EEC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0461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68</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2292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SC尾纤</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2E0230B5">
            <w:pPr>
              <w:keepNext w:val="0"/>
              <w:keepLines w:val="0"/>
              <w:pageBreakBefore w:val="0"/>
              <w:widowControl/>
              <w:numPr>
                <w:ilvl w:val="0"/>
                <w:numId w:val="2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光纤纤芯：G652，9/125</w:t>
            </w:r>
          </w:p>
          <w:p w14:paraId="28CAFDA8">
            <w:pPr>
              <w:keepNext w:val="0"/>
              <w:keepLines w:val="0"/>
              <w:pageBreakBefore w:val="0"/>
              <w:widowControl/>
              <w:numPr>
                <w:ilvl w:val="0"/>
                <w:numId w:val="2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护套材料：黄色聚氯乙烯PVC</w:t>
            </w:r>
          </w:p>
          <w:p w14:paraId="6609828A">
            <w:pPr>
              <w:keepNext w:val="0"/>
              <w:keepLines w:val="0"/>
              <w:pageBreakBefore w:val="0"/>
              <w:widowControl/>
              <w:numPr>
                <w:ilvl w:val="0"/>
                <w:numId w:val="2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光缆外径：3.0±0.2mm</w:t>
            </w:r>
          </w:p>
          <w:p w14:paraId="54821509">
            <w:pPr>
              <w:keepNext w:val="0"/>
              <w:keepLines w:val="0"/>
              <w:pageBreakBefore w:val="0"/>
              <w:widowControl/>
              <w:numPr>
                <w:ilvl w:val="0"/>
                <w:numId w:val="2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工作波长：1310nm/1550nm</w:t>
            </w:r>
          </w:p>
          <w:p w14:paraId="4A33FE04">
            <w:pPr>
              <w:keepNext w:val="0"/>
              <w:keepLines w:val="0"/>
              <w:pageBreakBefore w:val="0"/>
              <w:widowControl/>
              <w:numPr>
                <w:ilvl w:val="0"/>
                <w:numId w:val="2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插入损耗：≤0.3dB</w:t>
            </w:r>
          </w:p>
          <w:p w14:paraId="51078C47">
            <w:pPr>
              <w:keepNext w:val="0"/>
              <w:keepLines w:val="0"/>
              <w:pageBreakBefore w:val="0"/>
              <w:widowControl/>
              <w:numPr>
                <w:ilvl w:val="0"/>
                <w:numId w:val="2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回波损耗：≥50dB</w:t>
            </w:r>
          </w:p>
          <w:p w14:paraId="6C9453C7">
            <w:pPr>
              <w:keepNext w:val="0"/>
              <w:keepLines w:val="0"/>
              <w:pageBreakBefore w:val="0"/>
              <w:widowControl/>
              <w:numPr>
                <w:ilvl w:val="0"/>
                <w:numId w:val="2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重复性：≥1000</w:t>
            </w:r>
          </w:p>
          <w:p w14:paraId="3FCE8751">
            <w:pPr>
              <w:keepNext w:val="0"/>
              <w:keepLines w:val="0"/>
              <w:pageBreakBefore w:val="0"/>
              <w:widowControl/>
              <w:numPr>
                <w:ilvl w:val="0"/>
                <w:numId w:val="2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弯曲半径：≥10D</w:t>
            </w:r>
          </w:p>
          <w:p w14:paraId="75ACC052">
            <w:pPr>
              <w:keepNext w:val="0"/>
              <w:keepLines w:val="0"/>
              <w:pageBreakBefore w:val="0"/>
              <w:widowControl/>
              <w:numPr>
                <w:ilvl w:val="0"/>
                <w:numId w:val="2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使用温度：-25℃~+70℃</w:t>
            </w:r>
          </w:p>
          <w:p w14:paraId="693B4A0E">
            <w:pPr>
              <w:keepNext w:val="0"/>
              <w:keepLines w:val="0"/>
              <w:pageBreakBefore w:val="0"/>
              <w:widowControl/>
              <w:numPr>
                <w:ilvl w:val="0"/>
                <w:numId w:val="26"/>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1272-2018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D982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条</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FDE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59CE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88F2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68</w:t>
            </w:r>
          </w:p>
        </w:tc>
      </w:tr>
      <w:tr w14:paraId="1D89D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357F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95AC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SC-LC光纤跳线</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29277C94">
            <w:pPr>
              <w:keepNext w:val="0"/>
              <w:keepLines w:val="0"/>
              <w:pageBreakBefore w:val="0"/>
              <w:widowControl/>
              <w:numPr>
                <w:ilvl w:val="0"/>
                <w:numId w:val="27"/>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光纤纤芯：G652，9/125</w:t>
            </w:r>
          </w:p>
          <w:p w14:paraId="0691C8EC">
            <w:pPr>
              <w:keepNext w:val="0"/>
              <w:keepLines w:val="0"/>
              <w:pageBreakBefore w:val="0"/>
              <w:widowControl/>
              <w:numPr>
                <w:ilvl w:val="0"/>
                <w:numId w:val="27"/>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护套材料：黄色聚氯乙烯PVC</w:t>
            </w:r>
          </w:p>
          <w:p w14:paraId="67B7BDC1">
            <w:pPr>
              <w:keepNext w:val="0"/>
              <w:keepLines w:val="0"/>
              <w:pageBreakBefore w:val="0"/>
              <w:widowControl/>
              <w:numPr>
                <w:ilvl w:val="0"/>
                <w:numId w:val="27"/>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光缆外径：3.0±0.2mm</w:t>
            </w:r>
          </w:p>
          <w:p w14:paraId="1374B1E5">
            <w:pPr>
              <w:keepNext w:val="0"/>
              <w:keepLines w:val="0"/>
              <w:pageBreakBefore w:val="0"/>
              <w:widowControl/>
              <w:numPr>
                <w:ilvl w:val="0"/>
                <w:numId w:val="27"/>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工作波长：1310nm/1550nm</w:t>
            </w:r>
          </w:p>
          <w:p w14:paraId="58DF6825">
            <w:pPr>
              <w:keepNext w:val="0"/>
              <w:keepLines w:val="0"/>
              <w:pageBreakBefore w:val="0"/>
              <w:widowControl/>
              <w:numPr>
                <w:ilvl w:val="0"/>
                <w:numId w:val="27"/>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插入损耗：≤0.3dB</w:t>
            </w:r>
          </w:p>
          <w:p w14:paraId="5AC235E6">
            <w:pPr>
              <w:keepNext w:val="0"/>
              <w:keepLines w:val="0"/>
              <w:pageBreakBefore w:val="0"/>
              <w:widowControl/>
              <w:numPr>
                <w:ilvl w:val="0"/>
                <w:numId w:val="27"/>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回波损耗：≥50dB</w:t>
            </w:r>
          </w:p>
          <w:p w14:paraId="33173C88">
            <w:pPr>
              <w:keepNext w:val="0"/>
              <w:keepLines w:val="0"/>
              <w:pageBreakBefore w:val="0"/>
              <w:widowControl/>
              <w:numPr>
                <w:ilvl w:val="0"/>
                <w:numId w:val="27"/>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重复性：≥1000</w:t>
            </w:r>
          </w:p>
          <w:p w14:paraId="27B040D1">
            <w:pPr>
              <w:keepNext w:val="0"/>
              <w:keepLines w:val="0"/>
              <w:pageBreakBefore w:val="0"/>
              <w:widowControl/>
              <w:numPr>
                <w:ilvl w:val="0"/>
                <w:numId w:val="27"/>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弯曲半径：≥10D</w:t>
            </w:r>
          </w:p>
          <w:p w14:paraId="1438CDED">
            <w:pPr>
              <w:keepNext w:val="0"/>
              <w:keepLines w:val="0"/>
              <w:pageBreakBefore w:val="0"/>
              <w:widowControl/>
              <w:numPr>
                <w:ilvl w:val="0"/>
                <w:numId w:val="27"/>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使用温度：-25℃~+70℃</w:t>
            </w:r>
          </w:p>
          <w:p w14:paraId="6D19E2B3">
            <w:pPr>
              <w:keepNext w:val="0"/>
              <w:keepLines w:val="0"/>
              <w:pageBreakBefore w:val="0"/>
              <w:widowControl/>
              <w:numPr>
                <w:ilvl w:val="0"/>
                <w:numId w:val="27"/>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1272-2018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5BDF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条</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578C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14</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CEC9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AC5E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196</w:t>
            </w:r>
          </w:p>
        </w:tc>
      </w:tr>
      <w:tr w14:paraId="57768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9AF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70</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B565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网络跳线</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3D9321B0">
            <w:pPr>
              <w:keepNext w:val="0"/>
              <w:keepLines w:val="0"/>
              <w:pageBreakBefore w:val="0"/>
              <w:widowControl/>
              <w:numPr>
                <w:ilvl w:val="0"/>
                <w:numId w:val="28"/>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导体材料：7芯多股绞合无氧铜</w:t>
            </w:r>
          </w:p>
          <w:p w14:paraId="46ED91FD">
            <w:pPr>
              <w:keepNext w:val="0"/>
              <w:keepLines w:val="0"/>
              <w:pageBreakBefore w:val="0"/>
              <w:widowControl/>
              <w:numPr>
                <w:ilvl w:val="0"/>
                <w:numId w:val="28"/>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插头材料：阻燃透明聚碳酸酯PC+黄铜金属屏蔽层</w:t>
            </w:r>
          </w:p>
          <w:p w14:paraId="607F3544">
            <w:pPr>
              <w:keepNext w:val="0"/>
              <w:keepLines w:val="0"/>
              <w:pageBreakBefore w:val="0"/>
              <w:widowControl/>
              <w:numPr>
                <w:ilvl w:val="0"/>
                <w:numId w:val="28"/>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黄片材料：磷青铜表面镀金</w:t>
            </w:r>
          </w:p>
          <w:p w14:paraId="44929DE1">
            <w:pPr>
              <w:keepNext w:val="0"/>
              <w:keepLines w:val="0"/>
              <w:pageBreakBefore w:val="0"/>
              <w:widowControl/>
              <w:numPr>
                <w:ilvl w:val="0"/>
                <w:numId w:val="28"/>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绝缘材料：高密度聚乙烯HDPE</w:t>
            </w:r>
          </w:p>
          <w:p w14:paraId="081C61FB">
            <w:pPr>
              <w:keepNext w:val="0"/>
              <w:keepLines w:val="0"/>
              <w:pageBreakBefore w:val="0"/>
              <w:widowControl/>
              <w:numPr>
                <w:ilvl w:val="0"/>
                <w:numId w:val="28"/>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护套材料：聚氯乙烯PVC</w:t>
            </w:r>
          </w:p>
          <w:p w14:paraId="70AAB3BA">
            <w:pPr>
              <w:keepNext w:val="0"/>
              <w:keepLines w:val="0"/>
              <w:pageBreakBefore w:val="0"/>
              <w:widowControl/>
              <w:numPr>
                <w:ilvl w:val="0"/>
                <w:numId w:val="28"/>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电缆外径：6.3±0.3mm</w:t>
            </w:r>
          </w:p>
          <w:p w14:paraId="1F9EBD89">
            <w:pPr>
              <w:keepNext w:val="0"/>
              <w:keepLines w:val="0"/>
              <w:pageBreakBefore w:val="0"/>
              <w:widowControl/>
              <w:numPr>
                <w:ilvl w:val="0"/>
                <w:numId w:val="28"/>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插拔次数：≥1000次</w:t>
            </w:r>
          </w:p>
          <w:p w14:paraId="414CDADC">
            <w:pPr>
              <w:keepNext w:val="0"/>
              <w:keepLines w:val="0"/>
              <w:pageBreakBefore w:val="0"/>
              <w:widowControl/>
              <w:numPr>
                <w:ilvl w:val="0"/>
                <w:numId w:val="28"/>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弯曲半径：≥8D</w:t>
            </w:r>
          </w:p>
          <w:p w14:paraId="07ABF007">
            <w:pPr>
              <w:keepNext w:val="0"/>
              <w:keepLines w:val="0"/>
              <w:pageBreakBefore w:val="0"/>
              <w:widowControl/>
              <w:numPr>
                <w:ilvl w:val="0"/>
                <w:numId w:val="28"/>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特性阻抗：100±15Ω</w:t>
            </w:r>
          </w:p>
          <w:p w14:paraId="2D876081">
            <w:pPr>
              <w:keepNext w:val="0"/>
              <w:keepLines w:val="0"/>
              <w:pageBreakBefore w:val="0"/>
              <w:widowControl/>
              <w:numPr>
                <w:ilvl w:val="0"/>
                <w:numId w:val="28"/>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支持带宽：250MHz</w:t>
            </w:r>
          </w:p>
          <w:p w14:paraId="55659962">
            <w:pPr>
              <w:keepNext w:val="0"/>
              <w:keepLines w:val="0"/>
              <w:pageBreakBefore w:val="0"/>
              <w:widowControl/>
              <w:numPr>
                <w:ilvl w:val="0"/>
                <w:numId w:val="28"/>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使用温度：-20℃到60℃</w:t>
            </w:r>
          </w:p>
          <w:p w14:paraId="58918FBD">
            <w:pPr>
              <w:keepNext w:val="0"/>
              <w:keepLines w:val="0"/>
              <w:pageBreakBefore w:val="0"/>
              <w:widowControl/>
              <w:numPr>
                <w:ilvl w:val="0"/>
                <w:numId w:val="28"/>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926.3-2024</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7557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条</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42A9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120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DD30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3102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1680</w:t>
            </w:r>
          </w:p>
        </w:tc>
      </w:tr>
      <w:tr w14:paraId="35CCC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C546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7069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机架防雷插排</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6C52E81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1.输入：L+N+PE,国标10A插头</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2.额定值：10A 250V 2500W</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 xml:space="preserve">3.6位 10A新国标五孔  </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 xml:space="preserve">4.3*1平方线 ,纯线长1.8M  </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5.黑色，塑料外壳，带总开关</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6.安装 1U高</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7.带纸盒包装</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EFBF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B7E5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DC4D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93</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99A5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558</w:t>
            </w:r>
          </w:p>
        </w:tc>
      </w:tr>
      <w:tr w14:paraId="403E7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6F27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72</w:t>
            </w:r>
          </w:p>
        </w:tc>
        <w:tc>
          <w:tcPr>
            <w:tcW w:w="414" w:type="pct"/>
            <w:tcBorders>
              <w:top w:val="nil"/>
              <w:left w:val="single" w:color="000000" w:sz="4" w:space="0"/>
              <w:bottom w:val="single" w:color="000000" w:sz="4" w:space="0"/>
              <w:right w:val="single" w:color="000000" w:sz="4" w:space="0"/>
            </w:tcBorders>
            <w:shd w:val="clear" w:color="auto" w:fill="auto"/>
            <w:noWrap/>
            <w:vAlign w:val="center"/>
          </w:tcPr>
          <w:p w14:paraId="30BC612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24芯光缆</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1309C">
            <w:pPr>
              <w:keepNext w:val="0"/>
              <w:keepLines w:val="0"/>
              <w:pageBreakBefore w:val="0"/>
              <w:widowControl/>
              <w:numPr>
                <w:ilvl w:val="0"/>
                <w:numId w:val="2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光纤纤芯：G652，9/125um</w:t>
            </w:r>
          </w:p>
          <w:p w14:paraId="1F2F82ED">
            <w:pPr>
              <w:keepNext w:val="0"/>
              <w:keepLines w:val="0"/>
              <w:pageBreakBefore w:val="0"/>
              <w:widowControl/>
              <w:numPr>
                <w:ilvl w:val="0"/>
                <w:numId w:val="2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紧套管材料：聚氯乙烯PVC</w:t>
            </w:r>
          </w:p>
          <w:p w14:paraId="0F1E6796">
            <w:pPr>
              <w:keepNext w:val="0"/>
              <w:keepLines w:val="0"/>
              <w:pageBreakBefore w:val="0"/>
              <w:widowControl/>
              <w:numPr>
                <w:ilvl w:val="0"/>
                <w:numId w:val="2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加强件：芳纶纱</w:t>
            </w:r>
          </w:p>
          <w:p w14:paraId="6CC6ECA8">
            <w:pPr>
              <w:keepNext w:val="0"/>
              <w:keepLines w:val="0"/>
              <w:pageBreakBefore w:val="0"/>
              <w:widowControl/>
              <w:numPr>
                <w:ilvl w:val="0"/>
                <w:numId w:val="2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护套材料：黄色聚氯乙烯PVC</w:t>
            </w:r>
          </w:p>
          <w:p w14:paraId="174664E4">
            <w:pPr>
              <w:keepNext w:val="0"/>
              <w:keepLines w:val="0"/>
              <w:pageBreakBefore w:val="0"/>
              <w:widowControl/>
              <w:numPr>
                <w:ilvl w:val="0"/>
                <w:numId w:val="2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动态/静态弯曲半径：20D/10D</w:t>
            </w:r>
          </w:p>
          <w:p w14:paraId="419757DA">
            <w:pPr>
              <w:keepNext w:val="0"/>
              <w:keepLines w:val="0"/>
              <w:pageBreakBefore w:val="0"/>
              <w:widowControl/>
              <w:numPr>
                <w:ilvl w:val="0"/>
                <w:numId w:val="2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长期/短期允许压扁力（N/100mm）:200/350</w:t>
            </w:r>
          </w:p>
          <w:p w14:paraId="7A5D1089">
            <w:pPr>
              <w:keepNext w:val="0"/>
              <w:keepLines w:val="0"/>
              <w:pageBreakBefore w:val="0"/>
              <w:widowControl/>
              <w:numPr>
                <w:ilvl w:val="0"/>
                <w:numId w:val="2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长期/短期允许拉伸力（N）:70/220</w:t>
            </w:r>
          </w:p>
          <w:p w14:paraId="5ECCF595">
            <w:pPr>
              <w:keepNext w:val="0"/>
              <w:keepLines w:val="0"/>
              <w:pageBreakBefore w:val="0"/>
              <w:widowControl/>
              <w:numPr>
                <w:ilvl w:val="0"/>
                <w:numId w:val="2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使用温度：-20℃~+60℃</w:t>
            </w:r>
          </w:p>
          <w:p w14:paraId="1D41B685">
            <w:pPr>
              <w:keepNext w:val="0"/>
              <w:keepLines w:val="0"/>
              <w:pageBreakBefore w:val="0"/>
              <w:widowControl/>
              <w:numPr>
                <w:ilvl w:val="0"/>
                <w:numId w:val="2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衰减系数@20℃（dB/km）：@1310≤0.8，@1550≤0.6</w:t>
            </w:r>
          </w:p>
          <w:p w14:paraId="260F67A1">
            <w:pPr>
              <w:keepNext w:val="0"/>
              <w:keepLines w:val="0"/>
              <w:pageBreakBefore w:val="0"/>
              <w:widowControl/>
              <w:numPr>
                <w:ilvl w:val="0"/>
                <w:numId w:val="2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1258.4-2019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3044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31E2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150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457A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5.3</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3896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795</w:t>
            </w:r>
          </w:p>
        </w:tc>
      </w:tr>
      <w:tr w14:paraId="0ACEA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BA11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856C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48芯户外光缆</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DD971">
            <w:pPr>
              <w:keepNext w:val="0"/>
              <w:keepLines w:val="0"/>
              <w:pageBreakBefore w:val="0"/>
              <w:widowControl/>
              <w:numPr>
                <w:ilvl w:val="0"/>
                <w:numId w:val="30"/>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光纤纤芯：G652 层绞式结构</w:t>
            </w:r>
          </w:p>
          <w:p w14:paraId="4EBE30DD">
            <w:pPr>
              <w:keepNext w:val="0"/>
              <w:keepLines w:val="0"/>
              <w:pageBreakBefore w:val="0"/>
              <w:widowControl/>
              <w:numPr>
                <w:ilvl w:val="0"/>
                <w:numId w:val="30"/>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松套管材料：聚甲基丙烯酸丁二醇脂PBT</w:t>
            </w:r>
          </w:p>
          <w:p w14:paraId="535857F1">
            <w:pPr>
              <w:keepNext w:val="0"/>
              <w:keepLines w:val="0"/>
              <w:pageBreakBefore w:val="0"/>
              <w:widowControl/>
              <w:numPr>
                <w:ilvl w:val="0"/>
                <w:numId w:val="30"/>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中心加强件：磷化钢丝</w:t>
            </w:r>
          </w:p>
          <w:p w14:paraId="6847A5E4">
            <w:pPr>
              <w:keepNext w:val="0"/>
              <w:keepLines w:val="0"/>
              <w:pageBreakBefore w:val="0"/>
              <w:widowControl/>
              <w:numPr>
                <w:ilvl w:val="0"/>
                <w:numId w:val="30"/>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铠装层：涂塑钢带</w:t>
            </w:r>
          </w:p>
          <w:p w14:paraId="7EE31FA1">
            <w:pPr>
              <w:keepNext w:val="0"/>
              <w:keepLines w:val="0"/>
              <w:pageBreakBefore w:val="0"/>
              <w:widowControl/>
              <w:numPr>
                <w:ilvl w:val="0"/>
                <w:numId w:val="30"/>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护套材料：黑色聚乙烯PE</w:t>
            </w:r>
          </w:p>
          <w:p w14:paraId="3D7A8AD1">
            <w:pPr>
              <w:keepNext w:val="0"/>
              <w:keepLines w:val="0"/>
              <w:pageBreakBefore w:val="0"/>
              <w:widowControl/>
              <w:numPr>
                <w:ilvl w:val="0"/>
                <w:numId w:val="30"/>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光缆外径：10.3±0.5mm</w:t>
            </w:r>
          </w:p>
          <w:p w14:paraId="0F998EB4">
            <w:pPr>
              <w:keepNext w:val="0"/>
              <w:keepLines w:val="0"/>
              <w:pageBreakBefore w:val="0"/>
              <w:widowControl/>
              <w:numPr>
                <w:ilvl w:val="0"/>
                <w:numId w:val="30"/>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动态/静态弯曲半径：20D/10D</w:t>
            </w:r>
          </w:p>
          <w:p w14:paraId="34E2E463">
            <w:pPr>
              <w:keepNext w:val="0"/>
              <w:keepLines w:val="0"/>
              <w:pageBreakBefore w:val="0"/>
              <w:widowControl/>
              <w:numPr>
                <w:ilvl w:val="0"/>
                <w:numId w:val="30"/>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长期/短期允许压扁力（N/100mm）:300/1000</w:t>
            </w:r>
          </w:p>
          <w:p w14:paraId="6BB2FC80">
            <w:pPr>
              <w:keepNext w:val="0"/>
              <w:keepLines w:val="0"/>
              <w:pageBreakBefore w:val="0"/>
              <w:widowControl/>
              <w:numPr>
                <w:ilvl w:val="0"/>
                <w:numId w:val="30"/>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长期/短期允许拉伸力（N）:600/1500</w:t>
            </w:r>
          </w:p>
          <w:p w14:paraId="10E83659">
            <w:pPr>
              <w:keepNext w:val="0"/>
              <w:keepLines w:val="0"/>
              <w:pageBreakBefore w:val="0"/>
              <w:widowControl/>
              <w:numPr>
                <w:ilvl w:val="0"/>
                <w:numId w:val="30"/>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使用温度：-40℃~+60℃</w:t>
            </w:r>
          </w:p>
          <w:p w14:paraId="1E1A0E90">
            <w:pPr>
              <w:keepNext w:val="0"/>
              <w:keepLines w:val="0"/>
              <w:pageBreakBefore w:val="0"/>
              <w:widowControl/>
              <w:numPr>
                <w:ilvl w:val="0"/>
                <w:numId w:val="30"/>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衰减系数@20℃（dB/km）：@1310≤0.36，@1550≤0.22</w:t>
            </w:r>
          </w:p>
          <w:p w14:paraId="4202F5DB">
            <w:pPr>
              <w:keepNext w:val="0"/>
              <w:keepLines w:val="0"/>
              <w:pageBreakBefore w:val="0"/>
              <w:widowControl/>
              <w:numPr>
                <w:ilvl w:val="0"/>
                <w:numId w:val="30"/>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901-2018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8197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DC9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400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1C53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6.1</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BF5B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2440</w:t>
            </w:r>
          </w:p>
        </w:tc>
      </w:tr>
      <w:tr w14:paraId="5BB1D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01DD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74</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5816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24口LC光纤盒（LC满配48条尾纤）</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6660B">
            <w:pPr>
              <w:keepNext w:val="0"/>
              <w:keepLines w:val="0"/>
              <w:pageBreakBefore w:val="0"/>
              <w:widowControl/>
              <w:numPr>
                <w:ilvl w:val="0"/>
                <w:numId w:val="31"/>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主体材质：冷轧钢板（电脑灰喷塑）</w:t>
            </w:r>
          </w:p>
          <w:p w14:paraId="5327D92E">
            <w:pPr>
              <w:keepNext w:val="0"/>
              <w:keepLines w:val="0"/>
              <w:pageBreakBefore w:val="0"/>
              <w:widowControl/>
              <w:numPr>
                <w:ilvl w:val="0"/>
                <w:numId w:val="31"/>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尺寸：约430*300*70mm</w:t>
            </w:r>
          </w:p>
          <w:p w14:paraId="6900ED0B">
            <w:pPr>
              <w:keepNext w:val="0"/>
              <w:keepLines w:val="0"/>
              <w:pageBreakBefore w:val="0"/>
              <w:widowControl/>
              <w:numPr>
                <w:ilvl w:val="0"/>
                <w:numId w:val="31"/>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熔纤盘材质：阻燃ABS工程塑料</w:t>
            </w:r>
          </w:p>
          <w:p w14:paraId="78929505">
            <w:pPr>
              <w:keepNext w:val="0"/>
              <w:keepLines w:val="0"/>
              <w:pageBreakBefore w:val="0"/>
              <w:widowControl/>
              <w:numPr>
                <w:ilvl w:val="0"/>
                <w:numId w:val="31"/>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开启设计：卡扣开启，抽屉式拉出</w:t>
            </w:r>
          </w:p>
          <w:p w14:paraId="5BA9DC55">
            <w:pPr>
              <w:keepNext w:val="0"/>
              <w:keepLines w:val="0"/>
              <w:pageBreakBefore w:val="0"/>
              <w:widowControl/>
              <w:numPr>
                <w:ilvl w:val="0"/>
                <w:numId w:val="31"/>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耐压强度：DC 1000V(AC 700V)1分钟无击穿和飞弧现象</w:t>
            </w:r>
          </w:p>
          <w:p w14:paraId="3D703C42">
            <w:pPr>
              <w:keepNext w:val="0"/>
              <w:keepLines w:val="0"/>
              <w:pageBreakBefore w:val="0"/>
              <w:widowControl/>
              <w:numPr>
                <w:ilvl w:val="0"/>
                <w:numId w:val="31"/>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绝缘电阻：≥500MΩ</w:t>
            </w:r>
          </w:p>
          <w:p w14:paraId="622AB171">
            <w:pPr>
              <w:keepNext w:val="0"/>
              <w:keepLines w:val="0"/>
              <w:pageBreakBefore w:val="0"/>
              <w:widowControl/>
              <w:numPr>
                <w:ilvl w:val="0"/>
                <w:numId w:val="31"/>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使用温度：-25℃到50℃</w:t>
            </w:r>
          </w:p>
          <w:p w14:paraId="3057F3C7">
            <w:pPr>
              <w:keepNext w:val="0"/>
              <w:keepLines w:val="0"/>
              <w:pageBreakBefore w:val="0"/>
              <w:widowControl/>
              <w:numPr>
                <w:ilvl w:val="0"/>
                <w:numId w:val="31"/>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相对湿度：≤85%</w:t>
            </w:r>
          </w:p>
          <w:p w14:paraId="0665DA53">
            <w:pPr>
              <w:keepNext w:val="0"/>
              <w:keepLines w:val="0"/>
              <w:pageBreakBefore w:val="0"/>
              <w:widowControl/>
              <w:numPr>
                <w:ilvl w:val="0"/>
                <w:numId w:val="31"/>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辅件：热熔缩管和纤芯保护套管</w:t>
            </w:r>
          </w:p>
          <w:p w14:paraId="57DDAD06">
            <w:pPr>
              <w:keepNext w:val="0"/>
              <w:keepLines w:val="0"/>
              <w:pageBreakBefore w:val="0"/>
              <w:widowControl/>
              <w:numPr>
                <w:ilvl w:val="0"/>
                <w:numId w:val="31"/>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容量：48芯</w:t>
            </w:r>
          </w:p>
          <w:p w14:paraId="025919A9">
            <w:pPr>
              <w:keepNext w:val="0"/>
              <w:keepLines w:val="0"/>
              <w:pageBreakBefore w:val="0"/>
              <w:widowControl/>
              <w:numPr>
                <w:ilvl w:val="0"/>
                <w:numId w:val="31"/>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标准：YD/T 778-2011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FB6B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66C0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9B31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539</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C080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539</w:t>
            </w:r>
          </w:p>
        </w:tc>
      </w:tr>
      <w:tr w14:paraId="239B9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7FB3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75</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888E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48口LC光纤盒（LC满配96条尾纤）</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3D6A4">
            <w:pPr>
              <w:keepNext w:val="0"/>
              <w:keepLines w:val="0"/>
              <w:pageBreakBefore w:val="0"/>
              <w:widowControl/>
              <w:numPr>
                <w:ilvl w:val="0"/>
                <w:numId w:val="3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主体材质：冷轧钢板（电脑灰喷塑）</w:t>
            </w:r>
          </w:p>
          <w:p w14:paraId="50D28111">
            <w:pPr>
              <w:keepNext w:val="0"/>
              <w:keepLines w:val="0"/>
              <w:pageBreakBefore w:val="0"/>
              <w:widowControl/>
              <w:numPr>
                <w:ilvl w:val="0"/>
                <w:numId w:val="3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尺寸：约430*300*125mm</w:t>
            </w:r>
          </w:p>
          <w:p w14:paraId="6C109771">
            <w:pPr>
              <w:keepNext w:val="0"/>
              <w:keepLines w:val="0"/>
              <w:pageBreakBefore w:val="0"/>
              <w:widowControl/>
              <w:numPr>
                <w:ilvl w:val="0"/>
                <w:numId w:val="3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熔纤盘材质：阻燃ABS工程塑料</w:t>
            </w:r>
          </w:p>
          <w:p w14:paraId="354F9595">
            <w:pPr>
              <w:keepNext w:val="0"/>
              <w:keepLines w:val="0"/>
              <w:pageBreakBefore w:val="0"/>
              <w:widowControl/>
              <w:numPr>
                <w:ilvl w:val="0"/>
                <w:numId w:val="3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开启设计：卡扣开启，抽屉式拉出</w:t>
            </w:r>
          </w:p>
          <w:p w14:paraId="002A2D59">
            <w:pPr>
              <w:keepNext w:val="0"/>
              <w:keepLines w:val="0"/>
              <w:pageBreakBefore w:val="0"/>
              <w:widowControl/>
              <w:numPr>
                <w:ilvl w:val="0"/>
                <w:numId w:val="3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耐压强度：DC 1000V(AC 700V)1分钟无击穿和飞弧现象</w:t>
            </w:r>
          </w:p>
          <w:p w14:paraId="65638B2D">
            <w:pPr>
              <w:keepNext w:val="0"/>
              <w:keepLines w:val="0"/>
              <w:pageBreakBefore w:val="0"/>
              <w:widowControl/>
              <w:numPr>
                <w:ilvl w:val="0"/>
                <w:numId w:val="3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绝缘电阻：≥500MΩ</w:t>
            </w:r>
          </w:p>
          <w:p w14:paraId="411B93E2">
            <w:pPr>
              <w:keepNext w:val="0"/>
              <w:keepLines w:val="0"/>
              <w:pageBreakBefore w:val="0"/>
              <w:widowControl/>
              <w:numPr>
                <w:ilvl w:val="0"/>
                <w:numId w:val="3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使用温度：-25℃到50℃</w:t>
            </w:r>
          </w:p>
          <w:p w14:paraId="268FAC6A">
            <w:pPr>
              <w:keepNext w:val="0"/>
              <w:keepLines w:val="0"/>
              <w:pageBreakBefore w:val="0"/>
              <w:widowControl/>
              <w:numPr>
                <w:ilvl w:val="0"/>
                <w:numId w:val="3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相对湿度：≤85%</w:t>
            </w:r>
          </w:p>
          <w:p w14:paraId="30674D50">
            <w:pPr>
              <w:keepNext w:val="0"/>
              <w:keepLines w:val="0"/>
              <w:pageBreakBefore w:val="0"/>
              <w:widowControl/>
              <w:numPr>
                <w:ilvl w:val="0"/>
                <w:numId w:val="3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辅件：热熔缩管和纤芯保护套管</w:t>
            </w:r>
          </w:p>
          <w:p w14:paraId="67F8B866">
            <w:pPr>
              <w:keepNext w:val="0"/>
              <w:keepLines w:val="0"/>
              <w:pageBreakBefore w:val="0"/>
              <w:widowControl/>
              <w:numPr>
                <w:ilvl w:val="0"/>
                <w:numId w:val="3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容量：96芯</w:t>
            </w:r>
          </w:p>
          <w:p w14:paraId="624A4237">
            <w:pPr>
              <w:keepNext w:val="0"/>
              <w:keepLines w:val="0"/>
              <w:pageBreakBefore w:val="0"/>
              <w:widowControl/>
              <w:numPr>
                <w:ilvl w:val="0"/>
                <w:numId w:val="32"/>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标准：YD/T 778-2011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8873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6B13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C55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931</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6BBD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1862</w:t>
            </w:r>
          </w:p>
        </w:tc>
      </w:tr>
      <w:tr w14:paraId="6B96B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BD6F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76</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B0B1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布线施工</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4C62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光纤布线</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307E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6A70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0D55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6255</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7116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6255</w:t>
            </w:r>
          </w:p>
        </w:tc>
      </w:tr>
      <w:tr w14:paraId="6E00F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F37D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77</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9E37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熔纤</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4427F4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光纤熔接</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D420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条</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C6BE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108</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CA6C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25</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6926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2700</w:t>
            </w:r>
          </w:p>
        </w:tc>
      </w:tr>
      <w:tr w14:paraId="20A54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F74C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78</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55F7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辅材</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C36AA0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定制</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3548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DE4C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5439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2700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5412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2700</w:t>
            </w:r>
          </w:p>
        </w:tc>
      </w:tr>
      <w:tr w14:paraId="47E4D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23D2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908F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线路测试</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E156EE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对教室所有信息点做网络测试</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431A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条</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AED1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120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0272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29</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D43F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3480</w:t>
            </w:r>
          </w:p>
        </w:tc>
      </w:tr>
      <w:tr w14:paraId="36D81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4545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80</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8A6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系统集成调试</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F6968D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网络设备上架安装及调试</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2CAA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F0D2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FC43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7300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A558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7300</w:t>
            </w:r>
          </w:p>
        </w:tc>
      </w:tr>
      <w:tr w14:paraId="2C1DC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000" w:type="pct"/>
            <w:gridSpan w:val="7"/>
            <w:tcBorders>
              <w:top w:val="nil"/>
              <w:left w:val="single" w:color="auto" w:sz="4" w:space="0"/>
              <w:bottom w:val="nil"/>
              <w:right w:val="single" w:color="auto" w:sz="4" w:space="0"/>
            </w:tcBorders>
            <w:shd w:val="clear" w:color="auto" w:fill="auto"/>
            <w:noWrap/>
            <w:vAlign w:val="center"/>
          </w:tcPr>
          <w:p w14:paraId="10A8928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center"/>
              <w:rPr>
                <w:rFonts w:hint="eastAsia" w:asciiTheme="minorEastAsia" w:hAnsiTheme="minorEastAsia" w:eastAsiaTheme="minorEastAsia" w:cstheme="minorEastAsia"/>
                <w:b/>
                <w:bCs/>
                <w:i w:val="0"/>
                <w:iCs w:val="0"/>
                <w:color w:val="auto"/>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8"/>
                <w:szCs w:val="28"/>
                <w:u w:val="none"/>
                <w:lang w:val="en-US" w:eastAsia="zh-CN" w:bidi="ar"/>
              </w:rPr>
              <w:t>校园二期监控系统维修</w:t>
            </w:r>
          </w:p>
        </w:tc>
      </w:tr>
      <w:tr w14:paraId="14E6B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auto" w:sz="4" w:space="0"/>
              <w:bottom w:val="single" w:color="000000" w:sz="4" w:space="0"/>
              <w:right w:val="single" w:color="000000" w:sz="4" w:space="0"/>
            </w:tcBorders>
            <w:shd w:val="clear" w:color="auto" w:fill="auto"/>
            <w:noWrap/>
            <w:vAlign w:val="center"/>
          </w:tcPr>
          <w:p w14:paraId="473C87CD">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b/>
                <w:bCs/>
                <w:i w:val="0"/>
                <w:iCs w:val="0"/>
                <w:color w:val="auto"/>
                <w:sz w:val="21"/>
                <w:szCs w:val="21"/>
                <w:u w:val="none"/>
                <w:lang w:val="en-US" w:eastAsia="zh-CN"/>
              </w:rPr>
              <w:t>序号</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7375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产品名称</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E99D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技术参数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FE18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单位</w:t>
            </w:r>
          </w:p>
        </w:tc>
        <w:tc>
          <w:tcPr>
            <w:tcW w:w="379"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38963C3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数量</w:t>
            </w:r>
          </w:p>
        </w:tc>
        <w:tc>
          <w:tcPr>
            <w:tcW w:w="404"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3DEB30D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1"/>
                <w:szCs w:val="21"/>
                <w:u w:val="none"/>
                <w:lang w:val="en-US" w:eastAsia="zh-CN" w:bidi="ar"/>
              </w:rPr>
              <w:t>预算单价（元）</w:t>
            </w:r>
          </w:p>
        </w:tc>
        <w:tc>
          <w:tcPr>
            <w:tcW w:w="47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559972E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b/>
                <w:bCs/>
                <w:i w:val="0"/>
                <w:iCs w:val="0"/>
                <w:color w:val="auto"/>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1"/>
                <w:szCs w:val="21"/>
                <w:u w:val="none"/>
                <w:lang w:val="en-US" w:eastAsia="zh-CN" w:bidi="ar"/>
              </w:rPr>
              <w:t>预算合价（元）</w:t>
            </w:r>
          </w:p>
        </w:tc>
      </w:tr>
      <w:tr w14:paraId="6942E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81C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81</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52C4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周界枪机（原位替换）</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3DE0904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1、具有≥400 万像素 CMOS 传感器，靶面尺寸≥1/2.7英寸，在≥ 2560x1440 @ 25fps 下，清晰度≥1400TVL。</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2、设备支持最低照度彩色≤0.005 lx，黑白≤0.0005lx，最大亮度鉴别等级≥11级。</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3、设备支持H.265/H.264。</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4、设备支持图像设置：镜像，饱和度，亮度，对比度，锐度，AGC，白平衡通过客户端或者浏览器可调。</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5、设备支持多浏览器浏览功能，可通过IE、Chrome、Firefox、Safari等浏览器浏览视频图像。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6、支持人形检测、异常报警触发。</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7、支持背光补偿，强光抑制，3D数字降噪，数字宽动态。</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8、支持SmartIR，防止夜间红外过曝。</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9、支持红外补光，红外最远≥50 m，支持切换白光补光，白光最远≥30 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10、支持白天，夜晚，自动，定时切换日夜转换模式。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11、支持ONVIF、SDK，GB28181协议。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12、设备的防护等级≥IP67，支持DC12V和POE供电，且在 DC12V±25%范围内变化时可以正常工作。</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13、内置麦克风,支持8 kHz/16 kHz音频采样率,≥G.711alaw/AAC-LC,音频压缩标准,64 Kbps（G.711alaw）/16~64 Kbps（AAC-LC）音频压缩码率。</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4ED4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A6E3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9BA9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568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2BA3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6248</w:t>
            </w:r>
          </w:p>
        </w:tc>
      </w:tr>
      <w:tr w14:paraId="164AC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2851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82</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8C76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室内枪机（原位替换）</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6788746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1、具有≥400 万像素 CMOS 传感器，靶面尺寸≥1/2.7英寸，在≥ 2560x1440 @ 25fps 下，清晰度≥1400TVL。</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2、设备支持最低照度彩色≤0.005 lx，黑白≤0.0005lx，最大亮度鉴别等级≥11级。</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3、设备支持H.265/H.264。</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4、设备支持图像设置：镜像，饱和度，亮度，对比度，锐度，AGC，白平衡通过客户端或者浏览器可调。</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5、设备支持多浏览器浏览功能，可通过IE、Chrome、Firefox、Safari等浏览器浏览视频图像。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6、支持人形检测、异常报警触发。</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7、支持背光补偿，强光抑制，3D数字降噪，数字宽动态。</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8、支持SmartIR，防止夜间红外过曝。</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9、支持红外补光，红外最远≥50 m，支持切换白光补光，白光最远≥30 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10、支持白天，夜晚，自动，定时切换日夜转换模式。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11、支持ONVIF、SDK，GB28181协议。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12、设备的防护等级≥IP67，支持DC12V和POE供电，且在 DC12V±25%范围内变化时可以正常工作。</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13、内置麦克风,支持8 kHz/16 kHz音频采样率,≥G.711alaw/AAC-LC,音频压缩标准,64 Kbps（G.711alaw）/16~64 Kbps（AAC-LC）音频压缩码率。</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C5FF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EAFF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AD67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568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72BD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5112</w:t>
            </w:r>
          </w:p>
        </w:tc>
      </w:tr>
      <w:tr w14:paraId="44D9E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7E0A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C0C6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警戒球机</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0B424F6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 视频分辨率主码流≥2688×1520@30fps，靶面尺寸≥1/2.8英寸。</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2、最低照度：红外灯关闭：彩色≤0.005Lux，黑白模式≤0.001Lux。</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3、具有H.264、H.265、MJPEG设置选项。</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4、支持水平≥0°~360°，连续旋转；垂直≥-15°~90°。</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5、光学变倍≥23倍，最大焦距≥135mm。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 可设置300个预置位，可按照设置的预置位设置8条巡航路径。具有预置位视频冻结功能。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7、白光补光灯开启，可识别距离设备≥100m处的人体轮廓，红外补光灯开启，可识别距离设备≥150m处的人体轮廓。</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8、对人或车辆进入警戒区域后，设备可发出白光警示、声音警示，并启动智能跟踪功能。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9、当智能行为分析设置为区域入侵，越界入侵，进入区域、离开区域时，可对行人、车、自行车、电瓶车、摩托车、三轮车等进行检测设备支持行为分析触发后联动聚焦、联动目标跟踪等多种报警触发方式。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10、支持真宽动态、强光抑制、3D降噪、透雾、区域曝光、区域聚焦、饱和度/亮度/对比度/锐度图像设置。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11、具有AI-ISP图像质量提升功能，在低照度环境下，可自动调节预览场景视频画面中人脸、人体、车辆等目标及预览场景视频画面的区域曝光、亮度、色彩饱和度、对比度、锐度等。</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12、支持人、非机动车、车辆混行抓拍，可同时对人、非机动车、车辆进行抓拍。</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13、★支持接入壁装和吊装警戒配件，警戒配件支持声光警戒功能，当人或车辆进入警戒区域后，警戒配件可发出红蓝灯警示，蜂鸣器报警</w:t>
            </w:r>
            <w:r>
              <w:rPr>
                <w:rFonts w:hint="eastAsia" w:asciiTheme="minorEastAsia" w:hAnsiTheme="minorEastAsia" w:eastAsiaTheme="minorEastAsia" w:cstheme="minorEastAsia"/>
                <w:b/>
                <w:bCs/>
                <w:i w:val="0"/>
                <w:iCs w:val="0"/>
                <w:color w:val="auto"/>
                <w:kern w:val="0"/>
                <w:sz w:val="21"/>
                <w:szCs w:val="21"/>
                <w:u w:val="none"/>
                <w:lang w:val="en-US" w:eastAsia="zh-CN" w:bidi="ar"/>
              </w:rPr>
              <w:t>[要求供应商于响应文件中必须提供所竞产品由</w:t>
            </w:r>
            <w:r>
              <w:rPr>
                <w:rFonts w:hint="eastAsia" w:asciiTheme="minorEastAsia" w:hAnsiTheme="minorEastAsia" w:eastAsiaTheme="minorEastAsia" w:cstheme="minorEastAsia"/>
                <w:b/>
                <w:bCs/>
                <w:color w:val="auto"/>
                <w:sz w:val="21"/>
                <w:szCs w:val="21"/>
                <w:highlight w:val="none"/>
                <w:u w:val="none"/>
                <w:lang w:val="en-US" w:eastAsia="zh-CN"/>
              </w:rPr>
              <w:t>国家认可的正规检测机构出具并带有CMA或CNAS标识的</w:t>
            </w:r>
            <w:r>
              <w:rPr>
                <w:rFonts w:hint="eastAsia" w:asciiTheme="minorEastAsia" w:hAnsiTheme="minorEastAsia" w:eastAsiaTheme="minorEastAsia" w:cstheme="minorEastAsia"/>
                <w:b/>
                <w:bCs/>
                <w:color w:val="auto"/>
                <w:sz w:val="21"/>
                <w:szCs w:val="21"/>
                <w:highlight w:val="none"/>
                <w:u w:val="none"/>
                <w:lang w:eastAsia="zh-CN"/>
              </w:rPr>
              <w:t>检测(检验)</w:t>
            </w:r>
            <w:r>
              <w:rPr>
                <w:rFonts w:hint="eastAsia" w:asciiTheme="minorEastAsia" w:hAnsiTheme="minorEastAsia" w:eastAsiaTheme="minorEastAsia" w:cstheme="minorEastAsia"/>
                <w:b/>
                <w:bCs/>
                <w:color w:val="auto"/>
                <w:sz w:val="21"/>
                <w:szCs w:val="21"/>
                <w:highlight w:val="none"/>
                <w:u w:val="none"/>
                <w:lang w:val="en-US" w:eastAsia="zh-CN"/>
              </w:rPr>
              <w:t>报告的扫描或复印件</w:t>
            </w:r>
            <w:r>
              <w:rPr>
                <w:rFonts w:hint="eastAsia" w:asciiTheme="minorEastAsia" w:hAnsiTheme="minorEastAsia" w:eastAsiaTheme="minorEastAsia" w:cstheme="minorEastAsia"/>
                <w:b/>
                <w:bCs/>
                <w:color w:val="auto"/>
                <w:sz w:val="21"/>
                <w:szCs w:val="21"/>
                <w:highlight w:val="none"/>
                <w:u w:val="none"/>
                <w:lang w:eastAsia="zh-CN"/>
              </w:rPr>
              <w:t>等证明材料</w:t>
            </w:r>
            <w:r>
              <w:rPr>
                <w:rFonts w:hint="eastAsia" w:asciiTheme="minorEastAsia" w:hAnsiTheme="minorEastAsia" w:eastAsiaTheme="minorEastAsia" w:cstheme="minorEastAsia"/>
                <w:b/>
                <w:bCs/>
                <w:i w:val="0"/>
                <w:iCs w:val="0"/>
                <w:color w:val="auto"/>
                <w:kern w:val="0"/>
                <w:sz w:val="21"/>
                <w:szCs w:val="21"/>
                <w:u w:val="none"/>
                <w:lang w:val="en-US" w:eastAsia="zh-CN" w:bidi="ar"/>
              </w:rPr>
              <w:t>，并加盖供应商公章，否则响应文件按无效处理]。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14、支持对镜头前盖玻璃加热，去除玻璃上的冰状和水状附着物。</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15、支持AI模型的下发和运行，检测结果的生成和上传。</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16、内置≥6颗补光灯、≥1个RJ45网络接口、≥1路音频输入接口、≥1路音频输出接口、≥2路报警输入接口、≥1路报警输出。</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930C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0B72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7215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2744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92F3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5488</w:t>
            </w:r>
          </w:p>
        </w:tc>
      </w:tr>
      <w:tr w14:paraId="2FF8F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3B26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84</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D15D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电梯半球</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00823EC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1、最高分辨率≥2688 × 1520 @25 fps，在该分辨率下可输出实时图像。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2、支持背光补偿，强光抑制，3D数字降噪，120 dB宽动态。</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3、采用高效阵列红外灯，使用寿命长，红外照射距离最远≥10 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4、≥1个内置麦克风，≥1个内置扬声器，支持双向语音对讲。</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5、支持1路报警输入，1路报警输出，1路音频输入，1路音频输出。</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6、支持512 GB MicroSD/MicroSDHC/MicroSDXC卡本地存储。</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7、≥IK08防暴设计，可靠性高。</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8、支持POE供电。</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9、视频压缩标准支持H.265/H.264 ，支持超级智能编码。</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DF6F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92A3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E5EB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588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485D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1176</w:t>
            </w:r>
          </w:p>
        </w:tc>
      </w:tr>
      <w:tr w14:paraId="39DD4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5AC4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85</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B10A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电梯网桥</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25C9A23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1、≥2个百兆电口。</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2、无线传输距离≥100m。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3、支持APP、客户端统一管理 拓扑可视化、智能运维。</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4、支持智能识别终端 终端准入管控。</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5、支持智能频谱管理，支持故障自愈。</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6、成对包装，免配置。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7、水平天线角度≥60°,垂直天线角度≥50°。</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8、支持VLAN,支持WiFi热点。</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9、防水防尘等级≥IP41。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91F8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0414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1AF6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490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7AFF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980</w:t>
            </w:r>
          </w:p>
        </w:tc>
      </w:tr>
      <w:tr w14:paraId="63633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5287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A1DD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光纤收发器</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00B3E1B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1、≥1千兆电口、≥1千兆光口。</w:t>
            </w:r>
          </w:p>
          <w:p w14:paraId="2FB68EC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2、传输距离：≥3 km。</w:t>
            </w:r>
          </w:p>
          <w:p w14:paraId="0B215AB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3、发射功率：≥–9 dBm~–1 dBm。</w:t>
            </w:r>
          </w:p>
          <w:p w14:paraId="338359B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4、接收灵敏度：≤ –21 dBm。</w:t>
            </w:r>
          </w:p>
          <w:p w14:paraId="655490C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5、工作温度：≥–30 °C - 70 °C。</w:t>
            </w:r>
          </w:p>
          <w:p w14:paraId="5BC652A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6、桌面式。</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93D3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0141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1495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205</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3A8B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1230</w:t>
            </w:r>
          </w:p>
        </w:tc>
      </w:tr>
      <w:tr w14:paraId="05B3C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69C9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87</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C10D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电源适配器（损坏替换）</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2FB739F0">
            <w:pPr>
              <w:keepNext w:val="0"/>
              <w:keepLines w:val="0"/>
              <w:pageBreakBefore w:val="0"/>
              <w:widowControl/>
              <w:numPr>
                <w:ilvl w:val="0"/>
                <w:numId w:val="33"/>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输出规格:DC12V/1A，</w:t>
            </w:r>
          </w:p>
          <w:p w14:paraId="201EB337">
            <w:pPr>
              <w:keepNext w:val="0"/>
              <w:keepLines w:val="0"/>
              <w:pageBreakBefore w:val="0"/>
              <w:widowControl/>
              <w:numPr>
                <w:ilvl w:val="0"/>
                <w:numId w:val="33"/>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输出功率：12W MAX，</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45E9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46AE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C8D8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19.6</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412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588</w:t>
            </w:r>
          </w:p>
        </w:tc>
      </w:tr>
      <w:tr w14:paraId="1F7F1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696F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88</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CE4B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电源防雷器</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264670D8">
            <w:pPr>
              <w:keepNext w:val="0"/>
              <w:keepLines w:val="0"/>
              <w:pageBreakBefore w:val="0"/>
              <w:widowControl/>
              <w:numPr>
                <w:ilvl w:val="0"/>
                <w:numId w:val="3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温度区间；-40℃~+80℃；</w:t>
            </w:r>
          </w:p>
          <w:p w14:paraId="2B10352C">
            <w:pPr>
              <w:keepNext w:val="0"/>
              <w:keepLines w:val="0"/>
              <w:pageBreakBefore w:val="0"/>
              <w:widowControl/>
              <w:numPr>
                <w:ilvl w:val="0"/>
                <w:numId w:val="3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湿度区间≤90%（平均25℃时）；</w:t>
            </w:r>
          </w:p>
          <w:p w14:paraId="5981DFD2">
            <w:pPr>
              <w:keepNext w:val="0"/>
              <w:keepLines w:val="0"/>
              <w:pageBreakBefore w:val="0"/>
              <w:widowControl/>
              <w:numPr>
                <w:ilvl w:val="0"/>
                <w:numId w:val="3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额定工作电压：≤220V，最大工作电压≤470V；</w:t>
            </w:r>
          </w:p>
          <w:p w14:paraId="413D43EB">
            <w:pPr>
              <w:keepNext w:val="0"/>
              <w:keepLines w:val="0"/>
              <w:pageBreakBefore w:val="0"/>
              <w:widowControl/>
              <w:numPr>
                <w:ilvl w:val="0"/>
                <w:numId w:val="3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最大连续工作电流≤5A；</w:t>
            </w:r>
          </w:p>
          <w:p w14:paraId="4DBBCCCB">
            <w:pPr>
              <w:keepNext w:val="0"/>
              <w:keepLines w:val="0"/>
              <w:pageBreakBefore w:val="0"/>
              <w:widowControl/>
              <w:numPr>
                <w:ilvl w:val="0"/>
                <w:numId w:val="3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标称效电电流（8/20us)≤5KA,最大放电电流（8/20us)≤10KA；</w:t>
            </w:r>
          </w:p>
          <w:p w14:paraId="21E26557">
            <w:pPr>
              <w:keepNext w:val="0"/>
              <w:keepLines w:val="0"/>
              <w:pageBreakBefore w:val="0"/>
              <w:widowControl/>
              <w:numPr>
                <w:ilvl w:val="0"/>
                <w:numId w:val="3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保护级别：≤900V；</w:t>
            </w:r>
          </w:p>
          <w:p w14:paraId="74239E6D">
            <w:pPr>
              <w:keepNext w:val="0"/>
              <w:keepLines w:val="0"/>
              <w:pageBreakBefore w:val="0"/>
              <w:widowControl/>
              <w:numPr>
                <w:ilvl w:val="0"/>
                <w:numId w:val="34"/>
              </w:numPr>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响应时间：≤1ns</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0B81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3721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23</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CBF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53</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5044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1219</w:t>
            </w:r>
          </w:p>
        </w:tc>
      </w:tr>
      <w:tr w14:paraId="61D7A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1D4F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CCF1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超五类非屏蔽网线</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267C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1、导体：0.50±0.01mm（无氧铜丝）</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2、绝缘：高密度聚乙烯</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3、护套：4.8±0.3mm（PVC）</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4、近端串音最小值:100MHZ≥32.3dB</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5、回波损耗最小值:100MHZ≥15.0dB</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6、功率和近端串音:32.3dB</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7、执行标准:YD/T 1019-2023</w:t>
            </w:r>
          </w:p>
        </w:tc>
        <w:tc>
          <w:tcPr>
            <w:tcW w:w="250" w:type="pct"/>
            <w:tcBorders>
              <w:top w:val="nil"/>
              <w:left w:val="single" w:color="000000" w:sz="4" w:space="0"/>
              <w:bottom w:val="single" w:color="000000" w:sz="4" w:space="0"/>
              <w:right w:val="single" w:color="000000" w:sz="4" w:space="0"/>
            </w:tcBorders>
            <w:shd w:val="clear" w:color="auto" w:fill="auto"/>
            <w:noWrap/>
            <w:vAlign w:val="center"/>
          </w:tcPr>
          <w:p w14:paraId="16ED2D1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nil"/>
              <w:left w:val="single" w:color="000000" w:sz="4" w:space="0"/>
              <w:bottom w:val="single" w:color="000000" w:sz="4" w:space="0"/>
              <w:right w:val="single" w:color="000000" w:sz="4" w:space="0"/>
            </w:tcBorders>
            <w:shd w:val="clear" w:color="auto" w:fill="auto"/>
            <w:noWrap/>
            <w:vAlign w:val="center"/>
          </w:tcPr>
          <w:p w14:paraId="326518E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3500</w:t>
            </w:r>
          </w:p>
        </w:tc>
        <w:tc>
          <w:tcPr>
            <w:tcW w:w="404" w:type="pct"/>
            <w:tcBorders>
              <w:top w:val="nil"/>
              <w:left w:val="single" w:color="000000" w:sz="4" w:space="0"/>
              <w:bottom w:val="single" w:color="000000" w:sz="4" w:space="0"/>
              <w:right w:val="single" w:color="000000" w:sz="4" w:space="0"/>
            </w:tcBorders>
            <w:shd w:val="clear" w:color="auto" w:fill="auto"/>
            <w:noWrap/>
            <w:vAlign w:val="center"/>
          </w:tcPr>
          <w:p w14:paraId="073E607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2.7</w:t>
            </w:r>
          </w:p>
        </w:tc>
        <w:tc>
          <w:tcPr>
            <w:tcW w:w="471" w:type="pct"/>
            <w:tcBorders>
              <w:top w:val="nil"/>
              <w:left w:val="single" w:color="000000" w:sz="4" w:space="0"/>
              <w:bottom w:val="single" w:color="000000" w:sz="4" w:space="0"/>
              <w:right w:val="single" w:color="000000" w:sz="4" w:space="0"/>
            </w:tcBorders>
            <w:shd w:val="clear" w:color="auto" w:fill="auto"/>
            <w:noWrap/>
            <w:vAlign w:val="center"/>
          </w:tcPr>
          <w:p w14:paraId="53A7C25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9450</w:t>
            </w:r>
          </w:p>
        </w:tc>
      </w:tr>
      <w:tr w14:paraId="32DCE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C748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90</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338E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4芯光纤</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DA2B8">
            <w:pPr>
              <w:keepNext w:val="0"/>
              <w:keepLines w:val="0"/>
              <w:pageBreakBefore w:val="0"/>
              <w:widowControl/>
              <w:numPr>
                <w:ilvl w:val="0"/>
                <w:numId w:val="3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光纤纤芯：G652，9/125um</w:t>
            </w:r>
          </w:p>
          <w:p w14:paraId="74B232E8">
            <w:pPr>
              <w:keepNext w:val="0"/>
              <w:keepLines w:val="0"/>
              <w:pageBreakBefore w:val="0"/>
              <w:widowControl/>
              <w:numPr>
                <w:ilvl w:val="0"/>
                <w:numId w:val="3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紧套管材料：聚氯乙烯PVC</w:t>
            </w:r>
          </w:p>
          <w:p w14:paraId="403C6131">
            <w:pPr>
              <w:keepNext w:val="0"/>
              <w:keepLines w:val="0"/>
              <w:pageBreakBefore w:val="0"/>
              <w:widowControl/>
              <w:numPr>
                <w:ilvl w:val="0"/>
                <w:numId w:val="3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加强件：芳纶纱</w:t>
            </w:r>
          </w:p>
          <w:p w14:paraId="330E6902">
            <w:pPr>
              <w:keepNext w:val="0"/>
              <w:keepLines w:val="0"/>
              <w:pageBreakBefore w:val="0"/>
              <w:widowControl/>
              <w:numPr>
                <w:ilvl w:val="0"/>
                <w:numId w:val="3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护套材料：黄色聚氯乙烯PVC</w:t>
            </w:r>
          </w:p>
          <w:p w14:paraId="39A17295">
            <w:pPr>
              <w:keepNext w:val="0"/>
              <w:keepLines w:val="0"/>
              <w:pageBreakBefore w:val="0"/>
              <w:widowControl/>
              <w:numPr>
                <w:ilvl w:val="0"/>
                <w:numId w:val="3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动态/静态弯曲半径：20D/10D</w:t>
            </w:r>
          </w:p>
          <w:p w14:paraId="209A65EC">
            <w:pPr>
              <w:keepNext w:val="0"/>
              <w:keepLines w:val="0"/>
              <w:pageBreakBefore w:val="0"/>
              <w:widowControl/>
              <w:numPr>
                <w:ilvl w:val="0"/>
                <w:numId w:val="3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长期/短期允许压扁力（N/100mm）:200/350</w:t>
            </w:r>
          </w:p>
          <w:p w14:paraId="38352E5E">
            <w:pPr>
              <w:keepNext w:val="0"/>
              <w:keepLines w:val="0"/>
              <w:pageBreakBefore w:val="0"/>
              <w:widowControl/>
              <w:numPr>
                <w:ilvl w:val="0"/>
                <w:numId w:val="3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长期/短期允许拉伸力（N）:70/220</w:t>
            </w:r>
          </w:p>
          <w:p w14:paraId="2D609EC8">
            <w:pPr>
              <w:keepNext w:val="0"/>
              <w:keepLines w:val="0"/>
              <w:pageBreakBefore w:val="0"/>
              <w:widowControl/>
              <w:numPr>
                <w:ilvl w:val="0"/>
                <w:numId w:val="3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使用温度：-20℃~+60℃</w:t>
            </w:r>
          </w:p>
          <w:p w14:paraId="5E9B99F9">
            <w:pPr>
              <w:keepNext w:val="0"/>
              <w:keepLines w:val="0"/>
              <w:pageBreakBefore w:val="0"/>
              <w:widowControl/>
              <w:numPr>
                <w:ilvl w:val="0"/>
                <w:numId w:val="3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衰减系数@20℃（dB/km）：@1310≤0.8，@1550≤0.6</w:t>
            </w:r>
          </w:p>
          <w:p w14:paraId="542E0749">
            <w:pPr>
              <w:keepNext w:val="0"/>
              <w:keepLines w:val="0"/>
              <w:pageBreakBefore w:val="0"/>
              <w:widowControl/>
              <w:numPr>
                <w:ilvl w:val="0"/>
                <w:numId w:val="35"/>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1258.4-2019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DE2D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A3BE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1900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17D4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1.6</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E56A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3040</w:t>
            </w:r>
          </w:p>
        </w:tc>
      </w:tr>
      <w:tr w14:paraId="62DF1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12F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EE42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RVV1.0两芯电源线</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EA65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1、导体：5类（铜丝）</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 xml:space="preserve">2、绝缘平均厚度：0.6mm（聚氯乙烯PVC）                                                                                                                                                                                                           3、护套平均厚度：0.8mm（聚氯乙烯PVC）                                                                                                                                       4、护套外径：5.9～7.5mm                                                                                                                                     5、70℃时绝缘电阻：≥0.010MΩ·km                                                                                                                 6、20℃导体电阻：≤19.5Ω/km                                                                                                                             7、执行标准：GB/T 5023-2008                                                                                                                         8、额定电压：300/500V   </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E045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54F7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1900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80C8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3.2</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2647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6080</w:t>
            </w:r>
          </w:p>
        </w:tc>
      </w:tr>
      <w:tr w14:paraId="08BAB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9FBE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92</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B500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4口光纤终端盒</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2AF47">
            <w:pPr>
              <w:keepNext w:val="0"/>
              <w:keepLines w:val="0"/>
              <w:pageBreakBefore w:val="0"/>
              <w:widowControl/>
              <w:numPr>
                <w:ilvl w:val="0"/>
                <w:numId w:val="3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终端盒材质：0.8冷轧钢板（黑色静电喷塑）</w:t>
            </w:r>
          </w:p>
          <w:p w14:paraId="66099A28">
            <w:pPr>
              <w:keepNext w:val="0"/>
              <w:keepLines w:val="0"/>
              <w:pageBreakBefore w:val="0"/>
              <w:widowControl/>
              <w:numPr>
                <w:ilvl w:val="0"/>
                <w:numId w:val="3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外观尺寸：约150mm*95mm*35mm</w:t>
            </w:r>
          </w:p>
          <w:p w14:paraId="45B5CD47">
            <w:pPr>
              <w:keepNext w:val="0"/>
              <w:keepLines w:val="0"/>
              <w:pageBreakBefore w:val="0"/>
              <w:widowControl/>
              <w:numPr>
                <w:ilvl w:val="0"/>
                <w:numId w:val="3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安装方式：壁挂式或摆放</w:t>
            </w:r>
          </w:p>
          <w:p w14:paraId="5BB00E94">
            <w:pPr>
              <w:keepNext w:val="0"/>
              <w:keepLines w:val="0"/>
              <w:pageBreakBefore w:val="0"/>
              <w:widowControl/>
              <w:numPr>
                <w:ilvl w:val="0"/>
                <w:numId w:val="3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熔纤盘材质：阻燃ABS塑料</w:t>
            </w:r>
          </w:p>
          <w:p w14:paraId="3390B92B">
            <w:pPr>
              <w:keepNext w:val="0"/>
              <w:keepLines w:val="0"/>
              <w:pageBreakBefore w:val="0"/>
              <w:widowControl/>
              <w:numPr>
                <w:ilvl w:val="0"/>
                <w:numId w:val="3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耐压强度：DC 1000V(AC 700V)1分钟无击穿和飞弧现象</w:t>
            </w:r>
          </w:p>
          <w:p w14:paraId="73F7BF3F">
            <w:pPr>
              <w:keepNext w:val="0"/>
              <w:keepLines w:val="0"/>
              <w:pageBreakBefore w:val="0"/>
              <w:widowControl/>
              <w:numPr>
                <w:ilvl w:val="0"/>
                <w:numId w:val="3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绝缘电阻：≥500MΩ</w:t>
            </w:r>
          </w:p>
          <w:p w14:paraId="4E789D4D">
            <w:pPr>
              <w:keepNext w:val="0"/>
              <w:keepLines w:val="0"/>
              <w:pageBreakBefore w:val="0"/>
              <w:widowControl/>
              <w:numPr>
                <w:ilvl w:val="0"/>
                <w:numId w:val="3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环境温度：-25℃到50℃</w:t>
            </w:r>
          </w:p>
          <w:p w14:paraId="65250C2A">
            <w:pPr>
              <w:keepNext w:val="0"/>
              <w:keepLines w:val="0"/>
              <w:pageBreakBefore w:val="0"/>
              <w:widowControl/>
              <w:numPr>
                <w:ilvl w:val="0"/>
                <w:numId w:val="3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相对湿度：≤85%</w:t>
            </w:r>
          </w:p>
          <w:p w14:paraId="3AD19494">
            <w:pPr>
              <w:keepNext w:val="0"/>
              <w:keepLines w:val="0"/>
              <w:pageBreakBefore w:val="0"/>
              <w:widowControl/>
              <w:numPr>
                <w:ilvl w:val="0"/>
                <w:numId w:val="3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辅件：热熔缩管和纤芯保护套管</w:t>
            </w:r>
          </w:p>
          <w:p w14:paraId="1ACA8CC4">
            <w:pPr>
              <w:keepNext w:val="0"/>
              <w:keepLines w:val="0"/>
              <w:pageBreakBefore w:val="0"/>
              <w:widowControl/>
              <w:numPr>
                <w:ilvl w:val="0"/>
                <w:numId w:val="36"/>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925-2009</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F2A4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680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827E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39</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ACE7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195</w:t>
            </w:r>
          </w:p>
        </w:tc>
      </w:tr>
      <w:tr w14:paraId="3D157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0F19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8221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耦合器</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95881">
            <w:pPr>
              <w:keepNext w:val="0"/>
              <w:keepLines w:val="0"/>
              <w:pageBreakBefore w:val="0"/>
              <w:widowControl/>
              <w:numPr>
                <w:ilvl w:val="0"/>
                <w:numId w:val="3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材料：氧化锆陶瓷套管</w:t>
            </w:r>
          </w:p>
          <w:p w14:paraId="21EB1AB7">
            <w:pPr>
              <w:keepNext w:val="0"/>
              <w:keepLines w:val="0"/>
              <w:pageBreakBefore w:val="0"/>
              <w:widowControl/>
              <w:numPr>
                <w:ilvl w:val="0"/>
                <w:numId w:val="3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插入损耗：≤0.3dB</w:t>
            </w:r>
          </w:p>
          <w:p w14:paraId="56121F0A">
            <w:pPr>
              <w:keepNext w:val="0"/>
              <w:keepLines w:val="0"/>
              <w:pageBreakBefore w:val="0"/>
              <w:widowControl/>
              <w:numPr>
                <w:ilvl w:val="0"/>
                <w:numId w:val="3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互换性：≤0.2dB</w:t>
            </w:r>
          </w:p>
          <w:p w14:paraId="63BD4A88">
            <w:pPr>
              <w:keepNext w:val="0"/>
              <w:keepLines w:val="0"/>
              <w:pageBreakBefore w:val="0"/>
              <w:widowControl/>
              <w:numPr>
                <w:ilvl w:val="0"/>
                <w:numId w:val="3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插拔次数：≥500</w:t>
            </w:r>
          </w:p>
          <w:p w14:paraId="658ECC68">
            <w:pPr>
              <w:keepNext w:val="0"/>
              <w:keepLines w:val="0"/>
              <w:pageBreakBefore w:val="0"/>
              <w:widowControl/>
              <w:numPr>
                <w:ilvl w:val="0"/>
                <w:numId w:val="3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抗张力：200-600N</w:t>
            </w:r>
          </w:p>
          <w:p w14:paraId="4A913F7F">
            <w:pPr>
              <w:keepNext w:val="0"/>
              <w:keepLines w:val="0"/>
              <w:pageBreakBefore w:val="0"/>
              <w:widowControl/>
              <w:numPr>
                <w:ilvl w:val="0"/>
                <w:numId w:val="3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使用温度：-25℃~+70℃</w:t>
            </w:r>
          </w:p>
          <w:p w14:paraId="3F309794">
            <w:pPr>
              <w:keepNext w:val="0"/>
              <w:keepLines w:val="0"/>
              <w:pageBreakBefore w:val="0"/>
              <w:widowControl/>
              <w:numPr>
                <w:ilvl w:val="0"/>
                <w:numId w:val="37"/>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标准：YD/T 1272-2018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0B9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D12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7E6F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3E9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20</w:t>
            </w:r>
          </w:p>
        </w:tc>
      </w:tr>
      <w:tr w14:paraId="6BC1E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2976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94</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F40B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SC尾纤</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FE7E8">
            <w:pPr>
              <w:keepNext w:val="0"/>
              <w:keepLines w:val="0"/>
              <w:pageBreakBefore w:val="0"/>
              <w:widowControl/>
              <w:numPr>
                <w:ilvl w:val="0"/>
                <w:numId w:val="3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光纤纤芯：G652，9/125</w:t>
            </w:r>
          </w:p>
          <w:p w14:paraId="332EE61C">
            <w:pPr>
              <w:keepNext w:val="0"/>
              <w:keepLines w:val="0"/>
              <w:pageBreakBefore w:val="0"/>
              <w:widowControl/>
              <w:numPr>
                <w:ilvl w:val="0"/>
                <w:numId w:val="3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护套材料：黄色聚氯乙烯PVC</w:t>
            </w:r>
          </w:p>
          <w:p w14:paraId="7DD7E8EC">
            <w:pPr>
              <w:keepNext w:val="0"/>
              <w:keepLines w:val="0"/>
              <w:pageBreakBefore w:val="0"/>
              <w:widowControl/>
              <w:numPr>
                <w:ilvl w:val="0"/>
                <w:numId w:val="3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光缆外径：3.0±0.2mm</w:t>
            </w:r>
          </w:p>
          <w:p w14:paraId="404DEB04">
            <w:pPr>
              <w:keepNext w:val="0"/>
              <w:keepLines w:val="0"/>
              <w:pageBreakBefore w:val="0"/>
              <w:widowControl/>
              <w:numPr>
                <w:ilvl w:val="0"/>
                <w:numId w:val="3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工作波长：1310nm/1550nm</w:t>
            </w:r>
          </w:p>
          <w:p w14:paraId="2E4D7779">
            <w:pPr>
              <w:keepNext w:val="0"/>
              <w:keepLines w:val="0"/>
              <w:pageBreakBefore w:val="0"/>
              <w:widowControl/>
              <w:numPr>
                <w:ilvl w:val="0"/>
                <w:numId w:val="3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插入损耗：≤0.3dB</w:t>
            </w:r>
          </w:p>
          <w:p w14:paraId="26B948A5">
            <w:pPr>
              <w:keepNext w:val="0"/>
              <w:keepLines w:val="0"/>
              <w:pageBreakBefore w:val="0"/>
              <w:widowControl/>
              <w:numPr>
                <w:ilvl w:val="0"/>
                <w:numId w:val="3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回波损耗：≥50dB</w:t>
            </w:r>
          </w:p>
          <w:p w14:paraId="3354D030">
            <w:pPr>
              <w:keepNext w:val="0"/>
              <w:keepLines w:val="0"/>
              <w:pageBreakBefore w:val="0"/>
              <w:widowControl/>
              <w:numPr>
                <w:ilvl w:val="0"/>
                <w:numId w:val="3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重复性：≥1000</w:t>
            </w:r>
          </w:p>
          <w:p w14:paraId="245192F6">
            <w:pPr>
              <w:keepNext w:val="0"/>
              <w:keepLines w:val="0"/>
              <w:pageBreakBefore w:val="0"/>
              <w:widowControl/>
              <w:numPr>
                <w:ilvl w:val="0"/>
                <w:numId w:val="3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弯曲半径：≥10D</w:t>
            </w:r>
          </w:p>
          <w:p w14:paraId="1A5597BD">
            <w:pPr>
              <w:keepNext w:val="0"/>
              <w:keepLines w:val="0"/>
              <w:pageBreakBefore w:val="0"/>
              <w:widowControl/>
              <w:numPr>
                <w:ilvl w:val="0"/>
                <w:numId w:val="3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使用温度：-25℃~+70℃</w:t>
            </w:r>
          </w:p>
          <w:p w14:paraId="68C5E8A2">
            <w:pPr>
              <w:keepNext w:val="0"/>
              <w:keepLines w:val="0"/>
              <w:pageBreakBefore w:val="0"/>
              <w:widowControl/>
              <w:numPr>
                <w:ilvl w:val="0"/>
                <w:numId w:val="38"/>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1272-2018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AE71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条</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D898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6ABF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FC2C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68</w:t>
            </w:r>
          </w:p>
        </w:tc>
      </w:tr>
      <w:tr w14:paraId="311C2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7658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95</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88A6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SC-LC光纤跳线</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61908">
            <w:pPr>
              <w:keepNext w:val="0"/>
              <w:keepLines w:val="0"/>
              <w:pageBreakBefore w:val="0"/>
              <w:widowControl/>
              <w:numPr>
                <w:ilvl w:val="0"/>
                <w:numId w:val="3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光纤纤芯：G652，9/125</w:t>
            </w:r>
          </w:p>
          <w:p w14:paraId="77C8741A">
            <w:pPr>
              <w:keepNext w:val="0"/>
              <w:keepLines w:val="0"/>
              <w:pageBreakBefore w:val="0"/>
              <w:widowControl/>
              <w:numPr>
                <w:ilvl w:val="0"/>
                <w:numId w:val="3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护套材料：黄色聚氯乙烯PVC</w:t>
            </w:r>
          </w:p>
          <w:p w14:paraId="4079363D">
            <w:pPr>
              <w:keepNext w:val="0"/>
              <w:keepLines w:val="0"/>
              <w:pageBreakBefore w:val="0"/>
              <w:widowControl/>
              <w:numPr>
                <w:ilvl w:val="0"/>
                <w:numId w:val="3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光缆外径：3.0±0.2mm</w:t>
            </w:r>
          </w:p>
          <w:p w14:paraId="76C78261">
            <w:pPr>
              <w:keepNext w:val="0"/>
              <w:keepLines w:val="0"/>
              <w:pageBreakBefore w:val="0"/>
              <w:widowControl/>
              <w:numPr>
                <w:ilvl w:val="0"/>
                <w:numId w:val="3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工作波长：1310nm/1550nm</w:t>
            </w:r>
          </w:p>
          <w:p w14:paraId="46D82CCE">
            <w:pPr>
              <w:keepNext w:val="0"/>
              <w:keepLines w:val="0"/>
              <w:pageBreakBefore w:val="0"/>
              <w:widowControl/>
              <w:numPr>
                <w:ilvl w:val="0"/>
                <w:numId w:val="3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插入损耗：≤0.3dB</w:t>
            </w:r>
          </w:p>
          <w:p w14:paraId="1C828DBF">
            <w:pPr>
              <w:keepNext w:val="0"/>
              <w:keepLines w:val="0"/>
              <w:pageBreakBefore w:val="0"/>
              <w:widowControl/>
              <w:numPr>
                <w:ilvl w:val="0"/>
                <w:numId w:val="3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回波损耗：≥50dB</w:t>
            </w:r>
          </w:p>
          <w:p w14:paraId="67C3CCCE">
            <w:pPr>
              <w:keepNext w:val="0"/>
              <w:keepLines w:val="0"/>
              <w:pageBreakBefore w:val="0"/>
              <w:widowControl/>
              <w:numPr>
                <w:ilvl w:val="0"/>
                <w:numId w:val="3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重复性：≥1000</w:t>
            </w:r>
          </w:p>
          <w:p w14:paraId="3CA57944">
            <w:pPr>
              <w:keepNext w:val="0"/>
              <w:keepLines w:val="0"/>
              <w:pageBreakBefore w:val="0"/>
              <w:widowControl/>
              <w:numPr>
                <w:ilvl w:val="0"/>
                <w:numId w:val="3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弯曲半径：≥10D</w:t>
            </w:r>
          </w:p>
          <w:p w14:paraId="2C9D18B1">
            <w:pPr>
              <w:keepNext w:val="0"/>
              <w:keepLines w:val="0"/>
              <w:pageBreakBefore w:val="0"/>
              <w:widowControl/>
              <w:numPr>
                <w:ilvl w:val="0"/>
                <w:numId w:val="3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使用温度：-25℃~+70℃</w:t>
            </w:r>
          </w:p>
          <w:p w14:paraId="2A2CD119">
            <w:pPr>
              <w:keepNext w:val="0"/>
              <w:keepLines w:val="0"/>
              <w:pageBreakBefore w:val="0"/>
              <w:widowControl/>
              <w:numPr>
                <w:ilvl w:val="0"/>
                <w:numId w:val="39"/>
              </w:numPr>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执行标准：YD/T 1272-2018</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EA6B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条</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EAE3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5059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D1D3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56</w:t>
            </w:r>
          </w:p>
        </w:tc>
      </w:tr>
      <w:tr w14:paraId="1620B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7209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FDE0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壁装枪机支架</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1F5B48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1、铝合金材质壁装支架。</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2、表面做喷塑处理。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3、支架带出线孔。</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4、安装座表面有海绵垫。</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5、调整角度：水平：≥360°，垂直：≥-45°~45°。</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7EB6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4D3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F89B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14</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136B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140</w:t>
            </w:r>
          </w:p>
        </w:tc>
      </w:tr>
      <w:tr w14:paraId="734EC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6C7C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97</w:t>
            </w:r>
          </w:p>
        </w:tc>
        <w:tc>
          <w:tcPr>
            <w:tcW w:w="414" w:type="pct"/>
            <w:tcBorders>
              <w:top w:val="single" w:color="000000" w:sz="4" w:space="0"/>
              <w:left w:val="single" w:color="000000" w:sz="4" w:space="0"/>
              <w:bottom w:val="single" w:color="000000" w:sz="4" w:space="0"/>
              <w:right w:val="nil"/>
            </w:tcBorders>
            <w:shd w:val="clear" w:color="auto" w:fill="auto"/>
            <w:noWrap/>
            <w:vAlign w:val="center"/>
          </w:tcPr>
          <w:p w14:paraId="50BF802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户外监控防水箱</w:t>
            </w:r>
          </w:p>
        </w:tc>
        <w:tc>
          <w:tcPr>
            <w:tcW w:w="2815" w:type="pct"/>
            <w:tcBorders>
              <w:top w:val="single" w:color="000000" w:sz="4" w:space="0"/>
              <w:left w:val="single" w:color="000000" w:sz="4" w:space="0"/>
              <w:bottom w:val="single" w:color="000000" w:sz="4" w:space="0"/>
              <w:right w:val="single" w:color="000000" w:sz="4" w:space="0"/>
            </w:tcBorders>
            <w:shd w:val="clear" w:color="auto" w:fill="auto"/>
            <w:vAlign w:val="top"/>
          </w:tcPr>
          <w:p w14:paraId="30527AE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长300mm，宽250mm，厚160mm，材质镀锌板，含监控立杆抱箍</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0FD1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F9CF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F0E3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41</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90AF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205</w:t>
            </w:r>
          </w:p>
        </w:tc>
      </w:tr>
      <w:tr w14:paraId="6B83B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2B7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98</w:t>
            </w:r>
          </w:p>
        </w:tc>
        <w:tc>
          <w:tcPr>
            <w:tcW w:w="414" w:type="pct"/>
            <w:tcBorders>
              <w:top w:val="single" w:color="000000" w:sz="4" w:space="0"/>
              <w:left w:val="single" w:color="000000" w:sz="4" w:space="0"/>
              <w:bottom w:val="single" w:color="000000" w:sz="4" w:space="0"/>
              <w:right w:val="nil"/>
            </w:tcBorders>
            <w:shd w:val="clear" w:color="auto" w:fill="auto"/>
            <w:noWrap/>
            <w:vAlign w:val="center"/>
          </w:tcPr>
          <w:p w14:paraId="14B6864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25mmPVC线管</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914F70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直径25mm，壁厚≥1.1mm，阻燃PVC线管</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176F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E85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2000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9C2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D5D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4000</w:t>
            </w:r>
          </w:p>
        </w:tc>
      </w:tr>
      <w:tr w14:paraId="65B5F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6F4A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A33C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辅材</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8FCD22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定制</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8EAD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C5CD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9DF5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7000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5E6B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7000</w:t>
            </w:r>
          </w:p>
        </w:tc>
      </w:tr>
      <w:tr w14:paraId="5ACBD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3C6B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100</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3024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摄像头线路损坏</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09F809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将线路损坏的摄像头重新敷设线路</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0D98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处</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1062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216F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290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F34D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2900</w:t>
            </w:r>
          </w:p>
        </w:tc>
      </w:tr>
      <w:tr w14:paraId="38740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2435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186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熔纤</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E258FD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光纤熔纤</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56F4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条</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090F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C0E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25</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1C9B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250</w:t>
            </w:r>
          </w:p>
        </w:tc>
      </w:tr>
      <w:tr w14:paraId="31E23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40E7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102</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2D42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布线施工</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18A14F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网络布线施工</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D017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906C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12AD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22000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9727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22000</w:t>
            </w:r>
          </w:p>
        </w:tc>
      </w:tr>
      <w:tr w14:paraId="5A957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3F0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6FDD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破路施工</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2BF758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路面破开及恢复</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2509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米</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8D5A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8D11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62E8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6000</w:t>
            </w:r>
          </w:p>
        </w:tc>
      </w:tr>
      <w:tr w14:paraId="6BA71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5E70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104</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3959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系统集成调试</w:t>
            </w:r>
          </w:p>
        </w:tc>
        <w:tc>
          <w:tcPr>
            <w:tcW w:w="28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6BE971B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系统整体安装及调试</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1685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333E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4B89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5300</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09D5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5300</w:t>
            </w:r>
          </w:p>
        </w:tc>
      </w:tr>
      <w:tr w14:paraId="701AD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82EB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center"/>
              <w:rPr>
                <w:rFonts w:hint="default"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8"/>
                <w:szCs w:val="28"/>
                <w:u w:val="none"/>
                <w:lang w:val="en-US" w:eastAsia="zh-CN" w:bidi="ar"/>
              </w:rPr>
              <w:tab/>
            </w:r>
            <w:r>
              <w:rPr>
                <w:rFonts w:hint="eastAsia" w:asciiTheme="minorEastAsia" w:hAnsiTheme="minorEastAsia" w:eastAsiaTheme="minorEastAsia" w:cstheme="minorEastAsia"/>
                <w:b/>
                <w:bCs/>
                <w:i w:val="0"/>
                <w:iCs w:val="0"/>
                <w:color w:val="auto"/>
                <w:kern w:val="0"/>
                <w:sz w:val="28"/>
                <w:szCs w:val="28"/>
                <w:u w:val="none"/>
                <w:lang w:val="en-US" w:eastAsia="zh-CN" w:bidi="ar"/>
              </w:rPr>
              <w:t>二、商务要求</w:t>
            </w:r>
          </w:p>
        </w:tc>
      </w:tr>
      <w:tr w14:paraId="18D0F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77"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7D5243E6">
            <w:pPr>
              <w:spacing w:line="360" w:lineRule="auto"/>
              <w:ind w:left="0" w:leftChars="0" w:right="0" w:rightChars="0" w:firstLine="0" w:firstLineChars="0"/>
              <w:jc w:val="center"/>
              <w:rPr>
                <w:rFonts w:hint="eastAsia" w:asciiTheme="minorEastAsia" w:hAnsiTheme="minorEastAsia" w:eastAsiaTheme="minorEastAsia" w:cstheme="minorEastAsia"/>
                <w:color w:val="auto"/>
                <w:sz w:val="21"/>
                <w:szCs w:val="21"/>
              </w:rPr>
            </w:pPr>
          </w:p>
          <w:p w14:paraId="077F5D1E">
            <w:pPr>
              <w:spacing w:line="360" w:lineRule="auto"/>
              <w:ind w:left="0" w:leftChars="0" w:right="0" w:rightChars="0" w:firstLine="0" w:firstLineChars="0"/>
              <w:jc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color w:val="auto"/>
                <w:sz w:val="21"/>
                <w:szCs w:val="21"/>
              </w:rPr>
              <w:t>售后服务要求</w:t>
            </w:r>
          </w:p>
        </w:tc>
        <w:tc>
          <w:tcPr>
            <w:tcW w:w="4322" w:type="pct"/>
            <w:gridSpan w:val="5"/>
            <w:tcBorders>
              <w:top w:val="single" w:color="000000" w:sz="4" w:space="0"/>
              <w:left w:val="single" w:color="auto" w:sz="4" w:space="0"/>
              <w:bottom w:val="single" w:color="000000" w:sz="4" w:space="0"/>
              <w:right w:val="single" w:color="000000" w:sz="4" w:space="0"/>
            </w:tcBorders>
            <w:shd w:val="clear" w:color="auto" w:fill="auto"/>
            <w:noWrap/>
            <w:vAlign w:val="center"/>
          </w:tcPr>
          <w:p w14:paraId="5813AD63">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1.负责免费送货上门，负责免费安装、调试合格。</w:t>
            </w:r>
          </w:p>
          <w:p w14:paraId="0F267D80">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2.免费提供现场技术培训，保证使用人员正常操作设备的各种功能，终身提供免费技术支持。</w:t>
            </w:r>
          </w:p>
          <w:p w14:paraId="13D2F72E">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3.每</w:t>
            </w:r>
            <w:r>
              <w:rPr>
                <w:rFonts w:hint="eastAsia" w:asciiTheme="minorEastAsia" w:hAnsiTheme="minorEastAsia" w:eastAsiaTheme="minorEastAsia" w:cstheme="minorEastAsia"/>
                <w:color w:val="auto"/>
                <w:sz w:val="21"/>
                <w:szCs w:val="21"/>
                <w:lang w:val="en-US" w:eastAsia="zh-CN"/>
              </w:rPr>
              <w:t>月</w:t>
            </w:r>
            <w:r>
              <w:rPr>
                <w:rFonts w:hint="eastAsia" w:asciiTheme="minorEastAsia" w:hAnsiTheme="minorEastAsia" w:eastAsiaTheme="minorEastAsia" w:cstheme="minorEastAsia"/>
                <w:color w:val="auto"/>
                <w:sz w:val="21"/>
                <w:szCs w:val="21"/>
              </w:rPr>
              <w:t>回访，收集用户使用问题提高设备使用效能。</w:t>
            </w:r>
          </w:p>
          <w:p w14:paraId="63B62492">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4.设备自带软件的在免费保修期内免费升级；</w:t>
            </w:r>
          </w:p>
          <w:p w14:paraId="754AC908">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5.所采购设备必须原厂生产的全新合格产品，产品质量符合国家相关标准和安全规范。</w:t>
            </w:r>
          </w:p>
          <w:p w14:paraId="361C69AF">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6.采购货物价格包含货物、随配附件、备品备件、工具、运抵指定交货地点、现场安装调试的各种费用和售后服务、税金等所有成本费用的总和；</w:t>
            </w:r>
          </w:p>
          <w:p w14:paraId="014B3DE0">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7.产权归属：所有设备（含前端、后台设备等，不包括光纤电路）合同货款全部付清后产权归采购人所有；</w:t>
            </w:r>
          </w:p>
          <w:p w14:paraId="504E2AEA">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8.维护服务：</w:t>
            </w:r>
          </w:p>
          <w:p w14:paraId="60333078">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设备质保期一年，免费维保</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从项目完成验收之日起计算</w:t>
            </w:r>
            <w:r>
              <w:rPr>
                <w:rFonts w:hint="eastAsia" w:asciiTheme="minorEastAsia" w:hAnsiTheme="minorEastAsia" w:eastAsiaTheme="minorEastAsia" w:cstheme="minorEastAsia"/>
                <w:color w:val="auto"/>
                <w:sz w:val="21"/>
                <w:szCs w:val="21"/>
              </w:rPr>
              <w:t>。</w:t>
            </w:r>
          </w:p>
          <w:p w14:paraId="0DC1F2CE">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本次项目总体运维，设备维护，含电话技术支持、现场技术支持服务、用户培训、售后管理，7</w:t>
            </w:r>
            <w:r>
              <w:rPr>
                <w:rFonts w:hint="default" w:ascii="Arial" w:hAnsi="Arial" w:cs="Arial" w:eastAsiaTheme="minorEastAsia"/>
                <w:color w:val="auto"/>
                <w:sz w:val="21"/>
                <w:szCs w:val="21"/>
              </w:rPr>
              <w:t>×</w:t>
            </w:r>
            <w:r>
              <w:rPr>
                <w:rFonts w:hint="eastAsia" w:asciiTheme="minorEastAsia" w:hAnsiTheme="minorEastAsia" w:eastAsiaTheme="minorEastAsia" w:cstheme="minorEastAsia"/>
                <w:color w:val="auto"/>
                <w:sz w:val="21"/>
                <w:szCs w:val="21"/>
              </w:rPr>
              <w:t>24小时响应等费用；紧急故障处理，</w:t>
            </w:r>
            <w:r>
              <w:rPr>
                <w:rFonts w:hint="eastAsia" w:asciiTheme="minorEastAsia" w:hAnsiTheme="minorEastAsia" w:eastAsiaTheme="minorEastAsia" w:cstheme="minorEastAsia"/>
                <w:color w:val="auto"/>
                <w:sz w:val="21"/>
                <w:szCs w:val="21"/>
                <w:lang w:val="en-US" w:eastAsia="zh-CN"/>
              </w:rPr>
              <w:t>须在1</w:t>
            </w:r>
            <w:r>
              <w:rPr>
                <w:rFonts w:hint="eastAsia" w:asciiTheme="minorEastAsia" w:hAnsiTheme="minorEastAsia" w:eastAsiaTheme="minorEastAsia" w:cstheme="minorEastAsia"/>
                <w:color w:val="auto"/>
                <w:sz w:val="21"/>
                <w:szCs w:val="21"/>
              </w:rPr>
              <w:t>小时内响应，必须在</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小时之内赴现场处理。不需要更换备件的条件下应在</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rPr>
              <w:t>小时内解除故障,需要更换设备时应在48小时内解除故障。</w:t>
            </w:r>
          </w:p>
          <w:p w14:paraId="50643AFF">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提供本项目前端主要设备的关键零部件（电源适配器、5口交换机、空气开关、排插、6类网线）易损易耗件库，一旦发现损坏马上更换；提供设备的故障维修；</w:t>
            </w:r>
          </w:p>
          <w:p w14:paraId="0CCEED7E">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对于存储的数据，进行有效的管理和分类，以便能够快速检索和调用所需的信息。</w:t>
            </w:r>
          </w:p>
          <w:p w14:paraId="0CFB7EF3">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定期巡检：每</w:t>
            </w:r>
            <w:r>
              <w:rPr>
                <w:rFonts w:hint="eastAsia" w:asciiTheme="minorEastAsia" w:hAnsiTheme="minorEastAsia" w:eastAsiaTheme="minorEastAsia" w:cstheme="minorEastAsia"/>
                <w:color w:val="auto"/>
                <w:sz w:val="21"/>
                <w:szCs w:val="21"/>
                <w:lang w:val="en-US" w:eastAsia="zh-CN"/>
              </w:rPr>
              <w:t>季度</w:t>
            </w:r>
            <w:r>
              <w:rPr>
                <w:rFonts w:hint="eastAsia" w:asciiTheme="minorEastAsia" w:hAnsiTheme="minorEastAsia" w:eastAsiaTheme="minorEastAsia" w:cstheme="minorEastAsia"/>
                <w:color w:val="auto"/>
                <w:sz w:val="21"/>
                <w:szCs w:val="21"/>
              </w:rPr>
              <w:t>一次对各类硬件设备进行现场的检查，以提前发现潜在问题。</w:t>
            </w:r>
          </w:p>
          <w:p w14:paraId="199D3E04">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rPr>
              <w:t>故障排查与修复：当设备出现故障时，迅速定位并解决问题，确保设备尽快恢复正常运行。</w:t>
            </w:r>
          </w:p>
          <w:p w14:paraId="45C425C6">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清洁与保养：保持设备的清洁，确保良好的散热和运行环境，延长设备使用寿命。</w:t>
            </w:r>
          </w:p>
          <w:p w14:paraId="2438560C">
            <w:pPr>
              <w:spacing w:line="360" w:lineRule="auto"/>
              <w:ind w:firstLine="420" w:firstLineChars="200"/>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rPr>
              <w:t>对于设备的日常维护，安排专人对设备性能优化提供建议及支持，并建立维护工作月报告，向用户提供详细技术文档等资料。</w:t>
            </w:r>
          </w:p>
        </w:tc>
      </w:tr>
      <w:tr w14:paraId="41715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77"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425E117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color w:val="auto"/>
                <w:sz w:val="21"/>
                <w:szCs w:val="21"/>
              </w:rPr>
              <w:t>交付时间及地点</w:t>
            </w:r>
          </w:p>
        </w:tc>
        <w:tc>
          <w:tcPr>
            <w:tcW w:w="4322" w:type="pct"/>
            <w:gridSpan w:val="5"/>
            <w:tcBorders>
              <w:top w:val="single" w:color="000000" w:sz="4" w:space="0"/>
              <w:left w:val="single" w:color="auto" w:sz="4" w:space="0"/>
              <w:bottom w:val="single" w:color="000000" w:sz="4" w:space="0"/>
              <w:right w:val="single" w:color="000000" w:sz="4" w:space="0"/>
            </w:tcBorders>
            <w:shd w:val="clear" w:color="auto" w:fill="auto"/>
            <w:noWrap/>
            <w:vAlign w:val="center"/>
          </w:tcPr>
          <w:p w14:paraId="352D5246">
            <w:pPr>
              <w:spacing w:line="360" w:lineRule="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1.交付时间：自签订合同之日起</w:t>
            </w:r>
            <w:r>
              <w:rPr>
                <w:rFonts w:hint="eastAsia" w:asciiTheme="minorEastAsia" w:hAnsiTheme="minorEastAsia" w:eastAsiaTheme="minorEastAsia" w:cstheme="minorEastAsia"/>
                <w:color w:val="auto"/>
                <w:sz w:val="21"/>
                <w:szCs w:val="21"/>
                <w:lang w:val="en-US" w:eastAsia="zh-CN"/>
              </w:rPr>
              <w:t>45</w:t>
            </w:r>
            <w:r>
              <w:rPr>
                <w:rFonts w:hint="eastAsia" w:asciiTheme="minorEastAsia" w:hAnsiTheme="minorEastAsia" w:eastAsiaTheme="minorEastAsia" w:cstheme="minorEastAsia"/>
                <w:color w:val="auto"/>
                <w:sz w:val="21"/>
                <w:szCs w:val="21"/>
              </w:rPr>
              <w:t>个日历日内交付全部货物并安装调试完毕交付使用</w:t>
            </w:r>
            <w:r>
              <w:rPr>
                <w:rFonts w:hint="eastAsia" w:asciiTheme="minorEastAsia" w:hAnsiTheme="minorEastAsia" w:eastAsiaTheme="minorEastAsia" w:cstheme="minorEastAsia"/>
                <w:color w:val="auto"/>
                <w:sz w:val="21"/>
                <w:szCs w:val="21"/>
                <w:lang w:eastAsia="zh-CN"/>
              </w:rPr>
              <w:t>。</w:t>
            </w:r>
          </w:p>
          <w:p w14:paraId="71B0C9FF">
            <w:pPr>
              <w:spacing w:line="360" w:lineRule="auto"/>
              <w:ind w:firstLine="420" w:firstLineChars="200"/>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.交付地点：采购人指定地点。</w:t>
            </w:r>
          </w:p>
        </w:tc>
      </w:tr>
      <w:tr w14:paraId="3D7E9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77"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0B52D77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color w:val="auto"/>
                <w:sz w:val="21"/>
                <w:szCs w:val="21"/>
              </w:rPr>
              <w:t>合同签订时间</w:t>
            </w:r>
          </w:p>
        </w:tc>
        <w:tc>
          <w:tcPr>
            <w:tcW w:w="4322" w:type="pct"/>
            <w:gridSpan w:val="5"/>
            <w:tcBorders>
              <w:top w:val="single" w:color="000000" w:sz="4" w:space="0"/>
              <w:left w:val="single" w:color="auto" w:sz="4" w:space="0"/>
              <w:bottom w:val="single" w:color="000000" w:sz="4" w:space="0"/>
              <w:right w:val="single" w:color="000000" w:sz="4" w:space="0"/>
            </w:tcBorders>
            <w:shd w:val="clear" w:color="auto" w:fill="auto"/>
            <w:noWrap/>
            <w:vAlign w:val="center"/>
          </w:tcPr>
          <w:p w14:paraId="2F9D490B">
            <w:pPr>
              <w:spacing w:line="360" w:lineRule="auto"/>
              <w:ind w:firstLine="420" w:firstLineChars="200"/>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color w:val="auto"/>
                <w:kern w:val="0"/>
                <w:sz w:val="21"/>
                <w:szCs w:val="21"/>
                <w:highlight w:val="none"/>
              </w:rPr>
              <w:t>成交通知书发出之日起8个工作日内</w:t>
            </w:r>
            <w:r>
              <w:rPr>
                <w:rFonts w:hint="eastAsia" w:asciiTheme="minorEastAsia" w:hAnsiTheme="minorEastAsia" w:eastAsiaTheme="minorEastAsia" w:cstheme="minorEastAsia"/>
                <w:color w:val="auto"/>
                <w:kern w:val="0"/>
                <w:sz w:val="21"/>
                <w:szCs w:val="21"/>
                <w:highlight w:val="none"/>
                <w:lang w:eastAsia="zh-CN"/>
              </w:rPr>
              <w:t>。</w:t>
            </w:r>
          </w:p>
        </w:tc>
      </w:tr>
      <w:tr w14:paraId="60CB8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77"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1942CB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color w:val="auto"/>
                <w:sz w:val="21"/>
                <w:szCs w:val="21"/>
              </w:rPr>
              <w:t>付款条件</w:t>
            </w:r>
          </w:p>
        </w:tc>
        <w:tc>
          <w:tcPr>
            <w:tcW w:w="4322" w:type="pct"/>
            <w:gridSpan w:val="5"/>
            <w:tcBorders>
              <w:top w:val="single" w:color="000000" w:sz="4" w:space="0"/>
              <w:left w:val="single" w:color="auto" w:sz="4" w:space="0"/>
              <w:bottom w:val="single" w:color="000000" w:sz="4" w:space="0"/>
              <w:right w:val="single" w:color="000000" w:sz="4" w:space="0"/>
            </w:tcBorders>
            <w:shd w:val="clear" w:color="auto" w:fill="auto"/>
            <w:noWrap/>
            <w:vAlign w:val="center"/>
          </w:tcPr>
          <w:p w14:paraId="667A8A51">
            <w:pPr>
              <w:spacing w:line="360" w:lineRule="auto"/>
              <w:ind w:firstLine="420" w:firstLineChars="200"/>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color w:val="auto"/>
                <w:sz w:val="21"/>
                <w:szCs w:val="21"/>
                <w:lang w:val="en-US" w:eastAsia="zh-CN"/>
              </w:rPr>
              <w:t>采购合同范围内全部设备完成</w:t>
            </w:r>
            <w:r>
              <w:rPr>
                <w:rFonts w:hint="eastAsia" w:asciiTheme="minorEastAsia" w:hAnsiTheme="minorEastAsia" w:eastAsiaTheme="minorEastAsia" w:cstheme="minorEastAsia"/>
                <w:color w:val="auto"/>
                <w:sz w:val="21"/>
                <w:szCs w:val="21"/>
              </w:rPr>
              <w:t>安装调试</w:t>
            </w:r>
            <w:r>
              <w:rPr>
                <w:rFonts w:hint="eastAsia" w:asciiTheme="minorEastAsia" w:hAnsiTheme="minorEastAsia" w:eastAsiaTheme="minorEastAsia" w:cstheme="minorEastAsia"/>
                <w:color w:val="auto"/>
                <w:sz w:val="21"/>
                <w:szCs w:val="21"/>
                <w:lang w:val="en-US" w:eastAsia="zh-CN"/>
              </w:rPr>
              <w:t>并</w:t>
            </w:r>
            <w:r>
              <w:rPr>
                <w:rFonts w:hint="eastAsia" w:asciiTheme="minorEastAsia" w:hAnsiTheme="minorEastAsia" w:eastAsiaTheme="minorEastAsia" w:cstheme="minorEastAsia"/>
                <w:color w:val="auto"/>
                <w:sz w:val="21"/>
                <w:szCs w:val="21"/>
              </w:rPr>
              <w:t>通过验收</w:t>
            </w:r>
            <w:r>
              <w:rPr>
                <w:rFonts w:hint="eastAsia" w:asciiTheme="minorEastAsia" w:hAnsiTheme="minorEastAsia" w:eastAsiaTheme="minorEastAsia" w:cstheme="minorEastAsia"/>
                <w:color w:val="auto"/>
                <w:sz w:val="21"/>
                <w:szCs w:val="21"/>
                <w:lang w:val="en-US" w:eastAsia="zh-CN"/>
              </w:rPr>
              <w:t>合格</w:t>
            </w:r>
            <w:r>
              <w:rPr>
                <w:rFonts w:hint="eastAsia" w:asciiTheme="minorEastAsia" w:hAnsiTheme="minorEastAsia" w:eastAsiaTheme="minorEastAsia" w:cstheme="minorEastAsia"/>
                <w:color w:val="auto"/>
                <w:sz w:val="21"/>
                <w:szCs w:val="21"/>
              </w:rPr>
              <w:t>后，</w:t>
            </w:r>
            <w:r>
              <w:rPr>
                <w:rFonts w:hint="eastAsia" w:asciiTheme="minorEastAsia" w:hAnsiTheme="minorEastAsia" w:eastAsiaTheme="minorEastAsia" w:cstheme="minorEastAsia"/>
                <w:color w:val="auto"/>
                <w:sz w:val="21"/>
                <w:szCs w:val="21"/>
                <w:lang w:val="en-US" w:eastAsia="zh-CN"/>
              </w:rPr>
              <w:t>成交供应商开具正规发票，</w:t>
            </w:r>
            <w:r>
              <w:rPr>
                <w:rFonts w:hint="eastAsia" w:asciiTheme="minorEastAsia" w:hAnsiTheme="minorEastAsia" w:eastAsiaTheme="minorEastAsia" w:cstheme="minorEastAsia"/>
                <w:color w:val="auto"/>
                <w:sz w:val="21"/>
                <w:szCs w:val="21"/>
              </w:rPr>
              <w:t>采购人</w:t>
            </w:r>
            <w:r>
              <w:rPr>
                <w:rFonts w:hint="eastAsia" w:asciiTheme="minorEastAsia" w:hAnsiTheme="minorEastAsia" w:eastAsiaTheme="minorEastAsia" w:cstheme="minorEastAsia"/>
                <w:color w:val="auto"/>
                <w:sz w:val="21"/>
                <w:szCs w:val="21"/>
                <w:lang w:val="en-US" w:eastAsia="zh-CN"/>
              </w:rPr>
              <w:t>在</w:t>
            </w:r>
            <w:r>
              <w:rPr>
                <w:rFonts w:hint="eastAsia" w:asciiTheme="minorEastAsia" w:hAnsiTheme="minorEastAsia" w:eastAsiaTheme="minorEastAsia" w:cstheme="minorEastAsia"/>
                <w:color w:val="auto"/>
                <w:sz w:val="21"/>
                <w:szCs w:val="21"/>
              </w:rPr>
              <w:t>收到发票</w:t>
            </w:r>
            <w:r>
              <w:rPr>
                <w:rFonts w:hint="eastAsia" w:asciiTheme="minorEastAsia" w:hAnsiTheme="minorEastAsia" w:eastAsiaTheme="minorEastAsia" w:cstheme="minorEastAsia"/>
                <w:color w:val="auto"/>
                <w:sz w:val="21"/>
                <w:szCs w:val="21"/>
                <w:lang w:val="en-US" w:eastAsia="zh-CN"/>
              </w:rPr>
              <w:t>60</w:t>
            </w:r>
            <w:r>
              <w:rPr>
                <w:rFonts w:hint="eastAsia" w:asciiTheme="minorEastAsia" w:hAnsiTheme="minorEastAsia" w:eastAsiaTheme="minorEastAsia" w:cstheme="minorEastAsia"/>
                <w:color w:val="auto"/>
                <w:sz w:val="21"/>
                <w:szCs w:val="21"/>
              </w:rPr>
              <w:t>日内</w:t>
            </w:r>
            <w:r>
              <w:rPr>
                <w:rFonts w:hint="eastAsia" w:asciiTheme="minorEastAsia" w:hAnsiTheme="minorEastAsia" w:eastAsiaTheme="minorEastAsia" w:cstheme="minorEastAsia"/>
                <w:color w:val="auto"/>
                <w:sz w:val="21"/>
                <w:szCs w:val="21"/>
                <w:lang w:val="en-US" w:eastAsia="zh-CN"/>
              </w:rPr>
              <w:t>向</w:t>
            </w:r>
            <w:r>
              <w:rPr>
                <w:rFonts w:hint="eastAsia" w:asciiTheme="minorEastAsia" w:hAnsiTheme="minorEastAsia" w:eastAsiaTheme="minorEastAsia" w:cstheme="minorEastAsia"/>
                <w:color w:val="auto"/>
                <w:sz w:val="21"/>
                <w:szCs w:val="21"/>
              </w:rPr>
              <w:t>成交供应商</w:t>
            </w:r>
            <w:r>
              <w:rPr>
                <w:rFonts w:hint="eastAsia" w:asciiTheme="minorEastAsia" w:hAnsiTheme="minorEastAsia" w:eastAsiaTheme="minorEastAsia" w:cstheme="minorEastAsia"/>
                <w:color w:val="auto"/>
                <w:sz w:val="21"/>
                <w:szCs w:val="21"/>
                <w:lang w:val="en-US" w:eastAsia="zh-CN"/>
              </w:rPr>
              <w:t>支付</w:t>
            </w:r>
            <w:r>
              <w:rPr>
                <w:rFonts w:hint="eastAsia" w:asciiTheme="minorEastAsia" w:hAnsiTheme="minorEastAsia" w:eastAsiaTheme="minorEastAsia" w:cstheme="minorEastAsia"/>
                <w:color w:val="auto"/>
                <w:sz w:val="21"/>
                <w:szCs w:val="21"/>
              </w:rPr>
              <w:t>合同总额</w:t>
            </w:r>
            <w:r>
              <w:rPr>
                <w:rFonts w:hint="eastAsia" w:asciiTheme="minorEastAsia" w:hAnsiTheme="minorEastAsia" w:eastAsiaTheme="minorEastAsia" w:cstheme="minorEastAsia"/>
                <w:color w:val="auto"/>
                <w:sz w:val="21"/>
                <w:szCs w:val="21"/>
                <w:lang w:val="en-US" w:eastAsia="zh-CN"/>
              </w:rPr>
              <w:t>100</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的货款</w:t>
            </w:r>
            <w:r>
              <w:rPr>
                <w:rFonts w:hint="eastAsia" w:asciiTheme="minorEastAsia" w:hAnsiTheme="minorEastAsia" w:eastAsiaTheme="minorEastAsia" w:cstheme="minorEastAsia"/>
                <w:color w:val="auto"/>
                <w:sz w:val="21"/>
                <w:szCs w:val="21"/>
              </w:rPr>
              <w:t>。</w:t>
            </w:r>
          </w:p>
        </w:tc>
      </w:tr>
      <w:tr w14:paraId="6AFB1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77"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58D8794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质保期</w:t>
            </w:r>
          </w:p>
        </w:tc>
        <w:tc>
          <w:tcPr>
            <w:tcW w:w="4322" w:type="pct"/>
            <w:gridSpan w:val="5"/>
            <w:tcBorders>
              <w:top w:val="single" w:color="000000" w:sz="4" w:space="0"/>
              <w:left w:val="single" w:color="auto" w:sz="4" w:space="0"/>
              <w:bottom w:val="single" w:color="000000" w:sz="4" w:space="0"/>
              <w:right w:val="single" w:color="000000" w:sz="4" w:space="0"/>
            </w:tcBorders>
            <w:shd w:val="clear" w:color="auto" w:fill="auto"/>
            <w:noWrap/>
            <w:vAlign w:val="center"/>
          </w:tcPr>
          <w:p w14:paraId="3EB6FEFB">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 xml:space="preserve">验收通过之日起开始计算保修 </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 xml:space="preserve"> 年。</w:t>
            </w:r>
          </w:p>
        </w:tc>
      </w:tr>
      <w:tr w14:paraId="22FD3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77"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636C1B4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rPr>
            </w:pPr>
          </w:p>
          <w:p w14:paraId="2896E02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rPr>
            </w:pPr>
          </w:p>
          <w:p w14:paraId="0BEFAA8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投标报价说明</w:t>
            </w:r>
          </w:p>
        </w:tc>
        <w:tc>
          <w:tcPr>
            <w:tcW w:w="4322" w:type="pct"/>
            <w:gridSpan w:val="5"/>
            <w:tcBorders>
              <w:top w:val="single" w:color="000000" w:sz="4" w:space="0"/>
              <w:left w:val="single" w:color="auto" w:sz="4" w:space="0"/>
              <w:bottom w:val="single" w:color="000000" w:sz="4" w:space="0"/>
              <w:right w:val="single" w:color="000000" w:sz="4" w:space="0"/>
            </w:tcBorders>
            <w:shd w:val="clear" w:color="auto" w:fill="auto"/>
            <w:noWrap/>
            <w:vAlign w:val="center"/>
          </w:tcPr>
          <w:p w14:paraId="49FD6ECE">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bCs w:val="0"/>
                <w:color w:val="auto"/>
                <w:sz w:val="21"/>
                <w:szCs w:val="21"/>
                <w:highlight w:val="none"/>
              </w:rPr>
              <w:t>供应商谈判报价</w:t>
            </w:r>
            <w:r>
              <w:rPr>
                <w:rFonts w:hint="eastAsia" w:asciiTheme="minorEastAsia" w:hAnsiTheme="minorEastAsia" w:eastAsiaTheme="minorEastAsia" w:cstheme="minorEastAsia"/>
                <w:color w:val="auto"/>
                <w:sz w:val="21"/>
                <w:szCs w:val="21"/>
              </w:rPr>
              <w:t>应包含货物、货物标准附件、备品备件、专用工具、设备安装辅材、施工辅材、包装、运输、装卸、保险、货到就位的各种费用以及安装、调试、税金、售后服务、技术培训及其他所有成本费用；采购人不再支付任何费用。</w:t>
            </w:r>
          </w:p>
          <w:p w14:paraId="1C5A9775">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供应商</w:t>
            </w:r>
            <w:r>
              <w:rPr>
                <w:rFonts w:hint="eastAsia" w:asciiTheme="minorEastAsia" w:hAnsiTheme="minorEastAsia" w:eastAsiaTheme="minorEastAsia" w:cstheme="minorEastAsia"/>
                <w:color w:val="auto"/>
                <w:sz w:val="21"/>
                <w:szCs w:val="21"/>
              </w:rPr>
              <w:t>负责工人人身</w:t>
            </w:r>
            <w:r>
              <w:rPr>
                <w:rFonts w:hint="eastAsia" w:asciiTheme="minorEastAsia" w:hAnsiTheme="minorEastAsia" w:eastAsiaTheme="minorEastAsia" w:cstheme="minorEastAsia"/>
                <w:color w:val="auto"/>
                <w:sz w:val="21"/>
                <w:szCs w:val="21"/>
                <w:lang w:val="en-US" w:eastAsia="zh-CN"/>
              </w:rPr>
              <w:t>和</w:t>
            </w:r>
            <w:r>
              <w:rPr>
                <w:rFonts w:hint="eastAsia" w:asciiTheme="minorEastAsia" w:hAnsiTheme="minorEastAsia" w:eastAsiaTheme="minorEastAsia" w:cstheme="minorEastAsia"/>
                <w:color w:val="auto"/>
                <w:sz w:val="21"/>
                <w:szCs w:val="21"/>
              </w:rPr>
              <w:t>设备安全责任，验收前，设备丢失自行负责。</w:t>
            </w:r>
          </w:p>
        </w:tc>
      </w:tr>
      <w:tr w14:paraId="6370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77"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44B72F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规范标准</w:t>
            </w:r>
          </w:p>
        </w:tc>
        <w:tc>
          <w:tcPr>
            <w:tcW w:w="4322" w:type="pct"/>
            <w:gridSpan w:val="5"/>
            <w:tcBorders>
              <w:top w:val="single" w:color="000000" w:sz="4" w:space="0"/>
              <w:left w:val="single" w:color="auto" w:sz="4" w:space="0"/>
              <w:bottom w:val="single" w:color="000000" w:sz="4" w:space="0"/>
              <w:right w:val="single" w:color="000000" w:sz="4" w:space="0"/>
            </w:tcBorders>
            <w:shd w:val="clear" w:color="auto" w:fill="auto"/>
            <w:noWrap/>
            <w:vAlign w:val="center"/>
          </w:tcPr>
          <w:p w14:paraId="404B3D14">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项目如有国家相关标准、行业标准、地方标准或者其他标准、规范的，应执行相应的标准、规范。如具体采购需求与标准、规范不一致的，高于标准、规范的按具体采购需求执行，低于标准、规范的按标准、规范执行。</w:t>
            </w:r>
          </w:p>
        </w:tc>
      </w:tr>
      <w:tr w14:paraId="5FC9D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8" w:hRule="atLeast"/>
        </w:trPr>
        <w:tc>
          <w:tcPr>
            <w:tcW w:w="677"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02CA211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rPr>
            </w:pPr>
          </w:p>
          <w:p w14:paraId="32C514D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rPr>
            </w:pPr>
          </w:p>
          <w:p w14:paraId="26A77A8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采购标的验收标准</w:t>
            </w:r>
          </w:p>
        </w:tc>
        <w:tc>
          <w:tcPr>
            <w:tcW w:w="4322" w:type="pct"/>
            <w:gridSpan w:val="5"/>
            <w:tcBorders>
              <w:top w:val="single" w:color="000000" w:sz="4" w:space="0"/>
              <w:left w:val="single" w:color="auto" w:sz="4" w:space="0"/>
              <w:bottom w:val="single" w:color="000000" w:sz="4" w:space="0"/>
              <w:right w:val="single" w:color="000000" w:sz="4" w:space="0"/>
            </w:tcBorders>
            <w:shd w:val="clear" w:color="auto" w:fill="auto"/>
            <w:noWrap/>
            <w:vAlign w:val="center"/>
          </w:tcPr>
          <w:p w14:paraId="760C2ED7">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1、验收过程中所产生的一切费用均由</w:t>
            </w:r>
            <w:r>
              <w:rPr>
                <w:rFonts w:hint="eastAsia" w:asciiTheme="minorEastAsia" w:hAnsiTheme="minorEastAsia" w:eastAsiaTheme="minorEastAsia" w:cstheme="minorEastAsia"/>
                <w:color w:val="auto"/>
                <w:sz w:val="21"/>
                <w:szCs w:val="21"/>
                <w:lang w:eastAsia="zh-CN"/>
              </w:rPr>
              <w:t>成交单位</w:t>
            </w:r>
            <w:r>
              <w:rPr>
                <w:rFonts w:hint="eastAsia" w:asciiTheme="minorEastAsia" w:hAnsiTheme="minorEastAsia" w:eastAsiaTheme="minorEastAsia" w:cstheme="minorEastAsia"/>
                <w:color w:val="auto"/>
                <w:sz w:val="21"/>
                <w:szCs w:val="21"/>
              </w:rPr>
              <w:t>承担。报价时应考虑相关费用。</w:t>
            </w:r>
          </w:p>
          <w:p w14:paraId="167C3054">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eastAsia="zh-CN"/>
              </w:rPr>
              <w:t>成交单位</w:t>
            </w:r>
            <w:r>
              <w:rPr>
                <w:rFonts w:hint="eastAsia" w:asciiTheme="minorEastAsia" w:hAnsiTheme="minorEastAsia" w:eastAsiaTheme="minorEastAsia" w:cstheme="minorEastAsia"/>
                <w:color w:val="auto"/>
                <w:sz w:val="21"/>
                <w:szCs w:val="21"/>
              </w:rPr>
              <w:t>在货物验收时由采购单位对照</w:t>
            </w:r>
            <w:r>
              <w:rPr>
                <w:rFonts w:hint="eastAsia" w:asciiTheme="minorEastAsia" w:hAnsiTheme="minorEastAsia" w:eastAsiaTheme="minorEastAsia" w:cstheme="minorEastAsia"/>
                <w:color w:val="auto"/>
                <w:sz w:val="21"/>
                <w:szCs w:val="21"/>
                <w:lang w:eastAsia="zh-CN"/>
              </w:rPr>
              <w:t>竞争性谈判文件</w:t>
            </w:r>
            <w:r>
              <w:rPr>
                <w:rFonts w:hint="eastAsia" w:asciiTheme="minorEastAsia" w:hAnsiTheme="minorEastAsia" w:eastAsiaTheme="minorEastAsia" w:cstheme="minorEastAsia"/>
                <w:color w:val="auto"/>
                <w:sz w:val="21"/>
                <w:szCs w:val="21"/>
              </w:rPr>
              <w:t>的功能目标及技术指标全面核对检验，对所有要求出具的证明文件的原件进行核查，如不符合</w:t>
            </w:r>
            <w:r>
              <w:rPr>
                <w:rFonts w:hint="eastAsia" w:asciiTheme="minorEastAsia" w:hAnsiTheme="minorEastAsia" w:eastAsiaTheme="minorEastAsia" w:cstheme="minorEastAsia"/>
                <w:color w:val="auto"/>
                <w:sz w:val="21"/>
                <w:szCs w:val="21"/>
                <w:lang w:eastAsia="zh-CN"/>
              </w:rPr>
              <w:t>竞争性谈判文件</w:t>
            </w:r>
            <w:r>
              <w:rPr>
                <w:rFonts w:hint="eastAsia" w:asciiTheme="minorEastAsia" w:hAnsiTheme="minorEastAsia" w:eastAsiaTheme="minorEastAsia" w:cstheme="minorEastAsia"/>
                <w:color w:val="auto"/>
                <w:sz w:val="21"/>
                <w:szCs w:val="21"/>
              </w:rPr>
              <w:t>的技术需求及要求以及提供虚假承诺的，按相关规定做退货处理及违约处理，</w:t>
            </w:r>
            <w:r>
              <w:rPr>
                <w:rFonts w:hint="eastAsia" w:asciiTheme="minorEastAsia" w:hAnsiTheme="minorEastAsia" w:eastAsiaTheme="minorEastAsia" w:cstheme="minorEastAsia"/>
                <w:color w:val="auto"/>
                <w:sz w:val="21"/>
                <w:szCs w:val="21"/>
                <w:lang w:eastAsia="zh-CN"/>
              </w:rPr>
              <w:t>成交单位</w:t>
            </w:r>
            <w:r>
              <w:rPr>
                <w:rFonts w:hint="eastAsia" w:asciiTheme="minorEastAsia" w:hAnsiTheme="minorEastAsia" w:eastAsiaTheme="minorEastAsia" w:cstheme="minorEastAsia"/>
                <w:color w:val="auto"/>
                <w:sz w:val="21"/>
                <w:szCs w:val="21"/>
              </w:rPr>
              <w:t>承担所有责任和费用，采购人保留进一步追究责任的权利。</w:t>
            </w:r>
          </w:p>
          <w:p w14:paraId="1F12F116">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3、设备核心参数、功能项，采购人有权要求</w:t>
            </w:r>
            <w:r>
              <w:rPr>
                <w:rFonts w:hint="eastAsia" w:asciiTheme="minorEastAsia" w:hAnsiTheme="minorEastAsia" w:eastAsiaTheme="minorEastAsia" w:cstheme="minorEastAsia"/>
                <w:color w:val="auto"/>
                <w:sz w:val="21"/>
                <w:szCs w:val="21"/>
                <w:lang w:eastAsia="zh-CN"/>
              </w:rPr>
              <w:t>成交单位</w:t>
            </w:r>
            <w:r>
              <w:rPr>
                <w:rFonts w:hint="eastAsia" w:asciiTheme="minorEastAsia" w:hAnsiTheme="minorEastAsia" w:eastAsiaTheme="minorEastAsia" w:cstheme="minorEastAsia"/>
                <w:color w:val="auto"/>
                <w:sz w:val="21"/>
                <w:szCs w:val="21"/>
              </w:rPr>
              <w:t>供货时</w:t>
            </w:r>
            <w:r>
              <w:rPr>
                <w:rFonts w:hint="eastAsia" w:asciiTheme="minorEastAsia" w:hAnsiTheme="minorEastAsia" w:eastAsiaTheme="minorEastAsia" w:cstheme="minorEastAsia"/>
                <w:color w:val="auto"/>
                <w:sz w:val="21"/>
                <w:szCs w:val="21"/>
                <w:lang w:eastAsia="zh-CN"/>
              </w:rPr>
              <w:t>提供</w:t>
            </w:r>
            <w:r>
              <w:rPr>
                <w:rFonts w:hint="eastAsia" w:asciiTheme="minorEastAsia" w:hAnsiTheme="minorEastAsia" w:eastAsiaTheme="minorEastAsia" w:cstheme="minorEastAsia"/>
                <w:color w:val="auto"/>
                <w:sz w:val="21"/>
                <w:szCs w:val="21"/>
                <w:lang w:val="en-US" w:eastAsia="zh-CN"/>
              </w:rPr>
              <w:t>由国家认可的正规检测机构出具并带有CMA或CNAS标识的</w:t>
            </w:r>
            <w:r>
              <w:rPr>
                <w:rFonts w:hint="eastAsia" w:asciiTheme="minorEastAsia" w:hAnsiTheme="minorEastAsia" w:eastAsiaTheme="minorEastAsia" w:cstheme="minorEastAsia"/>
                <w:color w:val="auto"/>
                <w:sz w:val="21"/>
                <w:szCs w:val="21"/>
                <w:lang w:eastAsia="zh-CN"/>
              </w:rPr>
              <w:t>检测(检验)</w:t>
            </w:r>
            <w:r>
              <w:rPr>
                <w:rFonts w:hint="eastAsia" w:asciiTheme="minorEastAsia" w:hAnsiTheme="minorEastAsia" w:eastAsiaTheme="minorEastAsia" w:cstheme="minorEastAsia"/>
                <w:color w:val="auto"/>
                <w:sz w:val="21"/>
                <w:szCs w:val="21"/>
                <w:lang w:val="en-US" w:eastAsia="zh-CN"/>
              </w:rPr>
              <w:t>报告的扫描或复印件</w:t>
            </w:r>
            <w:r>
              <w:rPr>
                <w:rFonts w:hint="eastAsia" w:asciiTheme="minorEastAsia" w:hAnsiTheme="minorEastAsia" w:eastAsiaTheme="minorEastAsia" w:cstheme="minorEastAsia"/>
                <w:color w:val="auto"/>
                <w:sz w:val="21"/>
                <w:szCs w:val="21"/>
                <w:lang w:eastAsia="zh-CN"/>
              </w:rPr>
              <w:t>等证明材料</w:t>
            </w:r>
            <w:r>
              <w:rPr>
                <w:rFonts w:hint="eastAsia" w:asciiTheme="minorEastAsia" w:hAnsiTheme="minorEastAsia" w:eastAsiaTheme="minorEastAsia" w:cstheme="minorEastAsia"/>
                <w:color w:val="auto"/>
                <w:sz w:val="21"/>
                <w:szCs w:val="21"/>
              </w:rPr>
              <w:t>，如不能</w:t>
            </w:r>
            <w:r>
              <w:rPr>
                <w:rFonts w:hint="eastAsia" w:asciiTheme="minorEastAsia" w:hAnsiTheme="minorEastAsia" w:eastAsiaTheme="minorEastAsia" w:cstheme="minorEastAsia"/>
                <w:color w:val="auto"/>
                <w:sz w:val="21"/>
                <w:szCs w:val="21"/>
                <w:lang w:eastAsia="zh-CN"/>
              </w:rPr>
              <w:t>提供</w:t>
            </w:r>
            <w:r>
              <w:rPr>
                <w:rFonts w:hint="eastAsia" w:asciiTheme="minorEastAsia" w:hAnsiTheme="minorEastAsia" w:eastAsiaTheme="minorEastAsia" w:cstheme="minorEastAsia"/>
                <w:color w:val="auto"/>
                <w:sz w:val="21"/>
                <w:szCs w:val="21"/>
                <w:lang w:val="en-US" w:eastAsia="zh-CN"/>
              </w:rPr>
              <w:t>由国家认可的正规检测机构出具并带有CMA或CNAS标识的</w:t>
            </w:r>
            <w:r>
              <w:rPr>
                <w:rFonts w:hint="eastAsia" w:asciiTheme="minorEastAsia" w:hAnsiTheme="minorEastAsia" w:eastAsiaTheme="minorEastAsia" w:cstheme="minorEastAsia"/>
                <w:color w:val="auto"/>
                <w:sz w:val="21"/>
                <w:szCs w:val="21"/>
                <w:lang w:eastAsia="zh-CN"/>
              </w:rPr>
              <w:t>检测(检验)</w:t>
            </w:r>
            <w:r>
              <w:rPr>
                <w:rFonts w:hint="eastAsia" w:asciiTheme="minorEastAsia" w:hAnsiTheme="minorEastAsia" w:eastAsiaTheme="minorEastAsia" w:cstheme="minorEastAsia"/>
                <w:color w:val="auto"/>
                <w:sz w:val="21"/>
                <w:szCs w:val="21"/>
                <w:lang w:val="en-US" w:eastAsia="zh-CN"/>
              </w:rPr>
              <w:t>报告的扫描或复印件</w:t>
            </w:r>
            <w:r>
              <w:rPr>
                <w:rFonts w:hint="eastAsia" w:asciiTheme="minorEastAsia" w:hAnsiTheme="minorEastAsia" w:eastAsiaTheme="minorEastAsia" w:cstheme="minorEastAsia"/>
                <w:color w:val="auto"/>
                <w:sz w:val="21"/>
                <w:szCs w:val="21"/>
                <w:lang w:eastAsia="zh-CN"/>
              </w:rPr>
              <w:t>等证明材料</w:t>
            </w:r>
            <w:r>
              <w:rPr>
                <w:rFonts w:hint="eastAsia" w:asciiTheme="minorEastAsia" w:hAnsiTheme="minorEastAsia" w:eastAsiaTheme="minorEastAsia" w:cstheme="minorEastAsia"/>
                <w:color w:val="auto"/>
                <w:sz w:val="21"/>
                <w:szCs w:val="21"/>
              </w:rPr>
              <w:t>，则需提供产品到用户现场（</w:t>
            </w:r>
            <w:r>
              <w:rPr>
                <w:rFonts w:hint="eastAsia" w:asciiTheme="minorEastAsia" w:hAnsiTheme="minorEastAsia" w:eastAsiaTheme="minorEastAsia" w:cstheme="minorEastAsia"/>
                <w:color w:val="auto"/>
                <w:sz w:val="21"/>
                <w:szCs w:val="21"/>
                <w:lang w:eastAsia="zh-CN"/>
              </w:rPr>
              <w:t>采购单位</w:t>
            </w:r>
            <w:r>
              <w:rPr>
                <w:rFonts w:hint="eastAsia" w:asciiTheme="minorEastAsia" w:hAnsiTheme="minorEastAsia" w:eastAsiaTheme="minorEastAsia" w:cstheme="minorEastAsia"/>
                <w:color w:val="auto"/>
                <w:sz w:val="21"/>
                <w:szCs w:val="21"/>
              </w:rPr>
              <w:t>邀请质量监督部门专家）进行招标要求中的性能技术指标测试。测试及邀请质量监督部门专家所产生的费用由</w:t>
            </w:r>
            <w:r>
              <w:rPr>
                <w:rFonts w:hint="eastAsia" w:asciiTheme="minorEastAsia" w:hAnsiTheme="minorEastAsia" w:eastAsiaTheme="minorEastAsia" w:cstheme="minorEastAsia"/>
                <w:color w:val="auto"/>
                <w:sz w:val="21"/>
                <w:szCs w:val="21"/>
                <w:lang w:eastAsia="zh-CN"/>
              </w:rPr>
              <w:t>成交单位</w:t>
            </w:r>
            <w:r>
              <w:rPr>
                <w:rFonts w:hint="eastAsia" w:asciiTheme="minorEastAsia" w:hAnsiTheme="minorEastAsia" w:eastAsiaTheme="minorEastAsia" w:cstheme="minorEastAsia"/>
                <w:color w:val="auto"/>
                <w:sz w:val="21"/>
                <w:szCs w:val="21"/>
              </w:rPr>
              <w:t>承担。若测试结果与投标文件所报技术参数性能不符则</w:t>
            </w:r>
            <w:r>
              <w:rPr>
                <w:rFonts w:hint="eastAsia" w:asciiTheme="minorEastAsia" w:hAnsiTheme="minorEastAsia" w:eastAsiaTheme="minorEastAsia" w:cstheme="minorEastAsia"/>
                <w:color w:val="auto"/>
                <w:sz w:val="21"/>
                <w:szCs w:val="21"/>
                <w:lang w:eastAsia="zh-CN"/>
              </w:rPr>
              <w:t>成交单位</w:t>
            </w:r>
            <w:r>
              <w:rPr>
                <w:rFonts w:hint="eastAsia" w:asciiTheme="minorEastAsia" w:hAnsiTheme="minorEastAsia" w:eastAsiaTheme="minorEastAsia" w:cstheme="minorEastAsia"/>
                <w:color w:val="auto"/>
                <w:sz w:val="21"/>
                <w:szCs w:val="21"/>
              </w:rPr>
              <w:t>须承担相关法律责任，采购人有权报相关政府采购监督管理部门进行处理，并保留追究其法律责任的权利。</w:t>
            </w:r>
          </w:p>
        </w:tc>
      </w:tr>
      <w:tr w14:paraId="0E550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77"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72CA364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产权</w:t>
            </w:r>
          </w:p>
        </w:tc>
        <w:tc>
          <w:tcPr>
            <w:tcW w:w="4322" w:type="pct"/>
            <w:gridSpan w:val="5"/>
            <w:tcBorders>
              <w:top w:val="single" w:color="000000" w:sz="4" w:space="0"/>
              <w:left w:val="single" w:color="auto" w:sz="4" w:space="0"/>
              <w:bottom w:val="single" w:color="000000" w:sz="4" w:space="0"/>
              <w:right w:val="single" w:color="000000" w:sz="4" w:space="0"/>
            </w:tcBorders>
            <w:shd w:val="clear" w:color="auto" w:fill="auto"/>
            <w:noWrap/>
            <w:vAlign w:val="center"/>
          </w:tcPr>
          <w:p w14:paraId="4F472379">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1.如采购项目涉及采购标的的知识产权归属的，产权归属为采购人；</w:t>
            </w:r>
          </w:p>
          <w:p w14:paraId="62D9E491">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2.处理方式：采购人在中华人民共和国境内使用</w:t>
            </w:r>
            <w:r>
              <w:rPr>
                <w:rFonts w:hint="eastAsia" w:asciiTheme="minorEastAsia" w:hAnsiTheme="minorEastAsia" w:eastAsiaTheme="minorEastAsia" w:cstheme="minorEastAsia"/>
                <w:color w:val="auto"/>
                <w:sz w:val="21"/>
                <w:szCs w:val="21"/>
                <w:lang w:eastAsia="zh-CN"/>
              </w:rPr>
              <w:t>成交单位</w:t>
            </w:r>
            <w:r>
              <w:rPr>
                <w:rFonts w:hint="eastAsia" w:asciiTheme="minorEastAsia" w:hAnsiTheme="minorEastAsia" w:eastAsiaTheme="minorEastAsia" w:cstheme="minorEastAsia"/>
                <w:color w:val="auto"/>
                <w:sz w:val="21"/>
                <w:szCs w:val="21"/>
              </w:rPr>
              <w:t>提供的产品及服务时免受第三方提出的侵犯其专利权或其它知识产权的起诉</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如果第三方提出侵权指控，</w:t>
            </w:r>
            <w:r>
              <w:rPr>
                <w:rFonts w:hint="eastAsia" w:asciiTheme="minorEastAsia" w:hAnsiTheme="minorEastAsia" w:eastAsiaTheme="minorEastAsia" w:cstheme="minorEastAsia"/>
                <w:color w:val="auto"/>
                <w:sz w:val="21"/>
                <w:szCs w:val="21"/>
                <w:lang w:eastAsia="zh-CN"/>
              </w:rPr>
              <w:t>成交单位</w:t>
            </w:r>
            <w:r>
              <w:rPr>
                <w:rFonts w:hint="eastAsia" w:asciiTheme="minorEastAsia" w:hAnsiTheme="minorEastAsia" w:eastAsiaTheme="minorEastAsia" w:cstheme="minorEastAsia"/>
                <w:color w:val="auto"/>
                <w:sz w:val="21"/>
                <w:szCs w:val="21"/>
              </w:rPr>
              <w:t>应承担由此而引起的一切法律责任和费用。</w:t>
            </w:r>
          </w:p>
        </w:tc>
      </w:tr>
      <w:tr w14:paraId="518BF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77"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117E437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核心产品</w:t>
            </w:r>
          </w:p>
        </w:tc>
        <w:tc>
          <w:tcPr>
            <w:tcW w:w="4322" w:type="pct"/>
            <w:gridSpan w:val="5"/>
            <w:tcBorders>
              <w:top w:val="single" w:color="000000" w:sz="4" w:space="0"/>
              <w:left w:val="single" w:color="auto" w:sz="4" w:space="0"/>
              <w:bottom w:val="single" w:color="000000" w:sz="4" w:space="0"/>
              <w:right w:val="single" w:color="000000" w:sz="4" w:space="0"/>
            </w:tcBorders>
            <w:shd w:val="clear" w:color="auto" w:fill="auto"/>
            <w:noWrap/>
            <w:vAlign w:val="center"/>
          </w:tcPr>
          <w:p w14:paraId="61EFC562">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本</w:t>
            </w:r>
            <w:r>
              <w:rPr>
                <w:rFonts w:hint="eastAsia" w:asciiTheme="minorEastAsia" w:hAnsiTheme="minorEastAsia" w:eastAsiaTheme="minorEastAsia" w:cstheme="minorEastAsia"/>
                <w:b/>
                <w:bCs/>
                <w:color w:val="auto"/>
                <w:sz w:val="21"/>
                <w:szCs w:val="21"/>
                <w:lang w:val="en-US" w:eastAsia="zh-CN"/>
              </w:rPr>
              <w:t>项目</w:t>
            </w:r>
            <w:r>
              <w:rPr>
                <w:rFonts w:hint="eastAsia" w:asciiTheme="minorEastAsia" w:hAnsiTheme="minorEastAsia" w:eastAsiaTheme="minorEastAsia" w:cstheme="minorEastAsia"/>
                <w:b/>
                <w:bCs/>
                <w:color w:val="auto"/>
                <w:sz w:val="21"/>
                <w:szCs w:val="21"/>
              </w:rPr>
              <w:t>的核心产品为</w:t>
            </w:r>
            <w:r>
              <w:rPr>
                <w:rFonts w:hint="eastAsia" w:asciiTheme="minorEastAsia" w:hAnsiTheme="minorEastAsia" w:eastAsiaTheme="minorEastAsia" w:cstheme="minorEastAsia"/>
                <w:b/>
                <w:bCs/>
                <w:color w:val="auto"/>
                <w:sz w:val="21"/>
                <w:szCs w:val="21"/>
                <w:u w:val="single"/>
                <w:lang w:val="en-US" w:eastAsia="zh-CN"/>
              </w:rPr>
              <w:t xml:space="preserve"> 第2项货物室内枪机 </w:t>
            </w:r>
            <w:r>
              <w:rPr>
                <w:rFonts w:hint="eastAsia" w:asciiTheme="minorEastAsia" w:hAnsiTheme="minorEastAsia" w:eastAsiaTheme="minorEastAsia" w:cstheme="minorEastAsia"/>
                <w:b/>
                <w:bCs/>
                <w:color w:val="auto"/>
                <w:sz w:val="21"/>
                <w:szCs w:val="21"/>
              </w:rPr>
              <w:t>。</w:t>
            </w:r>
            <w:r>
              <w:rPr>
                <w:rFonts w:hint="eastAsia" w:asciiTheme="minorEastAsia" w:hAnsiTheme="minorEastAsia" w:eastAsiaTheme="minorEastAsia" w:cstheme="minorEastAsia"/>
                <w:color w:val="auto"/>
                <w:sz w:val="21"/>
                <w:szCs w:val="21"/>
              </w:rPr>
              <w:t>（核心产品品牌相同的，视为提供同品牌产品）</w:t>
            </w:r>
          </w:p>
          <w:p w14:paraId="4EDF917B">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注：单一产品采购项目，提供相同品牌产品的不同供应商参加同一合同项下竞标的，以其中通过资格审查、符合性审查、谈判且最后报价最低的参加评审；最后报价相同的，由采购人或者采购人委托谈判小组按照竞争性谈判文件规定的方式</w:t>
            </w:r>
            <w:r>
              <w:rPr>
                <w:rFonts w:hint="eastAsia" w:asciiTheme="minorEastAsia" w:hAnsiTheme="minorEastAsia" w:eastAsiaTheme="minorEastAsia" w:cstheme="minorEastAsia"/>
                <w:color w:val="auto"/>
                <w:sz w:val="21"/>
                <w:szCs w:val="21"/>
                <w:lang w:eastAsia="zh-CN"/>
              </w:rPr>
              <w:t>（技术指标高优先、售后服务优先原则）</w:t>
            </w:r>
            <w:r>
              <w:rPr>
                <w:rFonts w:hint="eastAsia" w:asciiTheme="minorEastAsia" w:hAnsiTheme="minorEastAsia" w:eastAsiaTheme="minorEastAsia" w:cstheme="minorEastAsia"/>
                <w:color w:val="auto"/>
                <w:sz w:val="21"/>
                <w:szCs w:val="21"/>
              </w:rPr>
              <w:t>确定一个参加评审的供应商，竞争性谈判文件未规定的采取随机抽取方式确定，其他竞标无效。</w:t>
            </w:r>
          </w:p>
          <w:p w14:paraId="42D4D2FD">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非单一产品采购项目，多家供应商提供的核心产品品牌相同的，按前款规定处理。</w:t>
            </w:r>
          </w:p>
        </w:tc>
      </w:tr>
      <w:tr w14:paraId="61830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77"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4BEE87C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进口产品说明</w:t>
            </w:r>
          </w:p>
        </w:tc>
        <w:tc>
          <w:tcPr>
            <w:tcW w:w="4322" w:type="pct"/>
            <w:gridSpan w:val="5"/>
            <w:tcBorders>
              <w:top w:val="single" w:color="000000" w:sz="4" w:space="0"/>
              <w:left w:val="single" w:color="auto" w:sz="4" w:space="0"/>
              <w:bottom w:val="single" w:color="000000" w:sz="4" w:space="0"/>
              <w:right w:val="single" w:color="000000" w:sz="4" w:space="0"/>
            </w:tcBorders>
            <w:shd w:val="clear" w:color="auto" w:fill="auto"/>
            <w:noWrap/>
            <w:vAlign w:val="center"/>
          </w:tcPr>
          <w:p w14:paraId="17DE7EB5">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本项目货物不接受进口产品（即通过中国海关报关验放进入中国境内且产自关境外的产品）参与投标，如有进口产品参与投标的作无效标处理。</w:t>
            </w:r>
          </w:p>
        </w:tc>
      </w:tr>
      <w:tr w14:paraId="038CB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77"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78052E9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其他要求</w:t>
            </w:r>
          </w:p>
        </w:tc>
        <w:tc>
          <w:tcPr>
            <w:tcW w:w="4322" w:type="pct"/>
            <w:gridSpan w:val="5"/>
            <w:tcBorders>
              <w:top w:val="single" w:color="000000" w:sz="4" w:space="0"/>
              <w:left w:val="single" w:color="auto" w:sz="4" w:space="0"/>
              <w:bottom w:val="single" w:color="000000" w:sz="4" w:space="0"/>
              <w:right w:val="single" w:color="000000" w:sz="4" w:space="0"/>
            </w:tcBorders>
            <w:shd w:val="clear" w:color="auto" w:fill="auto"/>
            <w:noWrap/>
            <w:vAlign w:val="center"/>
          </w:tcPr>
          <w:p w14:paraId="24BA4C07">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采购标的需实现的功能或者目标：满足采购人使用需求，满足行业主管部门的相关要求。</w:t>
            </w:r>
          </w:p>
          <w:p w14:paraId="656A6FD4">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2、标准规范：采购标的需执行的国家标准、行业标准、地方标准或者其他标准、规范。</w:t>
            </w:r>
          </w:p>
          <w:p w14:paraId="3288F20F">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3、采购标的需满足的质量、安全、技术规格、物理特性等：详见本章“</w:t>
            </w:r>
            <w:r>
              <w:rPr>
                <w:rFonts w:hint="eastAsia" w:asciiTheme="minorEastAsia" w:hAnsiTheme="minorEastAsia" w:eastAsiaTheme="minorEastAsia" w:cstheme="minorEastAsia"/>
                <w:color w:val="auto"/>
                <w:sz w:val="21"/>
                <w:szCs w:val="21"/>
                <w:lang w:val="en-US" w:eastAsia="zh-CN"/>
              </w:rPr>
              <w:t>技术要求</w:t>
            </w:r>
            <w:r>
              <w:rPr>
                <w:rFonts w:hint="eastAsia" w:asciiTheme="minorEastAsia" w:hAnsiTheme="minorEastAsia" w:eastAsiaTheme="minorEastAsia" w:cstheme="minorEastAsia"/>
                <w:color w:val="auto"/>
                <w:sz w:val="21"/>
                <w:szCs w:val="21"/>
              </w:rPr>
              <w:t>”。</w:t>
            </w:r>
          </w:p>
          <w:p w14:paraId="784E3F82">
            <w:pPr>
              <w:spacing w:line="360" w:lineRule="auto"/>
              <w:ind w:firstLine="42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4、采购人将严格按照采购文件需求表中的技术需求和供应商提供的投标资料进行验收。如存在以虚假材料谋求中标或成交的，将依照《政府采购法》第七十七条第一款的规定追究法律责任</w:t>
            </w:r>
            <w:r>
              <w:rPr>
                <w:rFonts w:hint="eastAsia" w:asciiTheme="minorEastAsia" w:hAnsiTheme="minorEastAsia" w:eastAsiaTheme="minorEastAsia" w:cstheme="minorEastAsia"/>
                <w:color w:val="auto"/>
                <w:sz w:val="21"/>
                <w:szCs w:val="21"/>
                <w:lang w:eastAsia="zh-CN"/>
              </w:rPr>
              <w:t>。</w:t>
            </w:r>
          </w:p>
        </w:tc>
      </w:tr>
    </w:tbl>
    <w:p w14:paraId="1CB36F08">
      <w:pPr>
        <w:rPr>
          <w:color w:val="auto"/>
        </w:rPr>
      </w:pPr>
    </w:p>
    <w:p w14:paraId="3F9639E8">
      <w:pPr>
        <w:rPr>
          <w:color w:val="auto"/>
        </w:rPr>
      </w:pPr>
    </w:p>
    <w:p w14:paraId="414FCE3F">
      <w:pPr>
        <w:pStyle w:val="40"/>
        <w:keepLines w:val="0"/>
        <w:pageBreakBefore w:val="0"/>
        <w:kinsoku/>
        <w:overflowPunct/>
        <w:bidi w:val="0"/>
        <w:spacing w:line="360" w:lineRule="auto"/>
        <w:rPr>
          <w:color w:val="auto"/>
          <w:kern w:val="0"/>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304" w:right="1304" w:bottom="1304" w:left="1304" w:header="720" w:footer="720" w:gutter="0"/>
          <w:cols w:space="720" w:num="1"/>
          <w:titlePg/>
          <w:docGrid w:linePitch="331" w:charSpace="0"/>
        </w:sectPr>
      </w:pPr>
      <w:r>
        <w:rPr>
          <w:color w:val="auto"/>
          <w:kern w:val="0"/>
          <w:highlight w:val="none"/>
        </w:rPr>
        <w:br w:type="page"/>
      </w:r>
      <w:bookmarkStart w:id="42" w:name="_Toc155531035"/>
    </w:p>
    <w:p w14:paraId="3A85DF86">
      <w:pPr>
        <w:pStyle w:val="40"/>
        <w:keepLines w:val="0"/>
        <w:pageBreakBefore w:val="0"/>
        <w:kinsoku/>
        <w:overflowPunct/>
        <w:bidi w:val="0"/>
        <w:spacing w:line="360" w:lineRule="auto"/>
        <w:rPr>
          <w:color w:val="auto"/>
          <w:kern w:val="0"/>
          <w:highlight w:val="none"/>
        </w:rPr>
      </w:pPr>
      <w:r>
        <w:rPr>
          <w:rFonts w:hint="eastAsia"/>
          <w:color w:val="auto"/>
          <w:kern w:val="0"/>
          <w:highlight w:val="none"/>
        </w:rPr>
        <w:t>第四章评审办法</w:t>
      </w:r>
      <w:bookmarkEnd w:id="42"/>
    </w:p>
    <w:p w14:paraId="07157DCB">
      <w:pPr>
        <w:keepLines w:val="0"/>
        <w:pageBreakBefore w:val="0"/>
        <w:kinsoku/>
        <w:overflowPunct/>
        <w:bidi w:val="0"/>
        <w:spacing w:line="360" w:lineRule="auto"/>
        <w:ind w:firstLine="413" w:firstLineChars="196"/>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一、评审依据及方式</w:t>
      </w:r>
    </w:p>
    <w:p w14:paraId="538A7537">
      <w:pPr>
        <w:keepLines w:val="0"/>
        <w:pageBreakBefore w:val="0"/>
        <w:kinsoku/>
        <w:overflowPunct/>
        <w:bidi w:val="0"/>
        <w:adjustRightInd w:val="0"/>
        <w:snapToGrid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1.评审依据：谈判小组以竞争性谈判文件和响应文件为评审依据。</w:t>
      </w:r>
    </w:p>
    <w:p w14:paraId="63FAA6A6">
      <w:pPr>
        <w:keepLines w:val="0"/>
        <w:pageBreakBefore w:val="0"/>
        <w:kinsoku/>
        <w:overflowPunct/>
        <w:bidi w:val="0"/>
        <w:adjustRightInd w:val="0"/>
        <w:snapToGrid w:val="0"/>
        <w:spacing w:line="360" w:lineRule="auto"/>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2.评审方式：以封闭方式进行评审。</w:t>
      </w:r>
    </w:p>
    <w:p w14:paraId="30AD00DC">
      <w:pPr>
        <w:keepLines w:val="0"/>
        <w:pageBreakBefore w:val="0"/>
        <w:kinsoku/>
        <w:overflowPunct/>
        <w:bidi w:val="0"/>
        <w:adjustRightInd w:val="0"/>
        <w:snapToGrid w:val="0"/>
        <w:spacing w:line="360" w:lineRule="auto"/>
        <w:ind w:firstLine="420"/>
        <w:rPr>
          <w:rFonts w:hint="eastAsia" w:ascii="宋体" w:hAnsi="宋体" w:cs="宋体"/>
          <w:b/>
          <w:bCs/>
          <w:color w:val="auto"/>
          <w:kern w:val="0"/>
          <w:sz w:val="21"/>
          <w:szCs w:val="21"/>
          <w:highlight w:val="none"/>
        </w:rPr>
      </w:pPr>
      <w:r>
        <w:rPr>
          <w:rFonts w:hint="eastAsia" w:ascii="宋体" w:hAnsi="宋体" w:cs="宋体"/>
          <w:color w:val="auto"/>
          <w:kern w:val="0"/>
          <w:sz w:val="21"/>
          <w:szCs w:val="21"/>
          <w:highlight w:val="none"/>
        </w:rPr>
        <w:t>3.根据财库〔2012〕69号文规定，采购人和采购代理机构，谈判小组成员要严格遵守政府采购相关法律制度，依法履行各自职责，公正、客观、审慎地组织和参与评审工作。</w:t>
      </w:r>
    </w:p>
    <w:p w14:paraId="139CA21F">
      <w:pPr>
        <w:keepLines w:val="0"/>
        <w:pageBreakBefore w:val="0"/>
        <w:kinsoku/>
        <w:overflowPunct/>
        <w:bidi w:val="0"/>
        <w:adjustRightInd w:val="0"/>
        <w:snapToGrid w:val="0"/>
        <w:spacing w:line="360" w:lineRule="auto"/>
        <w:ind w:firstLine="42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二、评审办法</w:t>
      </w:r>
    </w:p>
    <w:p w14:paraId="4173C024">
      <w:pPr>
        <w:pStyle w:val="24"/>
        <w:keepLines w:val="0"/>
        <w:pageBreakBefore w:val="0"/>
        <w:kinsoku/>
        <w:overflowPunct/>
        <w:bidi w:val="0"/>
        <w:spacing w:line="360" w:lineRule="auto"/>
        <w:ind w:firstLine="480"/>
        <w:rPr>
          <w:rFonts w:hint="eastAsia" w:ascii="宋体" w:hAnsi="宋体" w:cs="Arial"/>
          <w:color w:val="auto"/>
          <w:sz w:val="21"/>
          <w:szCs w:val="21"/>
          <w:highlight w:val="none"/>
        </w:rPr>
      </w:pPr>
      <w:r>
        <w:rPr>
          <w:rFonts w:hint="eastAsia" w:ascii="宋体" w:hAnsi="宋体" w:cs="Arial"/>
          <w:color w:val="auto"/>
          <w:sz w:val="21"/>
          <w:szCs w:val="21"/>
          <w:highlight w:val="none"/>
        </w:rPr>
        <w:t>1.谈判小组应当从质量和服务均能满足竞争性谈判文件全部实质性要求的供应商中，按照评审报价由低到高顺序提出3名以上（含3名）成交候选人。</w:t>
      </w:r>
    </w:p>
    <w:p w14:paraId="3A98DB70">
      <w:pPr>
        <w:pStyle w:val="24"/>
        <w:keepLines w:val="0"/>
        <w:pageBreakBefore w:val="0"/>
        <w:kinsoku/>
        <w:overflowPunct/>
        <w:bidi w:val="0"/>
        <w:spacing w:line="360" w:lineRule="auto"/>
        <w:ind w:firstLine="480"/>
        <w:rPr>
          <w:rFonts w:hint="eastAsia"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2.政策性扣除计算方法</w:t>
      </w:r>
    </w:p>
    <w:p w14:paraId="7D05B7B7">
      <w:pPr>
        <w:keepLines w:val="0"/>
        <w:pageBreakBefore w:val="0"/>
        <w:kinsoku/>
        <w:overflowPunct/>
        <w:bidi w:val="0"/>
        <w:spacing w:line="360" w:lineRule="auto"/>
        <w:rPr>
          <w:rFonts w:hint="eastAsia" w:ascii="宋体" w:hAnsi="宋体"/>
          <w:color w:val="auto"/>
          <w:sz w:val="21"/>
          <w:szCs w:val="21"/>
          <w:highlight w:val="none"/>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lang w:eastAsia="zh-CN"/>
        </w:rPr>
        <w:t>）</w:t>
      </w:r>
      <w:r>
        <w:rPr>
          <w:rFonts w:hint="eastAsia" w:ascii="宋体" w:hAnsi="宋体"/>
          <w:color w:val="auto"/>
          <w:sz w:val="21"/>
          <w:szCs w:val="21"/>
          <w:highlight w:val="none"/>
        </w:rPr>
        <w:t>根据《政府采购促进中小企业发展管理办法》（财库[2020]46号）及《广西壮族自治区财政厅关于持续优化政府采购营商环境推动高质量发展的通知》（桂财采〔2024〕55号）规定：供应商提供的货物全部由符合政策要求的小型、微型企业制造，响应文件中提供《中小企业声明函》的，供应商最后报价给予</w:t>
      </w:r>
      <w:r>
        <w:rPr>
          <w:rFonts w:ascii="宋体" w:hAnsi="宋体"/>
          <w:color w:val="auto"/>
          <w:sz w:val="21"/>
          <w:szCs w:val="21"/>
          <w:highlight w:val="none"/>
        </w:rPr>
        <w:t>2</w:t>
      </w:r>
      <w:r>
        <w:rPr>
          <w:rFonts w:hint="eastAsia" w:ascii="宋体" w:hAnsi="宋体"/>
          <w:color w:val="auto"/>
          <w:sz w:val="21"/>
          <w:szCs w:val="21"/>
          <w:highlight w:val="none"/>
        </w:rPr>
        <w:t>0%的扣除，扣除后的价格为评审报价，即供应商的评审报价=最后报价×（1-</w:t>
      </w:r>
      <w:r>
        <w:rPr>
          <w:rFonts w:ascii="宋体" w:hAnsi="宋体"/>
          <w:color w:val="auto"/>
          <w:sz w:val="21"/>
          <w:szCs w:val="21"/>
          <w:highlight w:val="none"/>
        </w:rPr>
        <w:t>2</w:t>
      </w:r>
      <w:r>
        <w:rPr>
          <w:rFonts w:hint="eastAsia" w:ascii="宋体" w:hAnsi="宋体"/>
          <w:color w:val="auto"/>
          <w:sz w:val="21"/>
          <w:szCs w:val="21"/>
          <w:highlight w:val="none"/>
        </w:rPr>
        <w:t>0%），扣除后的价格为评审报价。</w:t>
      </w:r>
    </w:p>
    <w:p w14:paraId="658D0160">
      <w:pPr>
        <w:pStyle w:val="24"/>
        <w:keepLines w:val="0"/>
        <w:pageBreakBefore w:val="0"/>
        <w:kinsoku/>
        <w:overflowPunct/>
        <w:bidi w:val="0"/>
        <w:spacing w:line="360" w:lineRule="auto"/>
        <w:ind w:firstLine="480"/>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lang w:eastAsia="zh-CN"/>
        </w:rPr>
        <w:t>（</w:t>
      </w:r>
      <w:r>
        <w:rPr>
          <w:rFonts w:hint="eastAsia" w:ascii="宋体" w:hAnsi="宋体" w:eastAsia="宋体" w:cs="Arial"/>
          <w:color w:val="auto"/>
          <w:sz w:val="21"/>
          <w:szCs w:val="21"/>
          <w:highlight w:val="none"/>
          <w:lang w:val="en-US" w:eastAsia="zh-CN"/>
        </w:rPr>
        <w:t>2</w:t>
      </w:r>
      <w:r>
        <w:rPr>
          <w:rFonts w:hint="eastAsia" w:ascii="宋体" w:hAnsi="宋体" w:eastAsia="宋体" w:cs="Arial"/>
          <w:color w:val="auto"/>
          <w:sz w:val="21"/>
          <w:szCs w:val="21"/>
          <w:highlight w:val="none"/>
          <w:lang w:eastAsia="zh-CN"/>
        </w:rPr>
        <w:t>）</w:t>
      </w:r>
      <w:r>
        <w:rPr>
          <w:rFonts w:hint="eastAsia" w:ascii="宋体" w:hAnsi="宋体" w:eastAsia="宋体" w:cs="Arial"/>
          <w:color w:val="auto"/>
          <w:sz w:val="21"/>
          <w:szCs w:val="21"/>
          <w:highlight w:val="none"/>
          <w:lang w:val="en-US" w:eastAsia="zh-CN"/>
        </w:rPr>
        <w:t>根据</w:t>
      </w:r>
      <w:r>
        <w:rPr>
          <w:rFonts w:hint="eastAsia" w:ascii="宋体" w:hAnsi="宋体" w:eastAsia="宋体" w:cs="Arial"/>
          <w:color w:val="auto"/>
          <w:sz w:val="21"/>
          <w:szCs w:val="21"/>
          <w:highlight w:val="none"/>
        </w:rPr>
        <w:t>《财政部、司法部关于政府采购支持监狱企业发展有关问题的通知》（财库〔2014〕68号）</w:t>
      </w:r>
      <w:r>
        <w:rPr>
          <w:rFonts w:hint="eastAsia" w:ascii="宋体" w:hAnsi="宋体" w:eastAsia="宋体" w:cs="Arial"/>
          <w:color w:val="auto"/>
          <w:sz w:val="21"/>
          <w:szCs w:val="21"/>
          <w:highlight w:val="none"/>
          <w:lang w:val="en-US" w:eastAsia="zh-CN"/>
        </w:rPr>
        <w:t>及</w:t>
      </w:r>
      <w:r>
        <w:rPr>
          <w:rFonts w:hint="eastAsia" w:ascii="宋体" w:hAnsi="宋体" w:cs="宋体"/>
          <w:color w:val="auto"/>
          <w:kern w:val="0"/>
          <w:sz w:val="21"/>
          <w:szCs w:val="21"/>
          <w:highlight w:val="none"/>
        </w:rPr>
        <w:t>《关于促进残疾人就业政府采购政策的通知》（财库〔2017〕141号）</w:t>
      </w:r>
      <w:r>
        <w:rPr>
          <w:rFonts w:hint="eastAsia" w:ascii="宋体" w:hAnsi="宋体" w:eastAsia="宋体" w:cs="Arial"/>
          <w:color w:val="auto"/>
          <w:sz w:val="21"/>
          <w:szCs w:val="21"/>
          <w:highlight w:val="none"/>
          <w:lang w:val="en-US" w:eastAsia="zh-CN"/>
        </w:rPr>
        <w:t>相关</w:t>
      </w:r>
      <w:r>
        <w:rPr>
          <w:rFonts w:hint="eastAsia" w:ascii="宋体" w:hAnsi="宋体" w:eastAsia="宋体" w:cs="Arial"/>
          <w:color w:val="auto"/>
          <w:sz w:val="21"/>
          <w:szCs w:val="21"/>
          <w:highlight w:val="none"/>
        </w:rPr>
        <w:t>规定</w:t>
      </w:r>
      <w:r>
        <w:rPr>
          <w:rFonts w:hint="eastAsia" w:ascii="宋体" w:hAnsi="宋体" w:eastAsia="宋体" w:cs="Arial"/>
          <w:color w:val="auto"/>
          <w:sz w:val="21"/>
          <w:szCs w:val="21"/>
          <w:highlight w:val="none"/>
          <w:lang w:eastAsia="zh-CN"/>
        </w:rPr>
        <w:t>，</w:t>
      </w:r>
      <w:r>
        <w:rPr>
          <w:rFonts w:hint="eastAsia" w:ascii="宋体" w:hAnsi="宋体" w:eastAsia="宋体" w:cs="Arial"/>
          <w:color w:val="auto"/>
          <w:sz w:val="21"/>
          <w:szCs w:val="21"/>
          <w:highlight w:val="none"/>
        </w:rPr>
        <w:t>监狱企业</w:t>
      </w:r>
      <w:r>
        <w:rPr>
          <w:rFonts w:hint="eastAsia" w:ascii="宋体" w:hAnsi="宋体" w:eastAsia="宋体" w:cs="Arial"/>
          <w:color w:val="auto"/>
          <w:sz w:val="21"/>
          <w:szCs w:val="21"/>
          <w:highlight w:val="none"/>
          <w:lang w:eastAsia="zh-CN"/>
        </w:rPr>
        <w:t>、</w:t>
      </w:r>
      <w:r>
        <w:rPr>
          <w:rFonts w:hint="eastAsia" w:ascii="宋体" w:hAnsi="宋体" w:eastAsia="宋体" w:cs="Arial"/>
          <w:color w:val="auto"/>
          <w:sz w:val="21"/>
          <w:szCs w:val="21"/>
          <w:highlight w:val="none"/>
        </w:rPr>
        <w:t>残疾人福利性单位</w:t>
      </w:r>
      <w:r>
        <w:rPr>
          <w:rFonts w:hint="eastAsia" w:ascii="宋体" w:hAnsi="宋体" w:eastAsia="宋体" w:cs="Arial"/>
          <w:color w:val="auto"/>
          <w:sz w:val="21"/>
          <w:szCs w:val="21"/>
          <w:highlight w:val="none"/>
          <w:lang w:val="en-US" w:eastAsia="zh-CN"/>
        </w:rPr>
        <w:t>于响应文件中出</w:t>
      </w:r>
      <w:r>
        <w:rPr>
          <w:rFonts w:hint="eastAsia" w:ascii="宋体" w:hAnsi="宋体" w:eastAsia="宋体" w:cs="Arial"/>
          <w:color w:val="auto"/>
          <w:sz w:val="21"/>
          <w:szCs w:val="21"/>
          <w:highlight w:val="none"/>
        </w:rPr>
        <w:t>具属于监狱企业的证明文件</w:t>
      </w:r>
      <w:r>
        <w:rPr>
          <w:rFonts w:hint="eastAsia" w:ascii="宋体" w:hAnsi="宋体" w:eastAsia="宋体" w:cs="Arial"/>
          <w:color w:val="auto"/>
          <w:sz w:val="21"/>
          <w:szCs w:val="21"/>
          <w:highlight w:val="none"/>
          <w:lang w:val="en-US" w:eastAsia="zh-CN"/>
        </w:rPr>
        <w:t>或</w:t>
      </w:r>
      <w:r>
        <w:rPr>
          <w:rFonts w:hint="eastAsia" w:ascii="宋体" w:hAnsi="宋体" w:eastAsia="宋体" w:cs="Arial"/>
          <w:color w:val="auto"/>
          <w:sz w:val="21"/>
          <w:szCs w:val="21"/>
          <w:highlight w:val="none"/>
        </w:rPr>
        <w:t>《残疾人福利性单位声明函》</w:t>
      </w:r>
      <w:r>
        <w:rPr>
          <w:rFonts w:hint="eastAsia" w:ascii="宋体" w:hAnsi="宋体" w:eastAsia="宋体" w:cs="Arial"/>
          <w:color w:val="auto"/>
          <w:sz w:val="21"/>
          <w:szCs w:val="21"/>
          <w:highlight w:val="none"/>
          <w:lang w:val="en-US" w:eastAsia="zh-CN"/>
        </w:rPr>
        <w:t>的，视同为小微企业。</w:t>
      </w:r>
      <w:r>
        <w:rPr>
          <w:rFonts w:hint="eastAsia" w:ascii="宋体" w:hAnsi="宋体" w:eastAsia="宋体" w:cs="Arial"/>
          <w:color w:val="auto"/>
          <w:sz w:val="21"/>
          <w:szCs w:val="21"/>
          <w:highlight w:val="none"/>
        </w:rPr>
        <w:t>对供应商的</w:t>
      </w:r>
      <w:r>
        <w:rPr>
          <w:rFonts w:hint="eastAsia" w:ascii="宋体" w:hAnsi="宋体" w:eastAsia="宋体" w:cs="Arial"/>
          <w:color w:val="auto"/>
          <w:sz w:val="21"/>
          <w:szCs w:val="21"/>
          <w:highlight w:val="none"/>
          <w:lang w:val="en-US" w:eastAsia="zh-CN"/>
        </w:rPr>
        <w:t>最后</w:t>
      </w:r>
      <w:r>
        <w:rPr>
          <w:rFonts w:hint="eastAsia" w:ascii="宋体" w:hAnsi="宋体" w:eastAsia="宋体" w:cs="Arial"/>
          <w:color w:val="auto"/>
          <w:sz w:val="21"/>
          <w:szCs w:val="21"/>
          <w:highlight w:val="none"/>
        </w:rPr>
        <w:t>报价给予</w:t>
      </w:r>
      <w:r>
        <w:rPr>
          <w:rFonts w:hint="eastAsia" w:ascii="宋体" w:hAnsi="宋体" w:eastAsia="宋体" w:cs="Arial"/>
          <w:color w:val="auto"/>
          <w:sz w:val="21"/>
          <w:szCs w:val="21"/>
          <w:highlight w:val="none"/>
          <w:lang w:val="en-US" w:eastAsia="zh-CN"/>
        </w:rPr>
        <w:t>20</w:t>
      </w:r>
      <w:r>
        <w:rPr>
          <w:rFonts w:hint="eastAsia" w:ascii="宋体" w:hAnsi="宋体" w:eastAsia="宋体" w:cs="Arial"/>
          <w:color w:val="auto"/>
          <w:sz w:val="21"/>
          <w:szCs w:val="21"/>
          <w:highlight w:val="none"/>
        </w:rPr>
        <w:t>%的扣除，扣除后的价格为评审价，即评审价=</w:t>
      </w:r>
      <w:r>
        <w:rPr>
          <w:rFonts w:hint="eastAsia" w:ascii="宋体" w:hAnsi="宋体" w:eastAsia="宋体" w:cs="Arial"/>
          <w:color w:val="auto"/>
          <w:sz w:val="21"/>
          <w:szCs w:val="21"/>
          <w:highlight w:val="none"/>
          <w:lang w:val="en-US" w:eastAsia="zh-CN"/>
        </w:rPr>
        <w:t>最后</w:t>
      </w:r>
      <w:r>
        <w:rPr>
          <w:rFonts w:hint="eastAsia" w:ascii="宋体" w:hAnsi="宋体" w:eastAsia="宋体" w:cs="Arial"/>
          <w:color w:val="auto"/>
          <w:sz w:val="21"/>
          <w:szCs w:val="21"/>
          <w:highlight w:val="none"/>
        </w:rPr>
        <w:t>报价×（1-</w:t>
      </w:r>
      <w:r>
        <w:rPr>
          <w:rFonts w:hint="eastAsia" w:ascii="宋体" w:hAnsi="宋体" w:eastAsia="宋体" w:cs="Arial"/>
          <w:color w:val="auto"/>
          <w:sz w:val="21"/>
          <w:szCs w:val="21"/>
          <w:highlight w:val="none"/>
          <w:lang w:val="en-US" w:eastAsia="zh-CN"/>
        </w:rPr>
        <w:t>20</w:t>
      </w:r>
      <w:r>
        <w:rPr>
          <w:rFonts w:hint="eastAsia" w:ascii="宋体" w:hAnsi="宋体" w:eastAsia="宋体" w:cs="Arial"/>
          <w:color w:val="auto"/>
          <w:sz w:val="21"/>
          <w:szCs w:val="21"/>
          <w:highlight w:val="none"/>
        </w:rPr>
        <w:t>%）</w:t>
      </w:r>
    </w:p>
    <w:p w14:paraId="1C5E3285">
      <w:pPr>
        <w:pStyle w:val="24"/>
        <w:keepLines w:val="0"/>
        <w:pageBreakBefore w:val="0"/>
        <w:kinsoku/>
        <w:overflowPunct/>
        <w:bidi w:val="0"/>
        <w:spacing w:line="360" w:lineRule="auto"/>
        <w:ind w:firstLine="480"/>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lang w:val="en-US" w:eastAsia="zh-CN"/>
        </w:rPr>
        <w:t>（3）</w:t>
      </w:r>
      <w:r>
        <w:rPr>
          <w:rFonts w:hint="eastAsia" w:ascii="宋体" w:hAnsi="宋体" w:eastAsia="宋体" w:cs="Arial"/>
          <w:color w:val="auto"/>
          <w:sz w:val="21"/>
          <w:szCs w:val="21"/>
          <w:highlight w:val="none"/>
        </w:rPr>
        <w:t>本国产品政策性扣除计算方法。</w:t>
      </w:r>
    </w:p>
    <w:p w14:paraId="64C4DD8C">
      <w:pPr>
        <w:pStyle w:val="24"/>
        <w:keepLines w:val="0"/>
        <w:pageBreakBefore w:val="0"/>
        <w:kinsoku/>
        <w:overflowPunct/>
        <w:bidi w:val="0"/>
        <w:spacing w:line="360" w:lineRule="auto"/>
        <w:ind w:firstLine="480"/>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6F743DC4">
      <w:pPr>
        <w:pStyle w:val="24"/>
        <w:keepLines w:val="0"/>
        <w:pageBreakBefore w:val="0"/>
        <w:kinsoku/>
        <w:overflowPunct/>
        <w:bidi w:val="0"/>
        <w:spacing w:line="360" w:lineRule="auto"/>
        <w:ind w:firstLine="480"/>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bookmarkStart w:id="43" w:name="OLE_LINK4"/>
      <w:bookmarkStart w:id="44" w:name="OLE_LINK3"/>
      <w:r>
        <w:rPr>
          <w:rFonts w:hint="eastAsia" w:ascii="宋体" w:hAnsi="宋体" w:eastAsia="宋体" w:cs="Arial"/>
          <w:color w:val="auto"/>
          <w:sz w:val="21"/>
          <w:szCs w:val="21"/>
          <w:highlight w:val="none"/>
        </w:rPr>
        <w:t>未达到80%，不享受价格评审优惠。</w:t>
      </w:r>
      <w:bookmarkEnd w:id="43"/>
      <w:bookmarkEnd w:id="44"/>
    </w:p>
    <w:p w14:paraId="59727659">
      <w:pPr>
        <w:pStyle w:val="24"/>
        <w:keepLines w:val="0"/>
        <w:pageBreakBefore w:val="0"/>
        <w:kinsoku/>
        <w:overflowPunct/>
        <w:bidi w:val="0"/>
        <w:spacing w:line="360" w:lineRule="auto"/>
        <w:ind w:firstLine="480"/>
        <w:rPr>
          <w:rFonts w:hint="eastAsia" w:ascii="宋体" w:hAnsi="宋体" w:eastAsia="宋体" w:cs="Arial"/>
          <w:color w:val="auto"/>
          <w:sz w:val="21"/>
          <w:szCs w:val="21"/>
          <w:highlight w:val="none"/>
        </w:rPr>
      </w:pPr>
      <w:r>
        <w:rPr>
          <w:rFonts w:hint="eastAsia" w:ascii="宋体" w:hAnsi="宋体" w:eastAsia="宋体" w:cs="Arial"/>
          <w:b/>
          <w:bCs/>
          <w:color w:val="auto"/>
          <w:sz w:val="21"/>
          <w:szCs w:val="21"/>
          <w:highlight w:val="none"/>
        </w:rPr>
        <w:t>如果所有参与竞争的供应商均可享受本国产品价格评审优惠，则统一不进行价格扣除。</w:t>
      </w:r>
    </w:p>
    <w:p w14:paraId="775F7A9B">
      <w:pPr>
        <w:pStyle w:val="24"/>
        <w:keepLines w:val="0"/>
        <w:pageBreakBefore w:val="0"/>
        <w:kinsoku/>
        <w:overflowPunct/>
        <w:bidi w:val="0"/>
        <w:spacing w:line="360" w:lineRule="auto"/>
        <w:ind w:firstLine="480"/>
        <w:rPr>
          <w:rFonts w:hint="eastAsia"/>
          <w:color w:val="auto"/>
        </w:rPr>
      </w:pPr>
      <w:r>
        <w:rPr>
          <w:rFonts w:hint="eastAsia" w:ascii="宋体" w:hAnsi="宋体" w:eastAsia="宋体" w:cs="Arial"/>
          <w:color w:val="auto"/>
          <w:sz w:val="21"/>
          <w:szCs w:val="21"/>
          <w:highlight w:val="none"/>
        </w:rPr>
        <w:t>供应商在其响应文件中提供《关于符合本国产品标准的声明函》或财政部会同有关部门规定的有关证明文件，出具符合要求的《声明函》或有关证明文件的，该产品视为本国产品。</w:t>
      </w:r>
    </w:p>
    <w:p w14:paraId="6414249D">
      <w:pPr>
        <w:pStyle w:val="24"/>
        <w:keepLines w:val="0"/>
        <w:pageBreakBefore w:val="0"/>
        <w:numPr>
          <w:ilvl w:val="0"/>
          <w:numId w:val="40"/>
        </w:numPr>
        <w:kinsoku/>
        <w:overflowPunct/>
        <w:bidi w:val="0"/>
        <w:spacing w:line="360" w:lineRule="auto"/>
        <w:ind w:firstLine="480"/>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rPr>
        <w:t>中小企业折扣与本国产品折扣进行叠加计算，用扣除后的价格参加评审。</w:t>
      </w:r>
    </w:p>
    <w:p w14:paraId="2F3B2FAF">
      <w:pPr>
        <w:pStyle w:val="24"/>
        <w:keepLines w:val="0"/>
        <w:pageBreakBefore w:val="0"/>
        <w:numPr>
          <w:ilvl w:val="0"/>
          <w:numId w:val="0"/>
        </w:numPr>
        <w:kinsoku/>
        <w:overflowPunct/>
        <w:bidi w:val="0"/>
        <w:spacing w:line="360" w:lineRule="auto"/>
        <w:ind w:firstLine="632" w:firstLineChars="300"/>
        <w:rPr>
          <w:rFonts w:hint="eastAsia" w:ascii="宋体" w:hAnsi="宋体" w:eastAsia="宋体" w:cs="Arial"/>
          <w:color w:val="auto"/>
          <w:sz w:val="21"/>
          <w:szCs w:val="21"/>
          <w:highlight w:val="none"/>
        </w:rPr>
      </w:pPr>
      <w:r>
        <w:rPr>
          <w:rFonts w:hint="eastAsia" w:ascii="宋体" w:hAnsi="宋体" w:eastAsia="宋体" w:cs="Arial"/>
          <w:b/>
          <w:bCs/>
          <w:color w:val="auto"/>
          <w:sz w:val="21"/>
          <w:szCs w:val="21"/>
          <w:highlight w:val="none"/>
        </w:rPr>
        <w:t>即评审价=</w:t>
      </w:r>
      <w:r>
        <w:rPr>
          <w:rFonts w:hint="eastAsia" w:ascii="宋体" w:hAnsi="宋体" w:eastAsia="宋体" w:cs="Arial"/>
          <w:b/>
          <w:bCs/>
          <w:color w:val="auto"/>
          <w:sz w:val="21"/>
          <w:szCs w:val="21"/>
          <w:highlight w:val="none"/>
          <w:lang w:val="en-US" w:eastAsia="zh-CN"/>
        </w:rPr>
        <w:t>最后</w:t>
      </w:r>
      <w:r>
        <w:rPr>
          <w:rFonts w:hint="eastAsia" w:ascii="宋体" w:hAnsi="宋体" w:eastAsia="宋体" w:cs="Arial"/>
          <w:b/>
          <w:bCs/>
          <w:color w:val="auto"/>
          <w:sz w:val="21"/>
          <w:szCs w:val="21"/>
          <w:highlight w:val="none"/>
        </w:rPr>
        <w:t>报价-中小企业折扣-本国产品折扣</w:t>
      </w:r>
      <w:r>
        <w:rPr>
          <w:rFonts w:hint="eastAsia" w:ascii="宋体" w:hAnsi="宋体" w:eastAsia="宋体" w:cs="Arial"/>
          <w:color w:val="auto"/>
          <w:sz w:val="21"/>
          <w:szCs w:val="21"/>
          <w:highlight w:val="none"/>
        </w:rPr>
        <w:t>，除上述情况外，评审价=</w:t>
      </w:r>
      <w:r>
        <w:rPr>
          <w:rFonts w:hint="eastAsia" w:ascii="宋体" w:hAnsi="宋体" w:eastAsia="宋体" w:cs="Arial"/>
          <w:color w:val="auto"/>
          <w:sz w:val="21"/>
          <w:szCs w:val="21"/>
          <w:highlight w:val="none"/>
          <w:lang w:val="en-US" w:eastAsia="zh-CN"/>
        </w:rPr>
        <w:t>最后</w:t>
      </w:r>
      <w:r>
        <w:rPr>
          <w:rFonts w:hint="eastAsia" w:ascii="宋体" w:hAnsi="宋体" w:eastAsia="宋体" w:cs="Arial"/>
          <w:color w:val="auto"/>
          <w:sz w:val="21"/>
          <w:szCs w:val="21"/>
          <w:highlight w:val="none"/>
        </w:rPr>
        <w:t>报价。</w:t>
      </w:r>
    </w:p>
    <w:p w14:paraId="372C2751">
      <w:pPr>
        <w:pStyle w:val="24"/>
        <w:keepLines w:val="0"/>
        <w:pageBreakBefore w:val="0"/>
        <w:kinsoku/>
        <w:overflowPunct/>
        <w:bidi w:val="0"/>
        <w:spacing w:line="360" w:lineRule="auto"/>
        <w:ind w:firstLine="480"/>
        <w:rPr>
          <w:rFonts w:hint="eastAsia" w:ascii="宋体" w:hAnsi="宋体" w:eastAsia="宋体" w:cs="Arial"/>
          <w:color w:val="auto"/>
          <w:sz w:val="21"/>
          <w:szCs w:val="21"/>
          <w:highlight w:val="none"/>
        </w:rPr>
      </w:pPr>
      <w:r>
        <w:rPr>
          <w:rFonts w:hint="eastAsia" w:ascii="宋体" w:hAnsi="宋体" w:eastAsia="宋体" w:cs="Arial"/>
          <w:b/>
          <w:bCs/>
          <w:color w:val="auto"/>
          <w:sz w:val="21"/>
          <w:szCs w:val="21"/>
          <w:highlight w:val="none"/>
        </w:rPr>
        <w:t>注：评审报价为供应商的最后报价进行政策性扣除后的价格，评审报价仅作为评审时使用。最终成交供应商的成交金额＝最后报价。</w:t>
      </w:r>
    </w:p>
    <w:p w14:paraId="6E16D090">
      <w:pPr>
        <w:pStyle w:val="24"/>
        <w:keepLines w:val="0"/>
        <w:pageBreakBefore w:val="0"/>
        <w:kinsoku/>
        <w:overflowPunct/>
        <w:bidi w:val="0"/>
        <w:spacing w:line="360" w:lineRule="auto"/>
        <w:ind w:firstLine="480"/>
        <w:rPr>
          <w:rFonts w:hint="eastAsia" w:ascii="宋体" w:hAnsi="宋体"/>
          <w:b/>
          <w:bCs/>
          <w:color w:val="auto"/>
          <w:sz w:val="21"/>
          <w:szCs w:val="21"/>
          <w:highlight w:val="none"/>
        </w:rPr>
      </w:pPr>
      <w:r>
        <w:rPr>
          <w:rFonts w:hint="eastAsia" w:ascii="宋体" w:hAnsi="宋体" w:eastAsia="宋体" w:cs="Arial"/>
          <w:color w:val="auto"/>
          <w:sz w:val="21"/>
          <w:szCs w:val="21"/>
          <w:highlight w:val="none"/>
          <w:lang w:val="en-US" w:eastAsia="zh-CN"/>
        </w:rPr>
        <w:t>3</w:t>
      </w:r>
      <w:r>
        <w:rPr>
          <w:rFonts w:hint="eastAsia" w:ascii="宋体" w:hAnsi="宋体" w:eastAsia="宋体" w:cs="Arial"/>
          <w:color w:val="auto"/>
          <w:sz w:val="21"/>
          <w:szCs w:val="21"/>
          <w:highlight w:val="none"/>
        </w:rPr>
        <w:t>.评审时，应当将通过资格性审查和符合性审查各供应商的评审报价，按照由低到高顺序排序，当评审报价相同时，以最后报价低的优先排序；当最后报价相同时，则依次按节能环保产品优先、技术指标高优先、</w:t>
      </w:r>
      <w:r>
        <w:rPr>
          <w:rFonts w:hint="eastAsia" w:ascii="宋体" w:hAnsi="宋体" w:eastAsia="宋体" w:cs="Arial"/>
          <w:color w:val="auto"/>
          <w:sz w:val="21"/>
          <w:szCs w:val="21"/>
          <w:highlight w:val="none"/>
          <w:lang w:eastAsia="zh-CN"/>
        </w:rPr>
        <w:t>保修（质保）期</w:t>
      </w:r>
      <w:r>
        <w:rPr>
          <w:rFonts w:hint="eastAsia" w:ascii="宋体" w:hAnsi="宋体" w:eastAsia="宋体" w:cs="Arial"/>
          <w:color w:val="auto"/>
          <w:sz w:val="21"/>
          <w:szCs w:val="21"/>
          <w:highlight w:val="none"/>
        </w:rPr>
        <w:t>长优先、交付时间短优先的原则排序。</w:t>
      </w:r>
    </w:p>
    <w:p w14:paraId="61E158DC">
      <w:pPr>
        <w:pStyle w:val="24"/>
        <w:keepLines w:val="0"/>
        <w:pageBreakBefore w:val="0"/>
        <w:kinsoku/>
        <w:overflowPunct/>
        <w:bidi w:val="0"/>
        <w:spacing w:line="360" w:lineRule="auto"/>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三、成交候选人确定原则</w:t>
      </w:r>
    </w:p>
    <w:p w14:paraId="7F27692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Arial"/>
          <w:color w:val="auto"/>
          <w:kern w:val="0"/>
          <w:sz w:val="21"/>
          <w:szCs w:val="21"/>
          <w:highlight w:val="none"/>
          <w:lang w:val="en-GB" w:eastAsia="zh-CN" w:bidi="ar-SA"/>
        </w:rPr>
      </w:pPr>
      <w:r>
        <w:rPr>
          <w:rFonts w:hint="eastAsia" w:ascii="宋体" w:hAnsi="宋体" w:eastAsia="宋体" w:cs="Arial"/>
          <w:color w:val="auto"/>
          <w:kern w:val="0"/>
          <w:sz w:val="21"/>
          <w:szCs w:val="21"/>
          <w:highlight w:val="none"/>
          <w:lang w:val="en-GB" w:eastAsia="zh-CN" w:bidi="ar-SA"/>
        </w:rPr>
        <w:t>（1）采购单位应当确定谈判小组推荐排名第一的成交候选人为成交供应商。</w:t>
      </w:r>
    </w:p>
    <w:p w14:paraId="729D7B2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Arial"/>
          <w:color w:val="auto"/>
          <w:kern w:val="0"/>
          <w:sz w:val="21"/>
          <w:szCs w:val="21"/>
          <w:highlight w:val="none"/>
          <w:lang w:val="en-GB" w:eastAsia="zh-CN" w:bidi="ar-SA"/>
        </w:rPr>
      </w:pPr>
      <w:r>
        <w:rPr>
          <w:rFonts w:hint="eastAsia" w:ascii="宋体" w:hAnsi="宋体" w:eastAsia="宋体" w:cs="Arial"/>
          <w:color w:val="auto"/>
          <w:kern w:val="0"/>
          <w:sz w:val="21"/>
          <w:szCs w:val="21"/>
          <w:highlight w:val="none"/>
          <w:lang w:val="en-GB" w:eastAsia="zh-CN" w:bidi="ar-SA"/>
        </w:rPr>
        <w:t>（2）排名第一的成交候选人放弃成交、因不可抗力提出不能履行合同，或者竞争性谈判文件规定应当提交履约保证金而在规定的期限内未能提交的，或因失信行为被取消成交候选人资格的，采购单位可以确定排名第二的成交候选人为成交供应商。</w:t>
      </w:r>
    </w:p>
    <w:p w14:paraId="09B000B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Arial"/>
          <w:color w:val="auto"/>
          <w:kern w:val="0"/>
          <w:sz w:val="21"/>
          <w:szCs w:val="21"/>
          <w:highlight w:val="none"/>
          <w:lang w:val="en-GB" w:eastAsia="zh-CN" w:bidi="ar-SA"/>
        </w:rPr>
      </w:pPr>
      <w:r>
        <w:rPr>
          <w:rFonts w:hint="eastAsia" w:ascii="宋体" w:hAnsi="宋体" w:eastAsia="宋体" w:cs="Arial"/>
          <w:color w:val="auto"/>
          <w:kern w:val="0"/>
          <w:sz w:val="21"/>
          <w:szCs w:val="21"/>
          <w:highlight w:val="none"/>
          <w:lang w:val="en-GB" w:eastAsia="zh-CN" w:bidi="ar-SA"/>
        </w:rPr>
        <w:t>（3）排名第二的成交候选人因前款规定的同样原因不能签订合同的，采购单位可以确定排名第三的成交候选人为成交供应商。</w:t>
      </w:r>
    </w:p>
    <w:p w14:paraId="71757B84">
      <w:pPr>
        <w:spacing w:line="360" w:lineRule="auto"/>
        <w:ind w:firstLine="422" w:firstLineChars="200"/>
        <w:jc w:val="left"/>
        <w:rPr>
          <w:rFonts w:hint="eastAsia" w:ascii="宋体" w:hAnsi="宋体" w:eastAsia="宋体" w:cs="Times New Roman"/>
          <w:b/>
          <w:bCs/>
          <w:color w:val="auto"/>
          <w:kern w:val="0"/>
          <w:sz w:val="21"/>
          <w:szCs w:val="21"/>
          <w:highlight w:val="none"/>
          <w:lang w:val="en-GB" w:eastAsia="zh-CN" w:bidi="ar-SA"/>
        </w:rPr>
      </w:pPr>
      <w:r>
        <w:rPr>
          <w:rFonts w:hint="eastAsia" w:ascii="宋体" w:hAnsi="宋体" w:eastAsia="宋体" w:cs="Times New Roman"/>
          <w:b/>
          <w:bCs/>
          <w:color w:val="auto"/>
          <w:kern w:val="0"/>
          <w:sz w:val="21"/>
          <w:szCs w:val="21"/>
          <w:highlight w:val="none"/>
          <w:lang w:val="en-GB" w:eastAsia="zh-CN" w:bidi="ar-SA"/>
        </w:rPr>
        <w:t>四、特别说明</w:t>
      </w:r>
    </w:p>
    <w:p w14:paraId="460A584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Arial"/>
          <w:color w:val="auto"/>
          <w:kern w:val="0"/>
          <w:sz w:val="21"/>
          <w:szCs w:val="21"/>
          <w:highlight w:val="none"/>
          <w:lang w:val="en-GB" w:eastAsia="zh-CN" w:bidi="ar-SA"/>
        </w:rPr>
      </w:pPr>
      <w:r>
        <w:rPr>
          <w:rFonts w:hint="eastAsia" w:ascii="宋体" w:hAnsi="宋体" w:eastAsia="宋体" w:cs="Arial"/>
          <w:color w:val="auto"/>
          <w:kern w:val="0"/>
          <w:sz w:val="21"/>
          <w:szCs w:val="21"/>
          <w:highlight w:val="none"/>
          <w:lang w:val="en-US" w:eastAsia="zh-CN" w:bidi="ar-SA"/>
        </w:rPr>
        <w:t>评审时，谈判小组根据《关于推动解决政府采购异常低价问题的通知》（财库〔2026〕2号）相关规定启动异常低价投标（响应）审查程序。</w:t>
      </w:r>
      <w:r>
        <w:rPr>
          <w:rFonts w:hint="eastAsia" w:ascii="宋体" w:hAnsi="宋体" w:eastAsia="宋体" w:cs="Arial"/>
          <w:color w:val="auto"/>
          <w:kern w:val="0"/>
          <w:sz w:val="21"/>
          <w:szCs w:val="21"/>
          <w:highlight w:val="none"/>
          <w:lang w:val="en-GB" w:eastAsia="zh-CN" w:bidi="ar-SA"/>
        </w:rPr>
        <w:t>启动异常低价投标（响应）审查后，应当要求供应商在</w:t>
      </w:r>
      <w:r>
        <w:rPr>
          <w:rFonts w:hint="eastAsia" w:ascii="宋体" w:hAnsi="宋体" w:eastAsia="宋体" w:cs="Arial"/>
          <w:color w:val="auto"/>
          <w:kern w:val="0"/>
          <w:sz w:val="21"/>
          <w:szCs w:val="21"/>
          <w:highlight w:val="none"/>
          <w:lang w:val="en-US" w:eastAsia="zh-CN" w:bidi="ar-SA"/>
        </w:rPr>
        <w:t>谈判小组要求的时间内</w:t>
      </w:r>
      <w:r>
        <w:rPr>
          <w:rFonts w:hint="eastAsia" w:ascii="宋体" w:hAnsi="宋体" w:eastAsia="宋体" w:cs="Arial"/>
          <w:color w:val="auto"/>
          <w:kern w:val="0"/>
          <w:sz w:val="21"/>
          <w:szCs w:val="21"/>
          <w:highlight w:val="none"/>
          <w:lang w:val="en-GB" w:eastAsia="zh-CN" w:bidi="ar-SA"/>
        </w:rPr>
        <w:t>对投标（响应）价格作出解释，提供项目具体成本测算等与报价合理性相关的书面说明及必要的证明材料（包括但不限于原材料成本、人工成本、制造费用等）。投标（响应）供应商不能提供书面说明、证明材料，或者提供的书面说明、证明材料不能证明其报价合理性的，</w:t>
      </w:r>
      <w:r>
        <w:rPr>
          <w:rFonts w:hint="eastAsia" w:ascii="宋体" w:hAnsi="宋体" w:eastAsia="宋体" w:cs="Arial"/>
          <w:color w:val="auto"/>
          <w:kern w:val="0"/>
          <w:sz w:val="21"/>
          <w:szCs w:val="21"/>
          <w:highlight w:val="none"/>
          <w:lang w:val="en-US" w:eastAsia="zh-CN" w:bidi="ar-SA"/>
        </w:rPr>
        <w:t>谈判小组</w:t>
      </w:r>
      <w:r>
        <w:rPr>
          <w:rFonts w:hint="eastAsia" w:ascii="宋体" w:hAnsi="宋体" w:eastAsia="宋体" w:cs="Arial"/>
          <w:color w:val="auto"/>
          <w:kern w:val="0"/>
          <w:sz w:val="21"/>
          <w:szCs w:val="21"/>
          <w:highlight w:val="none"/>
          <w:lang w:val="en-GB" w:eastAsia="zh-CN" w:bidi="ar-SA"/>
        </w:rPr>
        <w:t>应当将其作为无效投标（响应）处理。 异常低价投标（响应）审查的启动原因、审查意见和审查结果应当在评审报告中记录。</w:t>
      </w:r>
    </w:p>
    <w:p w14:paraId="1CEB7B1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Arial"/>
          <w:color w:val="auto"/>
          <w:kern w:val="0"/>
          <w:sz w:val="21"/>
          <w:szCs w:val="21"/>
          <w:highlight w:val="none"/>
          <w:lang w:val="en-US" w:eastAsia="zh-CN" w:bidi="ar-SA"/>
        </w:rPr>
      </w:pPr>
      <w:r>
        <w:rPr>
          <w:rFonts w:hint="eastAsia" w:ascii="宋体" w:hAnsi="宋体" w:eastAsia="宋体" w:cs="Arial"/>
          <w:color w:val="auto"/>
          <w:kern w:val="0"/>
          <w:sz w:val="21"/>
          <w:szCs w:val="21"/>
          <w:highlight w:val="none"/>
          <w:lang w:val="en-GB" w:eastAsia="zh-CN" w:bidi="ar-SA"/>
        </w:rPr>
        <w:t>为避免因未能及时提供说明而导致被评审委员会作为无效投标情形，供应商可提前准备或随投标（响应）文件一并提交相关书面说明及必要的证明材料。</w:t>
      </w:r>
    </w:p>
    <w:p w14:paraId="5EC657FA">
      <w:pPr>
        <w:rPr>
          <w:rFonts w:hint="eastAsia"/>
          <w:color w:val="auto"/>
        </w:rPr>
        <w:sectPr>
          <w:pgSz w:w="11906" w:h="16838"/>
          <w:pgMar w:top="1304" w:right="1304" w:bottom="1304" w:left="1304" w:header="720" w:footer="720" w:gutter="0"/>
          <w:cols w:space="720" w:num="1"/>
          <w:titlePg/>
          <w:docGrid w:linePitch="331" w:charSpace="0"/>
        </w:sectPr>
      </w:pPr>
    </w:p>
    <w:p w14:paraId="0940C673">
      <w:pPr>
        <w:pStyle w:val="40"/>
        <w:keepLines w:val="0"/>
        <w:pageBreakBefore w:val="0"/>
        <w:kinsoku/>
        <w:overflowPunct/>
        <w:bidi w:val="0"/>
        <w:spacing w:line="360" w:lineRule="auto"/>
        <w:rPr>
          <w:color w:val="auto"/>
          <w:highlight w:val="none"/>
        </w:rPr>
      </w:pPr>
      <w:bookmarkStart w:id="45" w:name="_Toc82016592"/>
      <w:bookmarkStart w:id="46" w:name="_Toc155531036"/>
      <w:r>
        <w:rPr>
          <w:rFonts w:hint="eastAsia"/>
          <w:color w:val="auto"/>
          <w:kern w:val="0"/>
          <w:highlight w:val="none"/>
        </w:rPr>
        <w:t>第五章</w:t>
      </w:r>
      <w:bookmarkEnd w:id="45"/>
      <w:r>
        <w:rPr>
          <w:rFonts w:hint="eastAsia"/>
          <w:color w:val="auto"/>
          <w:highlight w:val="none"/>
        </w:rPr>
        <w:t>政府采购合同（合同主要条款及格式）</w:t>
      </w:r>
      <w:bookmarkEnd w:id="46"/>
    </w:p>
    <w:p w14:paraId="2A36E02A">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项目名称：</w:t>
      </w:r>
    </w:p>
    <w:p w14:paraId="367A9A28">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项目编号：</w:t>
      </w:r>
    </w:p>
    <w:p w14:paraId="2481EF80">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甲方：</w:t>
      </w:r>
      <w:r>
        <w:rPr>
          <w:rFonts w:hint="eastAsia" w:ascii="宋体" w:hAnsi="宋体"/>
          <w:color w:val="auto"/>
          <w:sz w:val="21"/>
          <w:szCs w:val="21"/>
          <w:highlight w:val="none"/>
          <w:u w:val="single"/>
          <w:lang w:val="en-US" w:eastAsia="zh-CN"/>
        </w:rPr>
        <w:t xml:space="preserve">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（采购人）</w:t>
      </w:r>
    </w:p>
    <w:p w14:paraId="0245F505">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乙方：</w:t>
      </w:r>
      <w:r>
        <w:rPr>
          <w:rFonts w:hint="eastAsia" w:ascii="宋体" w:hAnsi="宋体" w:cs="宋体"/>
          <w:bCs/>
          <w:color w:val="auto"/>
          <w:sz w:val="21"/>
          <w:szCs w:val="20"/>
          <w:highlight w:val="none"/>
          <w:u w:val="single"/>
        </w:rPr>
        <w:t xml:space="preserve">                        </w:t>
      </w:r>
      <w:r>
        <w:rPr>
          <w:rFonts w:hint="eastAsia" w:ascii="宋体" w:hAnsi="宋体"/>
          <w:color w:val="auto"/>
          <w:sz w:val="21"/>
          <w:szCs w:val="21"/>
          <w:highlight w:val="none"/>
        </w:rPr>
        <w:t>（成交供应商）</w:t>
      </w:r>
    </w:p>
    <w:p w14:paraId="2935C81C">
      <w:pPr>
        <w:keepLines w:val="0"/>
        <w:pageBreakBefore w:val="0"/>
        <w:kinsoku/>
        <w:overflowPunct/>
        <w:bidi w:val="0"/>
        <w:spacing w:line="360" w:lineRule="auto"/>
        <w:ind w:firstLine="420"/>
        <w:rPr>
          <w:rFonts w:hint="eastAsia" w:ascii="宋体" w:hAnsi="宋体"/>
          <w:color w:val="auto"/>
          <w:sz w:val="21"/>
          <w:szCs w:val="21"/>
          <w:highlight w:val="none"/>
        </w:rPr>
      </w:pPr>
    </w:p>
    <w:p w14:paraId="3D84E63A">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根据《中华人民共和国政府采购法》、《中华人民共和国政府采购法实施条例》、</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政府采购非招标采购方式管理办法</w:t>
      </w:r>
      <w:r>
        <w:rPr>
          <w:rFonts w:hint="eastAsia" w:ascii="宋体" w:hAnsi="宋体"/>
          <w:color w:val="auto"/>
          <w:sz w:val="21"/>
          <w:szCs w:val="21"/>
          <w:highlight w:val="none"/>
          <w:lang w:eastAsia="zh-CN"/>
        </w:rPr>
        <w:t>》</w:t>
      </w:r>
      <w:r>
        <w:rPr>
          <w:rFonts w:hint="eastAsia" w:ascii="宋体" w:hAnsi="宋体"/>
          <w:color w:val="auto"/>
          <w:sz w:val="21"/>
          <w:szCs w:val="21"/>
          <w:highlight w:val="none"/>
        </w:rPr>
        <w:t>《中华人民共和国民法典》等法律、法规规定，按照</w:t>
      </w:r>
      <w:r>
        <w:rPr>
          <w:rFonts w:hint="eastAsia" w:ascii="宋体" w:hAnsi="宋体"/>
          <w:color w:val="auto"/>
          <w:sz w:val="21"/>
          <w:szCs w:val="21"/>
          <w:highlight w:val="none"/>
          <w:lang w:val="en-US" w:eastAsia="zh-CN"/>
        </w:rPr>
        <w:t>竞争性谈判文件</w:t>
      </w:r>
      <w:r>
        <w:rPr>
          <w:rFonts w:hint="eastAsia" w:ascii="宋体" w:hAnsi="宋体"/>
          <w:color w:val="auto"/>
          <w:sz w:val="21"/>
          <w:szCs w:val="21"/>
          <w:highlight w:val="none"/>
        </w:rPr>
        <w:t>、响应文件规定条款和乙方承诺、甲乙双方签订本采购合同。</w:t>
      </w:r>
    </w:p>
    <w:p w14:paraId="54761C00">
      <w:pPr>
        <w:keepLines w:val="0"/>
        <w:pageBreakBefore w:val="0"/>
        <w:kinsoku/>
        <w:overflowPunct/>
        <w:bidi w:val="0"/>
        <w:spacing w:line="360" w:lineRule="auto"/>
        <w:ind w:firstLine="422"/>
        <w:rPr>
          <w:rFonts w:hint="eastAsia" w:ascii="宋体" w:hAnsi="宋体"/>
          <w:color w:val="auto"/>
          <w:sz w:val="21"/>
          <w:szCs w:val="21"/>
          <w:highlight w:val="none"/>
        </w:rPr>
      </w:pPr>
      <w:r>
        <w:rPr>
          <w:rFonts w:hint="eastAsia" w:ascii="宋体" w:hAnsi="宋体"/>
          <w:b/>
          <w:color w:val="auto"/>
          <w:sz w:val="21"/>
          <w:szCs w:val="21"/>
          <w:highlight w:val="none"/>
        </w:rPr>
        <w:t>第一条  合同标的及合同金额</w:t>
      </w:r>
    </w:p>
    <w:tbl>
      <w:tblPr>
        <w:tblStyle w:val="43"/>
        <w:tblW w:w="967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200"/>
        <w:gridCol w:w="1427"/>
        <w:gridCol w:w="762"/>
        <w:gridCol w:w="781"/>
        <w:gridCol w:w="687"/>
        <w:gridCol w:w="709"/>
        <w:gridCol w:w="671"/>
        <w:gridCol w:w="1013"/>
        <w:gridCol w:w="1857"/>
      </w:tblGrid>
      <w:tr w14:paraId="7EF1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2" w:hRule="atLeast"/>
        </w:trPr>
        <w:tc>
          <w:tcPr>
            <w:tcW w:w="568" w:type="dxa"/>
            <w:tcBorders>
              <w:top w:val="single" w:color="auto" w:sz="4" w:space="0"/>
              <w:left w:val="single" w:color="auto" w:sz="4" w:space="0"/>
              <w:bottom w:val="single" w:color="auto" w:sz="4" w:space="0"/>
              <w:right w:val="single" w:color="auto" w:sz="4" w:space="0"/>
            </w:tcBorders>
            <w:vAlign w:val="center"/>
          </w:tcPr>
          <w:p w14:paraId="3B748BBD">
            <w:pPr>
              <w:keepLines w:val="0"/>
              <w:pageBreakBefore w:val="0"/>
              <w:kinsoku/>
              <w:overflowPunct/>
              <w:bidi w:val="0"/>
              <w:spacing w:line="360" w:lineRule="auto"/>
              <w:ind w:firstLine="0" w:firstLineChars="0"/>
              <w:jc w:val="center"/>
              <w:rPr>
                <w:rFonts w:hint="eastAsia" w:ascii="宋体" w:hAnsi="宋体"/>
                <w:b/>
                <w:bCs/>
                <w:color w:val="auto"/>
                <w:sz w:val="21"/>
                <w:szCs w:val="21"/>
                <w:highlight w:val="none"/>
              </w:rPr>
            </w:pPr>
            <w:r>
              <w:rPr>
                <w:rFonts w:hint="eastAsia" w:ascii="宋体" w:hAnsi="宋体"/>
                <w:b/>
                <w:bCs/>
                <w:color w:val="auto"/>
                <w:sz w:val="21"/>
                <w:szCs w:val="21"/>
                <w:highlight w:val="none"/>
              </w:rPr>
              <w:t>项号</w:t>
            </w:r>
          </w:p>
        </w:tc>
        <w:tc>
          <w:tcPr>
            <w:tcW w:w="1200" w:type="dxa"/>
            <w:tcBorders>
              <w:top w:val="single" w:color="auto" w:sz="4" w:space="0"/>
              <w:left w:val="single" w:color="auto" w:sz="4" w:space="0"/>
              <w:bottom w:val="single" w:color="auto" w:sz="4" w:space="0"/>
              <w:right w:val="single" w:color="auto" w:sz="4" w:space="0"/>
            </w:tcBorders>
            <w:vAlign w:val="center"/>
          </w:tcPr>
          <w:p w14:paraId="70F19DFC">
            <w:pPr>
              <w:keepLines w:val="0"/>
              <w:pageBreakBefore w:val="0"/>
              <w:kinsoku/>
              <w:overflowPunct/>
              <w:bidi w:val="0"/>
              <w:spacing w:line="360" w:lineRule="auto"/>
              <w:ind w:firstLine="0" w:firstLineChars="0"/>
              <w:jc w:val="center"/>
              <w:rPr>
                <w:rFonts w:hint="eastAsia" w:ascii="宋体" w:hAnsi="宋体"/>
                <w:b/>
                <w:bCs/>
                <w:color w:val="auto"/>
                <w:sz w:val="21"/>
                <w:szCs w:val="21"/>
                <w:highlight w:val="none"/>
              </w:rPr>
            </w:pPr>
            <w:r>
              <w:rPr>
                <w:rFonts w:hint="eastAsia" w:ascii="宋体" w:hAnsi="宋体"/>
                <w:b/>
                <w:bCs/>
                <w:color w:val="auto"/>
                <w:sz w:val="21"/>
                <w:szCs w:val="21"/>
                <w:highlight w:val="none"/>
              </w:rPr>
              <w:t>标的名称</w:t>
            </w:r>
          </w:p>
        </w:tc>
        <w:tc>
          <w:tcPr>
            <w:tcW w:w="1427" w:type="dxa"/>
            <w:tcBorders>
              <w:top w:val="single" w:color="auto" w:sz="4" w:space="0"/>
              <w:left w:val="single" w:color="auto" w:sz="4" w:space="0"/>
              <w:bottom w:val="single" w:color="auto" w:sz="4" w:space="0"/>
              <w:right w:val="single" w:color="auto" w:sz="4" w:space="0"/>
            </w:tcBorders>
            <w:vAlign w:val="center"/>
          </w:tcPr>
          <w:p w14:paraId="3B0891D0">
            <w:pPr>
              <w:keepLines w:val="0"/>
              <w:pageBreakBefore w:val="0"/>
              <w:kinsoku/>
              <w:overflowPunct/>
              <w:bidi w:val="0"/>
              <w:spacing w:line="360" w:lineRule="auto"/>
              <w:ind w:firstLine="0" w:firstLineChars="0"/>
              <w:jc w:val="center"/>
              <w:rPr>
                <w:rFonts w:hint="eastAsia" w:ascii="宋体" w:hAnsi="宋体"/>
                <w:b/>
                <w:bCs/>
                <w:color w:val="auto"/>
                <w:sz w:val="21"/>
                <w:szCs w:val="21"/>
                <w:highlight w:val="none"/>
              </w:rPr>
            </w:pPr>
            <w:r>
              <w:rPr>
                <w:rFonts w:hint="eastAsia" w:ascii="宋体" w:hAnsi="宋体"/>
                <w:b/>
                <w:bCs/>
                <w:color w:val="auto"/>
                <w:sz w:val="21"/>
                <w:szCs w:val="21"/>
                <w:highlight w:val="none"/>
              </w:rPr>
              <w:t>生产厂家（或制造商）</w:t>
            </w:r>
          </w:p>
        </w:tc>
        <w:tc>
          <w:tcPr>
            <w:tcW w:w="762" w:type="dxa"/>
            <w:tcBorders>
              <w:top w:val="single" w:color="auto" w:sz="4" w:space="0"/>
              <w:left w:val="single" w:color="auto" w:sz="4" w:space="0"/>
              <w:bottom w:val="single" w:color="auto" w:sz="4" w:space="0"/>
              <w:right w:val="single" w:color="auto" w:sz="4" w:space="0"/>
            </w:tcBorders>
            <w:vAlign w:val="center"/>
          </w:tcPr>
          <w:p w14:paraId="0259E1E2">
            <w:pPr>
              <w:keepLines w:val="0"/>
              <w:pageBreakBefore w:val="0"/>
              <w:kinsoku/>
              <w:overflowPunct/>
              <w:bidi w:val="0"/>
              <w:spacing w:line="360" w:lineRule="auto"/>
              <w:ind w:firstLine="0" w:firstLineChars="0"/>
              <w:jc w:val="center"/>
              <w:rPr>
                <w:rFonts w:hint="eastAsia" w:ascii="宋体" w:hAnsi="宋体"/>
                <w:b/>
                <w:bCs/>
                <w:color w:val="auto"/>
                <w:sz w:val="21"/>
                <w:szCs w:val="21"/>
                <w:highlight w:val="none"/>
              </w:rPr>
            </w:pPr>
            <w:r>
              <w:rPr>
                <w:rFonts w:hint="eastAsia" w:ascii="宋体" w:hAnsi="宋体"/>
                <w:b/>
                <w:bCs/>
                <w:color w:val="auto"/>
                <w:sz w:val="21"/>
                <w:szCs w:val="21"/>
                <w:highlight w:val="none"/>
              </w:rPr>
              <w:t>品牌</w:t>
            </w:r>
          </w:p>
        </w:tc>
        <w:tc>
          <w:tcPr>
            <w:tcW w:w="781" w:type="dxa"/>
            <w:tcBorders>
              <w:top w:val="single" w:color="auto" w:sz="4" w:space="0"/>
              <w:left w:val="single" w:color="auto" w:sz="4" w:space="0"/>
              <w:bottom w:val="single" w:color="auto" w:sz="4" w:space="0"/>
              <w:right w:val="single" w:color="auto" w:sz="4" w:space="0"/>
            </w:tcBorders>
            <w:vAlign w:val="center"/>
          </w:tcPr>
          <w:p w14:paraId="6CC3051A">
            <w:pPr>
              <w:keepLines w:val="0"/>
              <w:pageBreakBefore w:val="0"/>
              <w:kinsoku/>
              <w:overflowPunct/>
              <w:bidi w:val="0"/>
              <w:spacing w:line="360" w:lineRule="auto"/>
              <w:ind w:firstLine="0" w:firstLineChars="0"/>
              <w:jc w:val="center"/>
              <w:rPr>
                <w:rFonts w:hint="eastAsia" w:ascii="宋体" w:hAnsi="宋体"/>
                <w:b/>
                <w:bCs/>
                <w:color w:val="auto"/>
                <w:sz w:val="21"/>
                <w:szCs w:val="21"/>
                <w:highlight w:val="none"/>
              </w:rPr>
            </w:pPr>
            <w:r>
              <w:rPr>
                <w:rFonts w:hint="eastAsia" w:ascii="宋体" w:hAnsi="宋体"/>
                <w:b/>
                <w:bCs/>
                <w:color w:val="auto"/>
                <w:sz w:val="21"/>
                <w:szCs w:val="21"/>
                <w:highlight w:val="none"/>
              </w:rPr>
              <w:t>规格型号</w:t>
            </w:r>
          </w:p>
        </w:tc>
        <w:tc>
          <w:tcPr>
            <w:tcW w:w="687" w:type="dxa"/>
            <w:tcBorders>
              <w:top w:val="single" w:color="auto" w:sz="4" w:space="0"/>
              <w:left w:val="single" w:color="auto" w:sz="4" w:space="0"/>
              <w:bottom w:val="single" w:color="auto" w:sz="4" w:space="0"/>
              <w:right w:val="single" w:color="auto" w:sz="4" w:space="0"/>
            </w:tcBorders>
            <w:vAlign w:val="center"/>
          </w:tcPr>
          <w:p w14:paraId="763A9F7E">
            <w:pPr>
              <w:keepLines w:val="0"/>
              <w:pageBreakBefore w:val="0"/>
              <w:kinsoku/>
              <w:overflowPunct/>
              <w:bidi w:val="0"/>
              <w:spacing w:line="360" w:lineRule="auto"/>
              <w:ind w:firstLine="0" w:firstLineChars="0"/>
              <w:jc w:val="center"/>
              <w:rPr>
                <w:rFonts w:hint="eastAsia" w:ascii="宋体" w:hAnsi="宋体"/>
                <w:b/>
                <w:bCs/>
                <w:color w:val="auto"/>
                <w:sz w:val="21"/>
                <w:szCs w:val="21"/>
                <w:highlight w:val="none"/>
              </w:rPr>
            </w:pPr>
            <w:r>
              <w:rPr>
                <w:rFonts w:hint="eastAsia" w:ascii="宋体" w:hAnsi="宋体"/>
                <w:b/>
                <w:bCs/>
                <w:color w:val="auto"/>
                <w:sz w:val="21"/>
                <w:szCs w:val="21"/>
                <w:highlight w:val="none"/>
              </w:rPr>
              <w:t>技术参数</w:t>
            </w:r>
          </w:p>
        </w:tc>
        <w:tc>
          <w:tcPr>
            <w:tcW w:w="709" w:type="dxa"/>
            <w:tcBorders>
              <w:top w:val="single" w:color="auto" w:sz="4" w:space="0"/>
              <w:left w:val="single" w:color="auto" w:sz="4" w:space="0"/>
              <w:bottom w:val="single" w:color="auto" w:sz="4" w:space="0"/>
              <w:right w:val="single" w:color="auto" w:sz="4" w:space="0"/>
            </w:tcBorders>
            <w:vAlign w:val="center"/>
          </w:tcPr>
          <w:p w14:paraId="238739F7">
            <w:pPr>
              <w:keepLines w:val="0"/>
              <w:pageBreakBefore w:val="0"/>
              <w:kinsoku/>
              <w:overflowPunct/>
              <w:bidi w:val="0"/>
              <w:spacing w:line="360" w:lineRule="auto"/>
              <w:ind w:firstLine="0" w:firstLineChars="0"/>
              <w:jc w:val="center"/>
              <w:rPr>
                <w:rFonts w:hint="eastAsia" w:ascii="宋体" w:hAnsi="宋体"/>
                <w:b/>
                <w:bCs/>
                <w:color w:val="auto"/>
                <w:sz w:val="21"/>
                <w:szCs w:val="21"/>
                <w:highlight w:val="none"/>
              </w:rPr>
            </w:pPr>
            <w:r>
              <w:rPr>
                <w:rFonts w:hint="eastAsia" w:ascii="宋体" w:hAnsi="宋体"/>
                <w:b/>
                <w:bCs/>
                <w:color w:val="auto"/>
                <w:sz w:val="21"/>
                <w:szCs w:val="21"/>
                <w:highlight w:val="none"/>
              </w:rPr>
              <w:t>数量①</w:t>
            </w:r>
          </w:p>
        </w:tc>
        <w:tc>
          <w:tcPr>
            <w:tcW w:w="671" w:type="dxa"/>
            <w:tcBorders>
              <w:top w:val="single" w:color="auto" w:sz="4" w:space="0"/>
              <w:left w:val="single" w:color="auto" w:sz="4" w:space="0"/>
              <w:bottom w:val="single" w:color="auto" w:sz="4" w:space="0"/>
              <w:right w:val="single" w:color="auto" w:sz="4" w:space="0"/>
            </w:tcBorders>
            <w:vAlign w:val="center"/>
          </w:tcPr>
          <w:p w14:paraId="106E6941">
            <w:pPr>
              <w:keepLines w:val="0"/>
              <w:pageBreakBefore w:val="0"/>
              <w:kinsoku/>
              <w:overflowPunct/>
              <w:bidi w:val="0"/>
              <w:spacing w:line="360" w:lineRule="auto"/>
              <w:ind w:firstLine="0" w:firstLineChars="0"/>
              <w:jc w:val="center"/>
              <w:rPr>
                <w:rFonts w:hint="eastAsia" w:ascii="宋体" w:hAnsi="宋体"/>
                <w:b/>
                <w:bCs/>
                <w:color w:val="auto"/>
                <w:sz w:val="21"/>
                <w:szCs w:val="21"/>
                <w:highlight w:val="none"/>
              </w:rPr>
            </w:pPr>
            <w:r>
              <w:rPr>
                <w:rFonts w:hint="eastAsia" w:ascii="宋体" w:hAnsi="宋体"/>
                <w:b/>
                <w:bCs/>
                <w:color w:val="auto"/>
                <w:sz w:val="21"/>
                <w:szCs w:val="21"/>
                <w:highlight w:val="none"/>
              </w:rPr>
              <w:t>单位</w:t>
            </w:r>
          </w:p>
        </w:tc>
        <w:tc>
          <w:tcPr>
            <w:tcW w:w="1013" w:type="dxa"/>
            <w:tcBorders>
              <w:top w:val="single" w:color="auto" w:sz="4" w:space="0"/>
              <w:left w:val="single" w:color="auto" w:sz="4" w:space="0"/>
              <w:bottom w:val="single" w:color="auto" w:sz="4" w:space="0"/>
              <w:right w:val="single" w:color="auto" w:sz="4" w:space="0"/>
            </w:tcBorders>
            <w:vAlign w:val="center"/>
          </w:tcPr>
          <w:p w14:paraId="07CAB774">
            <w:pPr>
              <w:keepLines w:val="0"/>
              <w:pageBreakBefore w:val="0"/>
              <w:kinsoku/>
              <w:overflowPunct/>
              <w:bidi w:val="0"/>
              <w:spacing w:line="360" w:lineRule="auto"/>
              <w:ind w:firstLine="0" w:firstLineChars="0"/>
              <w:jc w:val="center"/>
              <w:rPr>
                <w:rFonts w:hint="eastAsia" w:ascii="宋体" w:hAnsi="宋体"/>
                <w:b/>
                <w:bCs/>
                <w:color w:val="auto"/>
                <w:sz w:val="21"/>
                <w:szCs w:val="21"/>
                <w:highlight w:val="none"/>
              </w:rPr>
            </w:pPr>
            <w:r>
              <w:rPr>
                <w:rFonts w:hint="eastAsia" w:ascii="宋体" w:hAnsi="宋体"/>
                <w:b/>
                <w:bCs/>
                <w:color w:val="auto"/>
                <w:sz w:val="21"/>
                <w:szCs w:val="21"/>
                <w:highlight w:val="none"/>
              </w:rPr>
              <w:t>单价（元）②</w:t>
            </w:r>
          </w:p>
        </w:tc>
        <w:tc>
          <w:tcPr>
            <w:tcW w:w="1857" w:type="dxa"/>
            <w:tcBorders>
              <w:top w:val="single" w:color="auto" w:sz="4" w:space="0"/>
              <w:left w:val="single" w:color="auto" w:sz="4" w:space="0"/>
              <w:bottom w:val="single" w:color="auto" w:sz="4" w:space="0"/>
              <w:right w:val="single" w:color="auto" w:sz="4" w:space="0"/>
            </w:tcBorders>
            <w:vAlign w:val="center"/>
          </w:tcPr>
          <w:p w14:paraId="19F7E75F">
            <w:pPr>
              <w:keepLines w:val="0"/>
              <w:pageBreakBefore w:val="0"/>
              <w:kinsoku/>
              <w:overflowPunct/>
              <w:bidi w:val="0"/>
              <w:spacing w:line="360" w:lineRule="auto"/>
              <w:ind w:firstLine="0" w:firstLineChars="0"/>
              <w:jc w:val="center"/>
              <w:rPr>
                <w:rFonts w:hint="eastAsia" w:ascii="宋体" w:hAnsi="宋体"/>
                <w:b/>
                <w:bCs/>
                <w:color w:val="auto"/>
                <w:sz w:val="21"/>
                <w:szCs w:val="21"/>
                <w:highlight w:val="none"/>
              </w:rPr>
            </w:pPr>
            <w:r>
              <w:rPr>
                <w:rFonts w:hint="eastAsia" w:ascii="宋体" w:hAnsi="宋体"/>
                <w:b/>
                <w:bCs/>
                <w:color w:val="auto"/>
                <w:sz w:val="21"/>
                <w:szCs w:val="21"/>
                <w:highlight w:val="none"/>
              </w:rPr>
              <w:t>单项合计金额（元）③＝①×②</w:t>
            </w:r>
          </w:p>
        </w:tc>
      </w:tr>
      <w:tr w14:paraId="7E79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568" w:type="dxa"/>
            <w:tcBorders>
              <w:top w:val="single" w:color="auto" w:sz="4" w:space="0"/>
              <w:left w:val="single" w:color="auto" w:sz="4" w:space="0"/>
              <w:bottom w:val="single" w:color="auto" w:sz="4" w:space="0"/>
              <w:right w:val="single" w:color="auto" w:sz="4" w:space="0"/>
            </w:tcBorders>
            <w:vAlign w:val="center"/>
          </w:tcPr>
          <w:p w14:paraId="3B3EBC7F">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w:t>
            </w:r>
          </w:p>
        </w:tc>
        <w:tc>
          <w:tcPr>
            <w:tcW w:w="1200" w:type="dxa"/>
            <w:tcBorders>
              <w:top w:val="single" w:color="auto" w:sz="4" w:space="0"/>
              <w:left w:val="single" w:color="auto" w:sz="4" w:space="0"/>
              <w:bottom w:val="single" w:color="auto" w:sz="4" w:space="0"/>
              <w:right w:val="single" w:color="auto" w:sz="4" w:space="0"/>
            </w:tcBorders>
            <w:vAlign w:val="center"/>
          </w:tcPr>
          <w:p w14:paraId="20257DE7">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lang w:eastAsia="zh-CN"/>
              </w:rPr>
            </w:pPr>
            <w:r>
              <w:rPr>
                <w:rFonts w:hint="eastAsia" w:ascii="宋体" w:hAnsi="宋体" w:cs="Times New Roman"/>
                <w:color w:val="auto"/>
                <w:sz w:val="21"/>
                <w:szCs w:val="21"/>
                <w:highlight w:val="none"/>
                <w:lang w:val="en-US" w:eastAsia="zh-CN"/>
              </w:rPr>
              <w:t xml:space="preserve"> </w:t>
            </w:r>
          </w:p>
        </w:tc>
        <w:tc>
          <w:tcPr>
            <w:tcW w:w="1427" w:type="dxa"/>
            <w:tcBorders>
              <w:top w:val="single" w:color="auto" w:sz="4" w:space="0"/>
              <w:left w:val="single" w:color="auto" w:sz="4" w:space="0"/>
              <w:bottom w:val="single" w:color="auto" w:sz="4" w:space="0"/>
              <w:right w:val="single" w:color="auto" w:sz="4" w:space="0"/>
            </w:tcBorders>
            <w:vAlign w:val="center"/>
          </w:tcPr>
          <w:p w14:paraId="58E35333">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p>
        </w:tc>
        <w:tc>
          <w:tcPr>
            <w:tcW w:w="762" w:type="dxa"/>
            <w:tcBorders>
              <w:top w:val="single" w:color="auto" w:sz="4" w:space="0"/>
              <w:left w:val="single" w:color="auto" w:sz="4" w:space="0"/>
              <w:bottom w:val="single" w:color="auto" w:sz="4" w:space="0"/>
              <w:right w:val="single" w:color="auto" w:sz="4" w:space="0"/>
            </w:tcBorders>
          </w:tcPr>
          <w:p w14:paraId="56CF7532">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p>
        </w:tc>
        <w:tc>
          <w:tcPr>
            <w:tcW w:w="781" w:type="dxa"/>
            <w:tcBorders>
              <w:top w:val="single" w:color="auto" w:sz="4" w:space="0"/>
              <w:left w:val="single" w:color="auto" w:sz="4" w:space="0"/>
              <w:bottom w:val="single" w:color="auto" w:sz="4" w:space="0"/>
              <w:right w:val="single" w:color="auto" w:sz="4" w:space="0"/>
            </w:tcBorders>
            <w:vAlign w:val="center"/>
          </w:tcPr>
          <w:p w14:paraId="4E52DC7A">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p>
        </w:tc>
        <w:tc>
          <w:tcPr>
            <w:tcW w:w="687" w:type="dxa"/>
            <w:tcBorders>
              <w:top w:val="single" w:color="auto" w:sz="4" w:space="0"/>
              <w:left w:val="single" w:color="auto" w:sz="4" w:space="0"/>
              <w:bottom w:val="single" w:color="auto" w:sz="4" w:space="0"/>
              <w:right w:val="single" w:color="auto" w:sz="4" w:space="0"/>
            </w:tcBorders>
            <w:vAlign w:val="center"/>
          </w:tcPr>
          <w:p w14:paraId="66971AD2">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734D629">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lang w:eastAsia="zh-CN"/>
              </w:rPr>
            </w:pPr>
            <w:r>
              <w:rPr>
                <w:rFonts w:hint="eastAsia" w:ascii="宋体" w:hAnsi="宋体" w:cs="Times New Roman"/>
                <w:color w:val="auto"/>
                <w:sz w:val="21"/>
                <w:szCs w:val="21"/>
                <w:highlight w:val="none"/>
                <w:lang w:val="en-US" w:eastAsia="zh-CN"/>
              </w:rPr>
              <w:t xml:space="preserve">  </w:t>
            </w:r>
          </w:p>
        </w:tc>
        <w:tc>
          <w:tcPr>
            <w:tcW w:w="671" w:type="dxa"/>
            <w:tcBorders>
              <w:top w:val="single" w:color="auto" w:sz="4" w:space="0"/>
              <w:left w:val="single" w:color="auto" w:sz="4" w:space="0"/>
              <w:bottom w:val="single" w:color="auto" w:sz="4" w:space="0"/>
              <w:right w:val="single" w:color="auto" w:sz="4" w:space="0"/>
            </w:tcBorders>
            <w:vAlign w:val="center"/>
          </w:tcPr>
          <w:p w14:paraId="07EF923B">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 xml:space="preserve"> </w:t>
            </w:r>
          </w:p>
        </w:tc>
        <w:tc>
          <w:tcPr>
            <w:tcW w:w="1013" w:type="dxa"/>
            <w:tcBorders>
              <w:top w:val="single" w:color="auto" w:sz="4" w:space="0"/>
              <w:left w:val="single" w:color="auto" w:sz="4" w:space="0"/>
              <w:bottom w:val="single" w:color="auto" w:sz="4" w:space="0"/>
              <w:right w:val="single" w:color="auto" w:sz="4" w:space="0"/>
            </w:tcBorders>
            <w:vAlign w:val="center"/>
          </w:tcPr>
          <w:p w14:paraId="4A2E5C22">
            <w:pPr>
              <w:keepLines w:val="0"/>
              <w:pageBreakBefore w:val="0"/>
              <w:kinsoku/>
              <w:overflowPunct/>
              <w:bidi w:val="0"/>
              <w:spacing w:line="360" w:lineRule="auto"/>
              <w:ind w:firstLine="0" w:firstLineChars="0"/>
              <w:jc w:val="center"/>
              <w:rPr>
                <w:rFonts w:hint="eastAsia" w:ascii="宋体" w:hAnsi="宋体"/>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4EC20ABF">
            <w:pPr>
              <w:keepLines w:val="0"/>
              <w:pageBreakBefore w:val="0"/>
              <w:kinsoku/>
              <w:overflowPunct/>
              <w:bidi w:val="0"/>
              <w:spacing w:line="360" w:lineRule="auto"/>
              <w:ind w:firstLine="0" w:firstLineChars="0"/>
              <w:jc w:val="center"/>
              <w:rPr>
                <w:rFonts w:hint="eastAsia" w:ascii="宋体" w:hAnsi="宋体"/>
                <w:color w:val="auto"/>
                <w:sz w:val="21"/>
                <w:szCs w:val="21"/>
                <w:highlight w:val="none"/>
              </w:rPr>
            </w:pPr>
          </w:p>
        </w:tc>
      </w:tr>
      <w:tr w14:paraId="1303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568" w:type="dxa"/>
            <w:tcBorders>
              <w:top w:val="single" w:color="auto" w:sz="4" w:space="0"/>
              <w:left w:val="single" w:color="auto" w:sz="4" w:space="0"/>
              <w:bottom w:val="single" w:color="auto" w:sz="4" w:space="0"/>
              <w:right w:val="single" w:color="auto" w:sz="4" w:space="0"/>
            </w:tcBorders>
            <w:vAlign w:val="center"/>
          </w:tcPr>
          <w:p w14:paraId="25C2CCCE">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w:t>
            </w:r>
          </w:p>
        </w:tc>
        <w:tc>
          <w:tcPr>
            <w:tcW w:w="1200" w:type="dxa"/>
            <w:tcBorders>
              <w:top w:val="single" w:color="auto" w:sz="4" w:space="0"/>
              <w:left w:val="single" w:color="auto" w:sz="4" w:space="0"/>
              <w:bottom w:val="single" w:color="auto" w:sz="4" w:space="0"/>
              <w:right w:val="single" w:color="auto" w:sz="4" w:space="0"/>
            </w:tcBorders>
            <w:vAlign w:val="center"/>
          </w:tcPr>
          <w:p w14:paraId="2A54FF99">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 xml:space="preserve"> </w:t>
            </w:r>
          </w:p>
        </w:tc>
        <w:tc>
          <w:tcPr>
            <w:tcW w:w="1427" w:type="dxa"/>
            <w:tcBorders>
              <w:top w:val="single" w:color="auto" w:sz="4" w:space="0"/>
              <w:left w:val="single" w:color="auto" w:sz="4" w:space="0"/>
              <w:bottom w:val="single" w:color="auto" w:sz="4" w:space="0"/>
              <w:right w:val="single" w:color="auto" w:sz="4" w:space="0"/>
            </w:tcBorders>
            <w:vAlign w:val="center"/>
          </w:tcPr>
          <w:p w14:paraId="498034BA">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p>
        </w:tc>
        <w:tc>
          <w:tcPr>
            <w:tcW w:w="762" w:type="dxa"/>
            <w:tcBorders>
              <w:top w:val="single" w:color="auto" w:sz="4" w:space="0"/>
              <w:left w:val="single" w:color="auto" w:sz="4" w:space="0"/>
              <w:bottom w:val="single" w:color="auto" w:sz="4" w:space="0"/>
              <w:right w:val="single" w:color="auto" w:sz="4" w:space="0"/>
            </w:tcBorders>
          </w:tcPr>
          <w:p w14:paraId="05AACCC4">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p>
        </w:tc>
        <w:tc>
          <w:tcPr>
            <w:tcW w:w="781" w:type="dxa"/>
            <w:tcBorders>
              <w:top w:val="single" w:color="auto" w:sz="4" w:space="0"/>
              <w:left w:val="single" w:color="auto" w:sz="4" w:space="0"/>
              <w:bottom w:val="single" w:color="auto" w:sz="4" w:space="0"/>
              <w:right w:val="single" w:color="auto" w:sz="4" w:space="0"/>
            </w:tcBorders>
            <w:vAlign w:val="center"/>
          </w:tcPr>
          <w:p w14:paraId="28F8F3E0">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p>
        </w:tc>
        <w:tc>
          <w:tcPr>
            <w:tcW w:w="687" w:type="dxa"/>
            <w:tcBorders>
              <w:top w:val="single" w:color="auto" w:sz="4" w:space="0"/>
              <w:left w:val="single" w:color="auto" w:sz="4" w:space="0"/>
              <w:bottom w:val="single" w:color="auto" w:sz="4" w:space="0"/>
              <w:right w:val="single" w:color="auto" w:sz="4" w:space="0"/>
            </w:tcBorders>
            <w:vAlign w:val="center"/>
          </w:tcPr>
          <w:p w14:paraId="6DA76D4D">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84EFAC7">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lang w:eastAsia="zh-CN"/>
              </w:rPr>
            </w:pPr>
            <w:r>
              <w:rPr>
                <w:rFonts w:hint="eastAsia" w:ascii="宋体" w:hAnsi="宋体" w:cs="Times New Roman"/>
                <w:color w:val="auto"/>
                <w:sz w:val="21"/>
                <w:szCs w:val="21"/>
                <w:highlight w:val="none"/>
                <w:lang w:val="en-US" w:eastAsia="zh-CN"/>
              </w:rPr>
              <w:t xml:space="preserve"> </w:t>
            </w:r>
          </w:p>
        </w:tc>
        <w:tc>
          <w:tcPr>
            <w:tcW w:w="671" w:type="dxa"/>
            <w:tcBorders>
              <w:top w:val="single" w:color="auto" w:sz="4" w:space="0"/>
              <w:left w:val="single" w:color="auto" w:sz="4" w:space="0"/>
              <w:bottom w:val="single" w:color="auto" w:sz="4" w:space="0"/>
              <w:right w:val="single" w:color="auto" w:sz="4" w:space="0"/>
            </w:tcBorders>
            <w:vAlign w:val="center"/>
          </w:tcPr>
          <w:p w14:paraId="09B29B93">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 xml:space="preserve"> </w:t>
            </w:r>
          </w:p>
        </w:tc>
        <w:tc>
          <w:tcPr>
            <w:tcW w:w="1013" w:type="dxa"/>
            <w:tcBorders>
              <w:top w:val="single" w:color="auto" w:sz="4" w:space="0"/>
              <w:left w:val="single" w:color="auto" w:sz="4" w:space="0"/>
              <w:bottom w:val="single" w:color="auto" w:sz="4" w:space="0"/>
              <w:right w:val="single" w:color="auto" w:sz="4" w:space="0"/>
            </w:tcBorders>
            <w:vAlign w:val="center"/>
          </w:tcPr>
          <w:p w14:paraId="16E86A5A">
            <w:pPr>
              <w:keepLines w:val="0"/>
              <w:pageBreakBefore w:val="0"/>
              <w:kinsoku/>
              <w:overflowPunct/>
              <w:bidi w:val="0"/>
              <w:spacing w:line="360" w:lineRule="auto"/>
              <w:ind w:firstLine="0" w:firstLineChars="0"/>
              <w:jc w:val="center"/>
              <w:rPr>
                <w:rFonts w:hint="eastAsia" w:ascii="宋体" w:hAnsi="宋体"/>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74FB0E97">
            <w:pPr>
              <w:keepLines w:val="0"/>
              <w:pageBreakBefore w:val="0"/>
              <w:kinsoku/>
              <w:overflowPunct/>
              <w:bidi w:val="0"/>
              <w:spacing w:line="360" w:lineRule="auto"/>
              <w:ind w:firstLine="0" w:firstLineChars="0"/>
              <w:jc w:val="center"/>
              <w:rPr>
                <w:rFonts w:hint="eastAsia" w:ascii="宋体" w:hAnsi="宋体"/>
                <w:color w:val="auto"/>
                <w:sz w:val="21"/>
                <w:szCs w:val="21"/>
                <w:highlight w:val="none"/>
              </w:rPr>
            </w:pPr>
          </w:p>
        </w:tc>
      </w:tr>
      <w:tr w14:paraId="6BE5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568" w:type="dxa"/>
            <w:tcBorders>
              <w:top w:val="single" w:color="auto" w:sz="4" w:space="0"/>
              <w:left w:val="single" w:color="auto" w:sz="4" w:space="0"/>
              <w:bottom w:val="single" w:color="auto" w:sz="4" w:space="0"/>
              <w:right w:val="single" w:color="auto" w:sz="4" w:space="0"/>
            </w:tcBorders>
            <w:vAlign w:val="center"/>
          </w:tcPr>
          <w:p w14:paraId="58BA9D94">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w:t>
            </w:r>
          </w:p>
        </w:tc>
        <w:tc>
          <w:tcPr>
            <w:tcW w:w="1200" w:type="dxa"/>
            <w:tcBorders>
              <w:top w:val="single" w:color="auto" w:sz="4" w:space="0"/>
              <w:left w:val="single" w:color="auto" w:sz="4" w:space="0"/>
              <w:bottom w:val="single" w:color="auto" w:sz="4" w:space="0"/>
              <w:right w:val="single" w:color="auto" w:sz="4" w:space="0"/>
            </w:tcBorders>
            <w:vAlign w:val="center"/>
          </w:tcPr>
          <w:p w14:paraId="6B0CF99B">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lang w:eastAsia="zh-CN"/>
              </w:rPr>
            </w:pPr>
            <w:r>
              <w:rPr>
                <w:rFonts w:hint="eastAsia" w:ascii="宋体" w:hAnsi="宋体" w:cs="Times New Roman"/>
                <w:color w:val="auto"/>
                <w:sz w:val="21"/>
                <w:szCs w:val="21"/>
                <w:highlight w:val="none"/>
                <w:lang w:val="en-US" w:eastAsia="zh-CN"/>
              </w:rPr>
              <w:t xml:space="preserve"> </w:t>
            </w:r>
          </w:p>
        </w:tc>
        <w:tc>
          <w:tcPr>
            <w:tcW w:w="1427" w:type="dxa"/>
            <w:tcBorders>
              <w:top w:val="single" w:color="auto" w:sz="4" w:space="0"/>
              <w:left w:val="single" w:color="auto" w:sz="4" w:space="0"/>
              <w:bottom w:val="single" w:color="auto" w:sz="4" w:space="0"/>
              <w:right w:val="single" w:color="auto" w:sz="4" w:space="0"/>
            </w:tcBorders>
            <w:vAlign w:val="center"/>
          </w:tcPr>
          <w:p w14:paraId="4357F3B8">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p>
        </w:tc>
        <w:tc>
          <w:tcPr>
            <w:tcW w:w="762" w:type="dxa"/>
            <w:tcBorders>
              <w:top w:val="single" w:color="auto" w:sz="4" w:space="0"/>
              <w:left w:val="single" w:color="auto" w:sz="4" w:space="0"/>
              <w:bottom w:val="single" w:color="auto" w:sz="4" w:space="0"/>
              <w:right w:val="single" w:color="auto" w:sz="4" w:space="0"/>
            </w:tcBorders>
          </w:tcPr>
          <w:p w14:paraId="1CFB030F">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p>
        </w:tc>
        <w:tc>
          <w:tcPr>
            <w:tcW w:w="781" w:type="dxa"/>
            <w:tcBorders>
              <w:top w:val="single" w:color="auto" w:sz="4" w:space="0"/>
              <w:left w:val="single" w:color="auto" w:sz="4" w:space="0"/>
              <w:bottom w:val="single" w:color="auto" w:sz="4" w:space="0"/>
              <w:right w:val="single" w:color="auto" w:sz="4" w:space="0"/>
            </w:tcBorders>
            <w:vAlign w:val="center"/>
          </w:tcPr>
          <w:p w14:paraId="40BCAF81">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p>
        </w:tc>
        <w:tc>
          <w:tcPr>
            <w:tcW w:w="687" w:type="dxa"/>
            <w:tcBorders>
              <w:top w:val="single" w:color="auto" w:sz="4" w:space="0"/>
              <w:left w:val="single" w:color="auto" w:sz="4" w:space="0"/>
              <w:bottom w:val="single" w:color="auto" w:sz="4" w:space="0"/>
              <w:right w:val="single" w:color="auto" w:sz="4" w:space="0"/>
            </w:tcBorders>
            <w:vAlign w:val="center"/>
          </w:tcPr>
          <w:p w14:paraId="7E97B2A2">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0190A68">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 xml:space="preserve"> </w:t>
            </w:r>
          </w:p>
        </w:tc>
        <w:tc>
          <w:tcPr>
            <w:tcW w:w="671" w:type="dxa"/>
            <w:tcBorders>
              <w:top w:val="single" w:color="auto" w:sz="4" w:space="0"/>
              <w:left w:val="single" w:color="auto" w:sz="4" w:space="0"/>
              <w:bottom w:val="single" w:color="auto" w:sz="4" w:space="0"/>
              <w:right w:val="single" w:color="auto" w:sz="4" w:space="0"/>
            </w:tcBorders>
            <w:vAlign w:val="center"/>
          </w:tcPr>
          <w:p w14:paraId="41D4633F">
            <w:pPr>
              <w:keepLines w:val="0"/>
              <w:pageBreakBefore w:val="0"/>
              <w:kinsoku/>
              <w:overflowPunct/>
              <w:bidi w:val="0"/>
              <w:spacing w:line="36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 xml:space="preserve"> </w:t>
            </w:r>
          </w:p>
        </w:tc>
        <w:tc>
          <w:tcPr>
            <w:tcW w:w="1013" w:type="dxa"/>
            <w:tcBorders>
              <w:top w:val="single" w:color="auto" w:sz="4" w:space="0"/>
              <w:left w:val="single" w:color="auto" w:sz="4" w:space="0"/>
              <w:bottom w:val="single" w:color="auto" w:sz="4" w:space="0"/>
              <w:right w:val="single" w:color="auto" w:sz="4" w:space="0"/>
            </w:tcBorders>
            <w:vAlign w:val="center"/>
          </w:tcPr>
          <w:p w14:paraId="5617760B">
            <w:pPr>
              <w:keepLines w:val="0"/>
              <w:pageBreakBefore w:val="0"/>
              <w:kinsoku/>
              <w:overflowPunct/>
              <w:bidi w:val="0"/>
              <w:spacing w:line="360" w:lineRule="auto"/>
              <w:ind w:firstLine="0" w:firstLineChars="0"/>
              <w:jc w:val="center"/>
              <w:rPr>
                <w:rFonts w:hint="eastAsia" w:ascii="宋体" w:hAnsi="宋体"/>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00C40BC9">
            <w:pPr>
              <w:keepLines w:val="0"/>
              <w:pageBreakBefore w:val="0"/>
              <w:kinsoku/>
              <w:overflowPunct/>
              <w:bidi w:val="0"/>
              <w:spacing w:line="360" w:lineRule="auto"/>
              <w:ind w:firstLine="0" w:firstLineChars="0"/>
              <w:jc w:val="center"/>
              <w:rPr>
                <w:rFonts w:hint="eastAsia" w:ascii="宋体" w:hAnsi="宋体"/>
                <w:color w:val="auto"/>
                <w:sz w:val="21"/>
                <w:szCs w:val="21"/>
                <w:highlight w:val="none"/>
              </w:rPr>
            </w:pPr>
          </w:p>
        </w:tc>
      </w:tr>
      <w:tr w14:paraId="1183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7818" w:type="dxa"/>
            <w:gridSpan w:val="9"/>
            <w:tcBorders>
              <w:top w:val="single" w:color="auto" w:sz="4" w:space="0"/>
              <w:left w:val="single" w:color="auto" w:sz="4" w:space="0"/>
              <w:bottom w:val="single" w:color="auto" w:sz="4" w:space="0"/>
              <w:right w:val="single" w:color="auto" w:sz="4" w:space="0"/>
            </w:tcBorders>
            <w:vAlign w:val="center"/>
          </w:tcPr>
          <w:p w14:paraId="16E8421F">
            <w:pPr>
              <w:keepLines w:val="0"/>
              <w:pageBreakBefore w:val="0"/>
              <w:kinsoku/>
              <w:overflowPunct/>
              <w:bidi w:val="0"/>
              <w:spacing w:line="360" w:lineRule="auto"/>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合     计</w:t>
            </w:r>
          </w:p>
        </w:tc>
        <w:tc>
          <w:tcPr>
            <w:tcW w:w="1857" w:type="dxa"/>
            <w:tcBorders>
              <w:top w:val="single" w:color="auto" w:sz="4" w:space="0"/>
              <w:left w:val="single" w:color="auto" w:sz="4" w:space="0"/>
              <w:bottom w:val="single" w:color="auto" w:sz="4" w:space="0"/>
              <w:right w:val="single" w:color="auto" w:sz="4" w:space="0"/>
            </w:tcBorders>
            <w:vAlign w:val="center"/>
          </w:tcPr>
          <w:p w14:paraId="35D6C98A">
            <w:pPr>
              <w:keepLines w:val="0"/>
              <w:pageBreakBefore w:val="0"/>
              <w:kinsoku/>
              <w:overflowPunct/>
              <w:bidi w:val="0"/>
              <w:spacing w:line="360" w:lineRule="auto"/>
              <w:ind w:firstLine="0" w:firstLineChars="0"/>
              <w:jc w:val="center"/>
              <w:rPr>
                <w:rFonts w:hint="eastAsia" w:ascii="宋体" w:hAnsi="宋体"/>
                <w:color w:val="auto"/>
                <w:sz w:val="21"/>
                <w:szCs w:val="21"/>
                <w:highlight w:val="none"/>
              </w:rPr>
            </w:pPr>
          </w:p>
        </w:tc>
      </w:tr>
    </w:tbl>
    <w:p w14:paraId="213F519A">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根据《成交通知书》的</w:t>
      </w:r>
      <w:r>
        <w:rPr>
          <w:rFonts w:hint="eastAsia" w:ascii="宋体" w:hAnsi="宋体"/>
          <w:color w:val="auto"/>
          <w:sz w:val="21"/>
          <w:szCs w:val="21"/>
          <w:highlight w:val="none"/>
          <w:lang w:val="en-US" w:eastAsia="zh-CN"/>
        </w:rPr>
        <w:t>成交</w:t>
      </w:r>
      <w:r>
        <w:rPr>
          <w:rFonts w:hint="eastAsia" w:ascii="宋体" w:hAnsi="宋体"/>
          <w:color w:val="auto"/>
          <w:sz w:val="21"/>
          <w:szCs w:val="21"/>
          <w:highlight w:val="none"/>
        </w:rPr>
        <w:t>内容，合同的总金额为：人民币（大写）</w:t>
      </w:r>
      <w:r>
        <w:rPr>
          <w:rFonts w:hint="eastAsia" w:ascii="宋体" w:hAnsi="宋体"/>
          <w:color w:val="auto"/>
          <w:sz w:val="21"/>
          <w:szCs w:val="21"/>
          <w:highlight w:val="none"/>
          <w:u w:val="single"/>
        </w:rPr>
        <w:t>　　  　　　</w:t>
      </w:r>
      <w:r>
        <w:rPr>
          <w:rFonts w:hint="eastAsia" w:ascii="宋体" w:hAnsi="宋体"/>
          <w:color w:val="auto"/>
          <w:sz w:val="21"/>
          <w:szCs w:val="21"/>
          <w:highlight w:val="none"/>
        </w:rPr>
        <w:t>（¥</w:t>
      </w:r>
      <w:r>
        <w:rPr>
          <w:rFonts w:hint="eastAsia" w:ascii="宋体" w:hAnsi="宋体"/>
          <w:color w:val="auto"/>
          <w:sz w:val="21"/>
          <w:szCs w:val="21"/>
          <w:highlight w:val="none"/>
          <w:u w:val="single"/>
        </w:rPr>
        <w:t>　　　</w:t>
      </w:r>
      <w:r>
        <w:rPr>
          <w:rFonts w:hint="eastAsia" w:ascii="宋体" w:hAnsi="宋体"/>
          <w:color w:val="auto"/>
          <w:sz w:val="21"/>
          <w:szCs w:val="21"/>
          <w:highlight w:val="none"/>
        </w:rPr>
        <w:t>元）。</w:t>
      </w:r>
    </w:p>
    <w:p w14:paraId="29C984E6">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本合同价款</w:t>
      </w:r>
      <w:r>
        <w:rPr>
          <w:rFonts w:hint="eastAsia" w:asciiTheme="minorEastAsia" w:hAnsiTheme="minorEastAsia" w:eastAsiaTheme="minorEastAsia" w:cstheme="minorEastAsia"/>
          <w:color w:val="auto"/>
          <w:sz w:val="21"/>
          <w:szCs w:val="21"/>
        </w:rPr>
        <w:t>包含货物、货物标准附件、备品备件、专用工具、设备安装辅材、施工辅材、包装、运输、装卸、保险、货到就位的各种费用以及安装、调试、税金、售后服务、技术培训及其他所有成本费用</w:t>
      </w:r>
      <w:r>
        <w:rPr>
          <w:rFonts w:hint="eastAsia" w:ascii="宋体" w:hAnsi="宋体"/>
          <w:color w:val="auto"/>
          <w:sz w:val="21"/>
          <w:szCs w:val="21"/>
          <w:highlight w:val="none"/>
        </w:rPr>
        <w:t>，乙方已综合考虑在报价中。</w:t>
      </w:r>
    </w:p>
    <w:p w14:paraId="716A3407">
      <w:pPr>
        <w:keepLines w:val="0"/>
        <w:pageBreakBefore w:val="0"/>
        <w:kinsoku/>
        <w:overflowPunct/>
        <w:bidi w:val="0"/>
        <w:spacing w:line="360" w:lineRule="auto"/>
        <w:ind w:firstLine="422"/>
        <w:rPr>
          <w:rFonts w:hint="eastAsia" w:ascii="宋体" w:hAnsi="宋体"/>
          <w:b/>
          <w:color w:val="auto"/>
          <w:sz w:val="21"/>
          <w:szCs w:val="21"/>
          <w:highlight w:val="none"/>
        </w:rPr>
      </w:pPr>
      <w:r>
        <w:rPr>
          <w:rFonts w:hint="eastAsia" w:ascii="宋体" w:hAnsi="宋体"/>
          <w:b/>
          <w:color w:val="auto"/>
          <w:sz w:val="21"/>
          <w:szCs w:val="21"/>
          <w:highlight w:val="none"/>
        </w:rPr>
        <w:t>第二条  质量保证</w:t>
      </w:r>
    </w:p>
    <w:p w14:paraId="7B4018B8">
      <w:pPr>
        <w:keepLines w:val="0"/>
        <w:pageBreakBefore w:val="0"/>
        <w:kinsoku/>
        <w:overflowPunct/>
        <w:bidi w:val="0"/>
        <w:spacing w:line="360" w:lineRule="auto"/>
        <w:ind w:firstLine="42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乙方应按响应文件承诺的货物规格型号、技术参数、质量标准等向甲方提供未经使用的全新原装产品，产品质量须符合国家相关标准及安全规范，且在正常安装使用和保养条件下，其使用寿命期内各项指标均达到质量标准。</w:t>
      </w:r>
    </w:p>
    <w:p w14:paraId="78B2FB02">
      <w:pPr>
        <w:keepLines w:val="0"/>
        <w:pageBreakBefore w:val="0"/>
        <w:kinsoku/>
        <w:overflowPunct/>
        <w:bidi w:val="0"/>
        <w:spacing w:line="360" w:lineRule="auto"/>
        <w:ind w:firstLine="422"/>
        <w:rPr>
          <w:rFonts w:hint="eastAsia" w:ascii="宋体" w:hAnsi="宋体"/>
          <w:b/>
          <w:color w:val="auto"/>
          <w:sz w:val="21"/>
          <w:szCs w:val="21"/>
          <w:highlight w:val="none"/>
        </w:rPr>
      </w:pPr>
      <w:r>
        <w:rPr>
          <w:rFonts w:hint="eastAsia" w:ascii="宋体" w:hAnsi="宋体"/>
          <w:b/>
          <w:color w:val="auto"/>
          <w:sz w:val="21"/>
          <w:szCs w:val="21"/>
          <w:highlight w:val="none"/>
        </w:rPr>
        <w:t>第三条  权力保证</w:t>
      </w:r>
    </w:p>
    <w:p w14:paraId="48042B2C">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1.乙方应按谈判文件规定的时间向甲方提供使用货物的有关技术资料。</w:t>
      </w:r>
    </w:p>
    <w:p w14:paraId="59179A43">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2.乙方保证所交付的标的所有权完全属于乙方且无任何抵押、质押、查封等产权瑕疵。</w:t>
      </w:r>
    </w:p>
    <w:p w14:paraId="31D2070C">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3.乙方必须保证所提供的产品及服务涉及到的知识产权和相关技术资料是合法取得的，甲方在使用产品及服务时不会侵犯任何第三方的著作权、专利权、商标权、工业设计权或其他权利，不会因为甲方的使用遭受第三方侵权指控，包括被责令致歉、停止使用、追偿或要求赔偿损失等。否则，乙方负责解决由此引起的一切纠纷，甲方有权追究乙方的法律责任，其不利后果由乙方全部承担。</w:t>
      </w:r>
    </w:p>
    <w:p w14:paraId="639B9EC5">
      <w:pPr>
        <w:keepLines w:val="0"/>
        <w:pageBreakBefore w:val="0"/>
        <w:kinsoku/>
        <w:overflowPunct/>
        <w:bidi w:val="0"/>
        <w:spacing w:line="360" w:lineRule="auto"/>
        <w:ind w:firstLine="422"/>
        <w:rPr>
          <w:rFonts w:hint="eastAsia" w:ascii="宋体" w:hAnsi="宋体"/>
          <w:b/>
          <w:color w:val="auto"/>
          <w:sz w:val="21"/>
          <w:szCs w:val="21"/>
          <w:highlight w:val="none"/>
        </w:rPr>
      </w:pPr>
      <w:r>
        <w:rPr>
          <w:rFonts w:hint="eastAsia" w:ascii="宋体" w:hAnsi="宋体"/>
          <w:b/>
          <w:color w:val="auto"/>
          <w:sz w:val="21"/>
          <w:szCs w:val="21"/>
          <w:highlight w:val="none"/>
        </w:rPr>
        <w:t>第四条  货物包装、运输</w:t>
      </w:r>
    </w:p>
    <w:p w14:paraId="16FFD3B1">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1.原厂原包装，包装完好完整、无破损、未开封。</w:t>
      </w:r>
    </w:p>
    <w:p w14:paraId="6362ABAB">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2.包装及运输方式应综合考虑运输距离、防潮、防震、防锈和防破损装卸等要求。</w:t>
      </w:r>
    </w:p>
    <w:p w14:paraId="6B5C7B61">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3.国家对包装及运输有相关强制性标准或要求的，乙方应当执行。</w:t>
      </w:r>
    </w:p>
    <w:p w14:paraId="667FB7D6">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4.产品（含包装）运抵甲方指定交付地点前发生损坏的，相关损失由乙方自行承担。</w:t>
      </w:r>
    </w:p>
    <w:p w14:paraId="0A8831F8">
      <w:pPr>
        <w:keepLines w:val="0"/>
        <w:pageBreakBefore w:val="0"/>
        <w:kinsoku/>
        <w:overflowPunct/>
        <w:bidi w:val="0"/>
        <w:spacing w:line="360" w:lineRule="auto"/>
        <w:ind w:firstLine="422"/>
        <w:rPr>
          <w:rFonts w:hint="eastAsia" w:ascii="宋体" w:hAnsi="宋体"/>
          <w:b/>
          <w:color w:val="auto"/>
          <w:sz w:val="21"/>
          <w:szCs w:val="21"/>
          <w:highlight w:val="none"/>
        </w:rPr>
      </w:pPr>
      <w:r>
        <w:rPr>
          <w:rFonts w:hint="eastAsia" w:ascii="宋体" w:hAnsi="宋体"/>
          <w:b/>
          <w:color w:val="auto"/>
          <w:sz w:val="21"/>
          <w:szCs w:val="21"/>
          <w:highlight w:val="none"/>
        </w:rPr>
        <w:t>第五条  交付</w:t>
      </w:r>
    </w:p>
    <w:p w14:paraId="531E0A4A">
      <w:pPr>
        <w:keepLines w:val="0"/>
        <w:pageBreakBefore w:val="0"/>
        <w:kinsoku/>
        <w:overflowPunct/>
        <w:bidi w:val="0"/>
        <w:spacing w:line="360" w:lineRule="auto"/>
        <w:ind w:firstLine="420"/>
        <w:rPr>
          <w:rFonts w:hint="eastAsia" w:ascii="宋体" w:hAnsi="宋体"/>
          <w:color w:val="auto"/>
          <w:sz w:val="21"/>
          <w:szCs w:val="21"/>
          <w:highlight w:val="none"/>
          <w:lang w:eastAsia="zh-CN"/>
        </w:rPr>
      </w:pPr>
      <w:r>
        <w:rPr>
          <w:rFonts w:hint="eastAsia" w:ascii="宋体" w:hAnsi="宋体"/>
          <w:color w:val="auto"/>
          <w:sz w:val="21"/>
          <w:szCs w:val="21"/>
          <w:highlight w:val="none"/>
        </w:rPr>
        <w:t>1.交付时间：</w:t>
      </w:r>
      <w:r>
        <w:rPr>
          <w:rFonts w:hint="eastAsia" w:ascii="宋体" w:hAnsi="宋体"/>
          <w:color w:val="auto"/>
          <w:sz w:val="21"/>
          <w:szCs w:val="21"/>
          <w:highlight w:val="none"/>
          <w:u w:val="single"/>
        </w:rPr>
        <w:t>自签订合同之日起</w:t>
      </w:r>
      <w:r>
        <w:rPr>
          <w:rFonts w:hint="eastAsia" w:ascii="宋体" w:hAnsi="宋体"/>
          <w:color w:val="auto"/>
          <w:sz w:val="21"/>
          <w:szCs w:val="21"/>
          <w:highlight w:val="none"/>
          <w:u w:val="single"/>
          <w:lang w:val="en-US" w:eastAsia="zh-CN"/>
        </w:rPr>
        <w:t>45</w:t>
      </w:r>
      <w:r>
        <w:rPr>
          <w:rFonts w:hint="eastAsia" w:ascii="宋体" w:hAnsi="宋体"/>
          <w:color w:val="auto"/>
          <w:sz w:val="21"/>
          <w:szCs w:val="21"/>
          <w:highlight w:val="none"/>
          <w:u w:val="single"/>
        </w:rPr>
        <w:t>个日历日内交付全部货物并安装调试完毕交付使用</w:t>
      </w:r>
      <w:r>
        <w:rPr>
          <w:rFonts w:hint="eastAsia" w:ascii="宋体" w:hAnsi="宋体"/>
          <w:color w:val="auto"/>
          <w:sz w:val="21"/>
          <w:szCs w:val="21"/>
          <w:highlight w:val="none"/>
          <w:lang w:eastAsia="zh-CN"/>
        </w:rPr>
        <w:t>；</w:t>
      </w:r>
    </w:p>
    <w:p w14:paraId="52BE21A2">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交付地点：</w:t>
      </w:r>
      <w:r>
        <w:rPr>
          <w:rFonts w:hint="eastAsia" w:ascii="宋体" w:hAnsi="宋体"/>
          <w:color w:val="auto"/>
          <w:sz w:val="21"/>
          <w:szCs w:val="21"/>
          <w:highlight w:val="none"/>
          <w:u w:val="single"/>
        </w:rPr>
        <w:t>广西桂林市甲方指定地点</w:t>
      </w:r>
      <w:r>
        <w:rPr>
          <w:rFonts w:hint="eastAsia" w:ascii="宋体" w:hAnsi="宋体"/>
          <w:color w:val="auto"/>
          <w:sz w:val="21"/>
          <w:szCs w:val="21"/>
          <w:highlight w:val="none"/>
        </w:rPr>
        <w:t>。</w:t>
      </w:r>
    </w:p>
    <w:p w14:paraId="189943A2">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2.乙方提供不符合谈判文件规定、乙方响应文件承诺和本合同规定的标的，甲方有权拒绝接受。</w:t>
      </w:r>
    </w:p>
    <w:p w14:paraId="64610A98">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3.乙方应将所有提供货物的装箱清单、用户手册、原厂保修卡、随机资料、工具和备用、备件等交付给甲方，货物属于进口产品的，供货时应同时附上中文使用说明书，如有缺失应及时补齐，否则视为逾期交货。</w:t>
      </w:r>
    </w:p>
    <w:p w14:paraId="27A54685">
      <w:pPr>
        <w:keepLines w:val="0"/>
        <w:pageBreakBefore w:val="0"/>
        <w:kinsoku/>
        <w:overflowPunct/>
        <w:bidi w:val="0"/>
        <w:spacing w:line="360" w:lineRule="auto"/>
        <w:ind w:firstLine="422"/>
        <w:rPr>
          <w:rFonts w:hint="eastAsia" w:ascii="宋体" w:hAnsi="宋体"/>
          <w:b/>
          <w:color w:val="auto"/>
          <w:sz w:val="21"/>
          <w:szCs w:val="21"/>
          <w:highlight w:val="none"/>
        </w:rPr>
      </w:pPr>
      <w:r>
        <w:rPr>
          <w:rFonts w:hint="eastAsia" w:ascii="宋体" w:hAnsi="宋体"/>
          <w:b/>
          <w:color w:val="auto"/>
          <w:sz w:val="21"/>
          <w:szCs w:val="21"/>
          <w:highlight w:val="none"/>
        </w:rPr>
        <w:t>第六条  安装和培训</w:t>
      </w:r>
    </w:p>
    <w:p w14:paraId="155B4ED2">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1.甲方应提供必要安装条件（如场地、电源、水源等）。</w:t>
      </w:r>
    </w:p>
    <w:p w14:paraId="37C4BD89">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2.乙方负责甲方有关人员的培训。培训时间、地点：</w:t>
      </w:r>
      <w:r>
        <w:rPr>
          <w:rFonts w:hint="eastAsia" w:ascii="宋体" w:hAnsi="宋体"/>
          <w:color w:val="auto"/>
          <w:sz w:val="21"/>
          <w:szCs w:val="21"/>
          <w:highlight w:val="none"/>
          <w:u w:val="single"/>
        </w:rPr>
        <w:t>广西桂林市</w:t>
      </w:r>
      <w:r>
        <w:rPr>
          <w:rFonts w:hint="eastAsia" w:ascii="宋体" w:hAnsi="宋体"/>
          <w:color w:val="auto"/>
          <w:sz w:val="21"/>
          <w:szCs w:val="21"/>
          <w:highlight w:val="none"/>
          <w:u w:val="single"/>
          <w:lang w:val="en-US" w:eastAsia="zh-CN"/>
        </w:rPr>
        <w:t>内</w:t>
      </w:r>
      <w:r>
        <w:rPr>
          <w:rFonts w:hint="eastAsia" w:ascii="宋体" w:hAnsi="宋体"/>
          <w:color w:val="auto"/>
          <w:sz w:val="21"/>
          <w:szCs w:val="21"/>
          <w:highlight w:val="none"/>
          <w:u w:val="single"/>
        </w:rPr>
        <w:t>甲方指定时间地点</w:t>
      </w:r>
      <w:r>
        <w:rPr>
          <w:rFonts w:hint="eastAsia" w:ascii="宋体" w:hAnsi="宋体"/>
          <w:color w:val="auto"/>
          <w:sz w:val="21"/>
          <w:szCs w:val="21"/>
          <w:highlight w:val="none"/>
        </w:rPr>
        <w:t>。</w:t>
      </w:r>
    </w:p>
    <w:p w14:paraId="586345A1">
      <w:pPr>
        <w:keepLines w:val="0"/>
        <w:pageBreakBefore w:val="0"/>
        <w:kinsoku/>
        <w:overflowPunct/>
        <w:bidi w:val="0"/>
        <w:spacing w:line="360" w:lineRule="auto"/>
        <w:ind w:firstLine="422"/>
        <w:rPr>
          <w:rFonts w:hint="eastAsia" w:ascii="宋体" w:hAnsi="宋体"/>
          <w:b/>
          <w:color w:val="auto"/>
          <w:sz w:val="21"/>
          <w:szCs w:val="21"/>
          <w:highlight w:val="none"/>
        </w:rPr>
      </w:pPr>
      <w:r>
        <w:rPr>
          <w:rFonts w:hint="eastAsia" w:ascii="宋体" w:hAnsi="宋体"/>
          <w:b/>
          <w:color w:val="auto"/>
          <w:sz w:val="21"/>
          <w:szCs w:val="21"/>
          <w:highlight w:val="none"/>
        </w:rPr>
        <w:t>第七条  验收</w:t>
      </w:r>
    </w:p>
    <w:p w14:paraId="67F09E76">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应按响应文件承诺的货物规格型号、技术参数、质量标准等向</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提供未经使用的全新原装产品，产品质量须符合国家相关标准及安全规范，且在正常安装使用和保养条件下，其使用寿命期内各项指标均达到质量标准。</w:t>
      </w:r>
    </w:p>
    <w:p w14:paraId="00F512EF">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必须于供货时提供所竞的所有产品合格证原件，否则不予验收，并按违约处理，</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有权保留追究</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的相关法律责任的权利。</w:t>
      </w:r>
    </w:p>
    <w:p w14:paraId="6EDCC6D6">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3.到货后，</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和</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应在现场进行清点，清点过程中如果发现因包装或运输不当引起的损坏，或发现错发/漏发情况，</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应一周内更换和补发。</w:t>
      </w:r>
    </w:p>
    <w:p w14:paraId="0D3F429C">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4.</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合同签订后供货前必须向</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提供“采购需求一览表”“技术要求”中的所要求对应的检测报告原件供</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核查，未提供检测报告原件或所提供的检测报告原件与响应文件中检测报告复印件不一致的，不予验收，并按违约处理，</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有权保留追究</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的相关法律责任的权利。</w:t>
      </w:r>
    </w:p>
    <w:p w14:paraId="5CA500E5">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5.</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对成交产品按采购需求逐条核验</w:t>
      </w:r>
      <w:r>
        <w:rPr>
          <w:rFonts w:hint="eastAsia" w:ascii="宋体" w:hAnsi="宋体"/>
          <w:color w:val="auto"/>
          <w:sz w:val="21"/>
          <w:szCs w:val="21"/>
          <w:highlight w:val="none"/>
          <w:lang w:eastAsia="zh-CN"/>
        </w:rPr>
        <w:t>，</w:t>
      </w:r>
      <w:r>
        <w:rPr>
          <w:rFonts w:hint="eastAsia" w:ascii="宋体" w:hAnsi="宋体"/>
          <w:color w:val="auto"/>
          <w:sz w:val="21"/>
          <w:szCs w:val="21"/>
          <w:highlight w:val="none"/>
        </w:rPr>
        <w:t>如所提供的产品与响应文件中承诺的参数与产品实际参数不一致，</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将不予接收，由此造成的损失由</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负责。</w:t>
      </w:r>
    </w:p>
    <w:p w14:paraId="0616C319">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6.</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如虚假应标，一经查实，将按虚假应标处理，由此造成的一切损失由</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承担，且</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保留追究其法律责任的权利。</w:t>
      </w:r>
    </w:p>
    <w:p w14:paraId="6C06312A">
      <w:pPr>
        <w:keepLines w:val="0"/>
        <w:pageBreakBefore w:val="0"/>
        <w:kinsoku/>
        <w:overflowPunct/>
        <w:bidi w:val="0"/>
        <w:spacing w:line="360" w:lineRule="auto"/>
        <w:ind w:firstLine="422"/>
        <w:rPr>
          <w:rFonts w:hint="eastAsia" w:ascii="宋体" w:hAnsi="宋体"/>
          <w:b/>
          <w:color w:val="auto"/>
          <w:sz w:val="21"/>
          <w:szCs w:val="21"/>
          <w:highlight w:val="none"/>
        </w:rPr>
      </w:pPr>
      <w:r>
        <w:rPr>
          <w:rFonts w:hint="eastAsia" w:ascii="宋体" w:hAnsi="宋体"/>
          <w:b/>
          <w:color w:val="auto"/>
          <w:sz w:val="21"/>
          <w:szCs w:val="21"/>
          <w:highlight w:val="none"/>
        </w:rPr>
        <w:t>第八条  售后服务</w:t>
      </w:r>
    </w:p>
    <w:p w14:paraId="5EBDF2A8">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乙方提供的以下售后服务产生的相关费用均应综合包含在报价中，甲方不再就此另行支付费用。售后服务内容要求如下：</w:t>
      </w:r>
    </w:p>
    <w:p w14:paraId="17C858D4">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eastAsia="zh-CN"/>
        </w:rPr>
        <w:t>保修（质保）期</w:t>
      </w:r>
      <w:r>
        <w:rPr>
          <w:rFonts w:hint="eastAsia" w:ascii="宋体" w:hAnsi="宋体"/>
          <w:color w:val="auto"/>
          <w:sz w:val="21"/>
          <w:szCs w:val="21"/>
          <w:highlight w:val="none"/>
        </w:rPr>
        <w:t>：按国家有关产品“三包”规定执行“三包”，</w:t>
      </w:r>
      <w:r>
        <w:rPr>
          <w:rFonts w:hint="eastAsia" w:ascii="宋体" w:hAnsi="宋体"/>
          <w:color w:val="auto"/>
          <w:sz w:val="21"/>
          <w:szCs w:val="21"/>
          <w:highlight w:val="none"/>
          <w:lang w:eastAsia="zh-CN"/>
        </w:rPr>
        <w:t>保修（质保）期</w:t>
      </w:r>
      <w:r>
        <w:rPr>
          <w:rFonts w:hint="eastAsia" w:ascii="宋体" w:hAnsi="宋体" w:cs="宋体"/>
          <w:bCs/>
          <w:color w:val="auto"/>
          <w:sz w:val="21"/>
          <w:szCs w:val="20"/>
          <w:highlight w:val="none"/>
          <w:u w:val="single"/>
        </w:rPr>
        <w:t xml:space="preserve">    </w:t>
      </w:r>
      <w:r>
        <w:rPr>
          <w:rFonts w:hint="eastAsia" w:ascii="宋体" w:hAnsi="宋体"/>
          <w:color w:val="auto"/>
          <w:sz w:val="21"/>
          <w:szCs w:val="21"/>
          <w:highlight w:val="none"/>
        </w:rPr>
        <w:t>年，自验收合格之日起计。</w:t>
      </w:r>
      <w:r>
        <w:rPr>
          <w:rFonts w:hint="eastAsia" w:ascii="宋体" w:hAnsi="宋体"/>
          <w:color w:val="auto"/>
          <w:sz w:val="21"/>
          <w:szCs w:val="21"/>
          <w:highlight w:val="none"/>
          <w:lang w:eastAsia="zh-CN"/>
        </w:rPr>
        <w:t>保修（质保）期</w:t>
      </w:r>
      <w:r>
        <w:rPr>
          <w:rFonts w:hint="eastAsia" w:ascii="宋体" w:hAnsi="宋体"/>
          <w:color w:val="auto"/>
          <w:sz w:val="21"/>
          <w:szCs w:val="21"/>
          <w:highlight w:val="none"/>
        </w:rPr>
        <w:t>内负责上门保修</w:t>
      </w:r>
      <w:r>
        <w:rPr>
          <w:rFonts w:hint="eastAsia" w:ascii="宋体" w:hAnsi="宋体"/>
          <w:color w:val="auto"/>
          <w:sz w:val="21"/>
          <w:szCs w:val="21"/>
          <w:highlight w:val="none"/>
          <w:lang w:eastAsia="zh-CN"/>
        </w:rPr>
        <w:t>（质保）</w:t>
      </w:r>
      <w:r>
        <w:rPr>
          <w:rFonts w:hint="eastAsia" w:ascii="宋体" w:hAnsi="宋体"/>
          <w:color w:val="auto"/>
          <w:sz w:val="21"/>
          <w:szCs w:val="21"/>
          <w:highlight w:val="none"/>
        </w:rPr>
        <w:t>、包换、维护。</w:t>
      </w:r>
    </w:p>
    <w:p w14:paraId="68F8D847">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2.技术服务及培训：采购范围内提供技术培训，保证使用人员能正常使用产品；其余按供应商的承诺执行。</w:t>
      </w:r>
    </w:p>
    <w:p w14:paraId="47B5C24F">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3.售后服务的内容和措施：</w:t>
      </w:r>
    </w:p>
    <w:p w14:paraId="66249B3F">
      <w:pPr>
        <w:keepLines w:val="0"/>
        <w:pageBreakBefore w:val="0"/>
        <w:kinsoku/>
        <w:wordWrap w:val="0"/>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（1）采购范围内的货物送货上门。</w:t>
      </w:r>
    </w:p>
    <w:p w14:paraId="2821E32B">
      <w:pPr>
        <w:keepLines w:val="0"/>
        <w:pageBreakBefore w:val="0"/>
        <w:kinsoku/>
        <w:wordWrap w:val="0"/>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（2）提供售后服务联系电话及联系人，</w:t>
      </w:r>
      <w:r>
        <w:rPr>
          <w:rFonts w:hint="eastAsia" w:ascii="宋体" w:hAnsi="宋体"/>
          <w:color w:val="auto"/>
          <w:sz w:val="21"/>
          <w:szCs w:val="21"/>
          <w:highlight w:val="none"/>
          <w:lang w:eastAsia="zh-CN"/>
        </w:rPr>
        <w:t>保修（质保）期</w:t>
      </w:r>
      <w:r>
        <w:rPr>
          <w:rFonts w:hint="eastAsia" w:ascii="宋体" w:hAnsi="宋体"/>
          <w:color w:val="auto"/>
          <w:sz w:val="21"/>
          <w:szCs w:val="21"/>
          <w:highlight w:val="none"/>
        </w:rPr>
        <w:t>内，接到报障电话后在</w:t>
      </w:r>
      <w:r>
        <w:rPr>
          <w:rFonts w:hint="eastAsia" w:ascii="宋体" w:hAnsi="宋体" w:cs="宋体"/>
          <w:bCs/>
          <w:color w:val="auto"/>
          <w:sz w:val="21"/>
          <w:szCs w:val="20"/>
          <w:highlight w:val="none"/>
          <w:u w:val="single"/>
        </w:rPr>
        <w:t xml:space="preserve">    </w:t>
      </w:r>
      <w:r>
        <w:rPr>
          <w:rFonts w:hint="eastAsia" w:ascii="宋体" w:hAnsi="宋体"/>
          <w:color w:val="auto"/>
          <w:sz w:val="21"/>
          <w:szCs w:val="21"/>
          <w:highlight w:val="none"/>
        </w:rPr>
        <w:t>小时内响应，</w:t>
      </w:r>
      <w:r>
        <w:rPr>
          <w:rFonts w:hint="eastAsia" w:ascii="宋体" w:hAnsi="宋体" w:cs="宋体"/>
          <w:bCs/>
          <w:color w:val="auto"/>
          <w:sz w:val="21"/>
          <w:szCs w:val="20"/>
          <w:highlight w:val="none"/>
          <w:u w:val="single"/>
        </w:rPr>
        <w:t xml:space="preserve">    </w:t>
      </w:r>
      <w:r>
        <w:rPr>
          <w:rFonts w:hint="eastAsia" w:ascii="宋体" w:hAnsi="宋体"/>
          <w:color w:val="auto"/>
          <w:sz w:val="21"/>
          <w:szCs w:val="21"/>
          <w:highlight w:val="none"/>
        </w:rPr>
        <w:t>小时内上门维修解决问题。如果需要更换配件的，要求更换的配件应与被更换的设备品牌、类型相一致或者是同类同档次或以上产品。</w:t>
      </w:r>
    </w:p>
    <w:p w14:paraId="25623582">
      <w:pPr>
        <w:keepLines w:val="0"/>
        <w:pageBreakBefore w:val="0"/>
        <w:widowControl/>
        <w:kinsoku/>
        <w:wordWrap w:val="0"/>
        <w:overflowPunct/>
        <w:topLinePunct/>
        <w:bidi w:val="0"/>
        <w:spacing w:line="360" w:lineRule="auto"/>
        <w:ind w:firstLine="481" w:firstLineChars="228"/>
        <w:jc w:val="left"/>
        <w:rPr>
          <w:rFonts w:hint="eastAsia" w:ascii="宋体" w:hAnsi="宋体"/>
          <w:b/>
          <w:color w:val="auto"/>
          <w:sz w:val="21"/>
          <w:szCs w:val="21"/>
          <w:highlight w:val="none"/>
        </w:rPr>
      </w:pPr>
      <w:r>
        <w:rPr>
          <w:rFonts w:hint="eastAsia" w:ascii="宋体" w:hAnsi="宋体"/>
          <w:b/>
          <w:color w:val="auto"/>
          <w:sz w:val="21"/>
          <w:szCs w:val="21"/>
          <w:highlight w:val="none"/>
        </w:rPr>
        <w:t>第九条  税费</w:t>
      </w:r>
    </w:p>
    <w:p w14:paraId="74E9B1B1">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本合同执行中相关的一切税费均由乙方负担。</w:t>
      </w:r>
    </w:p>
    <w:p w14:paraId="7F2ACD2A">
      <w:pPr>
        <w:keepLines w:val="0"/>
        <w:pageBreakBefore w:val="0"/>
        <w:kinsoku/>
        <w:overflowPunct/>
        <w:bidi w:val="0"/>
        <w:spacing w:line="360" w:lineRule="auto"/>
        <w:ind w:firstLine="422"/>
        <w:rPr>
          <w:rFonts w:hint="eastAsia" w:ascii="宋体" w:hAnsi="宋体"/>
          <w:b/>
          <w:color w:val="auto"/>
          <w:sz w:val="21"/>
          <w:szCs w:val="21"/>
          <w:highlight w:val="none"/>
        </w:rPr>
      </w:pPr>
      <w:r>
        <w:rPr>
          <w:rFonts w:hint="eastAsia" w:ascii="宋体" w:hAnsi="宋体"/>
          <w:b/>
          <w:color w:val="auto"/>
          <w:sz w:val="21"/>
          <w:szCs w:val="21"/>
          <w:highlight w:val="none"/>
        </w:rPr>
        <w:t>第十条　付款方式</w:t>
      </w:r>
    </w:p>
    <w:p w14:paraId="10F8624D">
      <w:pPr>
        <w:keepLines w:val="0"/>
        <w:pageBreakBefore w:val="0"/>
        <w:kinsoku/>
        <w:overflowPunct/>
        <w:bidi w:val="0"/>
        <w:spacing w:line="360" w:lineRule="auto"/>
        <w:ind w:firstLine="42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采购合同范围内全部设备完成</w:t>
      </w:r>
      <w:r>
        <w:rPr>
          <w:rFonts w:hint="eastAsia" w:asciiTheme="minorEastAsia" w:hAnsiTheme="minorEastAsia" w:eastAsiaTheme="minorEastAsia" w:cstheme="minorEastAsia"/>
          <w:color w:val="auto"/>
          <w:sz w:val="21"/>
          <w:szCs w:val="21"/>
        </w:rPr>
        <w:t>安装调试</w:t>
      </w:r>
      <w:r>
        <w:rPr>
          <w:rFonts w:hint="eastAsia" w:asciiTheme="minorEastAsia" w:hAnsiTheme="minorEastAsia" w:eastAsiaTheme="minorEastAsia" w:cstheme="minorEastAsia"/>
          <w:color w:val="auto"/>
          <w:sz w:val="21"/>
          <w:szCs w:val="21"/>
          <w:lang w:val="en-US" w:eastAsia="zh-CN"/>
        </w:rPr>
        <w:t>并</w:t>
      </w:r>
      <w:r>
        <w:rPr>
          <w:rFonts w:hint="eastAsia" w:asciiTheme="minorEastAsia" w:hAnsiTheme="minorEastAsia" w:eastAsiaTheme="minorEastAsia" w:cstheme="minorEastAsia"/>
          <w:color w:val="auto"/>
          <w:sz w:val="21"/>
          <w:szCs w:val="21"/>
        </w:rPr>
        <w:t>通过验收</w:t>
      </w:r>
      <w:r>
        <w:rPr>
          <w:rFonts w:hint="eastAsia" w:asciiTheme="minorEastAsia" w:hAnsiTheme="minorEastAsia" w:eastAsiaTheme="minorEastAsia" w:cstheme="minorEastAsia"/>
          <w:color w:val="auto"/>
          <w:sz w:val="21"/>
          <w:szCs w:val="21"/>
          <w:lang w:val="en-US" w:eastAsia="zh-CN"/>
        </w:rPr>
        <w:t>合格</w:t>
      </w:r>
      <w:r>
        <w:rPr>
          <w:rFonts w:hint="eastAsia" w:asciiTheme="minorEastAsia" w:hAnsiTheme="minorEastAsia" w:eastAsiaTheme="minorEastAsia" w:cstheme="minorEastAsia"/>
          <w:color w:val="auto"/>
          <w:sz w:val="21"/>
          <w:szCs w:val="21"/>
        </w:rPr>
        <w:t>后，</w:t>
      </w:r>
      <w:r>
        <w:rPr>
          <w:rFonts w:hint="eastAsia" w:asciiTheme="minorEastAsia" w:hAnsiTheme="minorEastAsia" w:eastAsiaTheme="minorEastAsia" w:cstheme="minorEastAsia"/>
          <w:color w:val="auto"/>
          <w:sz w:val="21"/>
          <w:szCs w:val="21"/>
          <w:lang w:val="en-US" w:eastAsia="zh-CN"/>
        </w:rPr>
        <w:t>成交供应商开具正规发票，</w:t>
      </w:r>
      <w:r>
        <w:rPr>
          <w:rFonts w:hint="eastAsia" w:asciiTheme="minorEastAsia" w:hAnsiTheme="minorEastAsia" w:eastAsiaTheme="minorEastAsia" w:cstheme="minorEastAsia"/>
          <w:color w:val="auto"/>
          <w:sz w:val="21"/>
          <w:szCs w:val="21"/>
        </w:rPr>
        <w:t>采购人</w:t>
      </w:r>
      <w:r>
        <w:rPr>
          <w:rFonts w:hint="eastAsia" w:asciiTheme="minorEastAsia" w:hAnsiTheme="minorEastAsia" w:eastAsiaTheme="minorEastAsia" w:cstheme="minorEastAsia"/>
          <w:color w:val="auto"/>
          <w:sz w:val="21"/>
          <w:szCs w:val="21"/>
          <w:lang w:val="en-US" w:eastAsia="zh-CN"/>
        </w:rPr>
        <w:t>在</w:t>
      </w:r>
      <w:r>
        <w:rPr>
          <w:rFonts w:hint="eastAsia" w:asciiTheme="minorEastAsia" w:hAnsiTheme="minorEastAsia" w:eastAsiaTheme="minorEastAsia" w:cstheme="minorEastAsia"/>
          <w:color w:val="auto"/>
          <w:sz w:val="21"/>
          <w:szCs w:val="21"/>
        </w:rPr>
        <w:t>收到发票</w:t>
      </w:r>
      <w:r>
        <w:rPr>
          <w:rFonts w:hint="eastAsia" w:asciiTheme="minorEastAsia" w:hAnsiTheme="minorEastAsia" w:eastAsiaTheme="minorEastAsia" w:cstheme="minorEastAsia"/>
          <w:color w:val="auto"/>
          <w:sz w:val="21"/>
          <w:szCs w:val="21"/>
          <w:lang w:val="en-US" w:eastAsia="zh-CN"/>
        </w:rPr>
        <w:t>60</w:t>
      </w:r>
      <w:r>
        <w:rPr>
          <w:rFonts w:hint="eastAsia" w:asciiTheme="minorEastAsia" w:hAnsiTheme="minorEastAsia" w:eastAsiaTheme="minorEastAsia" w:cstheme="minorEastAsia"/>
          <w:color w:val="auto"/>
          <w:sz w:val="21"/>
          <w:szCs w:val="21"/>
        </w:rPr>
        <w:t>日内</w:t>
      </w:r>
      <w:r>
        <w:rPr>
          <w:rFonts w:hint="eastAsia" w:asciiTheme="minorEastAsia" w:hAnsiTheme="minorEastAsia" w:eastAsiaTheme="minorEastAsia" w:cstheme="minorEastAsia"/>
          <w:color w:val="auto"/>
          <w:sz w:val="21"/>
          <w:szCs w:val="21"/>
          <w:lang w:val="en-US" w:eastAsia="zh-CN"/>
        </w:rPr>
        <w:t>向</w:t>
      </w:r>
      <w:r>
        <w:rPr>
          <w:rFonts w:hint="eastAsia" w:asciiTheme="minorEastAsia" w:hAnsiTheme="minorEastAsia" w:eastAsiaTheme="minorEastAsia" w:cstheme="minorEastAsia"/>
          <w:color w:val="auto"/>
          <w:sz w:val="21"/>
          <w:szCs w:val="21"/>
        </w:rPr>
        <w:t>成交供应商</w:t>
      </w:r>
      <w:r>
        <w:rPr>
          <w:rFonts w:hint="eastAsia" w:asciiTheme="minorEastAsia" w:hAnsiTheme="minorEastAsia" w:eastAsiaTheme="minorEastAsia" w:cstheme="minorEastAsia"/>
          <w:color w:val="auto"/>
          <w:sz w:val="21"/>
          <w:szCs w:val="21"/>
          <w:lang w:val="en-US" w:eastAsia="zh-CN"/>
        </w:rPr>
        <w:t>支付</w:t>
      </w:r>
      <w:r>
        <w:rPr>
          <w:rFonts w:hint="eastAsia" w:asciiTheme="minorEastAsia" w:hAnsiTheme="minorEastAsia" w:eastAsiaTheme="minorEastAsia" w:cstheme="minorEastAsia"/>
          <w:color w:val="auto"/>
          <w:sz w:val="21"/>
          <w:szCs w:val="21"/>
        </w:rPr>
        <w:t>合同总额</w:t>
      </w:r>
      <w:r>
        <w:rPr>
          <w:rFonts w:hint="eastAsia" w:asciiTheme="minorEastAsia" w:hAnsiTheme="minorEastAsia" w:eastAsiaTheme="minorEastAsia" w:cstheme="minorEastAsia"/>
          <w:color w:val="auto"/>
          <w:sz w:val="21"/>
          <w:szCs w:val="21"/>
          <w:lang w:val="en-US" w:eastAsia="zh-CN"/>
        </w:rPr>
        <w:t>100</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的货款</w:t>
      </w:r>
      <w:r>
        <w:rPr>
          <w:rFonts w:hint="eastAsia" w:asciiTheme="minorEastAsia" w:hAnsiTheme="minorEastAsia" w:eastAsiaTheme="minorEastAsia" w:cstheme="minorEastAsia"/>
          <w:color w:val="auto"/>
          <w:sz w:val="21"/>
          <w:szCs w:val="21"/>
        </w:rPr>
        <w:t>。</w:t>
      </w:r>
    </w:p>
    <w:p w14:paraId="596EEB28">
      <w:pPr>
        <w:keepLines w:val="0"/>
        <w:pageBreakBefore w:val="0"/>
        <w:kinsoku/>
        <w:overflowPunct/>
        <w:bidi w:val="0"/>
        <w:spacing w:line="360" w:lineRule="auto"/>
        <w:ind w:firstLine="422"/>
        <w:rPr>
          <w:rFonts w:hint="eastAsia" w:ascii="宋体" w:hAnsi="宋体"/>
          <w:b/>
          <w:color w:val="auto"/>
          <w:sz w:val="21"/>
          <w:szCs w:val="21"/>
          <w:highlight w:val="none"/>
        </w:rPr>
      </w:pPr>
      <w:r>
        <w:rPr>
          <w:rFonts w:hint="eastAsia" w:ascii="宋体" w:hAnsi="宋体"/>
          <w:b/>
          <w:color w:val="auto"/>
          <w:sz w:val="21"/>
          <w:szCs w:val="21"/>
          <w:highlight w:val="none"/>
        </w:rPr>
        <w:t>第十一条  违约责任</w:t>
      </w:r>
    </w:p>
    <w:p w14:paraId="565E5C77">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1.乙方所提供的货物规格、技术标准、材料等质量不合格的，应</w:t>
      </w:r>
      <w:r>
        <w:rPr>
          <w:rFonts w:hint="eastAsia" w:ascii="宋体" w:hAnsi="宋体"/>
          <w:color w:val="auto"/>
          <w:sz w:val="21"/>
          <w:szCs w:val="21"/>
          <w:highlight w:val="none"/>
          <w:lang w:val="en-US" w:eastAsia="zh-CN"/>
        </w:rPr>
        <w:t>按响应文件中承诺时间内</w:t>
      </w:r>
      <w:r>
        <w:rPr>
          <w:rFonts w:hint="eastAsia" w:ascii="宋体" w:hAnsi="宋体"/>
          <w:color w:val="auto"/>
          <w:sz w:val="21"/>
          <w:szCs w:val="21"/>
          <w:highlight w:val="none"/>
        </w:rPr>
        <w:t>更换，更换不及时的按逾期交货处罚，乙方应向甲方支付合同金额5%违约金并赔偿甲方经济损失。</w:t>
      </w:r>
    </w:p>
    <w:p w14:paraId="7E10DCC5">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2.乙方提供的货物如果侵犯了第三方合法权益而引发的任何纠纷或诉讼，均由乙方负责交涉并承担全部责任。</w:t>
      </w:r>
    </w:p>
    <w:p w14:paraId="230B647C">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3.因包装、运输引起的货物损坏，或发现错发/漏发情况，乙方未在一周内更换和补发的，按质量不合格处理。</w:t>
      </w:r>
    </w:p>
    <w:p w14:paraId="48E6EF45">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4.甲方无故延期接收货物、乙方逾期交货的，每天向对方偿付违约货款额</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违约金，但违约金累计不得超过违约货款额5%，超过</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天对方有权解除合同，违约方承担因此给对方造成经济损失。</w:t>
      </w:r>
    </w:p>
    <w:p w14:paraId="0F8144B1">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5.乙方未按本合同和响应文件中规定的服务承诺提供售后服务的，乙方应按本合同金额5%向甲方支付违约金。</w:t>
      </w:r>
    </w:p>
    <w:p w14:paraId="6431AE85">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6.乙方提供的货物在</w:t>
      </w:r>
      <w:r>
        <w:rPr>
          <w:rFonts w:hint="eastAsia" w:ascii="宋体" w:hAnsi="宋体"/>
          <w:color w:val="auto"/>
          <w:sz w:val="21"/>
          <w:szCs w:val="21"/>
          <w:highlight w:val="none"/>
          <w:lang w:eastAsia="zh-CN"/>
        </w:rPr>
        <w:t>保修（质保）期</w:t>
      </w:r>
      <w:r>
        <w:rPr>
          <w:rFonts w:hint="eastAsia" w:ascii="宋体" w:hAnsi="宋体"/>
          <w:color w:val="auto"/>
          <w:sz w:val="21"/>
          <w:szCs w:val="21"/>
          <w:highlight w:val="none"/>
        </w:rPr>
        <w:t>内，因设计、工艺或材料的缺陷和其他质量原因造成的问题，乙方负责。</w:t>
      </w:r>
    </w:p>
    <w:p w14:paraId="4F5FAED6">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7.其他违约行为按违约货款额5%收取违约金并赔偿经济损失。</w:t>
      </w:r>
    </w:p>
    <w:p w14:paraId="054C41A5">
      <w:pPr>
        <w:keepLines w:val="0"/>
        <w:pageBreakBefore w:val="0"/>
        <w:kinsoku/>
        <w:overflowPunct/>
        <w:bidi w:val="0"/>
        <w:spacing w:line="360" w:lineRule="auto"/>
        <w:ind w:firstLine="422"/>
        <w:rPr>
          <w:rFonts w:hint="eastAsia" w:ascii="宋体" w:hAnsi="宋体"/>
          <w:b/>
          <w:color w:val="auto"/>
          <w:sz w:val="21"/>
          <w:szCs w:val="21"/>
          <w:highlight w:val="none"/>
        </w:rPr>
      </w:pPr>
      <w:r>
        <w:rPr>
          <w:rFonts w:hint="eastAsia" w:ascii="宋体" w:hAnsi="宋体"/>
          <w:b/>
          <w:color w:val="auto"/>
          <w:sz w:val="21"/>
          <w:szCs w:val="21"/>
          <w:highlight w:val="none"/>
        </w:rPr>
        <w:t>第十二条  不可抗力事件处理</w:t>
      </w:r>
    </w:p>
    <w:p w14:paraId="3C360052">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1.在合同有效期内，乙方因不可抗力事件导致不能履行合同，则合同履行期可延长，其延长期与不可抗力影响期相同。</w:t>
      </w:r>
    </w:p>
    <w:p w14:paraId="2AAAFF4E">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2.不可抗力事件发生后，应立即通知对方，并寄送有关权威机构出具的证明。</w:t>
      </w:r>
    </w:p>
    <w:p w14:paraId="41219010">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3.不可抗力事件延续一百二十天以上，双方应通过友好协商，确定是否继续履行合同。</w:t>
      </w:r>
    </w:p>
    <w:p w14:paraId="5B3D5527">
      <w:pPr>
        <w:keepLines w:val="0"/>
        <w:pageBreakBefore w:val="0"/>
        <w:kinsoku/>
        <w:overflowPunct/>
        <w:bidi w:val="0"/>
        <w:spacing w:line="360" w:lineRule="auto"/>
        <w:ind w:firstLine="422"/>
        <w:rPr>
          <w:rFonts w:hint="eastAsia" w:ascii="宋体" w:hAnsi="宋体"/>
          <w:b/>
          <w:color w:val="auto"/>
          <w:sz w:val="21"/>
          <w:szCs w:val="21"/>
          <w:highlight w:val="none"/>
        </w:rPr>
      </w:pPr>
      <w:r>
        <w:rPr>
          <w:rFonts w:hint="eastAsia" w:ascii="宋体" w:hAnsi="宋体"/>
          <w:b/>
          <w:color w:val="auto"/>
          <w:sz w:val="21"/>
          <w:szCs w:val="21"/>
          <w:highlight w:val="none"/>
        </w:rPr>
        <w:t>第十三条  合同争议解决</w:t>
      </w:r>
    </w:p>
    <w:p w14:paraId="5B69D19C">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1.因货物质量问题发生争议的，应邀请国家认可的质量检测机构对货物质量进行鉴定。货物符合标准的，鉴定费由甲方承担；货物不符合标准的，鉴定费由乙方承担。</w:t>
      </w:r>
    </w:p>
    <w:p w14:paraId="0F91F1D6">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2.因履行本合同引起的或与本合同有关的争议，甲乙双方应首先通过友好协商解决，如果协商不能解决，可向甲方所在地有管辖权的人民法院提起诉讼。</w:t>
      </w:r>
    </w:p>
    <w:p w14:paraId="0A3113F2">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3.诉讼期间，本合同继续履行。</w:t>
      </w:r>
    </w:p>
    <w:p w14:paraId="0684554B">
      <w:pPr>
        <w:keepLines w:val="0"/>
        <w:pageBreakBefore w:val="0"/>
        <w:kinsoku/>
        <w:overflowPunct/>
        <w:bidi w:val="0"/>
        <w:spacing w:line="360" w:lineRule="auto"/>
        <w:ind w:firstLine="422"/>
        <w:rPr>
          <w:rFonts w:hint="eastAsia" w:ascii="宋体" w:hAnsi="宋体"/>
          <w:b/>
          <w:color w:val="auto"/>
          <w:sz w:val="21"/>
          <w:szCs w:val="21"/>
          <w:highlight w:val="none"/>
        </w:rPr>
      </w:pPr>
      <w:r>
        <w:rPr>
          <w:rFonts w:hint="eastAsia" w:ascii="宋体" w:hAnsi="宋体"/>
          <w:b/>
          <w:color w:val="auto"/>
          <w:sz w:val="21"/>
          <w:szCs w:val="21"/>
          <w:highlight w:val="none"/>
        </w:rPr>
        <w:t>第十四条  合同生效及其他</w:t>
      </w:r>
    </w:p>
    <w:p w14:paraId="55390971">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1.合同经甲乙双方法定代表人或相应的授权代表签字并加盖乙方公章后生效。</w:t>
      </w:r>
    </w:p>
    <w:p w14:paraId="119152D3">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2.合同执行中涉及采购资金和采购内容修改或补充的，需甲方同意，并签订书面补充协议，方可作为主合同不可分割的一部分。</w:t>
      </w:r>
    </w:p>
    <w:p w14:paraId="4ECC9450">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3.本合同未尽事宜，遵照《中华人民共和国民法典》有关条文执行。</w:t>
      </w:r>
    </w:p>
    <w:p w14:paraId="7B3C142B">
      <w:pPr>
        <w:keepLines w:val="0"/>
        <w:pageBreakBefore w:val="0"/>
        <w:kinsoku/>
        <w:overflowPunct/>
        <w:bidi w:val="0"/>
        <w:spacing w:line="360" w:lineRule="auto"/>
        <w:ind w:firstLine="422"/>
        <w:rPr>
          <w:rFonts w:hint="eastAsia" w:ascii="宋体" w:hAnsi="宋体"/>
          <w:b/>
          <w:color w:val="auto"/>
          <w:sz w:val="21"/>
          <w:szCs w:val="21"/>
          <w:highlight w:val="none"/>
        </w:rPr>
      </w:pPr>
      <w:r>
        <w:rPr>
          <w:rFonts w:hint="eastAsia" w:ascii="宋体" w:hAnsi="宋体"/>
          <w:b/>
          <w:color w:val="auto"/>
          <w:sz w:val="21"/>
          <w:szCs w:val="21"/>
          <w:highlight w:val="none"/>
        </w:rPr>
        <w:t>第十五条  合同的变更、终止与转让</w:t>
      </w:r>
    </w:p>
    <w:p w14:paraId="1B8E0795">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1.除《中华人民共和国政府采购法》第五十条规定的情形外，本合同一经签订，甲乙双方不得擅自变更，中止或终止。</w:t>
      </w:r>
    </w:p>
    <w:p w14:paraId="3AD54FC1">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2.乙方不得擅自转让其应履行的合同义务。</w:t>
      </w:r>
    </w:p>
    <w:p w14:paraId="5A174101">
      <w:pPr>
        <w:keepLines w:val="0"/>
        <w:pageBreakBefore w:val="0"/>
        <w:kinsoku/>
        <w:overflowPunct/>
        <w:bidi w:val="0"/>
        <w:spacing w:line="360" w:lineRule="auto"/>
        <w:ind w:firstLine="422"/>
        <w:rPr>
          <w:rFonts w:hint="eastAsia" w:ascii="宋体" w:hAnsi="宋体"/>
          <w:b/>
          <w:color w:val="auto"/>
          <w:sz w:val="21"/>
          <w:szCs w:val="21"/>
          <w:highlight w:val="none"/>
        </w:rPr>
      </w:pPr>
      <w:r>
        <w:rPr>
          <w:rFonts w:hint="eastAsia" w:ascii="宋体" w:hAnsi="宋体"/>
          <w:b/>
          <w:color w:val="auto"/>
          <w:sz w:val="21"/>
          <w:szCs w:val="21"/>
          <w:highlight w:val="none"/>
        </w:rPr>
        <w:t>第十六条  签订本合同依据：</w:t>
      </w:r>
    </w:p>
    <w:p w14:paraId="5E053880">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1.谈判文件；</w:t>
      </w:r>
    </w:p>
    <w:p w14:paraId="0810FFC0">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2.成交通知书。</w:t>
      </w:r>
    </w:p>
    <w:p w14:paraId="6EEF1E1F">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3.乙方响应文件中的报价表（含谈判记录）、技术响应承诺书、商务响应承诺书、售后服务</w:t>
      </w:r>
      <w:r>
        <w:rPr>
          <w:rFonts w:hint="eastAsia" w:ascii="宋体" w:hAnsi="宋体"/>
          <w:color w:val="auto"/>
          <w:sz w:val="21"/>
          <w:szCs w:val="21"/>
          <w:highlight w:val="none"/>
          <w:lang w:val="en-US" w:eastAsia="zh-CN"/>
        </w:rPr>
        <w:t>承诺</w:t>
      </w:r>
      <w:r>
        <w:rPr>
          <w:rFonts w:hint="eastAsia" w:ascii="宋体" w:hAnsi="宋体"/>
          <w:color w:val="auto"/>
          <w:sz w:val="21"/>
          <w:szCs w:val="21"/>
          <w:highlight w:val="none"/>
        </w:rPr>
        <w:t>（如有）。</w:t>
      </w:r>
    </w:p>
    <w:p w14:paraId="123E5E8C">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本合同经甲乙双方盖章后生效。政府采购合同双方自签订之日起2个工作日内在省级以上人民政府财政部门指定媒体上公告。</w:t>
      </w:r>
    </w:p>
    <w:p w14:paraId="17CAC2E3">
      <w:pPr>
        <w:keepLines w:val="0"/>
        <w:pageBreakBefore w:val="0"/>
        <w:kinsoku/>
        <w:overflowPunct/>
        <w:bidi w:val="0"/>
        <w:spacing w:line="360" w:lineRule="auto"/>
        <w:ind w:firstLine="420"/>
        <w:rPr>
          <w:rFonts w:hint="eastAsia" w:ascii="宋体" w:hAnsi="宋体"/>
          <w:color w:val="auto"/>
          <w:sz w:val="21"/>
          <w:szCs w:val="21"/>
          <w:highlight w:val="none"/>
          <w:u w:val="single"/>
        </w:rPr>
      </w:pPr>
      <w:r>
        <w:rPr>
          <w:rFonts w:hint="eastAsia" w:ascii="宋体" w:hAnsi="宋体"/>
          <w:color w:val="auto"/>
          <w:sz w:val="21"/>
          <w:szCs w:val="21"/>
          <w:highlight w:val="none"/>
        </w:rPr>
        <w:t>甲方（公章）：</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乙方（公章）：</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w:t>
      </w:r>
    </w:p>
    <w:p w14:paraId="6A0765D0">
      <w:pPr>
        <w:keepLines w:val="0"/>
        <w:pageBreakBefore w:val="0"/>
        <w:kinsoku/>
        <w:overflowPunct/>
        <w:bidi w:val="0"/>
        <w:spacing w:line="360" w:lineRule="auto"/>
        <w:ind w:firstLine="420"/>
        <w:rPr>
          <w:rFonts w:hint="eastAsia" w:ascii="宋体" w:hAnsi="宋体"/>
          <w:color w:val="auto"/>
          <w:sz w:val="21"/>
          <w:szCs w:val="21"/>
          <w:highlight w:val="none"/>
          <w:u w:val="single"/>
        </w:rPr>
      </w:pPr>
      <w:r>
        <w:rPr>
          <w:rFonts w:hint="eastAsia" w:ascii="宋体" w:hAnsi="宋体"/>
          <w:color w:val="auto"/>
          <w:sz w:val="21"/>
          <w:szCs w:val="21"/>
          <w:highlight w:val="none"/>
        </w:rPr>
        <w:t>法定代表人签字：</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法定代表人签字：</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w:t>
      </w:r>
    </w:p>
    <w:p w14:paraId="40C3F1AB">
      <w:pPr>
        <w:keepLines w:val="0"/>
        <w:pageBreakBefore w:val="0"/>
        <w:kinsoku/>
        <w:overflowPunct/>
        <w:bidi w:val="0"/>
        <w:spacing w:line="360" w:lineRule="auto"/>
        <w:ind w:firstLine="420"/>
        <w:rPr>
          <w:rFonts w:hint="eastAsia" w:ascii="宋体" w:hAnsi="宋体"/>
          <w:color w:val="auto"/>
          <w:sz w:val="21"/>
          <w:szCs w:val="21"/>
          <w:highlight w:val="none"/>
          <w:u w:val="single"/>
        </w:rPr>
      </w:pPr>
      <w:r>
        <w:rPr>
          <w:rFonts w:hint="eastAsia" w:ascii="宋体" w:hAnsi="宋体"/>
          <w:color w:val="auto"/>
          <w:sz w:val="21"/>
          <w:szCs w:val="21"/>
          <w:highlight w:val="none"/>
        </w:rPr>
        <w:t>委托代理人：</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委托代理人：</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w:t>
      </w:r>
    </w:p>
    <w:p w14:paraId="7CE7B81C">
      <w:pPr>
        <w:keepLines w:val="0"/>
        <w:pageBreakBefore w:val="0"/>
        <w:kinsoku/>
        <w:overflowPunct/>
        <w:bidi w:val="0"/>
        <w:spacing w:line="360" w:lineRule="auto"/>
        <w:ind w:firstLine="420"/>
        <w:rPr>
          <w:rFonts w:hint="eastAsia" w:ascii="宋体" w:hAnsi="宋体"/>
          <w:color w:val="auto"/>
          <w:sz w:val="21"/>
          <w:szCs w:val="21"/>
          <w:highlight w:val="none"/>
          <w:u w:val="single"/>
        </w:rPr>
      </w:pPr>
      <w:r>
        <w:rPr>
          <w:rFonts w:hint="eastAsia" w:ascii="宋体" w:hAnsi="宋体"/>
          <w:color w:val="auto"/>
          <w:sz w:val="21"/>
          <w:szCs w:val="21"/>
          <w:highlight w:val="none"/>
        </w:rPr>
        <w:t>电  话：</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电   话： </w:t>
      </w:r>
      <w:r>
        <w:rPr>
          <w:rFonts w:hint="eastAsia" w:ascii="宋体" w:hAnsi="宋体"/>
          <w:color w:val="auto"/>
          <w:sz w:val="21"/>
          <w:szCs w:val="21"/>
          <w:highlight w:val="none"/>
          <w:u w:val="single"/>
        </w:rPr>
        <w:t xml:space="preserve">                        </w:t>
      </w:r>
    </w:p>
    <w:p w14:paraId="68851DA5">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开户名称：</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开户名称：</w:t>
      </w:r>
      <w:r>
        <w:rPr>
          <w:rFonts w:hint="eastAsia" w:ascii="宋体" w:hAnsi="宋体"/>
          <w:color w:val="auto"/>
          <w:sz w:val="21"/>
          <w:szCs w:val="21"/>
          <w:highlight w:val="none"/>
          <w:u w:val="single"/>
        </w:rPr>
        <w:t xml:space="preserve">                        </w:t>
      </w:r>
    </w:p>
    <w:p w14:paraId="2CFC26CA">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开户银行：</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开户银行：</w:t>
      </w:r>
      <w:r>
        <w:rPr>
          <w:rFonts w:hint="eastAsia" w:ascii="宋体" w:hAnsi="宋体"/>
          <w:color w:val="auto"/>
          <w:sz w:val="21"/>
          <w:szCs w:val="21"/>
          <w:highlight w:val="none"/>
          <w:u w:val="single"/>
        </w:rPr>
        <w:t xml:space="preserve">                        </w:t>
      </w:r>
    </w:p>
    <w:p w14:paraId="0B31540C">
      <w:pPr>
        <w:keepLines w:val="0"/>
        <w:pageBreakBefore w:val="0"/>
        <w:kinsoku/>
        <w:overflowPunct/>
        <w:bidi w:val="0"/>
        <w:spacing w:line="360" w:lineRule="auto"/>
        <w:ind w:firstLine="420"/>
        <w:rPr>
          <w:rFonts w:hint="eastAsia" w:ascii="宋体" w:hAnsi="宋体"/>
          <w:color w:val="auto"/>
          <w:sz w:val="21"/>
          <w:szCs w:val="21"/>
          <w:highlight w:val="none"/>
        </w:rPr>
      </w:pPr>
      <w:r>
        <w:rPr>
          <w:rFonts w:hint="eastAsia" w:ascii="宋体" w:hAnsi="宋体"/>
          <w:color w:val="auto"/>
          <w:sz w:val="21"/>
          <w:szCs w:val="21"/>
          <w:highlight w:val="none"/>
        </w:rPr>
        <w:t>银行账号：</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银行账号：</w:t>
      </w:r>
      <w:r>
        <w:rPr>
          <w:rFonts w:hint="eastAsia" w:ascii="宋体" w:hAnsi="宋体"/>
          <w:color w:val="auto"/>
          <w:sz w:val="21"/>
          <w:szCs w:val="21"/>
          <w:highlight w:val="none"/>
          <w:u w:val="single"/>
        </w:rPr>
        <w:t xml:space="preserve">                        </w:t>
      </w:r>
    </w:p>
    <w:p w14:paraId="047D28A2">
      <w:pPr>
        <w:keepLines w:val="0"/>
        <w:pageBreakBefore w:val="0"/>
        <w:kinsoku/>
        <w:overflowPunct/>
        <w:bidi w:val="0"/>
        <w:spacing w:line="360" w:lineRule="auto"/>
        <w:ind w:firstLine="420"/>
        <w:rPr>
          <w:color w:val="auto"/>
          <w:highlight w:val="none"/>
        </w:rPr>
      </w:pPr>
      <w:r>
        <w:rPr>
          <w:rFonts w:hint="eastAsia" w:ascii="宋体" w:hAnsi="宋体"/>
          <w:color w:val="auto"/>
          <w:sz w:val="21"/>
          <w:szCs w:val="21"/>
          <w:highlight w:val="none"/>
        </w:rPr>
        <w:t>日    期：</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日    期：</w:t>
      </w:r>
      <w:r>
        <w:rPr>
          <w:rFonts w:hint="eastAsia" w:ascii="宋体" w:hAnsi="宋体"/>
          <w:color w:val="auto"/>
          <w:sz w:val="21"/>
          <w:szCs w:val="21"/>
          <w:highlight w:val="none"/>
          <w:u w:val="single"/>
        </w:rPr>
        <w:t xml:space="preserve">                        </w:t>
      </w:r>
    </w:p>
    <w:p w14:paraId="708C8D41">
      <w:pPr>
        <w:keepLines w:val="0"/>
        <w:pageBreakBefore w:val="0"/>
        <w:kinsoku/>
        <w:overflowPunct/>
        <w:bidi w:val="0"/>
        <w:spacing w:line="360" w:lineRule="auto"/>
        <w:ind w:firstLine="480"/>
        <w:rPr>
          <w:color w:val="auto"/>
          <w:highlight w:val="none"/>
        </w:rPr>
      </w:pPr>
    </w:p>
    <w:p w14:paraId="0D36B001">
      <w:pPr>
        <w:keepLines w:val="0"/>
        <w:pageBreakBefore w:val="0"/>
        <w:kinsoku/>
        <w:overflowPunct/>
        <w:bidi w:val="0"/>
        <w:spacing w:line="360" w:lineRule="auto"/>
        <w:ind w:firstLine="1044"/>
        <w:jc w:val="center"/>
        <w:outlineLvl w:val="1"/>
        <w:rPr>
          <w:rFonts w:hint="eastAsia" w:ascii="黑体" w:hAnsi="黑体" w:eastAsia="黑体"/>
          <w:b/>
          <w:color w:val="auto"/>
          <w:kern w:val="0"/>
          <w:sz w:val="52"/>
          <w:szCs w:val="52"/>
          <w:highlight w:val="none"/>
        </w:rPr>
      </w:pPr>
      <w:bookmarkStart w:id="47" w:name="_Toc82016593"/>
    </w:p>
    <w:p w14:paraId="12E66AE8">
      <w:pPr>
        <w:keepLines w:val="0"/>
        <w:pageBreakBefore w:val="0"/>
        <w:kinsoku/>
        <w:overflowPunct/>
        <w:bidi w:val="0"/>
        <w:spacing w:line="360" w:lineRule="auto"/>
        <w:ind w:firstLine="1044"/>
        <w:jc w:val="center"/>
        <w:outlineLvl w:val="1"/>
        <w:rPr>
          <w:rFonts w:hint="eastAsia" w:ascii="黑体" w:hAnsi="黑体" w:eastAsia="黑体"/>
          <w:b/>
          <w:color w:val="auto"/>
          <w:kern w:val="0"/>
          <w:sz w:val="52"/>
          <w:szCs w:val="52"/>
          <w:highlight w:val="none"/>
        </w:rPr>
      </w:pPr>
    </w:p>
    <w:p w14:paraId="446D1B13">
      <w:pPr>
        <w:keepLines w:val="0"/>
        <w:pageBreakBefore w:val="0"/>
        <w:kinsoku/>
        <w:overflowPunct/>
        <w:bidi w:val="0"/>
        <w:spacing w:line="360" w:lineRule="auto"/>
        <w:ind w:firstLine="1044"/>
        <w:jc w:val="center"/>
        <w:outlineLvl w:val="1"/>
        <w:rPr>
          <w:rFonts w:hint="eastAsia" w:ascii="黑体" w:hAnsi="黑体" w:eastAsia="黑体"/>
          <w:b/>
          <w:color w:val="auto"/>
          <w:kern w:val="0"/>
          <w:sz w:val="52"/>
          <w:szCs w:val="52"/>
          <w:highlight w:val="none"/>
        </w:rPr>
      </w:pPr>
    </w:p>
    <w:p w14:paraId="590933FE">
      <w:pPr>
        <w:keepLines w:val="0"/>
        <w:pageBreakBefore w:val="0"/>
        <w:kinsoku/>
        <w:overflowPunct/>
        <w:bidi w:val="0"/>
        <w:spacing w:line="360" w:lineRule="auto"/>
        <w:ind w:firstLine="0" w:firstLineChars="0"/>
        <w:jc w:val="center"/>
        <w:outlineLvl w:val="1"/>
        <w:rPr>
          <w:rFonts w:hint="eastAsia" w:ascii="宋体" w:hAnsi="宋体"/>
          <w:color w:val="auto"/>
          <w:sz w:val="21"/>
          <w:szCs w:val="21"/>
          <w:highlight w:val="none"/>
        </w:rPr>
      </w:pPr>
    </w:p>
    <w:p w14:paraId="5CA65C5C">
      <w:pPr>
        <w:keepLines w:val="0"/>
        <w:pageBreakBefore w:val="0"/>
        <w:kinsoku/>
        <w:overflowPunct/>
        <w:bidi w:val="0"/>
        <w:spacing w:line="360" w:lineRule="auto"/>
        <w:ind w:firstLine="0" w:firstLineChars="0"/>
        <w:jc w:val="center"/>
        <w:outlineLvl w:val="1"/>
        <w:rPr>
          <w:rFonts w:hint="eastAsia" w:ascii="宋体" w:hAnsi="宋体"/>
          <w:color w:val="auto"/>
          <w:sz w:val="21"/>
          <w:szCs w:val="21"/>
          <w:highlight w:val="none"/>
        </w:rPr>
      </w:pPr>
    </w:p>
    <w:p w14:paraId="44AC5B87">
      <w:pPr>
        <w:keepLines w:val="0"/>
        <w:pageBreakBefore w:val="0"/>
        <w:kinsoku/>
        <w:overflowPunct/>
        <w:bidi w:val="0"/>
        <w:spacing w:line="360" w:lineRule="auto"/>
        <w:ind w:firstLine="0" w:firstLineChars="0"/>
        <w:jc w:val="center"/>
        <w:outlineLvl w:val="1"/>
        <w:rPr>
          <w:rFonts w:hint="eastAsia" w:ascii="宋体" w:hAnsi="宋体"/>
          <w:color w:val="auto"/>
          <w:sz w:val="21"/>
          <w:szCs w:val="21"/>
          <w:highlight w:val="none"/>
        </w:rPr>
      </w:pPr>
    </w:p>
    <w:p w14:paraId="2ADADC36">
      <w:pPr>
        <w:pStyle w:val="19"/>
        <w:keepLines w:val="0"/>
        <w:pageBreakBefore w:val="0"/>
        <w:kinsoku/>
        <w:overflowPunct/>
        <w:bidi w:val="0"/>
        <w:spacing w:line="360" w:lineRule="auto"/>
        <w:rPr>
          <w:rFonts w:hint="eastAsia"/>
          <w:color w:val="auto"/>
          <w:highlight w:val="none"/>
        </w:rPr>
      </w:pPr>
    </w:p>
    <w:p w14:paraId="079D7924">
      <w:pPr>
        <w:pStyle w:val="19"/>
        <w:keepLines w:val="0"/>
        <w:pageBreakBefore w:val="0"/>
        <w:kinsoku/>
        <w:overflowPunct/>
        <w:bidi w:val="0"/>
        <w:spacing w:line="360" w:lineRule="auto"/>
        <w:rPr>
          <w:rFonts w:hint="eastAsia"/>
          <w:color w:val="auto"/>
          <w:highlight w:val="none"/>
        </w:rPr>
      </w:pPr>
    </w:p>
    <w:p w14:paraId="146D84F7">
      <w:pPr>
        <w:keepLines w:val="0"/>
        <w:pageBreakBefore w:val="0"/>
        <w:kinsoku/>
        <w:overflowPunct/>
        <w:bidi w:val="0"/>
        <w:spacing w:line="360" w:lineRule="auto"/>
        <w:ind w:firstLine="0" w:firstLineChars="0"/>
        <w:jc w:val="center"/>
        <w:outlineLvl w:val="1"/>
        <w:rPr>
          <w:rFonts w:hint="eastAsia" w:ascii="宋体" w:hAnsi="宋体"/>
          <w:color w:val="auto"/>
          <w:sz w:val="21"/>
          <w:szCs w:val="21"/>
          <w:highlight w:val="none"/>
        </w:rPr>
      </w:pPr>
    </w:p>
    <w:p w14:paraId="41F1154E">
      <w:pPr>
        <w:pStyle w:val="40"/>
        <w:keepLines w:val="0"/>
        <w:pageBreakBefore w:val="0"/>
        <w:kinsoku/>
        <w:overflowPunct/>
        <w:bidi w:val="0"/>
        <w:spacing w:line="360" w:lineRule="auto"/>
        <w:rPr>
          <w:rFonts w:hint="eastAsia"/>
          <w:color w:val="auto"/>
          <w:kern w:val="0"/>
          <w:highlight w:val="none"/>
        </w:rPr>
      </w:pPr>
      <w:bookmarkStart w:id="48" w:name="_Toc155531037"/>
    </w:p>
    <w:p w14:paraId="2FCFF814">
      <w:pPr>
        <w:pStyle w:val="40"/>
        <w:keepLines w:val="0"/>
        <w:pageBreakBefore w:val="0"/>
        <w:kinsoku/>
        <w:overflowPunct/>
        <w:bidi w:val="0"/>
        <w:spacing w:line="360" w:lineRule="auto"/>
        <w:rPr>
          <w:rFonts w:hint="eastAsia"/>
          <w:color w:val="auto"/>
          <w:kern w:val="0"/>
          <w:highlight w:val="none"/>
        </w:rPr>
      </w:pPr>
    </w:p>
    <w:p w14:paraId="3361B154">
      <w:pPr>
        <w:pStyle w:val="40"/>
        <w:keepLines w:val="0"/>
        <w:pageBreakBefore w:val="0"/>
        <w:kinsoku/>
        <w:overflowPunct/>
        <w:bidi w:val="0"/>
        <w:spacing w:line="360" w:lineRule="auto"/>
        <w:rPr>
          <w:rFonts w:hint="eastAsia"/>
          <w:color w:val="auto"/>
          <w:kern w:val="0"/>
          <w:highlight w:val="none"/>
        </w:rPr>
      </w:pPr>
    </w:p>
    <w:p w14:paraId="4A1862D6">
      <w:pPr>
        <w:pStyle w:val="40"/>
        <w:keepLines w:val="0"/>
        <w:pageBreakBefore w:val="0"/>
        <w:kinsoku/>
        <w:overflowPunct/>
        <w:bidi w:val="0"/>
        <w:spacing w:line="360" w:lineRule="auto"/>
        <w:rPr>
          <w:rFonts w:hint="eastAsia"/>
          <w:color w:val="auto"/>
          <w:kern w:val="0"/>
          <w:highlight w:val="none"/>
        </w:rPr>
      </w:pPr>
    </w:p>
    <w:p w14:paraId="46713E06">
      <w:pPr>
        <w:pStyle w:val="40"/>
        <w:keepLines w:val="0"/>
        <w:pageBreakBefore w:val="0"/>
        <w:kinsoku/>
        <w:overflowPunct/>
        <w:bidi w:val="0"/>
        <w:spacing w:line="360" w:lineRule="auto"/>
        <w:rPr>
          <w:color w:val="auto"/>
          <w:kern w:val="0"/>
          <w:highlight w:val="none"/>
        </w:rPr>
      </w:pPr>
      <w:r>
        <w:rPr>
          <w:rFonts w:hint="eastAsia"/>
          <w:color w:val="auto"/>
          <w:kern w:val="0"/>
          <w:highlight w:val="none"/>
        </w:rPr>
        <w:t>第六章响应文件（格式）</w:t>
      </w:r>
      <w:bookmarkEnd w:id="47"/>
      <w:bookmarkEnd w:id="48"/>
    </w:p>
    <w:p w14:paraId="208D5BC8">
      <w:pPr>
        <w:keepLines w:val="0"/>
        <w:pageBreakBefore w:val="0"/>
        <w:kinsoku/>
        <w:overflowPunct/>
        <w:bidi w:val="0"/>
        <w:snapToGrid w:val="0"/>
        <w:spacing w:before="163" w:beforeLines="50" w:after="50" w:line="360" w:lineRule="auto"/>
        <w:ind w:firstLine="0" w:firstLineChars="0"/>
        <w:jc w:val="center"/>
        <w:rPr>
          <w:bCs/>
          <w:color w:val="auto"/>
          <w:sz w:val="32"/>
          <w:szCs w:val="32"/>
        </w:rPr>
      </w:pPr>
      <w:r>
        <w:rPr>
          <w:rFonts w:ascii="宋体" w:hAnsi="宋体" w:cs="宋体"/>
          <w:b/>
          <w:color w:val="auto"/>
          <w:kern w:val="0"/>
          <w:sz w:val="32"/>
          <w:szCs w:val="32"/>
          <w:highlight w:val="none"/>
        </w:rPr>
        <w:br w:type="page"/>
      </w:r>
    </w:p>
    <w:p w14:paraId="073AB443">
      <w:pPr>
        <w:snapToGrid w:val="0"/>
        <w:spacing w:before="156" w:beforeLines="50" w:after="50"/>
        <w:ind w:left="0" w:leftChars="0" w:firstLine="0" w:firstLineChars="0"/>
        <w:jc w:val="center"/>
        <w:rPr>
          <w:rFonts w:hint="eastAsia" w:ascii="宋体" w:hAnsi="宋体" w:cs="宋体"/>
          <w:b/>
          <w:color w:val="auto"/>
          <w:sz w:val="36"/>
          <w:szCs w:val="36"/>
        </w:rPr>
      </w:pPr>
      <w:r>
        <w:rPr>
          <w:rFonts w:hint="eastAsia" w:ascii="宋体" w:hAnsi="宋体" w:cs="宋体"/>
          <w:b/>
          <w:color w:val="auto"/>
          <w:sz w:val="36"/>
          <w:szCs w:val="36"/>
        </w:rPr>
        <w:t>响 应 文 件</w:t>
      </w:r>
    </w:p>
    <w:p w14:paraId="06E1376E">
      <w:pPr>
        <w:snapToGrid w:val="0"/>
        <w:spacing w:before="156" w:beforeLines="50" w:after="50"/>
        <w:jc w:val="center"/>
        <w:rPr>
          <w:rFonts w:hint="eastAsia" w:ascii="宋体" w:hAnsi="宋体" w:cs="宋体"/>
          <w:b/>
          <w:color w:val="auto"/>
          <w:sz w:val="28"/>
          <w:szCs w:val="28"/>
          <w:u w:val="single"/>
        </w:rPr>
      </w:pPr>
    </w:p>
    <w:p w14:paraId="1DC68621">
      <w:pPr>
        <w:snapToGrid w:val="0"/>
        <w:spacing w:before="156" w:beforeLines="50" w:after="50"/>
        <w:jc w:val="center"/>
        <w:rPr>
          <w:rFonts w:hint="eastAsia" w:ascii="宋体" w:hAnsi="宋体" w:cs="宋体"/>
          <w:b/>
          <w:color w:val="auto"/>
          <w:sz w:val="28"/>
          <w:szCs w:val="28"/>
          <w:u w:val="single"/>
        </w:rPr>
      </w:pPr>
    </w:p>
    <w:p w14:paraId="21C11DCD">
      <w:pPr>
        <w:snapToGrid w:val="0"/>
        <w:spacing w:before="156" w:beforeLines="50" w:after="50"/>
        <w:jc w:val="center"/>
        <w:rPr>
          <w:rFonts w:hint="eastAsia" w:ascii="宋体" w:hAnsi="宋体" w:cs="宋体"/>
          <w:b/>
          <w:color w:val="auto"/>
          <w:sz w:val="28"/>
          <w:szCs w:val="28"/>
          <w:u w:val="single"/>
        </w:rPr>
      </w:pPr>
    </w:p>
    <w:p w14:paraId="67D2E4D4">
      <w:pPr>
        <w:snapToGrid w:val="0"/>
        <w:spacing w:before="156" w:beforeLines="50" w:after="50"/>
        <w:jc w:val="center"/>
        <w:rPr>
          <w:rFonts w:hint="eastAsia" w:ascii="宋体" w:hAnsi="宋体" w:cs="宋体"/>
          <w:b/>
          <w:color w:val="auto"/>
          <w:sz w:val="28"/>
          <w:szCs w:val="28"/>
          <w:u w:val="single"/>
        </w:rPr>
      </w:pPr>
    </w:p>
    <w:p w14:paraId="03810748">
      <w:pPr>
        <w:snapToGrid w:val="0"/>
        <w:spacing w:before="156" w:beforeLines="50" w:after="50"/>
        <w:ind w:firstLine="2530" w:firstLineChars="900"/>
        <w:jc w:val="both"/>
        <w:rPr>
          <w:rFonts w:hint="default" w:ascii="宋体" w:hAnsi="宋体" w:eastAsia="宋体" w:cs="宋体"/>
          <w:b/>
          <w:color w:val="auto"/>
          <w:sz w:val="28"/>
          <w:szCs w:val="28"/>
          <w:u w:val="single"/>
          <w:lang w:val="en-US" w:eastAsia="zh-CN"/>
        </w:rPr>
      </w:pPr>
      <w:r>
        <w:rPr>
          <w:rFonts w:hint="eastAsia" w:ascii="宋体" w:hAnsi="宋体" w:cs="宋体"/>
          <w:b/>
          <w:color w:val="auto"/>
          <w:sz w:val="28"/>
          <w:szCs w:val="28"/>
        </w:rPr>
        <w:t>项目名称：</w:t>
      </w:r>
      <w:r>
        <w:rPr>
          <w:rFonts w:hint="eastAsia" w:ascii="宋体" w:hAnsi="宋体" w:cs="宋体"/>
          <w:b/>
          <w:color w:val="auto"/>
          <w:sz w:val="28"/>
          <w:szCs w:val="28"/>
          <w:u w:val="single"/>
          <w:lang w:val="en-US" w:eastAsia="zh-CN"/>
        </w:rPr>
        <w:t xml:space="preserve">                       </w:t>
      </w:r>
    </w:p>
    <w:p w14:paraId="134DD1A4">
      <w:pPr>
        <w:snapToGrid w:val="0"/>
        <w:spacing w:before="156" w:beforeLines="50" w:after="50"/>
        <w:ind w:firstLine="2530" w:firstLineChars="900"/>
        <w:rPr>
          <w:rFonts w:hint="default" w:ascii="宋体" w:hAnsi="宋体" w:eastAsia="宋体" w:cs="宋体"/>
          <w:b/>
          <w:color w:val="auto"/>
          <w:sz w:val="28"/>
          <w:szCs w:val="28"/>
          <w:lang w:val="en-US" w:eastAsia="zh-CN"/>
        </w:rPr>
      </w:pPr>
      <w:r>
        <w:rPr>
          <w:rFonts w:hint="eastAsia" w:ascii="宋体" w:hAnsi="宋体" w:cs="宋体"/>
          <w:b/>
          <w:color w:val="auto"/>
          <w:sz w:val="28"/>
          <w:szCs w:val="28"/>
        </w:rPr>
        <w:t>项目编号：</w:t>
      </w:r>
      <w:r>
        <w:rPr>
          <w:rFonts w:hint="eastAsia" w:ascii="宋体" w:hAnsi="宋体" w:cs="宋体"/>
          <w:b/>
          <w:color w:val="auto"/>
          <w:sz w:val="28"/>
          <w:szCs w:val="28"/>
          <w:u w:val="single"/>
          <w:lang w:val="en-US" w:eastAsia="zh-CN"/>
        </w:rPr>
        <w:t xml:space="preserve">                      </w:t>
      </w:r>
    </w:p>
    <w:p w14:paraId="7207A33C">
      <w:pPr>
        <w:snapToGrid w:val="0"/>
        <w:spacing w:before="156" w:beforeLines="50" w:after="50"/>
        <w:jc w:val="center"/>
        <w:rPr>
          <w:rFonts w:hint="eastAsia" w:ascii="宋体" w:hAnsi="宋体" w:cs="宋体"/>
          <w:b/>
          <w:color w:val="auto"/>
          <w:sz w:val="28"/>
          <w:szCs w:val="28"/>
          <w:u w:val="single"/>
        </w:rPr>
      </w:pPr>
    </w:p>
    <w:p w14:paraId="725BCDF2">
      <w:pPr>
        <w:snapToGrid w:val="0"/>
        <w:spacing w:before="156" w:beforeLines="50" w:after="50"/>
        <w:jc w:val="center"/>
        <w:rPr>
          <w:rFonts w:hint="eastAsia" w:ascii="宋体" w:hAnsi="宋体" w:cs="宋体"/>
          <w:b/>
          <w:color w:val="auto"/>
          <w:sz w:val="28"/>
          <w:szCs w:val="28"/>
          <w:u w:val="single"/>
        </w:rPr>
      </w:pPr>
    </w:p>
    <w:p w14:paraId="49E896A6">
      <w:pPr>
        <w:snapToGrid w:val="0"/>
        <w:spacing w:before="156" w:beforeLines="50" w:after="50"/>
        <w:jc w:val="center"/>
        <w:rPr>
          <w:rFonts w:hint="eastAsia" w:ascii="宋体" w:hAnsi="宋体" w:cs="宋体"/>
          <w:b/>
          <w:color w:val="auto"/>
          <w:sz w:val="28"/>
          <w:szCs w:val="28"/>
          <w:u w:val="single"/>
        </w:rPr>
      </w:pPr>
    </w:p>
    <w:p w14:paraId="4E5DA4BD">
      <w:pPr>
        <w:snapToGrid w:val="0"/>
        <w:spacing w:before="156" w:beforeLines="50" w:after="50"/>
        <w:ind w:firstLine="2704" w:firstLineChars="962"/>
        <w:rPr>
          <w:rFonts w:hint="eastAsia" w:ascii="宋体" w:hAnsi="宋体" w:cs="宋体"/>
          <w:b/>
          <w:color w:val="auto"/>
          <w:sz w:val="28"/>
          <w:szCs w:val="28"/>
          <w:u w:val="single"/>
        </w:rPr>
      </w:pPr>
      <w:r>
        <w:rPr>
          <w:rFonts w:hint="eastAsia" w:ascii="宋体" w:hAnsi="宋体" w:cs="宋体"/>
          <w:b/>
          <w:color w:val="auto"/>
          <w:sz w:val="28"/>
          <w:szCs w:val="28"/>
        </w:rPr>
        <w:t>采购代理机构：</w:t>
      </w:r>
      <w:r>
        <w:rPr>
          <w:rFonts w:hint="eastAsia" w:ascii="宋体" w:hAnsi="宋体" w:cs="宋体"/>
          <w:b/>
          <w:color w:val="auto"/>
          <w:sz w:val="28"/>
          <w:szCs w:val="28"/>
          <w:u w:val="single"/>
        </w:rPr>
        <w:t xml:space="preserve"> </w:t>
      </w:r>
      <w:r>
        <w:rPr>
          <w:rFonts w:hint="eastAsia" w:ascii="宋体" w:hAnsi="宋体" w:cs="宋体"/>
          <w:b/>
          <w:color w:val="auto"/>
          <w:sz w:val="28"/>
          <w:szCs w:val="28"/>
          <w:u w:val="single"/>
          <w:lang w:val="en-US" w:eastAsia="zh-CN"/>
        </w:rPr>
        <w:t xml:space="preserve">               </w:t>
      </w:r>
      <w:r>
        <w:rPr>
          <w:rFonts w:hint="eastAsia" w:ascii="宋体" w:hAnsi="宋体" w:cs="宋体"/>
          <w:b/>
          <w:color w:val="auto"/>
          <w:sz w:val="28"/>
          <w:szCs w:val="28"/>
          <w:u w:val="single"/>
        </w:rPr>
        <w:t xml:space="preserve">  </w:t>
      </w:r>
    </w:p>
    <w:p w14:paraId="732C2B99">
      <w:pPr>
        <w:snapToGrid w:val="0"/>
        <w:spacing w:before="156" w:beforeLines="50" w:after="50"/>
        <w:ind w:firstLine="2704" w:firstLineChars="962"/>
        <w:rPr>
          <w:rFonts w:hint="eastAsia" w:ascii="宋体" w:hAnsi="宋体" w:cs="宋体"/>
          <w:b/>
          <w:color w:val="auto"/>
          <w:sz w:val="28"/>
          <w:szCs w:val="28"/>
          <w:u w:val="single"/>
        </w:rPr>
      </w:pPr>
    </w:p>
    <w:p w14:paraId="6CC485AC">
      <w:pPr>
        <w:snapToGrid w:val="0"/>
        <w:spacing w:before="156" w:beforeLines="50" w:after="50"/>
        <w:ind w:firstLine="2318" w:firstLineChars="962"/>
        <w:rPr>
          <w:rFonts w:hint="eastAsia" w:ascii="宋体" w:hAnsi="宋体" w:cs="宋体"/>
          <w:b/>
          <w:color w:val="auto"/>
          <w:sz w:val="24"/>
          <w:szCs w:val="24"/>
          <w:u w:val="single"/>
        </w:rPr>
      </w:pPr>
    </w:p>
    <w:p w14:paraId="5B6F2ABD">
      <w:pPr>
        <w:pStyle w:val="14"/>
        <w:keepNext w:val="0"/>
        <w:keepLines w:val="0"/>
        <w:pageBreakBefore w:val="0"/>
        <w:widowControl w:val="0"/>
        <w:kinsoku/>
        <w:wordWrap/>
        <w:overflowPunct/>
        <w:topLinePunct w:val="0"/>
        <w:autoSpaceDE/>
        <w:autoSpaceDN/>
        <w:bidi w:val="0"/>
        <w:adjustRightInd/>
        <w:snapToGrid/>
        <w:spacing w:line="480" w:lineRule="auto"/>
        <w:ind w:left="980" w:hanging="480" w:hangingChars="200"/>
        <w:textAlignment w:val="auto"/>
        <w:rPr>
          <w:rFonts w:ascii="宋体" w:hAnsi="宋体" w:cs="宋体"/>
          <w:bCs/>
          <w:color w:val="auto"/>
          <w:sz w:val="24"/>
          <w:szCs w:val="24"/>
        </w:rPr>
      </w:pPr>
      <w:bookmarkStart w:id="49" w:name="_Toc20319_WPSOffice_Level2"/>
      <w:bookmarkStart w:id="50" w:name="_Toc4932_WPSOffice_Level2"/>
      <w:r>
        <w:rPr>
          <w:rFonts w:hint="eastAsia" w:ascii="宋体" w:hAnsi="宋体" w:cs="宋体"/>
          <w:bCs/>
          <w:color w:val="auto"/>
          <w:sz w:val="24"/>
          <w:szCs w:val="24"/>
        </w:rPr>
        <w:t>供应商[公章(</w:t>
      </w:r>
      <w:r>
        <w:rPr>
          <w:rFonts w:hint="eastAsia" w:ascii="宋体" w:hAnsi="宋体" w:cs="宋体"/>
          <w:bCs/>
          <w:color w:val="auto"/>
          <w:sz w:val="24"/>
          <w:szCs w:val="24"/>
          <w:lang w:val="en-US" w:eastAsia="zh-CN"/>
        </w:rPr>
        <w:t>电子</w:t>
      </w:r>
      <w:r>
        <w:rPr>
          <w:rFonts w:hint="eastAsia" w:ascii="宋体" w:hAnsi="宋体" w:cs="宋体"/>
          <w:bCs/>
          <w:color w:val="auto"/>
          <w:sz w:val="24"/>
          <w:szCs w:val="24"/>
        </w:rPr>
        <w:t>签章)]：</w:t>
      </w:r>
      <w:r>
        <w:rPr>
          <w:rFonts w:hint="eastAsia" w:ascii="宋体" w:hAnsi="宋体" w:cs="宋体"/>
          <w:bCs/>
          <w:color w:val="auto"/>
          <w:sz w:val="24"/>
          <w:szCs w:val="24"/>
          <w:u w:val="single"/>
        </w:rPr>
        <w:t xml:space="preserve">                       </w:t>
      </w:r>
      <w:bookmarkEnd w:id="49"/>
      <w:bookmarkEnd w:id="50"/>
      <w:r>
        <w:rPr>
          <w:rFonts w:hint="eastAsia" w:ascii="宋体" w:hAnsi="宋体" w:cs="宋体"/>
          <w:bCs/>
          <w:color w:val="auto"/>
          <w:sz w:val="24"/>
          <w:szCs w:val="24"/>
          <w:u w:val="single"/>
        </w:rPr>
        <w:t xml:space="preserve">       </w:t>
      </w:r>
    </w:p>
    <w:p w14:paraId="48FD45A7">
      <w:pPr>
        <w:pStyle w:val="24"/>
        <w:keepNext w:val="0"/>
        <w:keepLines w:val="0"/>
        <w:pageBreakBefore w:val="0"/>
        <w:widowControl w:val="0"/>
        <w:kinsoku/>
        <w:wordWrap/>
        <w:overflowPunct/>
        <w:topLinePunct w:val="0"/>
        <w:autoSpaceDE/>
        <w:autoSpaceDN/>
        <w:bidi w:val="0"/>
        <w:adjustRightInd/>
        <w:snapToGrid/>
        <w:spacing w:line="480" w:lineRule="auto"/>
        <w:ind w:firstLine="420"/>
        <w:jc w:val="left"/>
        <w:textAlignment w:val="auto"/>
        <w:rPr>
          <w:rFonts w:hint="eastAsia" w:ascii="宋体" w:hAnsi="宋体" w:cs="宋体"/>
          <w:color w:val="auto"/>
          <w:sz w:val="24"/>
          <w:szCs w:val="24"/>
          <w:u w:val="single"/>
        </w:rPr>
      </w:pPr>
      <w:bookmarkStart w:id="51" w:name="_Toc32056_WPSOffice_Level2"/>
      <w:bookmarkStart w:id="52" w:name="_Toc9622_WPSOffice_Level2"/>
      <w:r>
        <w:rPr>
          <w:rFonts w:hint="eastAsia" w:hAnsi="宋体" w:cs="宋体"/>
          <w:color w:val="auto"/>
          <w:sz w:val="24"/>
          <w:szCs w:val="24"/>
        </w:rPr>
        <w:t>法定代表人签字（或电子签名）</w:t>
      </w:r>
      <w:r>
        <w:rPr>
          <w:rFonts w:hint="eastAsia" w:ascii="宋体" w:hAnsi="宋体" w:cs="宋体"/>
          <w:color w:val="auto"/>
          <w:sz w:val="24"/>
          <w:szCs w:val="24"/>
        </w:rPr>
        <w:t>：</w:t>
      </w:r>
      <w:r>
        <w:rPr>
          <w:rFonts w:hint="eastAsia" w:ascii="宋体" w:hAnsi="宋体" w:cs="宋体"/>
          <w:color w:val="auto"/>
          <w:sz w:val="24"/>
          <w:szCs w:val="24"/>
          <w:u w:val="single"/>
        </w:rPr>
        <w:t xml:space="preserve">              </w:t>
      </w:r>
    </w:p>
    <w:p w14:paraId="6728F3F1">
      <w:pPr>
        <w:pStyle w:val="14"/>
        <w:keepNext w:val="0"/>
        <w:keepLines w:val="0"/>
        <w:pageBreakBefore w:val="0"/>
        <w:widowControl w:val="0"/>
        <w:kinsoku/>
        <w:wordWrap/>
        <w:overflowPunct/>
        <w:topLinePunct w:val="0"/>
        <w:autoSpaceDE/>
        <w:autoSpaceDN/>
        <w:bidi w:val="0"/>
        <w:adjustRightInd/>
        <w:snapToGrid/>
        <w:spacing w:line="480" w:lineRule="auto"/>
        <w:ind w:left="980" w:hanging="480" w:hangingChars="200"/>
        <w:textAlignment w:val="auto"/>
        <w:rPr>
          <w:rFonts w:ascii="宋体" w:hAnsi="宋体" w:cs="宋体"/>
          <w:bCs/>
          <w:color w:val="auto"/>
          <w:sz w:val="24"/>
          <w:szCs w:val="24"/>
          <w:u w:val="single"/>
        </w:rPr>
      </w:pPr>
      <w:r>
        <w:rPr>
          <w:rFonts w:hint="eastAsia" w:ascii="宋体" w:hAnsi="宋体" w:cs="宋体"/>
          <w:bCs/>
          <w:color w:val="auto"/>
          <w:sz w:val="24"/>
          <w:szCs w:val="24"/>
        </w:rPr>
        <w:t>联系电话：</w:t>
      </w:r>
      <w:bookmarkEnd w:id="51"/>
      <w:bookmarkEnd w:id="52"/>
      <w:r>
        <w:rPr>
          <w:rFonts w:hint="eastAsia" w:ascii="宋体" w:hAnsi="宋体" w:cs="宋体"/>
          <w:bCs/>
          <w:color w:val="auto"/>
          <w:sz w:val="24"/>
          <w:szCs w:val="24"/>
          <w:u w:val="single"/>
        </w:rPr>
        <w:t xml:space="preserve">                   </w:t>
      </w:r>
      <w:r>
        <w:rPr>
          <w:rFonts w:hint="eastAsia" w:ascii="宋体" w:hAnsi="宋体" w:cs="宋体"/>
          <w:bCs/>
          <w:color w:val="auto"/>
          <w:sz w:val="24"/>
          <w:szCs w:val="24"/>
          <w:u w:val="none"/>
        </w:rPr>
        <w:t xml:space="preserve">                             </w:t>
      </w:r>
    </w:p>
    <w:p w14:paraId="41C6AC7F">
      <w:pPr>
        <w:pStyle w:val="14"/>
        <w:keepNext w:val="0"/>
        <w:keepLines w:val="0"/>
        <w:pageBreakBefore w:val="0"/>
        <w:widowControl w:val="0"/>
        <w:kinsoku/>
        <w:wordWrap/>
        <w:overflowPunct/>
        <w:topLinePunct w:val="0"/>
        <w:autoSpaceDE/>
        <w:autoSpaceDN/>
        <w:bidi w:val="0"/>
        <w:adjustRightInd/>
        <w:snapToGrid/>
        <w:spacing w:line="480" w:lineRule="auto"/>
        <w:ind w:left="980" w:hanging="480" w:hangingChars="200"/>
        <w:textAlignment w:val="auto"/>
        <w:rPr>
          <w:rFonts w:hint="eastAsia" w:ascii="宋体" w:hAnsi="宋体" w:cs="宋体"/>
          <w:bCs/>
          <w:color w:val="auto"/>
          <w:sz w:val="24"/>
          <w:szCs w:val="24"/>
        </w:rPr>
      </w:pPr>
      <w:bookmarkStart w:id="53" w:name="_Toc15933_WPSOffice_Level2"/>
      <w:bookmarkStart w:id="54" w:name="_Toc26465_WPSOffice_Level2"/>
      <w:r>
        <w:rPr>
          <w:rFonts w:hint="eastAsia" w:ascii="宋体" w:hAnsi="宋体" w:cs="宋体"/>
          <w:bCs/>
          <w:color w:val="auto"/>
          <w:sz w:val="24"/>
          <w:szCs w:val="24"/>
        </w:rPr>
        <w:t>日期：</w:t>
      </w:r>
      <w:r>
        <w:rPr>
          <w:rFonts w:hint="eastAsia" w:ascii="宋体" w:hAnsi="宋体" w:cs="宋体"/>
          <w:bCs/>
          <w:color w:val="auto"/>
          <w:sz w:val="24"/>
          <w:szCs w:val="24"/>
          <w:u w:val="single"/>
        </w:rPr>
        <w:t xml:space="preserve">              </w:t>
      </w:r>
      <w:r>
        <w:rPr>
          <w:rFonts w:hint="eastAsia" w:ascii="宋体" w:hAnsi="宋体" w:cs="宋体"/>
          <w:bCs/>
          <w:color w:val="auto"/>
          <w:sz w:val="24"/>
          <w:szCs w:val="24"/>
        </w:rPr>
        <w:t>年</w:t>
      </w:r>
      <w:r>
        <w:rPr>
          <w:rFonts w:hint="eastAsia" w:ascii="宋体" w:hAnsi="宋体" w:cs="宋体"/>
          <w:bCs/>
          <w:color w:val="auto"/>
          <w:sz w:val="24"/>
          <w:szCs w:val="24"/>
          <w:u w:val="single"/>
        </w:rPr>
        <w:t xml:space="preserve">           </w:t>
      </w:r>
      <w:r>
        <w:rPr>
          <w:rFonts w:hint="eastAsia" w:ascii="宋体" w:hAnsi="宋体" w:cs="宋体"/>
          <w:bCs/>
          <w:color w:val="auto"/>
          <w:sz w:val="24"/>
          <w:szCs w:val="24"/>
        </w:rPr>
        <w:t>月</w:t>
      </w:r>
      <w:r>
        <w:rPr>
          <w:rFonts w:hint="eastAsia" w:ascii="宋体" w:hAnsi="宋体" w:cs="宋体"/>
          <w:bCs/>
          <w:color w:val="auto"/>
          <w:sz w:val="24"/>
          <w:szCs w:val="24"/>
          <w:u w:val="single"/>
        </w:rPr>
        <w:t xml:space="preserve">           </w:t>
      </w:r>
      <w:r>
        <w:rPr>
          <w:rFonts w:hint="eastAsia" w:ascii="宋体" w:hAnsi="宋体" w:cs="宋体"/>
          <w:bCs/>
          <w:color w:val="auto"/>
          <w:sz w:val="24"/>
          <w:szCs w:val="24"/>
        </w:rPr>
        <w:t>日</w:t>
      </w:r>
      <w:bookmarkEnd w:id="53"/>
      <w:bookmarkEnd w:id="54"/>
    </w:p>
    <w:p w14:paraId="306229E7">
      <w:pPr>
        <w:pStyle w:val="22"/>
        <w:keepLines w:val="0"/>
        <w:pageBreakBefore w:val="0"/>
        <w:kinsoku/>
        <w:overflowPunct/>
        <w:bidi w:val="0"/>
        <w:spacing w:line="360" w:lineRule="auto"/>
        <w:ind w:left="0" w:leftChars="0" w:firstLine="0" w:firstLineChars="0"/>
        <w:rPr>
          <w:color w:val="auto"/>
          <w:highlight w:val="none"/>
        </w:rPr>
      </w:pPr>
    </w:p>
    <w:p w14:paraId="57C1BE6A">
      <w:pPr>
        <w:pStyle w:val="22"/>
        <w:keepLines w:val="0"/>
        <w:pageBreakBefore w:val="0"/>
        <w:kinsoku/>
        <w:overflowPunct/>
        <w:bidi w:val="0"/>
        <w:spacing w:line="360" w:lineRule="auto"/>
        <w:ind w:left="0" w:leftChars="0" w:firstLine="0" w:firstLineChars="0"/>
        <w:rPr>
          <w:color w:val="auto"/>
          <w:highlight w:val="none"/>
        </w:rPr>
      </w:pPr>
    </w:p>
    <w:p w14:paraId="59E1F1D4">
      <w:pPr>
        <w:spacing w:line="400" w:lineRule="exact"/>
        <w:jc w:val="center"/>
        <w:rPr>
          <w:rFonts w:hint="eastAsia" w:asciiTheme="minorEastAsia" w:hAnsiTheme="minorEastAsia" w:eastAsiaTheme="minorEastAsia" w:cstheme="minorEastAsia"/>
          <w:b/>
          <w:color w:val="auto"/>
          <w:sz w:val="32"/>
          <w:szCs w:val="32"/>
          <w:highlight w:val="none"/>
          <w:lang w:val="en-US" w:eastAsia="zh-CN"/>
        </w:rPr>
      </w:pPr>
    </w:p>
    <w:p w14:paraId="07ABA787">
      <w:pPr>
        <w:spacing w:line="400" w:lineRule="exact"/>
        <w:jc w:val="center"/>
        <w:rPr>
          <w:rFonts w:hint="eastAsia" w:asciiTheme="minorEastAsia" w:hAnsiTheme="minorEastAsia" w:eastAsiaTheme="minorEastAsia" w:cstheme="minorEastAsia"/>
          <w:b/>
          <w:color w:val="auto"/>
          <w:sz w:val="32"/>
          <w:szCs w:val="32"/>
          <w:highlight w:val="none"/>
          <w:lang w:val="en-US" w:eastAsia="zh-CN"/>
        </w:rPr>
      </w:pPr>
    </w:p>
    <w:p w14:paraId="4661B7E3">
      <w:pPr>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响应</w:t>
      </w:r>
      <w:r>
        <w:rPr>
          <w:rFonts w:hint="eastAsia" w:asciiTheme="minorEastAsia" w:hAnsiTheme="minorEastAsia" w:eastAsiaTheme="minorEastAsia" w:cstheme="minorEastAsia"/>
          <w:b/>
          <w:color w:val="auto"/>
          <w:sz w:val="32"/>
          <w:szCs w:val="32"/>
          <w:highlight w:val="none"/>
          <w:lang w:eastAsia="zh-CN"/>
        </w:rPr>
        <w:t>文件</w:t>
      </w:r>
      <w:r>
        <w:rPr>
          <w:rFonts w:hint="eastAsia" w:asciiTheme="minorEastAsia" w:hAnsiTheme="minorEastAsia" w:eastAsiaTheme="minorEastAsia" w:cstheme="minorEastAsia"/>
          <w:b/>
          <w:color w:val="auto"/>
          <w:sz w:val="32"/>
          <w:szCs w:val="32"/>
          <w:highlight w:val="none"/>
        </w:rPr>
        <w:t>目录</w:t>
      </w:r>
    </w:p>
    <w:p w14:paraId="1A5DFD9C">
      <w:pPr>
        <w:spacing w:line="400" w:lineRule="exact"/>
        <w:jc w:val="center"/>
        <w:rPr>
          <w:rFonts w:hint="eastAsia" w:asciiTheme="minorEastAsia" w:hAnsiTheme="minorEastAsia" w:eastAsiaTheme="minorEastAsia" w:cstheme="minorEastAsia"/>
          <w:b/>
          <w:color w:val="auto"/>
          <w:sz w:val="32"/>
          <w:szCs w:val="32"/>
          <w:highlight w:val="none"/>
        </w:rPr>
      </w:pPr>
    </w:p>
    <w:p w14:paraId="25192FA9">
      <w:pPr>
        <w:spacing w:line="400" w:lineRule="exact"/>
        <w:jc w:val="center"/>
        <w:rPr>
          <w:rFonts w:hint="eastAsia" w:asciiTheme="minorEastAsia" w:hAnsiTheme="minorEastAsia" w:eastAsiaTheme="minorEastAsia" w:cstheme="minorEastAsia"/>
          <w:b/>
          <w:color w:val="auto"/>
          <w:sz w:val="32"/>
          <w:szCs w:val="32"/>
          <w:highlight w:val="none"/>
        </w:rPr>
      </w:pPr>
    </w:p>
    <w:p w14:paraId="6932E58B">
      <w:pPr>
        <w:pStyle w:val="22"/>
        <w:ind w:left="0" w:leftChars="0" w:firstLine="0" w:firstLineChars="0"/>
        <w:jc w:val="center"/>
        <w:rPr>
          <w:rFonts w:hint="eastAsia" w:asciiTheme="minorEastAsia" w:hAnsiTheme="minorEastAsia" w:eastAsiaTheme="minorEastAsia" w:cstheme="minorEastAsia"/>
          <w:color w:val="auto"/>
          <w:spacing w:val="5"/>
          <w:position w:val="0"/>
          <w:sz w:val="32"/>
          <w:szCs w:val="22"/>
        </w:rPr>
      </w:pPr>
      <w:r>
        <w:rPr>
          <w:rFonts w:hint="eastAsia" w:asciiTheme="minorEastAsia" w:hAnsiTheme="minorEastAsia" w:eastAsiaTheme="minorEastAsia" w:cstheme="minorEastAsia"/>
          <w:color w:val="auto"/>
          <w:spacing w:val="5"/>
          <w:position w:val="0"/>
          <w:sz w:val="32"/>
          <w:szCs w:val="22"/>
          <w:lang w:val="en-US" w:eastAsia="zh-CN"/>
        </w:rPr>
        <w:t>（由供应商自行编写目录，格式自拟）</w:t>
      </w:r>
    </w:p>
    <w:p w14:paraId="132DA747">
      <w:pPr>
        <w:keepLines w:val="0"/>
        <w:pageBreakBefore w:val="0"/>
        <w:numPr>
          <w:ilvl w:val="0"/>
          <w:numId w:val="41"/>
        </w:numPr>
        <w:tabs>
          <w:tab w:val="left" w:pos="1305"/>
        </w:tabs>
        <w:kinsoku/>
        <w:overflowPunct/>
        <w:bidi w:val="0"/>
        <w:spacing w:line="360" w:lineRule="auto"/>
        <w:ind w:left="0" w:leftChars="0" w:firstLine="0" w:firstLineChars="0"/>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32"/>
          <w:szCs w:val="32"/>
          <w:highlight w:val="none"/>
        </w:rPr>
        <w:t>资格性响应证明材料</w:t>
      </w:r>
    </w:p>
    <w:p w14:paraId="05A059E8">
      <w:pPr>
        <w:keepLines w:val="0"/>
        <w:pageBreakBefore w:val="0"/>
        <w:numPr>
          <w:ilvl w:val="0"/>
          <w:numId w:val="0"/>
        </w:numPr>
        <w:tabs>
          <w:tab w:val="left" w:pos="1305"/>
        </w:tabs>
        <w:kinsoku/>
        <w:overflowPunct/>
        <w:bidi w:val="0"/>
        <w:spacing w:line="360" w:lineRule="auto"/>
        <w:ind w:leftChars="0"/>
        <w:rPr>
          <w:rFonts w:hint="eastAsia" w:ascii="宋体" w:hAnsi="宋体" w:cs="宋体"/>
          <w:b/>
          <w:color w:val="auto"/>
          <w:sz w:val="28"/>
          <w:szCs w:val="28"/>
          <w:highlight w:val="none"/>
        </w:rPr>
      </w:pPr>
      <w:r>
        <w:rPr>
          <w:rFonts w:hint="eastAsia" w:ascii="宋体" w:hAnsi="宋体" w:cs="宋体"/>
          <w:b/>
          <w:color w:val="auto"/>
          <w:sz w:val="28"/>
          <w:szCs w:val="28"/>
          <w:highlight w:val="none"/>
        </w:rPr>
        <w:t>1.供应商相应的法定代表人身份证正反两面复印件（必须提供）</w:t>
      </w:r>
    </w:p>
    <w:p w14:paraId="51C6AB79">
      <w:pPr>
        <w:keepLines w:val="0"/>
        <w:pageBreakBefore w:val="0"/>
        <w:tabs>
          <w:tab w:val="left" w:pos="1305"/>
        </w:tabs>
        <w:kinsoku/>
        <w:overflowPunct/>
        <w:bidi w:val="0"/>
        <w:spacing w:line="360" w:lineRule="auto"/>
        <w:ind w:firstLine="0" w:firstLineChars="0"/>
        <w:rPr>
          <w:rFonts w:hint="eastAsia" w:ascii="宋体" w:hAnsi="宋体" w:cs="宋体"/>
          <w:color w:val="auto"/>
          <w:kern w:val="0"/>
          <w:sz w:val="21"/>
          <w:szCs w:val="21"/>
          <w:highlight w:val="none"/>
        </w:rPr>
      </w:pPr>
    </w:p>
    <w:p w14:paraId="309A1224">
      <w:pPr>
        <w:keepLines w:val="0"/>
        <w:pageBreakBefore w:val="0"/>
        <w:kinsoku/>
        <w:overflowPunct/>
        <w:bidi w:val="0"/>
        <w:spacing w:line="360" w:lineRule="auto"/>
        <w:ind w:firstLine="0" w:firstLineChars="0"/>
        <w:rPr>
          <w:rFonts w:hint="eastAsia" w:ascii="宋体" w:hAnsi="宋体" w:cs="宋体"/>
          <w:b/>
          <w:color w:val="auto"/>
          <w:kern w:val="0"/>
          <w:sz w:val="28"/>
          <w:szCs w:val="28"/>
          <w:highlight w:val="none"/>
        </w:rPr>
      </w:pPr>
    </w:p>
    <w:p w14:paraId="085DE70F">
      <w:pPr>
        <w:keepLines w:val="0"/>
        <w:pageBreakBefore w:val="0"/>
        <w:kinsoku/>
        <w:overflowPunct/>
        <w:bidi w:val="0"/>
        <w:spacing w:line="360" w:lineRule="auto"/>
        <w:ind w:firstLine="0" w:firstLineChars="0"/>
        <w:rPr>
          <w:rFonts w:hint="eastAsia" w:ascii="宋体" w:hAnsi="宋体" w:cs="宋体"/>
          <w:b/>
          <w:color w:val="auto"/>
          <w:kern w:val="0"/>
          <w:sz w:val="28"/>
          <w:szCs w:val="28"/>
          <w:highlight w:val="none"/>
        </w:rPr>
      </w:pPr>
      <w:r>
        <w:rPr>
          <w:rFonts w:hint="eastAsia" w:ascii="宋体" w:hAnsi="宋体" w:cs="宋体"/>
          <w:b/>
          <w:color w:val="auto"/>
          <w:sz w:val="28"/>
          <w:szCs w:val="28"/>
          <w:highlight w:val="none"/>
        </w:rPr>
        <w:t>2.供应商的授权委托书、委托代理人身份证正反面复印件（委托代理时必须提供）</w:t>
      </w:r>
    </w:p>
    <w:p w14:paraId="0C736AA6">
      <w:pPr>
        <w:keepLines w:val="0"/>
        <w:pageBreakBefore w:val="0"/>
        <w:kinsoku/>
        <w:overflowPunct/>
        <w:bidi w:val="0"/>
        <w:spacing w:line="360" w:lineRule="auto"/>
        <w:ind w:firstLine="0" w:firstLineChars="0"/>
        <w:rPr>
          <w:rFonts w:hint="eastAsia" w:ascii="宋体" w:hAnsi="宋体" w:cs="宋体"/>
          <w:b/>
          <w:color w:val="auto"/>
          <w:szCs w:val="24"/>
          <w:highlight w:val="none"/>
        </w:rPr>
      </w:pPr>
      <w:r>
        <w:rPr>
          <w:rFonts w:hint="eastAsia" w:ascii="宋体" w:hAnsi="宋体" w:cs="宋体"/>
          <w:b/>
          <w:color w:val="auto"/>
          <w:sz w:val="28"/>
          <w:szCs w:val="28"/>
          <w:highlight w:val="none"/>
        </w:rPr>
        <w:t>附件：</w:t>
      </w:r>
    </w:p>
    <w:p w14:paraId="2C6461B6">
      <w:pPr>
        <w:keepLines w:val="0"/>
        <w:pageBreakBefore w:val="0"/>
        <w:kinsoku/>
        <w:overflowPunct/>
        <w:bidi w:val="0"/>
        <w:spacing w:line="360" w:lineRule="auto"/>
        <w:ind w:firstLine="0" w:firstLineChars="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 xml:space="preserve">  授权委托书（格式一，适用于法人或其他组织竞标）</w:t>
      </w:r>
    </w:p>
    <w:p w14:paraId="52088B37">
      <w:pPr>
        <w:keepLines w:val="0"/>
        <w:pageBreakBefore w:val="0"/>
        <w:kinsoku/>
        <w:overflowPunct/>
        <w:bidi w:val="0"/>
        <w:snapToGrid w:val="0"/>
        <w:spacing w:line="360" w:lineRule="auto"/>
        <w:ind w:firstLine="0" w:firstLineChars="0"/>
        <w:rPr>
          <w:rFonts w:hint="eastAsia" w:ascii="宋体" w:hAnsi="宋体" w:eastAsia="宋体" w:cs="宋体"/>
          <w:color w:val="auto"/>
          <w:sz w:val="21"/>
          <w:szCs w:val="24"/>
          <w:highlight w:val="none"/>
          <w:lang w:eastAsia="zh-CN"/>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lang w:eastAsia="zh-CN"/>
        </w:rPr>
        <w:t>广西八桂建设项目管理有限公司</w:t>
      </w:r>
    </w:p>
    <w:p w14:paraId="078BAD17">
      <w:pPr>
        <w:keepLines w:val="0"/>
        <w:pageBreakBefore w:val="0"/>
        <w:kinsoku/>
        <w:overflowPunct/>
        <w:bidi w:val="0"/>
        <w:snapToGrid w:val="0"/>
        <w:spacing w:line="360" w:lineRule="auto"/>
        <w:ind w:firstLine="0" w:firstLineChars="0"/>
        <w:rPr>
          <w:rFonts w:hint="eastAsia" w:ascii="宋体" w:hAnsi="宋体" w:cs="宋体"/>
          <w:color w:val="auto"/>
          <w:sz w:val="21"/>
          <w:szCs w:val="21"/>
          <w:highlight w:val="none"/>
          <w:u w:val="single"/>
        </w:rPr>
      </w:pPr>
    </w:p>
    <w:p w14:paraId="0A278A03">
      <w:pPr>
        <w:keepLines w:val="0"/>
        <w:pageBreakBefore w:val="0"/>
        <w:kinsoku/>
        <w:overflowPunct/>
        <w:bidi w:val="0"/>
        <w:spacing w:line="360" w:lineRule="auto"/>
        <w:ind w:firstLine="525" w:firstLineChars="250"/>
        <w:rPr>
          <w:rFonts w:hint="eastAsia" w:ascii="宋体" w:hAnsi="宋体" w:cs="宋体"/>
          <w:color w:val="auto"/>
          <w:sz w:val="21"/>
          <w:szCs w:val="20"/>
          <w:highlight w:val="none"/>
        </w:rPr>
      </w:pPr>
      <w:r>
        <w:rPr>
          <w:rFonts w:hint="eastAsia" w:ascii="宋体" w:hAnsi="宋体" w:cs="宋体"/>
          <w:color w:val="auto"/>
          <w:kern w:val="0"/>
          <w:sz w:val="21"/>
          <w:szCs w:val="20"/>
          <w:highlight w:val="none"/>
        </w:rPr>
        <w:t>我</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（姓名）系</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（供应商名称）的法定代表人，现授权委托本单位在职职工</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（姓名）以我公司名义参加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项目的谈判活动，并代表我方全权办理针对上述项目的谈判、签约等具体事务和签署相关文件。</w:t>
      </w:r>
    </w:p>
    <w:p w14:paraId="1DD6D1C8">
      <w:pPr>
        <w:keepLines w:val="0"/>
        <w:pageBreakBefore w:val="0"/>
        <w:kinsoku/>
        <w:overflowPunct/>
        <w:bidi w:val="0"/>
        <w:spacing w:line="360" w:lineRule="auto"/>
        <w:ind w:firstLine="420"/>
        <w:rPr>
          <w:rFonts w:hint="eastAsia" w:ascii="宋体" w:hAnsi="宋体" w:cs="宋体"/>
          <w:color w:val="auto"/>
          <w:sz w:val="21"/>
          <w:szCs w:val="20"/>
          <w:highlight w:val="none"/>
        </w:rPr>
      </w:pPr>
      <w:r>
        <w:rPr>
          <w:rFonts w:hint="eastAsia" w:ascii="宋体" w:hAnsi="宋体" w:cs="宋体"/>
          <w:color w:val="auto"/>
          <w:sz w:val="21"/>
          <w:szCs w:val="20"/>
          <w:highlight w:val="none"/>
        </w:rPr>
        <w:t>我方对被授权人的签字事项负全部责任。</w:t>
      </w:r>
    </w:p>
    <w:p w14:paraId="2CD85196">
      <w:pPr>
        <w:keepLines w:val="0"/>
        <w:pageBreakBefore w:val="0"/>
        <w:kinsoku/>
        <w:overflowPunct/>
        <w:bidi w:val="0"/>
        <w:spacing w:line="360" w:lineRule="auto"/>
        <w:ind w:firstLine="420"/>
        <w:rPr>
          <w:rFonts w:hint="eastAsia"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0CD3C024">
      <w:pPr>
        <w:keepLines w:val="0"/>
        <w:pageBreakBefore w:val="0"/>
        <w:kinsoku/>
        <w:overflowPunct/>
        <w:bidi w:val="0"/>
        <w:spacing w:line="360" w:lineRule="auto"/>
        <w:ind w:firstLine="420"/>
        <w:rPr>
          <w:rFonts w:hint="eastAsia" w:ascii="宋体" w:hAnsi="宋体" w:cs="宋体"/>
          <w:color w:val="auto"/>
          <w:sz w:val="21"/>
          <w:szCs w:val="24"/>
          <w:highlight w:val="none"/>
        </w:rPr>
      </w:pPr>
      <w:r>
        <w:rPr>
          <w:rFonts w:hint="eastAsia" w:ascii="宋体" w:hAnsi="宋体" w:cs="宋体"/>
          <w:color w:val="auto"/>
          <w:kern w:val="0"/>
          <w:sz w:val="21"/>
          <w:szCs w:val="24"/>
          <w:highlight w:val="none"/>
        </w:rPr>
        <w:t xml:space="preserve">代理人无转委托权，特此委托。 </w:t>
      </w:r>
    </w:p>
    <w:p w14:paraId="3630BC45">
      <w:pPr>
        <w:keepLines w:val="0"/>
        <w:pageBreakBefore w:val="0"/>
        <w:kinsoku/>
        <w:overflowPunct/>
        <w:bidi w:val="0"/>
        <w:snapToGrid w:val="0"/>
        <w:spacing w:line="360" w:lineRule="auto"/>
        <w:ind w:firstLine="42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39367A9D">
      <w:pPr>
        <w:keepLines w:val="0"/>
        <w:pageBreakBefore w:val="0"/>
        <w:widowControl/>
        <w:kinsoku/>
        <w:overflowPunct/>
        <w:bidi w:val="0"/>
        <w:spacing w:line="360" w:lineRule="auto"/>
        <w:ind w:firstLine="480"/>
        <w:jc w:val="left"/>
        <w:rPr>
          <w:rFonts w:hint="eastAsia" w:ascii="宋体" w:hAnsi="宋体" w:cs="宋体"/>
          <w:color w:val="auto"/>
          <w:kern w:val="0"/>
          <w:szCs w:val="28"/>
          <w:highlight w:val="none"/>
        </w:rPr>
      </w:pPr>
    </w:p>
    <w:p w14:paraId="17FB2B44">
      <w:pPr>
        <w:keepLines w:val="0"/>
        <w:pageBreakBefore w:val="0"/>
        <w:kinsoku/>
        <w:overflowPunct/>
        <w:bidi w:val="0"/>
        <w:spacing w:line="360" w:lineRule="auto"/>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供应商（电子签章）：</w:t>
      </w:r>
      <w:r>
        <w:rPr>
          <w:rFonts w:hint="eastAsia" w:ascii="宋体" w:hAnsi="宋体" w:cs="宋体"/>
          <w:color w:val="auto"/>
          <w:kern w:val="0"/>
          <w:sz w:val="21"/>
          <w:szCs w:val="24"/>
          <w:highlight w:val="none"/>
          <w:u w:val="single"/>
          <w:lang w:val="en-US" w:eastAsia="zh-CN"/>
        </w:rPr>
        <w:t xml:space="preserve">                     </w:t>
      </w:r>
      <w:r>
        <w:rPr>
          <w:rFonts w:hint="eastAsia" w:ascii="宋体" w:hAnsi="宋体" w:cs="宋体"/>
          <w:color w:val="auto"/>
          <w:kern w:val="0"/>
          <w:sz w:val="21"/>
          <w:szCs w:val="24"/>
          <w:highlight w:val="none"/>
        </w:rPr>
        <w:t xml:space="preserve">                                   </w:t>
      </w:r>
    </w:p>
    <w:p w14:paraId="02F2C6AB">
      <w:pPr>
        <w:keepLines w:val="0"/>
        <w:pageBreakBefore w:val="0"/>
        <w:kinsoku/>
        <w:overflowPunct/>
        <w:bidi w:val="0"/>
        <w:spacing w:line="360" w:lineRule="auto"/>
        <w:ind w:firstLine="420"/>
        <w:rPr>
          <w:rFonts w:hint="eastAsia" w:ascii="宋体" w:hAnsi="宋体" w:cs="宋体"/>
          <w:color w:val="auto"/>
          <w:kern w:val="0"/>
          <w:szCs w:val="28"/>
          <w:highlight w:val="none"/>
        </w:rPr>
      </w:pPr>
      <w:r>
        <w:rPr>
          <w:rFonts w:hint="eastAsia" w:ascii="宋体" w:hAnsi="宋体" w:cs="宋体"/>
          <w:color w:val="auto"/>
          <w:kern w:val="0"/>
          <w:sz w:val="21"/>
          <w:szCs w:val="24"/>
          <w:highlight w:val="none"/>
        </w:rPr>
        <w:t>法定代表人签字（或电子签名）：</w:t>
      </w:r>
      <w:r>
        <w:rPr>
          <w:rFonts w:hint="eastAsia" w:ascii="宋体" w:hAnsi="宋体" w:cs="宋体"/>
          <w:color w:val="auto"/>
          <w:kern w:val="0"/>
          <w:sz w:val="21"/>
          <w:szCs w:val="24"/>
          <w:highlight w:val="none"/>
          <w:u w:val="single"/>
          <w:lang w:val="en-US" w:eastAsia="zh-CN"/>
        </w:rPr>
        <w:t xml:space="preserve">                </w:t>
      </w:r>
      <w:r>
        <w:rPr>
          <w:rFonts w:hint="eastAsia" w:ascii="宋体" w:hAnsi="宋体" w:cs="宋体"/>
          <w:color w:val="auto"/>
          <w:kern w:val="0"/>
          <w:sz w:val="21"/>
          <w:szCs w:val="24"/>
          <w:highlight w:val="none"/>
        </w:rPr>
        <w:t xml:space="preserve">                       　    </w:t>
      </w:r>
    </w:p>
    <w:p w14:paraId="10F440BE">
      <w:pPr>
        <w:keepLines w:val="0"/>
        <w:pageBreakBefore w:val="0"/>
        <w:widowControl/>
        <w:kinsoku/>
        <w:overflowPunct/>
        <w:bidi w:val="0"/>
        <w:spacing w:line="360" w:lineRule="auto"/>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年</w:t>
      </w:r>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月</w:t>
      </w:r>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日</w:t>
      </w:r>
    </w:p>
    <w:p w14:paraId="52D6D84A">
      <w:pPr>
        <w:keepLines w:val="0"/>
        <w:pageBreakBefore w:val="0"/>
        <w:kinsoku/>
        <w:overflowPunct/>
        <w:bidi w:val="0"/>
        <w:spacing w:line="360" w:lineRule="auto"/>
        <w:ind w:firstLine="602" w:firstLineChars="250"/>
        <w:rPr>
          <w:rFonts w:hint="eastAsia" w:ascii="宋体" w:hAnsi="宋体" w:cs="宋体"/>
          <w:b/>
          <w:color w:val="auto"/>
          <w:szCs w:val="24"/>
          <w:highlight w:val="none"/>
        </w:rPr>
      </w:pPr>
    </w:p>
    <w:p w14:paraId="10A01A1B">
      <w:pPr>
        <w:keepLines w:val="0"/>
        <w:pageBreakBefore w:val="0"/>
        <w:kinsoku/>
        <w:overflowPunct/>
        <w:bidi w:val="0"/>
        <w:spacing w:line="360" w:lineRule="auto"/>
        <w:ind w:firstLine="527" w:firstLineChars="250"/>
        <w:rPr>
          <w:rFonts w:hint="eastAsia" w:ascii="宋体" w:hAnsi="宋体" w:cs="宋体"/>
          <w:b/>
          <w:color w:val="auto"/>
          <w:sz w:val="21"/>
          <w:szCs w:val="21"/>
          <w:highlight w:val="none"/>
        </w:rPr>
      </w:pPr>
      <w:r>
        <w:rPr>
          <w:rFonts w:hint="eastAsia" w:ascii="宋体" w:hAnsi="宋体" w:cs="宋体"/>
          <w:b/>
          <w:color w:val="auto"/>
          <w:sz w:val="21"/>
          <w:szCs w:val="21"/>
          <w:highlight w:val="none"/>
        </w:rPr>
        <w:t>附：委托代理人身份证正反面复印件（委托代理时必须提供）。</w:t>
      </w:r>
    </w:p>
    <w:p w14:paraId="275B7A53">
      <w:pPr>
        <w:keepLines w:val="0"/>
        <w:pageBreakBefore w:val="0"/>
        <w:kinsoku/>
        <w:overflowPunct/>
        <w:bidi w:val="0"/>
        <w:spacing w:line="360" w:lineRule="auto"/>
        <w:ind w:firstLine="0" w:firstLineChars="0"/>
        <w:rPr>
          <w:rFonts w:hint="eastAsia" w:ascii="宋体" w:hAnsi="宋体" w:cs="宋体"/>
          <w:color w:val="auto"/>
          <w:sz w:val="21"/>
          <w:szCs w:val="24"/>
          <w:highlight w:val="none"/>
        </w:rPr>
      </w:pPr>
    </w:p>
    <w:p w14:paraId="0CD66666">
      <w:pPr>
        <w:keepLines w:val="0"/>
        <w:pageBreakBefore w:val="0"/>
        <w:kinsoku/>
        <w:overflowPunct/>
        <w:bidi w:val="0"/>
        <w:spacing w:line="360" w:lineRule="auto"/>
        <w:ind w:firstLine="0" w:firstLineChars="0"/>
        <w:jc w:val="center"/>
        <w:rPr>
          <w:rFonts w:hint="eastAsia" w:ascii="宋体" w:hAnsi="宋体" w:cs="宋体"/>
          <w:b/>
          <w:color w:val="auto"/>
          <w:sz w:val="32"/>
          <w:szCs w:val="20"/>
          <w:highlight w:val="none"/>
        </w:rPr>
      </w:pPr>
      <w:r>
        <w:rPr>
          <w:rFonts w:ascii="宋体" w:hAnsi="宋体" w:cs="宋体"/>
          <w:b/>
          <w:color w:val="auto"/>
          <w:sz w:val="32"/>
          <w:szCs w:val="20"/>
          <w:highlight w:val="none"/>
        </w:rPr>
        <w:br w:type="page"/>
      </w:r>
      <w:r>
        <w:rPr>
          <w:rFonts w:hint="eastAsia" w:ascii="宋体" w:hAnsi="宋体" w:cs="宋体"/>
          <w:b/>
          <w:color w:val="auto"/>
          <w:sz w:val="30"/>
          <w:szCs w:val="30"/>
          <w:highlight w:val="none"/>
        </w:rPr>
        <w:t>授权委托书（格式二，适用于自然人竞标）</w:t>
      </w:r>
    </w:p>
    <w:p w14:paraId="3B70834E">
      <w:pPr>
        <w:keepLines w:val="0"/>
        <w:pageBreakBefore w:val="0"/>
        <w:kinsoku/>
        <w:overflowPunct/>
        <w:bidi w:val="0"/>
        <w:snapToGrid w:val="0"/>
        <w:spacing w:line="360" w:lineRule="auto"/>
        <w:ind w:firstLine="0" w:firstLineChars="0"/>
        <w:rPr>
          <w:rFonts w:ascii="宋体" w:hAnsi="宋体" w:cs="宋体"/>
          <w:b/>
          <w:color w:val="auto"/>
          <w:sz w:val="21"/>
          <w:szCs w:val="21"/>
          <w:highlight w:val="none"/>
        </w:rPr>
      </w:pPr>
    </w:p>
    <w:p w14:paraId="154D12DC">
      <w:pPr>
        <w:keepLines w:val="0"/>
        <w:pageBreakBefore w:val="0"/>
        <w:kinsoku/>
        <w:overflowPunct/>
        <w:bidi w:val="0"/>
        <w:snapToGrid w:val="0"/>
        <w:spacing w:line="360" w:lineRule="auto"/>
        <w:ind w:firstLine="0" w:firstLineChars="0"/>
        <w:rPr>
          <w:rFonts w:hint="eastAsia" w:ascii="宋体" w:hAnsi="宋体" w:eastAsia="宋体" w:cs="宋体"/>
          <w:color w:val="auto"/>
          <w:sz w:val="21"/>
          <w:szCs w:val="24"/>
          <w:highlight w:val="none"/>
          <w:lang w:eastAsia="zh-CN"/>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lang w:eastAsia="zh-CN"/>
        </w:rPr>
        <w:t>广西八桂建设项目管理有限公司</w:t>
      </w:r>
    </w:p>
    <w:p w14:paraId="3F860F96">
      <w:pPr>
        <w:keepLines w:val="0"/>
        <w:pageBreakBefore w:val="0"/>
        <w:kinsoku/>
        <w:overflowPunct/>
        <w:bidi w:val="0"/>
        <w:spacing w:line="360" w:lineRule="auto"/>
        <w:ind w:firstLine="0" w:firstLineChars="0"/>
        <w:rPr>
          <w:rFonts w:hint="eastAsia" w:ascii="宋体" w:hAnsi="宋体" w:cs="宋体"/>
          <w:color w:val="auto"/>
          <w:sz w:val="21"/>
          <w:szCs w:val="24"/>
          <w:highlight w:val="none"/>
        </w:rPr>
      </w:pPr>
    </w:p>
    <w:p w14:paraId="6A9CBF01">
      <w:pPr>
        <w:keepLines w:val="0"/>
        <w:pageBreakBefore w:val="0"/>
        <w:kinsoku/>
        <w:overflowPunct/>
        <w:bidi w:val="0"/>
        <w:spacing w:line="360" w:lineRule="auto"/>
        <w:ind w:firstLine="420"/>
        <w:rPr>
          <w:rFonts w:hint="eastAsia" w:ascii="宋体" w:hAnsi="宋体" w:cs="宋体"/>
          <w:color w:val="auto"/>
          <w:sz w:val="21"/>
          <w:szCs w:val="20"/>
          <w:highlight w:val="none"/>
        </w:rPr>
      </w:pPr>
      <w:r>
        <w:rPr>
          <w:rFonts w:hint="eastAsia" w:ascii="宋体" w:hAnsi="宋体" w:cs="宋体"/>
          <w:color w:val="auto"/>
          <w:kern w:val="0"/>
          <w:sz w:val="21"/>
          <w:szCs w:val="20"/>
          <w:highlight w:val="none"/>
        </w:rPr>
        <w:t>我</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（姓名）系自然人，现授权委托</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（姓 名）以本人名义参加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项目的谈判活动，并代表本人全权办理针对上述项目的谈判、签约等具体事务和签署相关文件。</w:t>
      </w:r>
    </w:p>
    <w:p w14:paraId="4A502C92">
      <w:pPr>
        <w:keepLines w:val="0"/>
        <w:pageBreakBefore w:val="0"/>
        <w:kinsoku/>
        <w:overflowPunct/>
        <w:bidi w:val="0"/>
        <w:spacing w:line="360" w:lineRule="auto"/>
        <w:ind w:firstLine="420"/>
        <w:rPr>
          <w:rFonts w:hint="eastAsia" w:ascii="宋体" w:hAnsi="宋体" w:cs="宋体"/>
          <w:color w:val="auto"/>
          <w:sz w:val="21"/>
          <w:szCs w:val="20"/>
          <w:highlight w:val="none"/>
        </w:rPr>
      </w:pPr>
      <w:r>
        <w:rPr>
          <w:rFonts w:hint="eastAsia" w:ascii="宋体" w:hAnsi="宋体" w:cs="宋体"/>
          <w:color w:val="auto"/>
          <w:sz w:val="21"/>
          <w:szCs w:val="20"/>
          <w:highlight w:val="none"/>
        </w:rPr>
        <w:t>本人对被授权人的签字事项负全部责任。</w:t>
      </w:r>
    </w:p>
    <w:p w14:paraId="7D352E7D">
      <w:pPr>
        <w:keepLines w:val="0"/>
        <w:pageBreakBefore w:val="0"/>
        <w:kinsoku/>
        <w:overflowPunct/>
        <w:bidi w:val="0"/>
        <w:spacing w:line="360" w:lineRule="auto"/>
        <w:ind w:firstLine="420"/>
        <w:rPr>
          <w:rFonts w:hint="eastAsia"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06511F87">
      <w:pPr>
        <w:keepLines w:val="0"/>
        <w:pageBreakBefore w:val="0"/>
        <w:kinsoku/>
        <w:overflowPunct/>
        <w:bidi w:val="0"/>
        <w:spacing w:line="360" w:lineRule="auto"/>
        <w:ind w:firstLine="0" w:firstLineChars="0"/>
        <w:rPr>
          <w:rFonts w:hint="eastAsia" w:ascii="宋体" w:hAnsi="宋体" w:cs="宋体"/>
          <w:color w:val="auto"/>
          <w:sz w:val="21"/>
          <w:szCs w:val="20"/>
          <w:highlight w:val="none"/>
          <w:u w:val="single"/>
        </w:rPr>
      </w:pPr>
    </w:p>
    <w:p w14:paraId="63E3CADC">
      <w:pPr>
        <w:keepLines w:val="0"/>
        <w:pageBreakBefore w:val="0"/>
        <w:kinsoku/>
        <w:overflowPunct/>
        <w:bidi w:val="0"/>
        <w:spacing w:line="360" w:lineRule="auto"/>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代理人无转委托权，特此委托。 </w:t>
      </w:r>
    </w:p>
    <w:p w14:paraId="380A854D">
      <w:pPr>
        <w:keepLines w:val="0"/>
        <w:pageBreakBefore w:val="0"/>
        <w:kinsoku/>
        <w:overflowPunct/>
        <w:bidi w:val="0"/>
        <w:spacing w:line="360" w:lineRule="auto"/>
        <w:ind w:firstLine="0" w:firstLineChars="0"/>
        <w:rPr>
          <w:rFonts w:hint="eastAsia" w:ascii="宋体" w:hAnsi="宋体" w:cs="宋体"/>
          <w:color w:val="auto"/>
          <w:sz w:val="21"/>
          <w:szCs w:val="24"/>
          <w:highlight w:val="none"/>
        </w:rPr>
      </w:pPr>
    </w:p>
    <w:p w14:paraId="2081818C">
      <w:pPr>
        <w:keepLines w:val="0"/>
        <w:pageBreakBefore w:val="0"/>
        <w:kinsoku/>
        <w:overflowPunct/>
        <w:bidi w:val="0"/>
        <w:snapToGrid w:val="0"/>
        <w:spacing w:line="360" w:lineRule="auto"/>
        <w:ind w:firstLine="42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25E45AD5">
      <w:pPr>
        <w:keepLines w:val="0"/>
        <w:pageBreakBefore w:val="0"/>
        <w:kinsoku/>
        <w:overflowPunct/>
        <w:bidi w:val="0"/>
        <w:spacing w:line="360" w:lineRule="auto"/>
        <w:ind w:firstLine="0" w:firstLineChars="0"/>
        <w:rPr>
          <w:rFonts w:hint="eastAsia" w:ascii="宋体" w:hAnsi="宋体" w:cs="宋体"/>
          <w:color w:val="auto"/>
          <w:sz w:val="21"/>
          <w:szCs w:val="24"/>
          <w:highlight w:val="none"/>
        </w:rPr>
      </w:pPr>
    </w:p>
    <w:p w14:paraId="202E5E0A">
      <w:pPr>
        <w:keepLines w:val="0"/>
        <w:pageBreakBefore w:val="0"/>
        <w:kinsoku/>
        <w:overflowPunct/>
        <w:bidi w:val="0"/>
        <w:snapToGrid w:val="0"/>
        <w:spacing w:line="360" w:lineRule="auto"/>
        <w:ind w:firstLine="42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自然人签字</w:t>
      </w:r>
      <w:r>
        <w:rPr>
          <w:rFonts w:hint="eastAsia" w:hAnsi="宋体" w:cs="宋体"/>
          <w:bCs/>
          <w:color w:val="auto"/>
          <w:sz w:val="21"/>
          <w:szCs w:val="21"/>
          <w:highlight w:val="none"/>
        </w:rPr>
        <w:t>（或电子签名）</w:t>
      </w:r>
      <w:r>
        <w:rPr>
          <w:rFonts w:hint="eastAsia" w:ascii="宋体" w:hAnsi="宋体" w:cs="宋体"/>
          <w:color w:val="auto"/>
          <w:sz w:val="21"/>
          <w:szCs w:val="21"/>
          <w:highlight w:val="none"/>
        </w:rPr>
        <w:t>：     　　</w:t>
      </w:r>
    </w:p>
    <w:p w14:paraId="308101F1">
      <w:pPr>
        <w:keepLines w:val="0"/>
        <w:pageBreakBefore w:val="0"/>
        <w:kinsoku/>
        <w:overflowPunct/>
        <w:bidi w:val="0"/>
        <w:snapToGrid w:val="0"/>
        <w:spacing w:line="360" w:lineRule="auto"/>
        <w:ind w:firstLine="420" w:firstLineChars="0"/>
        <w:rPr>
          <w:rFonts w:hint="eastAsia" w:ascii="宋体" w:hAnsi="宋体" w:cs="宋体"/>
          <w:color w:val="auto"/>
          <w:sz w:val="21"/>
          <w:szCs w:val="21"/>
          <w:highlight w:val="none"/>
        </w:rPr>
      </w:pPr>
    </w:p>
    <w:p w14:paraId="422D8932">
      <w:pPr>
        <w:keepLines w:val="0"/>
        <w:pageBreakBefore w:val="0"/>
        <w:kinsoku/>
        <w:overflowPunct/>
        <w:bidi w:val="0"/>
        <w:snapToGrid w:val="0"/>
        <w:spacing w:line="360" w:lineRule="auto"/>
        <w:ind w:firstLine="420" w:firstLineChars="0"/>
        <w:rPr>
          <w:rFonts w:hint="eastAsia" w:ascii="宋体" w:hAnsi="宋体" w:cs="宋体"/>
          <w:color w:val="auto"/>
          <w:sz w:val="21"/>
          <w:szCs w:val="21"/>
          <w:highlight w:val="none"/>
        </w:rPr>
      </w:pP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1"/>
          <w:highlight w:val="none"/>
        </w:rPr>
        <w:t>日</w:t>
      </w:r>
    </w:p>
    <w:p w14:paraId="52C7BFE8">
      <w:pPr>
        <w:keepLines w:val="0"/>
        <w:pageBreakBefore w:val="0"/>
        <w:kinsoku/>
        <w:overflowPunct/>
        <w:bidi w:val="0"/>
        <w:spacing w:line="360" w:lineRule="auto"/>
        <w:ind w:firstLine="0" w:firstLineChars="0"/>
        <w:rPr>
          <w:rFonts w:hint="eastAsia" w:ascii="宋体" w:hAnsi="宋体" w:cs="宋体"/>
          <w:color w:val="auto"/>
          <w:sz w:val="21"/>
          <w:szCs w:val="24"/>
          <w:highlight w:val="none"/>
        </w:rPr>
      </w:pPr>
    </w:p>
    <w:p w14:paraId="71716A65">
      <w:pPr>
        <w:keepLines w:val="0"/>
        <w:pageBreakBefore w:val="0"/>
        <w:kinsoku/>
        <w:overflowPunct/>
        <w:bidi w:val="0"/>
        <w:spacing w:line="360" w:lineRule="auto"/>
        <w:ind w:firstLine="602" w:firstLineChars="250"/>
        <w:rPr>
          <w:rFonts w:hint="eastAsia" w:ascii="宋体" w:hAnsi="宋体" w:cs="宋体"/>
          <w:b/>
          <w:color w:val="auto"/>
          <w:szCs w:val="24"/>
          <w:highlight w:val="none"/>
        </w:rPr>
      </w:pPr>
      <w:r>
        <w:rPr>
          <w:rFonts w:hint="eastAsia" w:ascii="宋体" w:hAnsi="宋体" w:cs="宋体"/>
          <w:b/>
          <w:color w:val="auto"/>
          <w:szCs w:val="24"/>
          <w:highlight w:val="none"/>
        </w:rPr>
        <w:t>附：委托代理人身份证正反面复印件（委托代理时必须提供）。</w:t>
      </w:r>
    </w:p>
    <w:p w14:paraId="7B9C1769">
      <w:pPr>
        <w:keepLines w:val="0"/>
        <w:pageBreakBefore w:val="0"/>
        <w:kinsoku/>
        <w:overflowPunct/>
        <w:bidi w:val="0"/>
        <w:spacing w:line="360" w:lineRule="auto"/>
        <w:ind w:firstLine="0" w:firstLineChars="0"/>
        <w:rPr>
          <w:rFonts w:hint="eastAsia" w:ascii="宋体" w:hAnsi="宋体" w:cs="宋体"/>
          <w:color w:val="auto"/>
          <w:kern w:val="0"/>
          <w:sz w:val="21"/>
          <w:szCs w:val="24"/>
          <w:highlight w:val="none"/>
        </w:rPr>
      </w:pPr>
    </w:p>
    <w:p w14:paraId="305F81EF">
      <w:pPr>
        <w:keepLines w:val="0"/>
        <w:pageBreakBefore w:val="0"/>
        <w:kinsoku/>
        <w:overflowPunct/>
        <w:bidi w:val="0"/>
        <w:spacing w:line="360" w:lineRule="auto"/>
        <w:ind w:firstLine="0" w:firstLineChars="0"/>
        <w:rPr>
          <w:rFonts w:hint="eastAsia" w:ascii="宋体" w:hAnsi="宋体" w:cs="宋体"/>
          <w:b/>
          <w:color w:val="auto"/>
          <w:kern w:val="0"/>
          <w:sz w:val="32"/>
          <w:szCs w:val="32"/>
          <w:highlight w:val="none"/>
        </w:rPr>
      </w:pPr>
    </w:p>
    <w:p w14:paraId="6DC05719">
      <w:pPr>
        <w:pStyle w:val="22"/>
        <w:keepLines w:val="0"/>
        <w:pageBreakBefore w:val="0"/>
        <w:kinsoku/>
        <w:overflowPunct/>
        <w:bidi w:val="0"/>
        <w:spacing w:line="360" w:lineRule="auto"/>
        <w:rPr>
          <w:color w:val="auto"/>
          <w:highlight w:val="none"/>
        </w:rPr>
      </w:pPr>
    </w:p>
    <w:p w14:paraId="734AB656">
      <w:pPr>
        <w:pStyle w:val="22"/>
        <w:keepLines w:val="0"/>
        <w:pageBreakBefore w:val="0"/>
        <w:kinsoku/>
        <w:overflowPunct/>
        <w:bidi w:val="0"/>
        <w:spacing w:line="360" w:lineRule="auto"/>
        <w:rPr>
          <w:color w:val="auto"/>
          <w:highlight w:val="none"/>
        </w:rPr>
      </w:pPr>
    </w:p>
    <w:p w14:paraId="04C00FEB">
      <w:pPr>
        <w:pStyle w:val="22"/>
        <w:keepLines w:val="0"/>
        <w:pageBreakBefore w:val="0"/>
        <w:kinsoku/>
        <w:overflowPunct/>
        <w:bidi w:val="0"/>
        <w:spacing w:line="360" w:lineRule="auto"/>
        <w:rPr>
          <w:color w:val="auto"/>
          <w:highlight w:val="none"/>
        </w:rPr>
      </w:pPr>
    </w:p>
    <w:p w14:paraId="730ABC60">
      <w:pPr>
        <w:pStyle w:val="22"/>
        <w:keepLines w:val="0"/>
        <w:pageBreakBefore w:val="0"/>
        <w:kinsoku/>
        <w:overflowPunct/>
        <w:bidi w:val="0"/>
        <w:spacing w:line="360" w:lineRule="auto"/>
        <w:rPr>
          <w:color w:val="auto"/>
          <w:highlight w:val="none"/>
        </w:rPr>
      </w:pPr>
    </w:p>
    <w:p w14:paraId="6E667B82">
      <w:pPr>
        <w:pStyle w:val="22"/>
        <w:keepLines w:val="0"/>
        <w:pageBreakBefore w:val="0"/>
        <w:kinsoku/>
        <w:overflowPunct/>
        <w:bidi w:val="0"/>
        <w:spacing w:line="360" w:lineRule="auto"/>
        <w:rPr>
          <w:color w:val="auto"/>
          <w:highlight w:val="none"/>
        </w:rPr>
      </w:pPr>
    </w:p>
    <w:p w14:paraId="54FB1ECB">
      <w:pPr>
        <w:pStyle w:val="22"/>
        <w:keepLines w:val="0"/>
        <w:pageBreakBefore w:val="0"/>
        <w:kinsoku/>
        <w:overflowPunct/>
        <w:bidi w:val="0"/>
        <w:spacing w:line="360" w:lineRule="auto"/>
        <w:rPr>
          <w:color w:val="auto"/>
          <w:highlight w:val="none"/>
        </w:rPr>
      </w:pPr>
    </w:p>
    <w:p w14:paraId="3B3CBDDF">
      <w:pPr>
        <w:pStyle w:val="22"/>
        <w:keepLines w:val="0"/>
        <w:pageBreakBefore w:val="0"/>
        <w:kinsoku/>
        <w:overflowPunct/>
        <w:bidi w:val="0"/>
        <w:spacing w:line="360" w:lineRule="auto"/>
        <w:rPr>
          <w:color w:val="auto"/>
          <w:highlight w:val="none"/>
        </w:rPr>
      </w:pPr>
    </w:p>
    <w:p w14:paraId="04CB8E4E">
      <w:pPr>
        <w:keepLines w:val="0"/>
        <w:pageBreakBefore w:val="0"/>
        <w:kinsoku/>
        <w:overflowPunct/>
        <w:bidi w:val="0"/>
        <w:adjustRightInd w:val="0"/>
        <w:snapToGrid w:val="0"/>
        <w:spacing w:line="360" w:lineRule="auto"/>
        <w:ind w:firstLine="0" w:firstLineChars="0"/>
        <w:rPr>
          <w:rFonts w:hint="eastAsia" w:ascii="宋体" w:hAnsi="宋体" w:cs="宋体"/>
          <w:b/>
          <w:color w:val="auto"/>
          <w:sz w:val="28"/>
          <w:szCs w:val="28"/>
          <w:highlight w:val="none"/>
        </w:rPr>
      </w:pPr>
    </w:p>
    <w:p w14:paraId="4400C6BB">
      <w:pPr>
        <w:keepLines w:val="0"/>
        <w:pageBreakBefore w:val="0"/>
        <w:kinsoku/>
        <w:overflowPunct/>
        <w:bidi w:val="0"/>
        <w:adjustRightInd w:val="0"/>
        <w:snapToGrid w:val="0"/>
        <w:spacing w:line="360" w:lineRule="auto"/>
        <w:ind w:firstLine="0" w:firstLineChars="0"/>
        <w:rPr>
          <w:rFonts w:hint="eastAsia" w:ascii="宋体" w:hAnsi="宋体" w:cs="宋体"/>
          <w:b/>
          <w:color w:val="auto"/>
          <w:sz w:val="32"/>
          <w:szCs w:val="20"/>
          <w:highlight w:val="none"/>
        </w:rPr>
      </w:pPr>
      <w:r>
        <w:rPr>
          <w:rFonts w:hint="eastAsia" w:ascii="宋体" w:hAnsi="宋体" w:cs="宋体"/>
          <w:b/>
          <w:color w:val="auto"/>
          <w:sz w:val="28"/>
          <w:szCs w:val="28"/>
          <w:highlight w:val="none"/>
        </w:rPr>
        <w:t>3.供应商的法人或者其他组织营业执照等证明文件复印件（必须提供，自然人除外）</w:t>
      </w:r>
    </w:p>
    <w:p w14:paraId="3C37459F">
      <w:pPr>
        <w:keepLines w:val="0"/>
        <w:pageBreakBefore w:val="0"/>
        <w:kinsoku/>
        <w:overflowPunct/>
        <w:bidi w:val="0"/>
        <w:adjustRightInd w:val="0"/>
        <w:snapToGrid w:val="0"/>
        <w:spacing w:line="360" w:lineRule="auto"/>
        <w:ind w:firstLine="420"/>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w:t>
      </w:r>
      <w:r>
        <w:rPr>
          <w:rFonts w:hint="eastAsia" w:ascii="宋体" w:hAnsi="宋体" w:cs="宋体"/>
          <w:b/>
          <w:bCs/>
          <w:color w:val="auto"/>
          <w:sz w:val="21"/>
          <w:szCs w:val="21"/>
          <w:highlight w:val="none"/>
          <w:lang w:val="en-US" w:eastAsia="zh-CN"/>
        </w:rPr>
        <w:t>的</w:t>
      </w:r>
      <w:r>
        <w:rPr>
          <w:rFonts w:hint="eastAsia" w:ascii="宋体" w:hAnsi="宋体" w:cs="宋体"/>
          <w:b/>
          <w:bCs/>
          <w:color w:val="auto"/>
          <w:sz w:val="21"/>
          <w:szCs w:val="21"/>
          <w:highlight w:val="none"/>
        </w:rPr>
        <w:t>，应提供市场监督管理部门（或行政审批部门）注册的有效“企业法人营业执照”或“营业执照”；供应商为事业单位</w:t>
      </w:r>
      <w:r>
        <w:rPr>
          <w:rFonts w:hint="eastAsia" w:ascii="宋体" w:hAnsi="宋体" w:cs="宋体"/>
          <w:b/>
          <w:bCs/>
          <w:color w:val="auto"/>
          <w:sz w:val="21"/>
          <w:szCs w:val="21"/>
          <w:highlight w:val="none"/>
          <w:lang w:val="en-US" w:eastAsia="zh-CN"/>
        </w:rPr>
        <w:t>的</w:t>
      </w:r>
      <w:r>
        <w:rPr>
          <w:rFonts w:hint="eastAsia" w:ascii="宋体" w:hAnsi="宋体" w:cs="宋体"/>
          <w:b/>
          <w:bCs/>
          <w:color w:val="auto"/>
          <w:sz w:val="21"/>
          <w:szCs w:val="21"/>
          <w:highlight w:val="none"/>
        </w:rPr>
        <w:t>，应提供有效的“事业单位法人证书”；供应商为非企业专业服务机</w:t>
      </w:r>
      <w:r>
        <w:rPr>
          <w:rFonts w:hint="eastAsia" w:ascii="宋体" w:hAnsi="宋体" w:eastAsia="宋体" w:cs="宋体"/>
          <w:b/>
          <w:bCs/>
          <w:color w:val="auto"/>
          <w:sz w:val="21"/>
          <w:szCs w:val="21"/>
          <w:highlight w:val="none"/>
        </w:rPr>
        <w:t>构的，应提供执业许可证等证明文件；供应商为个体工商户</w:t>
      </w:r>
      <w:r>
        <w:rPr>
          <w:rFonts w:hint="eastAsia" w:ascii="宋体" w:hAnsi="宋体" w:eastAsia="宋体" w:cs="宋体"/>
          <w:b/>
          <w:bCs/>
          <w:color w:val="auto"/>
          <w:sz w:val="21"/>
          <w:szCs w:val="21"/>
          <w:highlight w:val="none"/>
          <w:lang w:val="en-US" w:eastAsia="zh-CN"/>
        </w:rPr>
        <w:t>的</w:t>
      </w:r>
      <w:r>
        <w:rPr>
          <w:rFonts w:hint="eastAsia" w:ascii="宋体" w:hAnsi="宋体" w:eastAsia="宋体" w:cs="宋体"/>
          <w:b/>
          <w:bCs/>
          <w:color w:val="auto"/>
          <w:sz w:val="21"/>
          <w:szCs w:val="21"/>
          <w:highlight w:val="none"/>
        </w:rPr>
        <w:t>，应提供有效的营业执照</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eastAsia="zh-CN"/>
        </w:rPr>
        <w:t>③</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为企业法人的分支机构(分公司)的，应当提供其有效的分支机构(分公司)营业执照复印件和总部/总公司的授权书原件</w:t>
      </w:r>
      <w:r>
        <w:rPr>
          <w:rFonts w:hint="eastAsia" w:ascii="宋体" w:hAnsi="宋体" w:cs="宋体"/>
          <w:b/>
          <w:bCs/>
          <w:color w:val="auto"/>
          <w:sz w:val="21"/>
          <w:szCs w:val="21"/>
          <w:highlight w:val="none"/>
          <w:lang w:eastAsia="zh-CN"/>
        </w:rPr>
        <w:t>的扫描件</w:t>
      </w:r>
      <w:r>
        <w:rPr>
          <w:rFonts w:hint="eastAsia" w:ascii="宋体" w:hAnsi="宋体" w:eastAsia="宋体" w:cs="宋体"/>
          <w:b/>
          <w:bCs/>
          <w:color w:val="auto"/>
          <w:sz w:val="21"/>
          <w:szCs w:val="21"/>
          <w:highlight w:val="none"/>
        </w:rPr>
        <w:t>（格式自拟）</w:t>
      </w:r>
      <w:r>
        <w:rPr>
          <w:rFonts w:hint="eastAsia" w:ascii="宋体" w:hAnsi="宋体" w:eastAsia="宋体" w:cs="宋体"/>
          <w:b/>
          <w:bCs/>
          <w:color w:val="auto"/>
          <w:sz w:val="21"/>
          <w:szCs w:val="21"/>
          <w:highlight w:val="none"/>
          <w:lang w:eastAsia="zh-CN"/>
        </w:rPr>
        <w:t>。</w:t>
      </w:r>
    </w:p>
    <w:p w14:paraId="6618E6A3">
      <w:pPr>
        <w:keepLines w:val="0"/>
        <w:pageBreakBefore w:val="0"/>
        <w:tabs>
          <w:tab w:val="left" w:pos="7320"/>
        </w:tabs>
        <w:kinsoku/>
        <w:overflowPunct/>
        <w:bidi w:val="0"/>
        <w:adjustRightInd w:val="0"/>
        <w:snapToGrid w:val="0"/>
        <w:spacing w:line="360" w:lineRule="auto"/>
        <w:ind w:firstLine="0" w:firstLineChars="0"/>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ab/>
      </w:r>
    </w:p>
    <w:p w14:paraId="4779FC7B">
      <w:pPr>
        <w:pStyle w:val="22"/>
        <w:keepLines w:val="0"/>
        <w:pageBreakBefore w:val="0"/>
        <w:kinsoku/>
        <w:overflowPunct/>
        <w:bidi w:val="0"/>
        <w:spacing w:line="360" w:lineRule="auto"/>
        <w:rPr>
          <w:color w:val="auto"/>
          <w:highlight w:val="none"/>
        </w:rPr>
      </w:pPr>
    </w:p>
    <w:p w14:paraId="4651E905">
      <w:pPr>
        <w:keepLines w:val="0"/>
        <w:pageBreakBefore w:val="0"/>
        <w:kinsoku/>
        <w:overflowPunct/>
        <w:bidi w:val="0"/>
        <w:adjustRightInd w:val="0"/>
        <w:snapToGrid w:val="0"/>
        <w:spacing w:line="360" w:lineRule="auto"/>
        <w:ind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rPr>
        <w:t>4.供应商财务状况报告（必须提供）</w:t>
      </w:r>
    </w:p>
    <w:p w14:paraId="50A89B34">
      <w:pPr>
        <w:keepLines w:val="0"/>
        <w:pageBreakBefore w:val="0"/>
        <w:kinsoku/>
        <w:overflowPunct/>
        <w:bidi w:val="0"/>
        <w:adjustRightInd w:val="0"/>
        <w:snapToGrid w:val="0"/>
        <w:spacing w:line="360" w:lineRule="auto"/>
        <w:ind w:firstLine="42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注：供应商必须提供202</w:t>
      </w:r>
      <w:r>
        <w:rPr>
          <w:rFonts w:hint="eastAsia" w:ascii="宋体" w:hAnsi="宋体" w:cs="宋体"/>
          <w:b/>
          <w:bCs/>
          <w:color w:val="auto"/>
          <w:sz w:val="21"/>
          <w:szCs w:val="21"/>
          <w:highlight w:val="none"/>
          <w:lang w:val="en-US" w:eastAsia="zh-CN"/>
        </w:rPr>
        <w:t>5</w:t>
      </w:r>
      <w:r>
        <w:rPr>
          <w:rFonts w:hint="eastAsia" w:ascii="宋体" w:hAnsi="宋体" w:cs="宋体"/>
          <w:b/>
          <w:bCs/>
          <w:color w:val="auto"/>
          <w:sz w:val="21"/>
          <w:szCs w:val="21"/>
          <w:highlight w:val="none"/>
        </w:rPr>
        <w:t>年度内的财务报表复印件，或者202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rPr>
        <w:t>年1月以来银行出具的资信证明，或者中国人民银行征信中心出具的信用报告（企业参与投标的提供企业信用报告，自然人参与谈判的提供个人信用报告，供应商属于成立时间在规定年度之后的法人或其他组织，需提供成立之日起至响应文件提交截止时间前的月报表或银行出具的资信证明或者中国人民银行征信中心出具的企业信用报告；资信证明应在有效期内）。</w:t>
      </w:r>
    </w:p>
    <w:p w14:paraId="5EDBE5FE">
      <w:pPr>
        <w:keepLines w:val="0"/>
        <w:pageBreakBefore w:val="0"/>
        <w:kinsoku/>
        <w:overflowPunct/>
        <w:bidi w:val="0"/>
        <w:adjustRightInd w:val="0"/>
        <w:snapToGrid w:val="0"/>
        <w:spacing w:line="360" w:lineRule="auto"/>
        <w:ind w:firstLine="0" w:firstLineChars="0"/>
        <w:rPr>
          <w:rFonts w:hint="eastAsia" w:ascii="宋体" w:hAnsi="宋体" w:cs="宋体"/>
          <w:b/>
          <w:color w:val="auto"/>
          <w:sz w:val="28"/>
          <w:szCs w:val="28"/>
          <w:highlight w:val="none"/>
        </w:rPr>
      </w:pPr>
    </w:p>
    <w:p w14:paraId="443792BE">
      <w:pPr>
        <w:keepLines w:val="0"/>
        <w:pageBreakBefore w:val="0"/>
        <w:kinsoku/>
        <w:overflowPunct/>
        <w:bidi w:val="0"/>
        <w:adjustRightInd w:val="0"/>
        <w:snapToGrid w:val="0"/>
        <w:spacing w:line="360" w:lineRule="auto"/>
        <w:ind w:firstLine="0" w:firstLineChars="0"/>
        <w:rPr>
          <w:rFonts w:hint="eastAsia" w:ascii="宋体" w:hAnsi="宋体" w:cs="宋体"/>
          <w:b/>
          <w:color w:val="auto"/>
          <w:sz w:val="28"/>
          <w:szCs w:val="28"/>
          <w:highlight w:val="none"/>
        </w:rPr>
      </w:pPr>
    </w:p>
    <w:p w14:paraId="4ED3D8C4">
      <w:pPr>
        <w:keepLines w:val="0"/>
        <w:pageBreakBefore w:val="0"/>
        <w:kinsoku/>
        <w:overflowPunct/>
        <w:bidi w:val="0"/>
        <w:adjustRightInd w:val="0"/>
        <w:snapToGrid w:val="0"/>
        <w:spacing w:line="360" w:lineRule="auto"/>
        <w:ind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rPr>
        <w:t>5.供应商依法缴纳税收的相关材料（必须提供）</w:t>
      </w:r>
    </w:p>
    <w:p w14:paraId="11A118F5">
      <w:pPr>
        <w:keepLines w:val="0"/>
        <w:pageBreakBefore w:val="0"/>
        <w:tabs>
          <w:tab w:val="left" w:pos="1305"/>
        </w:tabs>
        <w:kinsoku/>
        <w:overflowPunct/>
        <w:bidi w:val="0"/>
        <w:spacing w:line="360" w:lineRule="auto"/>
        <w:ind w:firstLine="420"/>
        <w:rPr>
          <w:rFonts w:hint="eastAsia" w:ascii="宋体" w:hAnsi="宋体" w:cs="宋体"/>
          <w:b/>
          <w:color w:val="auto"/>
          <w:sz w:val="28"/>
          <w:szCs w:val="28"/>
          <w:highlight w:val="none"/>
        </w:rPr>
      </w:pPr>
      <w:r>
        <w:rPr>
          <w:rFonts w:hint="eastAsia" w:ascii="宋体" w:hAnsi="宋体" w:cs="宋体"/>
          <w:b/>
          <w:bCs/>
          <w:color w:val="auto"/>
          <w:sz w:val="21"/>
          <w:szCs w:val="21"/>
          <w:highlight w:val="none"/>
        </w:rPr>
        <w:t>注：供应商必须提供202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rPr>
        <w:t>年1</w:t>
      </w:r>
      <w:r>
        <w:rPr>
          <w:rFonts w:hint="eastAsia"/>
          <w:b/>
          <w:bCs/>
          <w:color w:val="auto"/>
          <w:highlight w:val="none"/>
          <w:lang w:val="en-US" w:eastAsia="zh-CN"/>
        </w:rPr>
        <w:t>月</w:t>
      </w:r>
      <w:r>
        <w:rPr>
          <w:rFonts w:hint="eastAsia" w:ascii="宋体" w:hAnsi="宋体" w:cs="宋体"/>
          <w:b/>
          <w:bCs/>
          <w:color w:val="auto"/>
          <w:sz w:val="21"/>
          <w:szCs w:val="21"/>
          <w:highlight w:val="none"/>
        </w:rPr>
        <w:t>以来任意1个月的依法缴纳税收的证明材料复印件；依法免税的供应商，必须提供符合免税条件的证明材料。从成立之日起到响应文件提交截止时间止不足要求月数的，则无需提交。</w:t>
      </w:r>
    </w:p>
    <w:p w14:paraId="5400553B">
      <w:pPr>
        <w:rPr>
          <w:rFonts w:hint="eastAsia"/>
          <w:color w:val="auto"/>
        </w:rPr>
      </w:pPr>
    </w:p>
    <w:p w14:paraId="6F8E974D">
      <w:pPr>
        <w:keepLines w:val="0"/>
        <w:pageBreakBefore w:val="0"/>
        <w:kinsoku/>
        <w:overflowPunct/>
        <w:bidi w:val="0"/>
        <w:adjustRightInd w:val="0"/>
        <w:snapToGrid w:val="0"/>
        <w:spacing w:line="360" w:lineRule="auto"/>
        <w:ind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rPr>
        <w:t>6.供应商依法缴纳社会保障资金的相关材料（必须提供）</w:t>
      </w:r>
    </w:p>
    <w:p w14:paraId="7D6E3E91">
      <w:pPr>
        <w:keepLines w:val="0"/>
        <w:pageBreakBefore w:val="0"/>
        <w:tabs>
          <w:tab w:val="left" w:pos="1305"/>
        </w:tabs>
        <w:kinsoku/>
        <w:overflowPunct/>
        <w:bidi w:val="0"/>
        <w:spacing w:line="360" w:lineRule="auto"/>
        <w:ind w:firstLine="420"/>
        <w:rPr>
          <w:rFonts w:hint="eastAsia" w:ascii="宋体" w:hAnsi="宋体" w:cs="宋体"/>
          <w:b/>
          <w:color w:val="auto"/>
          <w:kern w:val="0"/>
          <w:sz w:val="28"/>
          <w:szCs w:val="28"/>
          <w:highlight w:val="none"/>
        </w:rPr>
      </w:pPr>
      <w:r>
        <w:rPr>
          <w:rFonts w:hint="eastAsia" w:ascii="宋体" w:hAnsi="宋体" w:cs="宋体"/>
          <w:b/>
          <w:bCs/>
          <w:color w:val="auto"/>
          <w:sz w:val="21"/>
          <w:szCs w:val="21"/>
          <w:highlight w:val="none"/>
        </w:rPr>
        <w:t>注：供应商必须提供202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rPr>
        <w:t>年1月以来任意1个月的依法缴纳社会保障资金的缴费证明材料（如：专用收据、社会保险缴纳清单或者社保部门的证明）复印件；依法不需要缴纳社会保障资金的供应商，必须提供相应文件证明不需要缴纳社会保障资金。从成立之日起到响应文件提交截止时间止不足要求月数的，则无需提交。</w:t>
      </w:r>
    </w:p>
    <w:p w14:paraId="4103F111">
      <w:pPr>
        <w:keepLines w:val="0"/>
        <w:pageBreakBefore w:val="0"/>
        <w:kinsoku/>
        <w:overflowPunct/>
        <w:bidi w:val="0"/>
        <w:adjustRightInd w:val="0"/>
        <w:snapToGrid w:val="0"/>
        <w:spacing w:line="360" w:lineRule="auto"/>
        <w:ind w:firstLine="138" w:firstLineChars="49"/>
        <w:rPr>
          <w:rFonts w:hint="eastAsia" w:ascii="宋体" w:hAnsi="宋体" w:cs="宋体"/>
          <w:b/>
          <w:color w:val="auto"/>
          <w:kern w:val="0"/>
          <w:sz w:val="32"/>
          <w:szCs w:val="32"/>
          <w:highlight w:val="none"/>
        </w:rPr>
      </w:pPr>
      <w:r>
        <w:rPr>
          <w:rFonts w:hint="eastAsia" w:ascii="宋体" w:hAnsi="宋体" w:cs="宋体"/>
          <w:b/>
          <w:color w:val="auto"/>
          <w:kern w:val="0"/>
          <w:sz w:val="28"/>
          <w:szCs w:val="28"/>
          <w:highlight w:val="none"/>
        </w:rPr>
        <w:t>7.供应商参加政府采购活动前3年内在经营活动中没有重大违法记录及有关信用信息的书面声明（必须提供）</w:t>
      </w:r>
    </w:p>
    <w:p w14:paraId="6BF95949">
      <w:pPr>
        <w:keepLines w:val="0"/>
        <w:pageBreakBefore w:val="0"/>
        <w:kinsoku/>
        <w:overflowPunct/>
        <w:bidi w:val="0"/>
        <w:adjustRightInd w:val="0"/>
        <w:snapToGrid w:val="0"/>
        <w:spacing w:line="360" w:lineRule="auto"/>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1FF56F95">
      <w:pPr>
        <w:keepLines w:val="0"/>
        <w:pageBreakBefore w:val="0"/>
        <w:kinsoku/>
        <w:overflowPunct/>
        <w:bidi w:val="0"/>
        <w:adjustRightInd w:val="0"/>
        <w:snapToGrid w:val="0"/>
        <w:spacing w:line="360" w:lineRule="auto"/>
        <w:ind w:firstLine="0" w:firstLineChars="0"/>
        <w:jc w:val="center"/>
        <w:rPr>
          <w:rFonts w:hint="eastAsia" w:ascii="宋体" w:hAnsi="宋体" w:cs="宋体"/>
          <w:b/>
          <w:color w:val="auto"/>
          <w:kern w:val="0"/>
          <w:sz w:val="32"/>
          <w:szCs w:val="32"/>
          <w:highlight w:val="none"/>
        </w:rPr>
      </w:pPr>
    </w:p>
    <w:p w14:paraId="10196326">
      <w:pPr>
        <w:keepLines w:val="0"/>
        <w:pageBreakBefore w:val="0"/>
        <w:kinsoku/>
        <w:overflowPunct/>
        <w:bidi w:val="0"/>
        <w:adjustRightInd w:val="0"/>
        <w:snapToGrid w:val="0"/>
        <w:spacing w:line="360" w:lineRule="auto"/>
        <w:ind w:firstLine="0" w:firstLineChars="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声   明（格式）</w:t>
      </w:r>
    </w:p>
    <w:p w14:paraId="07BA3988">
      <w:pPr>
        <w:keepLines w:val="0"/>
        <w:pageBreakBefore w:val="0"/>
        <w:kinsoku/>
        <w:overflowPunct/>
        <w:bidi w:val="0"/>
        <w:adjustRightInd w:val="0"/>
        <w:snapToGrid w:val="0"/>
        <w:spacing w:line="360" w:lineRule="auto"/>
        <w:ind w:firstLine="0" w:firstLineChars="0"/>
        <w:rPr>
          <w:rFonts w:hint="eastAsia" w:ascii="宋体" w:hAnsi="宋体" w:eastAsia="宋体" w:cs="宋体"/>
          <w:color w:val="auto"/>
          <w:kern w:val="0"/>
          <w:sz w:val="21"/>
          <w:szCs w:val="24"/>
          <w:highlight w:val="none"/>
          <w:lang w:eastAsia="zh-CN"/>
        </w:rPr>
      </w:pPr>
      <w:r>
        <w:rPr>
          <w:rFonts w:hint="eastAsia" w:ascii="宋体" w:hAnsi="宋体" w:cs="宋体"/>
          <w:b/>
          <w:color w:val="auto"/>
          <w:kern w:val="0"/>
          <w:sz w:val="21"/>
          <w:szCs w:val="21"/>
          <w:highlight w:val="none"/>
        </w:rPr>
        <w:t>致</w:t>
      </w:r>
      <w:r>
        <w:rPr>
          <w:rFonts w:hint="eastAsia" w:ascii="宋体" w:hAnsi="宋体" w:cs="宋体"/>
          <w:color w:val="auto"/>
          <w:kern w:val="0"/>
          <w:sz w:val="21"/>
          <w:szCs w:val="21"/>
          <w:highlight w:val="none"/>
        </w:rPr>
        <w:t>：</w:t>
      </w:r>
      <w:r>
        <w:rPr>
          <w:rFonts w:hint="eastAsia" w:ascii="宋体" w:hAnsi="宋体" w:cs="宋体"/>
          <w:color w:val="auto"/>
          <w:kern w:val="0"/>
          <w:sz w:val="21"/>
          <w:szCs w:val="24"/>
          <w:highlight w:val="none"/>
          <w:u w:val="single"/>
          <w:lang w:eastAsia="zh-CN"/>
        </w:rPr>
        <w:t>广西八桂建设项目管理有限公司</w:t>
      </w:r>
    </w:p>
    <w:p w14:paraId="07E59CA1">
      <w:pPr>
        <w:keepLines w:val="0"/>
        <w:pageBreakBefore w:val="0"/>
        <w:kinsoku/>
        <w:overflowPunct/>
        <w:bidi w:val="0"/>
        <w:adjustRightInd w:val="0"/>
        <w:snapToGrid w:val="0"/>
        <w:spacing w:line="360" w:lineRule="auto"/>
        <w:ind w:firstLine="0" w:firstLineChars="0"/>
        <w:rPr>
          <w:rFonts w:hint="eastAsia" w:ascii="宋体" w:hAnsi="宋体" w:cs="宋体"/>
          <w:color w:val="auto"/>
          <w:kern w:val="0"/>
          <w:sz w:val="21"/>
          <w:szCs w:val="24"/>
          <w:highlight w:val="none"/>
        </w:rPr>
      </w:pPr>
    </w:p>
    <w:p w14:paraId="79A045A8">
      <w:pPr>
        <w:keepLines w:val="0"/>
        <w:pageBreakBefore w:val="0"/>
        <w:kinsoku/>
        <w:overflowPunct/>
        <w:bidi w:val="0"/>
        <w:adjustRightInd w:val="0"/>
        <w:snapToGrid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696A9DD4">
      <w:pPr>
        <w:keepLines w:val="0"/>
        <w:pageBreakBefore w:val="0"/>
        <w:kinsoku/>
        <w:overflowPunct/>
        <w:bidi w:val="0"/>
        <w:adjustRightInd w:val="0"/>
        <w:snapToGrid w:val="0"/>
        <w:spacing w:line="360" w:lineRule="auto"/>
        <w:ind w:firstLine="420"/>
        <w:rPr>
          <w:rFonts w:hint="eastAsia" w:ascii="宋体" w:hAnsi="宋体" w:cs="宋体"/>
          <w:color w:val="auto"/>
          <w:kern w:val="0"/>
          <w:sz w:val="21"/>
          <w:szCs w:val="20"/>
          <w:highlight w:val="none"/>
        </w:rPr>
      </w:pPr>
    </w:p>
    <w:p w14:paraId="1A79C8CC">
      <w:pPr>
        <w:keepLines w:val="0"/>
        <w:pageBreakBefore w:val="0"/>
        <w:kinsoku/>
        <w:overflowPunct/>
        <w:bidi w:val="0"/>
        <w:adjustRightInd w:val="0"/>
        <w:snapToGrid w:val="0"/>
        <w:spacing w:line="360" w:lineRule="auto"/>
        <w:ind w:firstLine="0" w:firstLineChars="0"/>
        <w:rPr>
          <w:rFonts w:hint="default" w:ascii="宋体" w:hAnsi="宋体" w:eastAsia="宋体" w:cs="宋体"/>
          <w:color w:val="auto"/>
          <w:sz w:val="21"/>
          <w:szCs w:val="21"/>
          <w:highlight w:val="none"/>
          <w:u w:val="single"/>
          <w:lang w:val="en-US" w:eastAsia="zh-CN"/>
        </w:rPr>
      </w:pPr>
      <w:r>
        <w:rPr>
          <w:rFonts w:hint="eastAsia" w:ascii="宋体" w:hAnsi="宋体" w:cs="宋体"/>
          <w:color w:val="auto"/>
          <w:sz w:val="21"/>
          <w:szCs w:val="21"/>
          <w:highlight w:val="none"/>
        </w:rPr>
        <w:t>供应商（电子签章）：</w:t>
      </w:r>
      <w:r>
        <w:rPr>
          <w:rFonts w:hint="eastAsia" w:ascii="宋体" w:hAnsi="宋体" w:cs="宋体"/>
          <w:color w:val="auto"/>
          <w:sz w:val="21"/>
          <w:szCs w:val="21"/>
          <w:highlight w:val="none"/>
          <w:u w:val="single"/>
          <w:lang w:val="en-US" w:eastAsia="zh-CN"/>
        </w:rPr>
        <w:t xml:space="preserve">                 </w:t>
      </w:r>
    </w:p>
    <w:p w14:paraId="2762476D">
      <w:pPr>
        <w:keepLines w:val="0"/>
        <w:pageBreakBefore w:val="0"/>
        <w:kinsoku/>
        <w:overflowPunct/>
        <w:bidi w:val="0"/>
        <w:adjustRightInd w:val="0"/>
        <w:snapToGrid w:val="0"/>
        <w:spacing w:line="360" w:lineRule="auto"/>
        <w:ind w:firstLine="0" w:firstLineChars="0"/>
        <w:rPr>
          <w:rFonts w:hint="default" w:ascii="宋体" w:hAnsi="宋体" w:eastAsia="宋体" w:cs="宋体"/>
          <w:color w:val="auto"/>
          <w:sz w:val="21"/>
          <w:szCs w:val="24"/>
          <w:highlight w:val="none"/>
          <w:u w:val="single"/>
          <w:lang w:val="en-US" w:eastAsia="zh-CN"/>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r>
        <w:rPr>
          <w:rFonts w:hint="eastAsia" w:ascii="宋体" w:hAnsi="宋体" w:cs="宋体"/>
          <w:color w:val="auto"/>
          <w:sz w:val="21"/>
          <w:szCs w:val="24"/>
          <w:highlight w:val="none"/>
          <w:u w:val="single"/>
          <w:lang w:val="en-US" w:eastAsia="zh-CN"/>
        </w:rPr>
        <w:t xml:space="preserve">                  </w:t>
      </w:r>
    </w:p>
    <w:p w14:paraId="48FC723D">
      <w:pPr>
        <w:keepLines w:val="0"/>
        <w:pageBreakBefore w:val="0"/>
        <w:kinsoku/>
        <w:overflowPunct/>
        <w:bidi w:val="0"/>
        <w:adjustRightInd w:val="0"/>
        <w:snapToGrid w:val="0"/>
        <w:spacing w:line="360" w:lineRule="auto"/>
        <w:ind w:firstLine="0" w:firstLineChars="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2FFF2357">
      <w:pPr>
        <w:keepLines w:val="0"/>
        <w:pageBreakBefore w:val="0"/>
        <w:kinsoku/>
        <w:overflowPunct/>
        <w:bidi w:val="0"/>
        <w:spacing w:line="360" w:lineRule="auto"/>
        <w:ind w:firstLine="0" w:firstLineChars="0"/>
        <w:rPr>
          <w:rFonts w:hint="eastAsia" w:ascii="宋体" w:hAnsi="宋体" w:cs="宋体"/>
          <w:b/>
          <w:color w:val="auto"/>
          <w:kern w:val="0"/>
          <w:sz w:val="32"/>
          <w:szCs w:val="32"/>
          <w:highlight w:val="none"/>
        </w:rPr>
      </w:pPr>
      <w:r>
        <w:rPr>
          <w:rFonts w:ascii="宋体" w:hAnsi="宋体" w:cs="宋体"/>
          <w:b/>
          <w:color w:val="auto"/>
          <w:kern w:val="0"/>
          <w:sz w:val="28"/>
          <w:szCs w:val="28"/>
          <w:highlight w:val="none"/>
        </w:rPr>
        <w:br w:type="page"/>
      </w:r>
      <w:r>
        <w:rPr>
          <w:rFonts w:hint="eastAsia" w:ascii="宋体" w:hAnsi="宋体" w:cs="宋体"/>
          <w:b/>
          <w:color w:val="auto"/>
          <w:kern w:val="0"/>
          <w:sz w:val="28"/>
          <w:szCs w:val="28"/>
          <w:highlight w:val="none"/>
        </w:rPr>
        <w:t>8.供应商参加本项目无围标串标行为的承诺函（必须提供）</w:t>
      </w:r>
    </w:p>
    <w:p w14:paraId="4B4DD0CF">
      <w:pPr>
        <w:keepLines w:val="0"/>
        <w:pageBreakBefore w:val="0"/>
        <w:kinsoku/>
        <w:overflowPunct/>
        <w:bidi w:val="0"/>
        <w:spacing w:line="360" w:lineRule="auto"/>
        <w:ind w:firstLine="0" w:firstLineChars="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供应商参加本项目无围标串标行为的承诺函（格式）</w:t>
      </w:r>
    </w:p>
    <w:p w14:paraId="4D68A4A9">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一、我（公司）承诺无下列相互串通的情形：</w:t>
      </w:r>
    </w:p>
    <w:p w14:paraId="5B3CF6ED">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1.不同供应商的响应文件由同一单位或者个人编制；</w:t>
      </w:r>
    </w:p>
    <w:p w14:paraId="710E1AC9">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2.不同供应商委托同一单位或者个人办理谈判事宜；</w:t>
      </w:r>
    </w:p>
    <w:p w14:paraId="4DE49636">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3.不同的供应商的响应文件载明的项目管理员为同一个人；</w:t>
      </w:r>
    </w:p>
    <w:p w14:paraId="6C1AF641">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4.不同供应商的响应文件异常一致或谈判报价呈规律性差异；</w:t>
      </w:r>
    </w:p>
    <w:p w14:paraId="32FB7260">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5.不同供应商的响应文件相互混装；</w:t>
      </w:r>
    </w:p>
    <w:p w14:paraId="3AD6EC58">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二、我（公司）承诺无下列恶意串通的情形：</w:t>
      </w:r>
    </w:p>
    <w:p w14:paraId="04F5FCE8">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1.供应商直接或者间接从采购人或者采购代理机构处获得其他供应商的相关信息并修改其响应文件；</w:t>
      </w:r>
    </w:p>
    <w:p w14:paraId="0C0DF391">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2.供应商按照采购人或者采购代理机构的授意撤换、修改响应文件；</w:t>
      </w:r>
    </w:p>
    <w:p w14:paraId="6B35E14D">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3.供应商之间协商报价、技术方案等响应文件的实质性内容；</w:t>
      </w:r>
    </w:p>
    <w:p w14:paraId="6B7E6CB8">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4.属于同一集团、协会、商会等组织成员的供应商按照该组织要求协同参加政府采购活动；</w:t>
      </w:r>
    </w:p>
    <w:p w14:paraId="3E083A76">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5.供应商之间事先约定一致抬高或者压低谈判报价，或者在采购项目中事先约定轮流以高价位或者低价位成交，或者事先约定由某一特定供应商成交，然后再参加采购；</w:t>
      </w:r>
    </w:p>
    <w:p w14:paraId="60E22A5C">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6.供应商之间商定部分供应商放弃参加政府采购活动或者放弃成交；</w:t>
      </w:r>
    </w:p>
    <w:p w14:paraId="4CDF7D67">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7.供应商与采购人或者采购代理机构之间、供应商相互之间，为谋求特定供应商成交或者排斥其他供应商的其他串通行为。</w:t>
      </w:r>
    </w:p>
    <w:p w14:paraId="2B70ED82">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以上情形一经核查属实，我方愿意承担一切后果，并不再寻求任何旨在减轻或免除法律责任的辩解。</w:t>
      </w:r>
    </w:p>
    <w:p w14:paraId="4598AB2A">
      <w:pPr>
        <w:keepLines w:val="0"/>
        <w:pageBreakBefore w:val="0"/>
        <w:kinsoku/>
        <w:overflowPunct/>
        <w:bidi w:val="0"/>
        <w:spacing w:line="360" w:lineRule="auto"/>
        <w:ind w:firstLine="0" w:firstLineChars="0"/>
        <w:rPr>
          <w:rFonts w:hint="eastAsia" w:ascii="宋体" w:hAnsi="宋体" w:cs="宋体"/>
          <w:color w:val="auto"/>
          <w:sz w:val="21"/>
          <w:szCs w:val="24"/>
          <w:highlight w:val="none"/>
        </w:rPr>
      </w:pPr>
    </w:p>
    <w:p w14:paraId="471D194A">
      <w:pPr>
        <w:keepLines w:val="0"/>
        <w:pageBreakBefore w:val="0"/>
        <w:kinsoku/>
        <w:overflowPunct/>
        <w:bidi w:val="0"/>
        <w:spacing w:line="360" w:lineRule="auto"/>
        <w:ind w:firstLine="0" w:firstLineChars="0"/>
        <w:rPr>
          <w:rFonts w:hint="eastAsia" w:ascii="宋体" w:hAnsi="宋体" w:cs="宋体"/>
          <w:color w:val="auto"/>
          <w:sz w:val="21"/>
          <w:szCs w:val="24"/>
          <w:highlight w:val="none"/>
        </w:rPr>
      </w:pPr>
    </w:p>
    <w:p w14:paraId="7BF01A90">
      <w:pPr>
        <w:keepLines w:val="0"/>
        <w:pageBreakBefore w:val="0"/>
        <w:kinsoku/>
        <w:overflowPunct/>
        <w:bidi w:val="0"/>
        <w:snapToGrid w:val="0"/>
        <w:spacing w:line="360" w:lineRule="auto"/>
        <w:ind w:firstLine="0" w:firstLineChars="0"/>
        <w:rPr>
          <w:rFonts w:hint="default" w:ascii="宋体" w:hAnsi="宋体" w:eastAsia="宋体" w:cs="宋体"/>
          <w:color w:val="auto"/>
          <w:sz w:val="21"/>
          <w:szCs w:val="21"/>
          <w:highlight w:val="none"/>
          <w:u w:val="single"/>
          <w:lang w:val="en-US" w:eastAsia="zh-CN"/>
        </w:rPr>
      </w:pPr>
      <w:r>
        <w:rPr>
          <w:rFonts w:hint="eastAsia" w:ascii="宋体" w:hAnsi="宋体" w:cs="宋体"/>
          <w:color w:val="auto"/>
          <w:sz w:val="21"/>
          <w:szCs w:val="21"/>
          <w:highlight w:val="none"/>
        </w:rPr>
        <w:t>供应商（电子签章）：</w:t>
      </w:r>
      <w:r>
        <w:rPr>
          <w:rFonts w:hint="eastAsia" w:ascii="宋体" w:hAnsi="宋体" w:cs="宋体"/>
          <w:color w:val="auto"/>
          <w:sz w:val="21"/>
          <w:szCs w:val="21"/>
          <w:highlight w:val="none"/>
          <w:u w:val="single"/>
          <w:lang w:val="en-US" w:eastAsia="zh-CN"/>
        </w:rPr>
        <w:t xml:space="preserve">                </w:t>
      </w:r>
    </w:p>
    <w:p w14:paraId="1ED824EC">
      <w:pPr>
        <w:keepLines w:val="0"/>
        <w:pageBreakBefore w:val="0"/>
        <w:kinsoku/>
        <w:overflowPunct/>
        <w:bidi w:val="0"/>
        <w:spacing w:line="360" w:lineRule="auto"/>
        <w:ind w:firstLine="0" w:firstLineChars="0"/>
        <w:rPr>
          <w:rFonts w:hint="default" w:ascii="宋体" w:hAnsi="宋体" w:eastAsia="宋体" w:cs="宋体"/>
          <w:color w:val="auto"/>
          <w:sz w:val="21"/>
          <w:szCs w:val="24"/>
          <w:highlight w:val="none"/>
          <w:u w:val="single"/>
          <w:lang w:val="en-US" w:eastAsia="zh-CN"/>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r>
        <w:rPr>
          <w:rFonts w:hint="eastAsia" w:ascii="宋体" w:hAnsi="宋体" w:cs="宋体"/>
          <w:color w:val="auto"/>
          <w:sz w:val="21"/>
          <w:szCs w:val="24"/>
          <w:highlight w:val="none"/>
          <w:u w:val="single"/>
          <w:lang w:val="en-US" w:eastAsia="zh-CN"/>
        </w:rPr>
        <w:t xml:space="preserve">                  </w:t>
      </w:r>
    </w:p>
    <w:p w14:paraId="44359EBB">
      <w:pPr>
        <w:keepLines w:val="0"/>
        <w:pageBreakBefore w:val="0"/>
        <w:kinsoku/>
        <w:overflowPunct/>
        <w:bidi w:val="0"/>
        <w:spacing w:line="360" w:lineRule="auto"/>
        <w:ind w:firstLine="0" w:firstLineChars="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430A4EB6">
      <w:pPr>
        <w:pStyle w:val="22"/>
        <w:keepLines w:val="0"/>
        <w:pageBreakBefore w:val="0"/>
        <w:kinsoku/>
        <w:overflowPunct/>
        <w:bidi w:val="0"/>
        <w:spacing w:line="360" w:lineRule="auto"/>
        <w:ind w:left="0" w:leftChars="0" w:firstLine="0" w:firstLineChars="0"/>
        <w:rPr>
          <w:color w:val="auto"/>
          <w:highlight w:val="none"/>
        </w:rPr>
      </w:pPr>
    </w:p>
    <w:p w14:paraId="39A21B65">
      <w:pPr>
        <w:keepLines w:val="0"/>
        <w:pageBreakBefore w:val="0"/>
        <w:tabs>
          <w:tab w:val="left" w:pos="1305"/>
        </w:tabs>
        <w:kinsoku/>
        <w:overflowPunct/>
        <w:bidi w:val="0"/>
        <w:spacing w:line="360" w:lineRule="auto"/>
        <w:ind w:firstLine="482"/>
        <w:rPr>
          <w:rFonts w:hint="eastAsia" w:ascii="宋体" w:hAnsi="宋体" w:cs="宋体"/>
          <w:b/>
          <w:bCs/>
          <w:color w:val="auto"/>
          <w:kern w:val="0"/>
          <w:szCs w:val="24"/>
          <w:highlight w:val="none"/>
        </w:rPr>
      </w:pPr>
      <w:r>
        <w:rPr>
          <w:rFonts w:ascii="宋体" w:hAnsi="宋体"/>
          <w:b/>
          <w:color w:val="auto"/>
          <w:kern w:val="0"/>
          <w:sz w:val="32"/>
          <w:szCs w:val="32"/>
          <w:highlight w:val="none"/>
        </w:rPr>
        <w:br w:type="page"/>
      </w:r>
    </w:p>
    <w:p w14:paraId="33519E78">
      <w:pPr>
        <w:keepLines w:val="0"/>
        <w:pageBreakBefore w:val="0"/>
        <w:tabs>
          <w:tab w:val="left" w:pos="1305"/>
        </w:tabs>
        <w:kinsoku/>
        <w:overflowPunct/>
        <w:bidi w:val="0"/>
        <w:spacing w:line="360" w:lineRule="auto"/>
        <w:ind w:firstLine="482"/>
        <w:rPr>
          <w:rFonts w:hint="eastAsia" w:ascii="宋体" w:hAnsi="宋体" w:cs="宋体"/>
          <w:b/>
          <w:color w:val="auto"/>
          <w:kern w:val="0"/>
          <w:sz w:val="28"/>
          <w:szCs w:val="28"/>
          <w:highlight w:val="none"/>
        </w:rPr>
      </w:pPr>
      <w:r>
        <w:rPr>
          <w:rFonts w:hint="eastAsia" w:ascii="宋体" w:hAnsi="宋体" w:cs="宋体"/>
          <w:b/>
          <w:bCs/>
          <w:color w:val="auto"/>
          <w:kern w:val="0"/>
          <w:sz w:val="32"/>
          <w:szCs w:val="32"/>
          <w:highlight w:val="none"/>
        </w:rPr>
        <w:t>（二）</w:t>
      </w:r>
      <w:r>
        <w:rPr>
          <w:rFonts w:hint="eastAsia" w:ascii="宋体" w:hAnsi="宋体" w:cs="宋体"/>
          <w:b/>
          <w:color w:val="auto"/>
          <w:kern w:val="0"/>
          <w:sz w:val="32"/>
          <w:szCs w:val="32"/>
          <w:highlight w:val="none"/>
        </w:rPr>
        <w:t>符合性响应证明材料</w:t>
      </w:r>
    </w:p>
    <w:p w14:paraId="715D73B0">
      <w:pPr>
        <w:keepLines w:val="0"/>
        <w:pageBreakBefore w:val="0"/>
        <w:tabs>
          <w:tab w:val="left" w:pos="1305"/>
        </w:tabs>
        <w:kinsoku/>
        <w:overflowPunct/>
        <w:bidi w:val="0"/>
        <w:spacing w:line="360" w:lineRule="auto"/>
        <w:ind w:firstLine="0" w:firstLineChars="0"/>
        <w:jc w:val="left"/>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1.响应函（必须提供）</w:t>
      </w:r>
    </w:p>
    <w:p w14:paraId="3D44E70F">
      <w:pPr>
        <w:keepLines w:val="0"/>
        <w:pageBreakBefore w:val="0"/>
        <w:kinsoku/>
        <w:overflowPunct/>
        <w:bidi w:val="0"/>
        <w:spacing w:line="360" w:lineRule="auto"/>
        <w:ind w:firstLine="0" w:firstLineChars="0"/>
        <w:rPr>
          <w:rFonts w:hint="eastAsia" w:ascii="宋体" w:hAnsi="宋体" w:cs="宋体"/>
          <w:b/>
          <w:color w:val="auto"/>
          <w:kern w:val="0"/>
          <w:szCs w:val="24"/>
          <w:highlight w:val="none"/>
        </w:rPr>
      </w:pPr>
      <w:r>
        <w:rPr>
          <w:rFonts w:hint="eastAsia" w:ascii="宋体" w:hAnsi="宋体" w:cs="宋体"/>
          <w:b/>
          <w:color w:val="auto"/>
          <w:kern w:val="0"/>
          <w:szCs w:val="24"/>
          <w:highlight w:val="none"/>
        </w:rPr>
        <w:t>附件：</w:t>
      </w:r>
    </w:p>
    <w:p w14:paraId="52875EA4">
      <w:pPr>
        <w:keepLines w:val="0"/>
        <w:pageBreakBefore w:val="0"/>
        <w:kinsoku/>
        <w:overflowPunct/>
        <w:bidi w:val="0"/>
        <w:spacing w:line="360" w:lineRule="auto"/>
        <w:ind w:firstLine="803" w:firstLineChars="250"/>
        <w:jc w:val="center"/>
        <w:rPr>
          <w:rFonts w:hint="eastAsia" w:ascii="宋体" w:hAnsi="宋体" w:cs="宋体"/>
          <w:b/>
          <w:color w:val="auto"/>
          <w:kern w:val="0"/>
          <w:sz w:val="32"/>
          <w:szCs w:val="20"/>
          <w:highlight w:val="none"/>
        </w:rPr>
      </w:pPr>
      <w:r>
        <w:rPr>
          <w:rFonts w:hint="eastAsia" w:ascii="宋体" w:hAnsi="宋体" w:cs="宋体"/>
          <w:b/>
          <w:color w:val="auto"/>
          <w:kern w:val="0"/>
          <w:sz w:val="32"/>
          <w:szCs w:val="20"/>
          <w:highlight w:val="none"/>
        </w:rPr>
        <w:t>响 应 函 （格 式）</w:t>
      </w:r>
    </w:p>
    <w:p w14:paraId="418D8DA7">
      <w:pPr>
        <w:keepLines w:val="0"/>
        <w:pageBreakBefore w:val="0"/>
        <w:kinsoku/>
        <w:overflowPunct/>
        <w:bidi w:val="0"/>
        <w:spacing w:line="360" w:lineRule="auto"/>
        <w:ind w:firstLine="0" w:firstLineChars="0"/>
        <w:rPr>
          <w:rFonts w:hint="eastAsia" w:ascii="宋体" w:hAnsi="宋体" w:cs="宋体"/>
          <w:color w:val="auto"/>
          <w:kern w:val="0"/>
          <w:sz w:val="21"/>
          <w:szCs w:val="24"/>
          <w:highlight w:val="none"/>
        </w:rPr>
      </w:pPr>
      <w:r>
        <w:rPr>
          <w:rFonts w:hint="eastAsia" w:ascii="宋体" w:hAnsi="宋体" w:cs="宋体"/>
          <w:color w:val="auto"/>
          <w:kern w:val="0"/>
          <w:sz w:val="21"/>
          <w:szCs w:val="21"/>
          <w:highlight w:val="none"/>
        </w:rPr>
        <w:t>致：</w:t>
      </w:r>
      <w:r>
        <w:rPr>
          <w:rFonts w:hint="eastAsia" w:ascii="宋体" w:hAnsi="宋体" w:cs="宋体"/>
          <w:color w:val="auto"/>
          <w:kern w:val="0"/>
          <w:sz w:val="21"/>
          <w:szCs w:val="21"/>
          <w:highlight w:val="none"/>
          <w:u w:val="single"/>
          <w:lang w:eastAsia="zh-CN"/>
        </w:rPr>
        <w:t>广西八桂建设项目管理有限公司</w:t>
      </w:r>
      <w:r>
        <w:rPr>
          <w:rFonts w:hint="eastAsia" w:ascii="宋体" w:hAnsi="宋体" w:cs="宋体"/>
          <w:color w:val="auto"/>
          <w:kern w:val="0"/>
          <w:sz w:val="21"/>
          <w:szCs w:val="21"/>
          <w:highlight w:val="none"/>
          <w:u w:val="single"/>
        </w:rPr>
        <w:t xml:space="preserve"> </w:t>
      </w:r>
    </w:p>
    <w:p w14:paraId="7927E2CF">
      <w:pPr>
        <w:keepLines w:val="0"/>
        <w:pageBreakBefore w:val="0"/>
        <w:kinsoku/>
        <w:overflowPunct/>
        <w:bidi w:val="0"/>
        <w:spacing w:line="360" w:lineRule="auto"/>
        <w:ind w:firstLine="0" w:firstLineChars="0"/>
        <w:rPr>
          <w:rFonts w:hint="eastAsia" w:ascii="宋体" w:hAnsi="宋体" w:cs="宋体"/>
          <w:color w:val="auto"/>
          <w:kern w:val="0"/>
          <w:sz w:val="21"/>
          <w:szCs w:val="21"/>
          <w:highlight w:val="none"/>
        </w:rPr>
      </w:pPr>
    </w:p>
    <w:p w14:paraId="3CB29632">
      <w:pPr>
        <w:keepLines w:val="0"/>
        <w:pageBreakBefore w:val="0"/>
        <w:kinsoku/>
        <w:wordWrap w:val="0"/>
        <w:overflowPunct/>
        <w:bidi w:val="0"/>
        <w:spacing w:line="360" w:lineRule="auto"/>
        <w:ind w:left="120" w:leftChars="50" w:firstLine="315" w:firstLineChars="15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根据贵方</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项目谈判文件，项目编号</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rPr>
        <w:t>，签字代表</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（姓名）经正式授权并代表供应商</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rPr>
        <w:t>供应商单位名称</w:t>
      </w:r>
      <w:r>
        <w:rPr>
          <w:rFonts w:hint="eastAsia" w:ascii="宋体" w:hAnsi="宋体" w:cs="宋体"/>
          <w:color w:val="auto"/>
          <w:kern w:val="0"/>
          <w:sz w:val="21"/>
          <w:szCs w:val="20"/>
          <w:highlight w:val="none"/>
        </w:rPr>
        <w:t>），提交响应文件。</w:t>
      </w:r>
    </w:p>
    <w:p w14:paraId="6524EE47">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据此函，签字代表宣布同意如下：</w:t>
      </w:r>
    </w:p>
    <w:p w14:paraId="53E718B1">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1.按谈判文件采购需求，谈判报价详见“谈判报价表”。</w:t>
      </w:r>
    </w:p>
    <w:p w14:paraId="63A9CCFA">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2.我方承诺已具备谈判文件规定的供应商资格条件。</w:t>
      </w:r>
    </w:p>
    <w:p w14:paraId="1B919379">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 xml:space="preserve">3.我方已详细审核谈判文件，包括修改文件（如有的话）和有关附件，将自行承担因对全部谈判文件理解不正确或误解而产生的相应后果。 </w:t>
      </w:r>
    </w:p>
    <w:p w14:paraId="12020E70">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4.响应文件有效期为</w:t>
      </w:r>
      <w:r>
        <w:rPr>
          <w:rFonts w:hint="eastAsia" w:ascii="宋体" w:hAnsi="宋体" w:cs="宋体"/>
          <w:color w:val="auto"/>
          <w:kern w:val="0"/>
          <w:sz w:val="21"/>
          <w:szCs w:val="21"/>
          <w:highlight w:val="none"/>
        </w:rPr>
        <w:t>自响应文件提交截止时间之日起90天。</w:t>
      </w:r>
    </w:p>
    <w:p w14:paraId="7D808C08">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7ACEA55F">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（1）我方承诺在收到成交通知书后，在成交通知书规定的期限内与采购人签订合同。</w:t>
      </w:r>
    </w:p>
    <w:p w14:paraId="00B76E20">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（2）我方承诺按照谈判文件规定提交履约担保。</w:t>
      </w:r>
    </w:p>
    <w:p w14:paraId="6E8143D3">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（3）我方承诺本响应文件至本项目合同履行完毕止均保持有效，按谈判文件及政府采购法律、法规的规定履行合同责任和义务。</w:t>
      </w:r>
    </w:p>
    <w:p w14:paraId="64B729DD">
      <w:pPr>
        <w:keepLines w:val="0"/>
        <w:pageBreakBefore w:val="0"/>
        <w:kinsoku/>
        <w:overflowPunct/>
        <w:bidi w:val="0"/>
        <w:spacing w:line="360" w:lineRule="auto"/>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1"/>
          <w:highlight w:val="none"/>
        </w:rPr>
        <w:t>（4）保证在成交公告发布之日起5个工作日内，按本项目谈判文件的规定及标准向贵单位一次性足额支付代理服务费。</w:t>
      </w:r>
    </w:p>
    <w:p w14:paraId="5EA58CB6">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与本响应有关的正式通讯地址为：</w:t>
      </w:r>
      <w:r>
        <w:rPr>
          <w:rFonts w:hint="eastAsia" w:ascii="宋体" w:hAnsi="宋体" w:cs="宋体"/>
          <w:color w:val="auto"/>
          <w:kern w:val="0"/>
          <w:sz w:val="21"/>
          <w:szCs w:val="20"/>
          <w:highlight w:val="none"/>
          <w:u w:val="single"/>
        </w:rPr>
        <w:t xml:space="preserve">                      </w:t>
      </w:r>
    </w:p>
    <w:p w14:paraId="68A1EC55">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地址：邮编：邮箱：</w:t>
      </w:r>
      <w:r>
        <w:rPr>
          <w:rFonts w:hint="eastAsia" w:ascii="宋体" w:hAnsi="宋体" w:cs="宋体"/>
          <w:color w:val="auto"/>
          <w:kern w:val="0"/>
          <w:sz w:val="21"/>
          <w:szCs w:val="20"/>
          <w:highlight w:val="none"/>
          <w:u w:val="single"/>
        </w:rPr>
        <w:t xml:space="preserve">                                  </w:t>
      </w:r>
    </w:p>
    <w:p w14:paraId="6C97880F">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办公电话：传真：</w:t>
      </w:r>
      <w:r>
        <w:rPr>
          <w:rFonts w:hint="eastAsia" w:ascii="宋体" w:hAnsi="宋体" w:cs="宋体"/>
          <w:color w:val="auto"/>
          <w:kern w:val="0"/>
          <w:sz w:val="21"/>
          <w:szCs w:val="20"/>
          <w:highlight w:val="none"/>
          <w:u w:val="single"/>
        </w:rPr>
        <w:t xml:space="preserve">                                    </w:t>
      </w:r>
    </w:p>
    <w:p w14:paraId="42E951E6">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委托代理人联系电话：</w:t>
      </w:r>
      <w:r>
        <w:rPr>
          <w:rFonts w:hint="eastAsia" w:ascii="宋体" w:hAnsi="宋体" w:cs="宋体"/>
          <w:color w:val="auto"/>
          <w:kern w:val="0"/>
          <w:sz w:val="21"/>
          <w:szCs w:val="20"/>
          <w:highlight w:val="none"/>
          <w:u w:val="single"/>
        </w:rPr>
        <w:t xml:space="preserve">                                </w:t>
      </w:r>
    </w:p>
    <w:p w14:paraId="350FD823">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开户名称：</w:t>
      </w:r>
      <w:r>
        <w:rPr>
          <w:rFonts w:hint="eastAsia" w:ascii="宋体" w:hAnsi="宋体" w:cs="宋体"/>
          <w:color w:val="auto"/>
          <w:kern w:val="0"/>
          <w:sz w:val="21"/>
          <w:szCs w:val="20"/>
          <w:highlight w:val="none"/>
          <w:u w:val="single"/>
        </w:rPr>
        <w:t xml:space="preserve">                                         </w:t>
      </w:r>
    </w:p>
    <w:p w14:paraId="71347011">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开户银行：</w:t>
      </w:r>
      <w:r>
        <w:rPr>
          <w:rFonts w:hint="eastAsia" w:ascii="宋体" w:hAnsi="宋体" w:cs="宋体"/>
          <w:color w:val="auto"/>
          <w:kern w:val="0"/>
          <w:sz w:val="21"/>
          <w:szCs w:val="20"/>
          <w:highlight w:val="none"/>
          <w:u w:val="single"/>
        </w:rPr>
        <w:t xml:space="preserve">                               　       </w:t>
      </w:r>
    </w:p>
    <w:p w14:paraId="44410972">
      <w:pPr>
        <w:keepLines w:val="0"/>
        <w:pageBreakBefore w:val="0"/>
        <w:kinsoku/>
        <w:overflowPunct/>
        <w:bidi w:val="0"/>
        <w:spacing w:line="360" w:lineRule="auto"/>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账号：</w:t>
      </w:r>
      <w:r>
        <w:rPr>
          <w:rFonts w:hint="eastAsia" w:ascii="宋体" w:hAnsi="宋体" w:cs="宋体"/>
          <w:color w:val="auto"/>
          <w:kern w:val="0"/>
          <w:sz w:val="21"/>
          <w:szCs w:val="20"/>
          <w:highlight w:val="none"/>
          <w:u w:val="single"/>
        </w:rPr>
        <w:t xml:space="preserve">                                   　　　   </w:t>
      </w:r>
    </w:p>
    <w:p w14:paraId="12512F74">
      <w:pPr>
        <w:keepLines w:val="0"/>
        <w:pageBreakBefore w:val="0"/>
        <w:kinsoku/>
        <w:overflowPunct/>
        <w:bidi w:val="0"/>
        <w:spacing w:line="360" w:lineRule="auto"/>
        <w:ind w:firstLine="420" w:firstLineChars="0"/>
        <w:rPr>
          <w:rFonts w:hint="eastAsia" w:ascii="宋体" w:hAnsi="宋体" w:cs="宋体"/>
          <w:color w:val="auto"/>
          <w:sz w:val="21"/>
          <w:szCs w:val="20"/>
          <w:highlight w:val="none"/>
        </w:rPr>
      </w:pPr>
      <w:r>
        <w:rPr>
          <w:rFonts w:hint="eastAsia" w:ascii="宋体" w:hAnsi="宋体" w:cs="宋体"/>
          <w:color w:val="auto"/>
          <w:sz w:val="21"/>
          <w:szCs w:val="20"/>
          <w:highlight w:val="none"/>
        </w:rPr>
        <w:t>供应商</w:t>
      </w:r>
      <w:r>
        <w:rPr>
          <w:rFonts w:hint="eastAsia" w:ascii="宋体" w:hAnsi="宋体" w:cs="宋体"/>
          <w:bCs/>
          <w:color w:val="auto"/>
          <w:sz w:val="21"/>
          <w:szCs w:val="21"/>
          <w:highlight w:val="none"/>
        </w:rPr>
        <w:t>（</w:t>
      </w:r>
      <w:r>
        <w:rPr>
          <w:rFonts w:ascii="宋体" w:hAnsi="宋体" w:cs="宋体"/>
          <w:bCs/>
          <w:color w:val="auto"/>
          <w:sz w:val="21"/>
          <w:szCs w:val="21"/>
          <w:highlight w:val="none"/>
        </w:rPr>
        <w:t>电子签章</w:t>
      </w:r>
      <w:r>
        <w:rPr>
          <w:rFonts w:hint="eastAsia" w:ascii="宋体" w:hAnsi="宋体" w:cs="宋体"/>
          <w:bCs/>
          <w:color w:val="auto"/>
          <w:sz w:val="21"/>
          <w:szCs w:val="21"/>
          <w:highlight w:val="none"/>
        </w:rPr>
        <w:t>）</w:t>
      </w:r>
      <w:r>
        <w:rPr>
          <w:rFonts w:hint="eastAsia" w:ascii="宋体" w:hAnsi="宋体" w:cs="宋体"/>
          <w:color w:val="auto"/>
          <w:sz w:val="21"/>
          <w:szCs w:val="20"/>
          <w:highlight w:val="none"/>
        </w:rPr>
        <w:t>：</w:t>
      </w:r>
      <w:r>
        <w:rPr>
          <w:rFonts w:hint="eastAsia" w:ascii="宋体" w:hAnsi="宋体" w:cs="宋体"/>
          <w:color w:val="auto"/>
          <w:kern w:val="0"/>
          <w:sz w:val="21"/>
          <w:szCs w:val="20"/>
          <w:highlight w:val="none"/>
          <w:u w:val="single"/>
        </w:rPr>
        <w:t xml:space="preserve">                      </w:t>
      </w:r>
    </w:p>
    <w:p w14:paraId="155794FE">
      <w:pPr>
        <w:keepLines w:val="0"/>
        <w:pageBreakBefore w:val="0"/>
        <w:kinsoku/>
        <w:overflowPunct/>
        <w:bidi w:val="0"/>
        <w:spacing w:line="360" w:lineRule="auto"/>
        <w:ind w:firstLine="420" w:firstLineChars="0"/>
        <w:rPr>
          <w:rFonts w:hint="eastAsia" w:ascii="宋体" w:hAnsi="宋体" w:cs="宋体"/>
          <w:color w:val="auto"/>
          <w:sz w:val="21"/>
          <w:szCs w:val="20"/>
          <w:highlight w:val="none"/>
        </w:rPr>
      </w:pPr>
      <w:r>
        <w:rPr>
          <w:rFonts w:hint="eastAsia" w:ascii="宋体" w:hAnsi="宋体" w:cs="宋体"/>
          <w:color w:val="auto"/>
          <w:sz w:val="21"/>
          <w:szCs w:val="20"/>
          <w:highlight w:val="none"/>
        </w:rPr>
        <w:t>法定代表人或相应的委托代理人签字</w:t>
      </w:r>
      <w:r>
        <w:rPr>
          <w:rFonts w:hint="eastAsia" w:ascii="宋体" w:hAnsi="宋体" w:cs="宋体"/>
          <w:bCs/>
          <w:color w:val="auto"/>
          <w:sz w:val="21"/>
          <w:szCs w:val="21"/>
          <w:highlight w:val="none"/>
        </w:rPr>
        <w:t>（或电子签名）</w:t>
      </w:r>
      <w:r>
        <w:rPr>
          <w:rFonts w:hint="eastAsia" w:ascii="宋体" w:hAnsi="宋体" w:cs="宋体"/>
          <w:color w:val="auto"/>
          <w:sz w:val="21"/>
          <w:szCs w:val="20"/>
          <w:highlight w:val="none"/>
        </w:rPr>
        <w:t>：</w:t>
      </w:r>
      <w:r>
        <w:rPr>
          <w:rFonts w:hint="eastAsia" w:ascii="宋体" w:hAnsi="宋体" w:cs="宋体"/>
          <w:color w:val="auto"/>
          <w:kern w:val="0"/>
          <w:sz w:val="21"/>
          <w:szCs w:val="20"/>
          <w:highlight w:val="none"/>
          <w:u w:val="single"/>
        </w:rPr>
        <w:t xml:space="preserve">                      </w:t>
      </w:r>
    </w:p>
    <w:p w14:paraId="5C204D34">
      <w:pPr>
        <w:keepLines w:val="0"/>
        <w:pageBreakBefore w:val="0"/>
        <w:kinsoku/>
        <w:overflowPunct/>
        <w:bidi w:val="0"/>
        <w:spacing w:line="360" w:lineRule="auto"/>
        <w:ind w:firstLine="420" w:firstLineChars="0"/>
        <w:rPr>
          <w:rFonts w:hint="eastAsia" w:ascii="宋体" w:hAnsi="宋体" w:cs="宋体"/>
          <w:color w:val="auto"/>
          <w:sz w:val="21"/>
          <w:szCs w:val="20"/>
          <w:highlight w:val="none"/>
          <w:u w:val="single"/>
        </w:rPr>
      </w:pPr>
      <w:r>
        <w:rPr>
          <w:rFonts w:hint="eastAsia" w:ascii="宋体" w:hAnsi="宋体" w:cs="宋体"/>
          <w:color w:val="auto"/>
          <w:sz w:val="21"/>
          <w:szCs w:val="20"/>
          <w:highlight w:val="none"/>
        </w:rPr>
        <w:t>日期：</w:t>
      </w:r>
      <w:r>
        <w:rPr>
          <w:rFonts w:hint="eastAsia" w:ascii="宋体" w:hAnsi="宋体" w:cs="宋体"/>
          <w:color w:val="auto"/>
          <w:kern w:val="0"/>
          <w:sz w:val="21"/>
          <w:szCs w:val="20"/>
          <w:highlight w:val="none"/>
          <w:u w:val="single"/>
        </w:rPr>
        <w:t xml:space="preserve">                      </w:t>
      </w:r>
    </w:p>
    <w:p w14:paraId="325430A6">
      <w:pPr>
        <w:keepLines w:val="0"/>
        <w:pageBreakBefore w:val="0"/>
        <w:kinsoku/>
        <w:overflowPunct/>
        <w:bidi w:val="0"/>
        <w:spacing w:line="360" w:lineRule="auto"/>
        <w:ind w:firstLine="420"/>
        <w:rPr>
          <w:rFonts w:hint="eastAsia" w:ascii="宋体" w:hAnsi="宋体" w:cs="宋体"/>
          <w:bCs/>
          <w:color w:val="auto"/>
          <w:sz w:val="21"/>
          <w:szCs w:val="20"/>
          <w:highlight w:val="none"/>
        </w:rPr>
      </w:pPr>
    </w:p>
    <w:p w14:paraId="3F366C9D">
      <w:pPr>
        <w:keepLines w:val="0"/>
        <w:pageBreakBefore w:val="0"/>
        <w:kinsoku/>
        <w:overflowPunct/>
        <w:bidi w:val="0"/>
        <w:spacing w:line="360" w:lineRule="auto"/>
        <w:ind w:firstLine="420"/>
        <w:rPr>
          <w:rFonts w:hint="eastAsia" w:ascii="宋体" w:hAnsi="宋体" w:cs="宋体"/>
          <w:bCs/>
          <w:color w:val="auto"/>
          <w:sz w:val="21"/>
          <w:szCs w:val="20"/>
          <w:highlight w:val="none"/>
        </w:rPr>
      </w:pPr>
    </w:p>
    <w:p w14:paraId="344F791F">
      <w:pPr>
        <w:keepLines w:val="0"/>
        <w:pageBreakBefore w:val="0"/>
        <w:kinsoku/>
        <w:overflowPunct/>
        <w:bidi w:val="0"/>
        <w:spacing w:line="360" w:lineRule="auto"/>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注：1.未按照本响应函（格式）要求填报的响应函将被视为非实质性响应竞争性谈判文件要求，从而导致该响应被拒绝。</w:t>
      </w:r>
    </w:p>
    <w:p w14:paraId="5AB327F6">
      <w:pPr>
        <w:keepLines w:val="0"/>
        <w:pageBreakBefore w:val="0"/>
        <w:kinsoku/>
        <w:overflowPunct/>
        <w:bidi w:val="0"/>
        <w:spacing w:line="360" w:lineRule="auto"/>
        <w:ind w:firstLine="420"/>
        <w:rPr>
          <w:rFonts w:hint="eastAsia" w:ascii="宋体" w:hAnsi="宋体" w:cs="宋体"/>
          <w:bCs/>
          <w:color w:val="auto"/>
          <w:sz w:val="21"/>
          <w:szCs w:val="20"/>
          <w:highlight w:val="none"/>
        </w:rPr>
      </w:pPr>
      <w:r>
        <w:rPr>
          <w:rFonts w:hint="eastAsia" w:ascii="宋体" w:hAnsi="宋体" w:cs="宋体"/>
          <w:bCs/>
          <w:color w:val="auto"/>
          <w:sz w:val="21"/>
          <w:szCs w:val="21"/>
          <w:highlight w:val="none"/>
        </w:rPr>
        <w:t>2.供应商必须按</w:t>
      </w:r>
      <w:r>
        <w:rPr>
          <w:rFonts w:hint="eastAsia" w:ascii="宋体" w:hAnsi="宋体" w:cs="宋体"/>
          <w:bCs/>
          <w:color w:val="auto"/>
          <w:sz w:val="21"/>
          <w:szCs w:val="20"/>
          <w:highlight w:val="none"/>
        </w:rPr>
        <w:t>本响应函（格式）</w:t>
      </w:r>
      <w:r>
        <w:rPr>
          <w:rFonts w:hint="eastAsia" w:ascii="宋体" w:hAnsi="宋体" w:cs="宋体"/>
          <w:bCs/>
          <w:color w:val="auto"/>
          <w:sz w:val="21"/>
          <w:szCs w:val="21"/>
          <w:highlight w:val="none"/>
        </w:rPr>
        <w:t>要求注明清楚联系方式（包括地址、邮编、邮箱、电话等），从而确保成交结果等相关信息能及时通知到位。</w:t>
      </w:r>
    </w:p>
    <w:p w14:paraId="094B8751">
      <w:pPr>
        <w:keepLines w:val="0"/>
        <w:pageBreakBefore w:val="0"/>
        <w:kinsoku/>
        <w:overflowPunct/>
        <w:bidi w:val="0"/>
        <w:spacing w:line="360" w:lineRule="auto"/>
        <w:ind w:left="960" w:leftChars="400" w:firstLine="0" w:firstLineChars="0"/>
        <w:rPr>
          <w:rFonts w:hint="eastAsia" w:ascii="宋体" w:hAnsi="宋体" w:cs="宋体"/>
          <w:bCs/>
          <w:color w:val="auto"/>
          <w:sz w:val="21"/>
          <w:szCs w:val="21"/>
          <w:highlight w:val="none"/>
        </w:rPr>
      </w:pPr>
    </w:p>
    <w:p w14:paraId="23E8BD51">
      <w:pPr>
        <w:keepLines w:val="0"/>
        <w:pageBreakBefore w:val="0"/>
        <w:kinsoku/>
        <w:overflowPunct/>
        <w:bidi w:val="0"/>
        <w:spacing w:line="360" w:lineRule="auto"/>
        <w:ind w:firstLine="0" w:firstLineChars="0"/>
        <w:rPr>
          <w:rFonts w:hint="eastAsia" w:ascii="宋体" w:hAnsi="宋体"/>
          <w:b/>
          <w:color w:val="auto"/>
          <w:kern w:val="0"/>
          <w:sz w:val="28"/>
          <w:szCs w:val="28"/>
          <w:highlight w:val="none"/>
        </w:rPr>
        <w:sectPr>
          <w:headerReference r:id="rId19" w:type="first"/>
          <w:footerReference r:id="rId22" w:type="first"/>
          <w:headerReference r:id="rId17" w:type="default"/>
          <w:footerReference r:id="rId20" w:type="default"/>
          <w:headerReference r:id="rId18" w:type="even"/>
          <w:footerReference r:id="rId21" w:type="even"/>
          <w:pgSz w:w="11906" w:h="16838"/>
          <w:pgMar w:top="1304" w:right="1304" w:bottom="1304" w:left="1304" w:header="851" w:footer="992" w:gutter="0"/>
          <w:cols w:space="720" w:num="1"/>
          <w:docGrid w:type="lines" w:linePitch="326" w:charSpace="0"/>
        </w:sectPr>
      </w:pPr>
    </w:p>
    <w:p w14:paraId="65B8CA83">
      <w:pPr>
        <w:keepLines w:val="0"/>
        <w:pageBreakBefore w:val="0"/>
        <w:kinsoku/>
        <w:overflowPunct/>
        <w:bidi w:val="0"/>
        <w:spacing w:line="360" w:lineRule="auto"/>
        <w:ind w:firstLine="0" w:firstLineChars="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2.谈判报价表（必须提供）</w:t>
      </w:r>
    </w:p>
    <w:p w14:paraId="64C64504">
      <w:pPr>
        <w:keepLines w:val="0"/>
        <w:pageBreakBefore w:val="0"/>
        <w:kinsoku/>
        <w:overflowPunct/>
        <w:bidi w:val="0"/>
        <w:spacing w:line="360" w:lineRule="auto"/>
        <w:ind w:firstLine="0" w:firstLineChars="0"/>
        <w:jc w:val="left"/>
        <w:rPr>
          <w:rFonts w:hint="eastAsia" w:ascii="宋体" w:hAnsi="宋体" w:cs="宋体"/>
          <w:b/>
          <w:color w:val="auto"/>
          <w:kern w:val="0"/>
          <w:sz w:val="30"/>
          <w:szCs w:val="30"/>
          <w:highlight w:val="none"/>
        </w:rPr>
      </w:pPr>
      <w:r>
        <w:rPr>
          <w:rFonts w:hint="eastAsia" w:ascii="宋体" w:hAnsi="宋体" w:cs="宋体"/>
          <w:b/>
          <w:color w:val="auto"/>
          <w:kern w:val="0"/>
          <w:sz w:val="30"/>
          <w:szCs w:val="30"/>
          <w:highlight w:val="none"/>
        </w:rPr>
        <w:t xml:space="preserve">附件：                                      </w:t>
      </w:r>
    </w:p>
    <w:p w14:paraId="45F3856A">
      <w:pPr>
        <w:keepLines w:val="0"/>
        <w:pageBreakBefore w:val="0"/>
        <w:kinsoku/>
        <w:overflowPunct/>
        <w:bidi w:val="0"/>
        <w:spacing w:line="360" w:lineRule="auto"/>
        <w:ind w:left="420" w:firstLine="0" w:firstLineChars="0"/>
        <w:jc w:val="cente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谈判报价表（格式）</w:t>
      </w:r>
    </w:p>
    <w:tbl>
      <w:tblPr>
        <w:tblStyle w:val="43"/>
        <w:tblW w:w="10387" w:type="dxa"/>
        <w:tblInd w:w="-46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63"/>
        <w:gridCol w:w="2954"/>
        <w:gridCol w:w="1275"/>
        <w:gridCol w:w="1215"/>
        <w:gridCol w:w="1157"/>
        <w:gridCol w:w="426"/>
        <w:gridCol w:w="427"/>
        <w:gridCol w:w="427"/>
        <w:gridCol w:w="1345"/>
        <w:gridCol w:w="498"/>
      </w:tblGrid>
      <w:tr w14:paraId="680A1E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663" w:type="dxa"/>
            <w:tcBorders>
              <w:top w:val="single" w:color="auto" w:sz="4" w:space="0"/>
              <w:left w:val="single" w:color="auto" w:sz="4" w:space="0"/>
              <w:bottom w:val="single" w:color="auto" w:sz="4" w:space="0"/>
              <w:right w:val="single" w:color="auto" w:sz="4" w:space="0"/>
            </w:tcBorders>
            <w:noWrap w:val="0"/>
            <w:vAlign w:val="center"/>
          </w:tcPr>
          <w:p w14:paraId="287F6A3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宋体" w:hAnsi="宋体"/>
                <w:b/>
                <w:bCs/>
                <w:color w:val="auto"/>
                <w:sz w:val="21"/>
                <w:szCs w:val="21"/>
              </w:rPr>
            </w:pPr>
            <w:r>
              <w:rPr>
                <w:rFonts w:hint="eastAsia" w:ascii="宋体" w:hAnsi="宋体"/>
                <w:b/>
                <w:bCs/>
                <w:color w:val="auto"/>
                <w:sz w:val="21"/>
                <w:szCs w:val="21"/>
              </w:rPr>
              <w:t>项号</w:t>
            </w:r>
          </w:p>
        </w:tc>
        <w:tc>
          <w:tcPr>
            <w:tcW w:w="2954" w:type="dxa"/>
            <w:tcBorders>
              <w:top w:val="single" w:color="auto" w:sz="4" w:space="0"/>
              <w:left w:val="single" w:color="auto" w:sz="4" w:space="0"/>
              <w:bottom w:val="single" w:color="auto" w:sz="4" w:space="0"/>
              <w:right w:val="single" w:color="auto" w:sz="4" w:space="0"/>
            </w:tcBorders>
            <w:noWrap w:val="0"/>
            <w:vAlign w:val="center"/>
          </w:tcPr>
          <w:p w14:paraId="3C07E5A0">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eastAsia" w:ascii="宋体" w:hAnsi="宋体"/>
                <w:b/>
                <w:bCs/>
                <w:color w:val="auto"/>
                <w:sz w:val="21"/>
                <w:szCs w:val="21"/>
              </w:rPr>
            </w:pPr>
            <w:r>
              <w:rPr>
                <w:rFonts w:hint="eastAsia" w:ascii="宋体" w:hAnsi="宋体"/>
                <w:b/>
                <w:bCs/>
                <w:color w:val="auto"/>
                <w:sz w:val="21"/>
                <w:szCs w:val="21"/>
              </w:rPr>
              <w:t>标的名称</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60C07422">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eastAsia" w:ascii="宋体" w:hAnsi="宋体"/>
                <w:b/>
                <w:bCs/>
                <w:color w:val="auto"/>
                <w:sz w:val="21"/>
                <w:szCs w:val="21"/>
              </w:rPr>
            </w:pPr>
            <w:r>
              <w:rPr>
                <w:rFonts w:hint="eastAsia" w:ascii="宋体" w:hAnsi="宋体"/>
                <w:b/>
                <w:bCs/>
                <w:color w:val="auto"/>
                <w:sz w:val="21"/>
                <w:szCs w:val="21"/>
              </w:rPr>
              <w:t>生产厂家</w:t>
            </w:r>
          </w:p>
        </w:tc>
        <w:tc>
          <w:tcPr>
            <w:tcW w:w="1215" w:type="dxa"/>
            <w:tcBorders>
              <w:top w:val="single" w:color="auto" w:sz="4" w:space="0"/>
              <w:left w:val="single" w:color="auto" w:sz="4" w:space="0"/>
              <w:bottom w:val="single" w:color="auto" w:sz="4" w:space="0"/>
              <w:right w:val="single" w:color="auto" w:sz="4" w:space="0"/>
            </w:tcBorders>
            <w:noWrap w:val="0"/>
            <w:vAlign w:val="center"/>
          </w:tcPr>
          <w:p w14:paraId="1DCC0B9E">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eastAsia" w:ascii="宋体" w:hAnsi="宋体"/>
                <w:b/>
                <w:bCs/>
                <w:color w:val="auto"/>
                <w:sz w:val="21"/>
                <w:szCs w:val="21"/>
              </w:rPr>
            </w:pPr>
            <w:r>
              <w:rPr>
                <w:rFonts w:hint="eastAsia" w:ascii="宋体" w:hAnsi="宋体"/>
                <w:b/>
                <w:bCs/>
                <w:color w:val="auto"/>
                <w:sz w:val="21"/>
                <w:szCs w:val="21"/>
              </w:rPr>
              <w:t>品牌</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77DA00F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宋体" w:hAnsi="宋体"/>
                <w:b/>
                <w:bCs/>
                <w:color w:val="auto"/>
                <w:sz w:val="21"/>
                <w:szCs w:val="21"/>
              </w:rPr>
            </w:pPr>
            <w:r>
              <w:rPr>
                <w:rFonts w:hint="eastAsia" w:ascii="宋体" w:hAnsi="宋体"/>
                <w:b/>
                <w:bCs/>
                <w:color w:val="auto"/>
                <w:sz w:val="21"/>
                <w:szCs w:val="21"/>
              </w:rPr>
              <w:t>规格型号</w:t>
            </w:r>
          </w:p>
        </w:tc>
        <w:tc>
          <w:tcPr>
            <w:tcW w:w="426" w:type="dxa"/>
            <w:tcBorders>
              <w:top w:val="single" w:color="auto" w:sz="4" w:space="0"/>
              <w:left w:val="single" w:color="auto" w:sz="4" w:space="0"/>
              <w:bottom w:val="single" w:color="auto" w:sz="4" w:space="0"/>
              <w:right w:val="single" w:color="auto" w:sz="4" w:space="0"/>
            </w:tcBorders>
            <w:noWrap w:val="0"/>
            <w:vAlign w:val="center"/>
          </w:tcPr>
          <w:p w14:paraId="48739F9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宋体" w:hAnsi="宋体"/>
                <w:b/>
                <w:bCs/>
                <w:color w:val="auto"/>
                <w:sz w:val="21"/>
                <w:szCs w:val="21"/>
              </w:rPr>
            </w:pPr>
            <w:r>
              <w:rPr>
                <w:rFonts w:hint="eastAsia" w:ascii="宋体" w:hAnsi="宋体"/>
                <w:b/>
                <w:bCs/>
                <w:color w:val="auto"/>
                <w:sz w:val="21"/>
                <w:szCs w:val="21"/>
              </w:rPr>
              <w:t>数量</w:t>
            </w:r>
          </w:p>
          <w:p w14:paraId="6E704EB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宋体" w:hAnsi="宋体"/>
                <w:b/>
                <w:bCs/>
                <w:color w:val="auto"/>
                <w:sz w:val="21"/>
                <w:szCs w:val="21"/>
              </w:rPr>
            </w:pPr>
            <w:r>
              <w:rPr>
                <w:rFonts w:hint="eastAsia" w:ascii="宋体" w:hAnsi="宋体"/>
                <w:b/>
                <w:bCs/>
                <w:color w:val="auto"/>
                <w:sz w:val="21"/>
                <w:szCs w:val="21"/>
              </w:rPr>
              <w:t>①</w:t>
            </w:r>
          </w:p>
        </w:tc>
        <w:tc>
          <w:tcPr>
            <w:tcW w:w="427" w:type="dxa"/>
            <w:tcBorders>
              <w:top w:val="single" w:color="auto" w:sz="4" w:space="0"/>
              <w:left w:val="single" w:color="auto" w:sz="4" w:space="0"/>
              <w:bottom w:val="single" w:color="auto" w:sz="4" w:space="0"/>
              <w:right w:val="single" w:color="auto" w:sz="4" w:space="0"/>
            </w:tcBorders>
            <w:noWrap w:val="0"/>
            <w:vAlign w:val="center"/>
          </w:tcPr>
          <w:p w14:paraId="7110AE1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宋体" w:hAnsi="宋体"/>
                <w:b/>
                <w:bCs/>
                <w:color w:val="auto"/>
                <w:sz w:val="21"/>
                <w:szCs w:val="21"/>
              </w:rPr>
            </w:pPr>
            <w:r>
              <w:rPr>
                <w:rFonts w:hint="eastAsia" w:ascii="宋体" w:hAnsi="宋体"/>
                <w:b/>
                <w:bCs/>
                <w:color w:val="auto"/>
                <w:sz w:val="21"/>
                <w:szCs w:val="21"/>
              </w:rPr>
              <w:t>单位</w:t>
            </w:r>
          </w:p>
        </w:tc>
        <w:tc>
          <w:tcPr>
            <w:tcW w:w="427" w:type="dxa"/>
            <w:tcBorders>
              <w:top w:val="single" w:color="auto" w:sz="4" w:space="0"/>
              <w:left w:val="single" w:color="auto" w:sz="4" w:space="0"/>
              <w:bottom w:val="single" w:color="auto" w:sz="4" w:space="0"/>
              <w:right w:val="single" w:color="auto" w:sz="4" w:space="0"/>
            </w:tcBorders>
            <w:noWrap w:val="0"/>
            <w:vAlign w:val="center"/>
          </w:tcPr>
          <w:p w14:paraId="6E63545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宋体" w:hAnsi="宋体"/>
                <w:b/>
                <w:bCs/>
                <w:color w:val="auto"/>
                <w:sz w:val="21"/>
                <w:szCs w:val="21"/>
              </w:rPr>
            </w:pPr>
            <w:r>
              <w:rPr>
                <w:rFonts w:hint="eastAsia" w:ascii="宋体" w:hAnsi="宋体"/>
                <w:b/>
                <w:bCs/>
                <w:color w:val="auto"/>
                <w:sz w:val="21"/>
                <w:szCs w:val="21"/>
              </w:rPr>
              <w:t>单价</w:t>
            </w:r>
          </w:p>
          <w:p w14:paraId="1FE499F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宋体" w:hAnsi="宋体"/>
                <w:b/>
                <w:bCs/>
                <w:color w:val="auto"/>
                <w:sz w:val="21"/>
                <w:szCs w:val="21"/>
              </w:rPr>
            </w:pPr>
            <w:r>
              <w:rPr>
                <w:rFonts w:hint="eastAsia" w:ascii="宋体" w:hAnsi="宋体"/>
                <w:b/>
                <w:bCs/>
                <w:color w:val="auto"/>
                <w:sz w:val="21"/>
                <w:szCs w:val="21"/>
              </w:rPr>
              <w:t>②</w:t>
            </w:r>
          </w:p>
        </w:tc>
        <w:tc>
          <w:tcPr>
            <w:tcW w:w="1345" w:type="dxa"/>
            <w:tcBorders>
              <w:top w:val="single" w:color="auto" w:sz="4" w:space="0"/>
              <w:left w:val="single" w:color="auto" w:sz="4" w:space="0"/>
              <w:bottom w:val="single" w:color="auto" w:sz="4" w:space="0"/>
              <w:right w:val="single" w:color="auto" w:sz="4" w:space="0"/>
            </w:tcBorders>
            <w:noWrap w:val="0"/>
            <w:vAlign w:val="center"/>
          </w:tcPr>
          <w:p w14:paraId="3A0FA8F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宋体" w:hAnsi="宋体"/>
                <w:b/>
                <w:bCs/>
                <w:color w:val="auto"/>
                <w:sz w:val="21"/>
                <w:szCs w:val="21"/>
              </w:rPr>
            </w:pPr>
            <w:r>
              <w:rPr>
                <w:rFonts w:hint="eastAsia" w:ascii="宋体" w:hAnsi="宋体"/>
                <w:b/>
                <w:bCs/>
                <w:color w:val="auto"/>
                <w:sz w:val="21"/>
                <w:szCs w:val="21"/>
              </w:rPr>
              <w:t>单项合计=数量×单价</w:t>
            </w:r>
          </w:p>
          <w:p w14:paraId="3938BFC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宋体" w:hAnsi="宋体"/>
                <w:b/>
                <w:bCs/>
                <w:color w:val="auto"/>
                <w:sz w:val="21"/>
                <w:szCs w:val="21"/>
              </w:rPr>
            </w:pPr>
            <w:r>
              <w:rPr>
                <w:rFonts w:hint="eastAsia" w:ascii="宋体" w:hAnsi="宋体"/>
                <w:b/>
                <w:bCs/>
                <w:color w:val="auto"/>
                <w:sz w:val="21"/>
                <w:szCs w:val="21"/>
              </w:rPr>
              <w:t>③＝①×②</w:t>
            </w:r>
          </w:p>
        </w:tc>
        <w:tc>
          <w:tcPr>
            <w:tcW w:w="498" w:type="dxa"/>
            <w:tcBorders>
              <w:bottom w:val="single" w:color="auto" w:sz="4" w:space="0"/>
            </w:tcBorders>
            <w:noWrap w:val="0"/>
            <w:vAlign w:val="center"/>
          </w:tcPr>
          <w:p w14:paraId="7581A26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ascii="宋体" w:hAnsi="宋体"/>
                <w:b/>
                <w:bCs/>
                <w:color w:val="auto"/>
                <w:sz w:val="21"/>
                <w:szCs w:val="21"/>
              </w:rPr>
            </w:pPr>
            <w:r>
              <w:rPr>
                <w:rFonts w:hint="eastAsia" w:ascii="宋体" w:hAnsi="宋体"/>
                <w:b/>
                <w:bCs/>
                <w:color w:val="auto"/>
                <w:sz w:val="21"/>
                <w:szCs w:val="21"/>
              </w:rPr>
              <w:t>备注</w:t>
            </w:r>
          </w:p>
        </w:tc>
      </w:tr>
      <w:tr w14:paraId="0E8814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663" w:type="dxa"/>
            <w:tcBorders>
              <w:top w:val="single" w:color="auto" w:sz="4" w:space="0"/>
              <w:left w:val="single" w:color="auto" w:sz="4" w:space="0"/>
              <w:bottom w:val="single" w:color="auto" w:sz="4" w:space="0"/>
              <w:right w:val="single" w:color="auto" w:sz="4" w:space="0"/>
            </w:tcBorders>
            <w:noWrap w:val="0"/>
            <w:vAlign w:val="center"/>
          </w:tcPr>
          <w:p w14:paraId="545F4F7F">
            <w:pPr>
              <w:ind w:left="0" w:leftChars="0" w:firstLine="210" w:firstLineChars="100"/>
              <w:jc w:val="left"/>
              <w:rPr>
                <w:rFonts w:ascii="宋体" w:hAnsi="宋体" w:cs="宋体"/>
                <w:color w:val="auto"/>
                <w:sz w:val="21"/>
                <w:szCs w:val="21"/>
              </w:rPr>
            </w:pPr>
            <w:r>
              <w:rPr>
                <w:rFonts w:hint="eastAsia" w:ascii="宋体" w:hAnsi="宋体" w:cs="宋体"/>
                <w:color w:val="auto"/>
                <w:sz w:val="21"/>
                <w:szCs w:val="21"/>
              </w:rPr>
              <w:t>1</w:t>
            </w:r>
          </w:p>
        </w:tc>
        <w:tc>
          <w:tcPr>
            <w:tcW w:w="2954" w:type="dxa"/>
            <w:tcBorders>
              <w:top w:val="single" w:color="auto" w:sz="4" w:space="0"/>
              <w:left w:val="single" w:color="auto" w:sz="4" w:space="0"/>
              <w:bottom w:val="single" w:color="auto" w:sz="4" w:space="0"/>
              <w:right w:val="single" w:color="auto" w:sz="4" w:space="0"/>
            </w:tcBorders>
            <w:noWrap w:val="0"/>
            <w:vAlign w:val="center"/>
          </w:tcPr>
          <w:p w14:paraId="78100F17">
            <w:pPr>
              <w:spacing w:line="300" w:lineRule="exact"/>
              <w:jc w:val="center"/>
              <w:rPr>
                <w:rFonts w:ascii="宋体" w:hAnsi="宋体"/>
                <w:color w:val="auto"/>
                <w:sz w:val="21"/>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CADABF9">
            <w:pPr>
              <w:spacing w:line="300" w:lineRule="exact"/>
              <w:jc w:val="center"/>
              <w:rPr>
                <w:rFonts w:ascii="宋体" w:hAnsi="宋体"/>
                <w:color w:val="auto"/>
                <w:sz w:val="21"/>
                <w:szCs w:val="21"/>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42830A5E">
            <w:pPr>
              <w:spacing w:line="300" w:lineRule="exact"/>
              <w:jc w:val="center"/>
              <w:rPr>
                <w:rFonts w:ascii="宋体" w:hAnsi="宋体"/>
                <w:color w:val="auto"/>
                <w:sz w:val="21"/>
                <w:szCs w:val="21"/>
              </w:rPr>
            </w:pPr>
          </w:p>
        </w:tc>
        <w:tc>
          <w:tcPr>
            <w:tcW w:w="1157" w:type="dxa"/>
            <w:tcBorders>
              <w:top w:val="single" w:color="auto" w:sz="4" w:space="0"/>
              <w:left w:val="single" w:color="auto" w:sz="4" w:space="0"/>
              <w:bottom w:val="single" w:color="auto" w:sz="4" w:space="0"/>
              <w:right w:val="single" w:color="auto" w:sz="4" w:space="0"/>
            </w:tcBorders>
            <w:noWrap w:val="0"/>
            <w:vAlign w:val="center"/>
          </w:tcPr>
          <w:p w14:paraId="02D324CA">
            <w:pPr>
              <w:spacing w:line="300" w:lineRule="exact"/>
              <w:jc w:val="center"/>
              <w:rPr>
                <w:rFonts w:ascii="宋体" w:hAnsi="宋体"/>
                <w:color w:val="auto"/>
                <w:sz w:val="21"/>
                <w:szCs w:val="21"/>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5DE1BCC3">
            <w:pPr>
              <w:jc w:val="center"/>
              <w:rPr>
                <w:rFonts w:ascii="宋体" w:hAnsi="宋体" w:cs="宋体"/>
                <w:color w:val="auto"/>
                <w:sz w:val="21"/>
                <w:szCs w:val="21"/>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550DA413">
            <w:pPr>
              <w:jc w:val="center"/>
              <w:rPr>
                <w:rFonts w:ascii="宋体" w:hAnsi="宋体" w:cs="宋体"/>
                <w:color w:val="auto"/>
                <w:sz w:val="21"/>
                <w:szCs w:val="21"/>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5CE20991">
            <w:pPr>
              <w:spacing w:line="300" w:lineRule="exact"/>
              <w:jc w:val="center"/>
              <w:rPr>
                <w:rFonts w:ascii="宋体" w:hAnsi="宋体"/>
                <w:b/>
                <w:bCs/>
                <w:color w:val="auto"/>
                <w:sz w:val="21"/>
                <w:szCs w:val="21"/>
              </w:rPr>
            </w:pPr>
          </w:p>
        </w:tc>
        <w:tc>
          <w:tcPr>
            <w:tcW w:w="1345" w:type="dxa"/>
            <w:tcBorders>
              <w:top w:val="single" w:color="auto" w:sz="4" w:space="0"/>
              <w:left w:val="single" w:color="auto" w:sz="4" w:space="0"/>
              <w:bottom w:val="single" w:color="auto" w:sz="4" w:space="0"/>
              <w:right w:val="single" w:color="auto" w:sz="4" w:space="0"/>
            </w:tcBorders>
            <w:noWrap w:val="0"/>
            <w:vAlign w:val="center"/>
          </w:tcPr>
          <w:p w14:paraId="48877171">
            <w:pPr>
              <w:spacing w:line="300" w:lineRule="exact"/>
              <w:jc w:val="center"/>
              <w:rPr>
                <w:rFonts w:ascii="宋体" w:hAnsi="宋体"/>
                <w:b/>
                <w:bCs/>
                <w:color w:val="auto"/>
                <w:sz w:val="21"/>
                <w:szCs w:val="21"/>
              </w:rPr>
            </w:pPr>
          </w:p>
        </w:tc>
        <w:tc>
          <w:tcPr>
            <w:tcW w:w="498" w:type="dxa"/>
            <w:tcBorders>
              <w:top w:val="single" w:color="auto" w:sz="4" w:space="0"/>
              <w:bottom w:val="single" w:color="auto" w:sz="4" w:space="0"/>
            </w:tcBorders>
            <w:noWrap w:val="0"/>
            <w:vAlign w:val="center"/>
          </w:tcPr>
          <w:p w14:paraId="0CC1ED80">
            <w:pPr>
              <w:spacing w:line="300" w:lineRule="exact"/>
              <w:jc w:val="center"/>
              <w:rPr>
                <w:rFonts w:ascii="宋体" w:hAnsi="宋体"/>
                <w:b/>
                <w:bCs/>
                <w:color w:val="auto"/>
                <w:sz w:val="21"/>
                <w:szCs w:val="21"/>
              </w:rPr>
            </w:pPr>
          </w:p>
        </w:tc>
      </w:tr>
      <w:tr w14:paraId="7548EA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663" w:type="dxa"/>
            <w:tcBorders>
              <w:top w:val="single" w:color="auto" w:sz="4" w:space="0"/>
              <w:left w:val="single" w:color="auto" w:sz="4" w:space="0"/>
              <w:right w:val="single" w:color="auto" w:sz="4" w:space="0"/>
            </w:tcBorders>
            <w:noWrap w:val="0"/>
            <w:vAlign w:val="center"/>
          </w:tcPr>
          <w:p w14:paraId="4A5F42CD">
            <w:pPr>
              <w:ind w:left="0" w:leftChars="0" w:firstLine="210" w:firstLineChars="100"/>
              <w:jc w:val="left"/>
              <w:rPr>
                <w:rFonts w:ascii="宋体" w:hAnsi="宋体" w:cs="宋体"/>
                <w:color w:val="auto"/>
                <w:sz w:val="21"/>
                <w:szCs w:val="21"/>
              </w:rPr>
            </w:pPr>
            <w:r>
              <w:rPr>
                <w:rFonts w:hint="eastAsia" w:ascii="宋体" w:hAnsi="宋体" w:cs="宋体"/>
                <w:color w:val="auto"/>
                <w:sz w:val="21"/>
                <w:szCs w:val="21"/>
              </w:rPr>
              <w:t>2</w:t>
            </w:r>
          </w:p>
        </w:tc>
        <w:tc>
          <w:tcPr>
            <w:tcW w:w="2954" w:type="dxa"/>
            <w:tcBorders>
              <w:top w:val="single" w:color="auto" w:sz="4" w:space="0"/>
              <w:left w:val="single" w:color="auto" w:sz="4" w:space="0"/>
              <w:bottom w:val="single" w:color="auto" w:sz="4" w:space="0"/>
              <w:right w:val="single" w:color="auto" w:sz="4" w:space="0"/>
            </w:tcBorders>
            <w:noWrap w:val="0"/>
            <w:vAlign w:val="center"/>
          </w:tcPr>
          <w:p w14:paraId="6C8990D7">
            <w:pPr>
              <w:spacing w:line="300" w:lineRule="exact"/>
              <w:jc w:val="center"/>
              <w:rPr>
                <w:rFonts w:ascii="宋体" w:hAnsi="宋体"/>
                <w:color w:val="auto"/>
                <w:sz w:val="21"/>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484CDBE">
            <w:pPr>
              <w:spacing w:line="300" w:lineRule="exact"/>
              <w:jc w:val="center"/>
              <w:rPr>
                <w:rFonts w:ascii="宋体" w:hAnsi="宋体"/>
                <w:color w:val="auto"/>
                <w:sz w:val="21"/>
                <w:szCs w:val="21"/>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4D748E0A">
            <w:pPr>
              <w:spacing w:line="300" w:lineRule="exact"/>
              <w:jc w:val="center"/>
              <w:rPr>
                <w:rFonts w:ascii="宋体" w:hAnsi="宋体"/>
                <w:color w:val="auto"/>
                <w:sz w:val="21"/>
                <w:szCs w:val="21"/>
              </w:rPr>
            </w:pPr>
          </w:p>
        </w:tc>
        <w:tc>
          <w:tcPr>
            <w:tcW w:w="1157" w:type="dxa"/>
            <w:tcBorders>
              <w:top w:val="single" w:color="auto" w:sz="4" w:space="0"/>
              <w:left w:val="single" w:color="auto" w:sz="4" w:space="0"/>
              <w:bottom w:val="single" w:color="auto" w:sz="4" w:space="0"/>
              <w:right w:val="single" w:color="auto" w:sz="4" w:space="0"/>
            </w:tcBorders>
            <w:noWrap w:val="0"/>
            <w:vAlign w:val="center"/>
          </w:tcPr>
          <w:p w14:paraId="6373B7AE">
            <w:pPr>
              <w:spacing w:line="300" w:lineRule="exact"/>
              <w:jc w:val="center"/>
              <w:rPr>
                <w:rFonts w:ascii="宋体" w:hAnsi="宋体"/>
                <w:color w:val="auto"/>
                <w:sz w:val="21"/>
                <w:szCs w:val="21"/>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2E74962A">
            <w:pPr>
              <w:jc w:val="center"/>
              <w:rPr>
                <w:rFonts w:ascii="宋体" w:hAnsi="宋体" w:cs="宋体"/>
                <w:color w:val="auto"/>
                <w:sz w:val="21"/>
                <w:szCs w:val="21"/>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3EB02B9F">
            <w:pPr>
              <w:jc w:val="center"/>
              <w:rPr>
                <w:rFonts w:ascii="宋体" w:hAnsi="宋体" w:cs="宋体"/>
                <w:color w:val="auto"/>
                <w:sz w:val="21"/>
                <w:szCs w:val="21"/>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1AAFDB34">
            <w:pPr>
              <w:spacing w:line="300" w:lineRule="exact"/>
              <w:jc w:val="center"/>
              <w:rPr>
                <w:rFonts w:ascii="宋体" w:hAnsi="宋体"/>
                <w:b/>
                <w:bCs/>
                <w:color w:val="auto"/>
                <w:sz w:val="21"/>
                <w:szCs w:val="21"/>
              </w:rPr>
            </w:pPr>
          </w:p>
        </w:tc>
        <w:tc>
          <w:tcPr>
            <w:tcW w:w="1345" w:type="dxa"/>
            <w:tcBorders>
              <w:top w:val="single" w:color="auto" w:sz="4" w:space="0"/>
              <w:left w:val="single" w:color="auto" w:sz="4" w:space="0"/>
              <w:bottom w:val="single" w:color="auto" w:sz="4" w:space="0"/>
              <w:right w:val="single" w:color="auto" w:sz="4" w:space="0"/>
            </w:tcBorders>
            <w:noWrap w:val="0"/>
            <w:vAlign w:val="center"/>
          </w:tcPr>
          <w:p w14:paraId="1443A6C9">
            <w:pPr>
              <w:spacing w:line="300" w:lineRule="exact"/>
              <w:jc w:val="center"/>
              <w:rPr>
                <w:rFonts w:ascii="宋体" w:hAnsi="宋体"/>
                <w:b/>
                <w:bCs/>
                <w:color w:val="auto"/>
                <w:sz w:val="21"/>
                <w:szCs w:val="21"/>
              </w:rPr>
            </w:pPr>
          </w:p>
        </w:tc>
        <w:tc>
          <w:tcPr>
            <w:tcW w:w="498" w:type="dxa"/>
            <w:tcBorders>
              <w:top w:val="single" w:color="auto" w:sz="4" w:space="0"/>
              <w:bottom w:val="single" w:color="auto" w:sz="4" w:space="0"/>
            </w:tcBorders>
            <w:noWrap w:val="0"/>
            <w:vAlign w:val="center"/>
          </w:tcPr>
          <w:p w14:paraId="186A8041">
            <w:pPr>
              <w:spacing w:line="300" w:lineRule="exact"/>
              <w:jc w:val="center"/>
              <w:rPr>
                <w:rFonts w:ascii="宋体" w:hAnsi="宋体"/>
                <w:b/>
                <w:bCs/>
                <w:color w:val="auto"/>
                <w:sz w:val="21"/>
                <w:szCs w:val="21"/>
              </w:rPr>
            </w:pPr>
          </w:p>
        </w:tc>
      </w:tr>
      <w:tr w14:paraId="19091A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663" w:type="dxa"/>
            <w:tcBorders>
              <w:top w:val="single" w:color="auto" w:sz="4" w:space="0"/>
              <w:left w:val="single" w:color="auto" w:sz="4" w:space="0"/>
              <w:right w:val="single" w:color="auto" w:sz="4" w:space="0"/>
            </w:tcBorders>
            <w:noWrap w:val="0"/>
            <w:vAlign w:val="center"/>
          </w:tcPr>
          <w:p w14:paraId="77334198">
            <w:pPr>
              <w:ind w:left="0" w:leftChars="0" w:firstLine="210" w:firstLineChars="100"/>
              <w:jc w:val="left"/>
              <w:rPr>
                <w:rFonts w:ascii="宋体" w:hAnsi="宋体" w:cs="宋体"/>
                <w:color w:val="auto"/>
                <w:sz w:val="21"/>
                <w:szCs w:val="21"/>
              </w:rPr>
            </w:pPr>
            <w:r>
              <w:rPr>
                <w:rFonts w:hint="eastAsia" w:ascii="宋体" w:hAnsi="宋体" w:cs="宋体"/>
                <w:color w:val="auto"/>
                <w:sz w:val="21"/>
                <w:szCs w:val="21"/>
              </w:rPr>
              <w:t>…</w:t>
            </w:r>
          </w:p>
        </w:tc>
        <w:tc>
          <w:tcPr>
            <w:tcW w:w="2954" w:type="dxa"/>
            <w:tcBorders>
              <w:top w:val="single" w:color="auto" w:sz="4" w:space="0"/>
              <w:left w:val="single" w:color="auto" w:sz="4" w:space="0"/>
              <w:bottom w:val="single" w:color="auto" w:sz="4" w:space="0"/>
              <w:right w:val="single" w:color="auto" w:sz="4" w:space="0"/>
            </w:tcBorders>
            <w:noWrap w:val="0"/>
            <w:vAlign w:val="center"/>
          </w:tcPr>
          <w:p w14:paraId="2C161DCE">
            <w:pPr>
              <w:spacing w:line="300" w:lineRule="exact"/>
              <w:jc w:val="center"/>
              <w:rPr>
                <w:rFonts w:ascii="宋体" w:hAnsi="宋体"/>
                <w:color w:val="auto"/>
                <w:sz w:val="21"/>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37B57C68">
            <w:pPr>
              <w:spacing w:line="300" w:lineRule="exact"/>
              <w:jc w:val="center"/>
              <w:rPr>
                <w:rFonts w:ascii="宋体" w:hAnsi="宋体"/>
                <w:color w:val="auto"/>
                <w:sz w:val="21"/>
                <w:szCs w:val="21"/>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23BBEB23">
            <w:pPr>
              <w:spacing w:line="300" w:lineRule="exact"/>
              <w:jc w:val="center"/>
              <w:rPr>
                <w:rFonts w:ascii="宋体" w:hAnsi="宋体"/>
                <w:color w:val="auto"/>
                <w:sz w:val="21"/>
                <w:szCs w:val="21"/>
              </w:rPr>
            </w:pPr>
          </w:p>
        </w:tc>
        <w:tc>
          <w:tcPr>
            <w:tcW w:w="1157" w:type="dxa"/>
            <w:tcBorders>
              <w:top w:val="single" w:color="auto" w:sz="4" w:space="0"/>
              <w:left w:val="single" w:color="auto" w:sz="4" w:space="0"/>
              <w:bottom w:val="single" w:color="auto" w:sz="4" w:space="0"/>
              <w:right w:val="single" w:color="auto" w:sz="4" w:space="0"/>
            </w:tcBorders>
            <w:noWrap w:val="0"/>
            <w:vAlign w:val="center"/>
          </w:tcPr>
          <w:p w14:paraId="3E3A74C4">
            <w:pPr>
              <w:spacing w:line="300" w:lineRule="exact"/>
              <w:jc w:val="center"/>
              <w:rPr>
                <w:rFonts w:ascii="宋体" w:hAnsi="宋体"/>
                <w:color w:val="auto"/>
                <w:sz w:val="21"/>
                <w:szCs w:val="21"/>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07587C70">
            <w:pPr>
              <w:jc w:val="center"/>
              <w:rPr>
                <w:rFonts w:ascii="宋体" w:hAnsi="宋体" w:cs="宋体"/>
                <w:color w:val="auto"/>
                <w:sz w:val="21"/>
                <w:szCs w:val="21"/>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7B5E28D0">
            <w:pPr>
              <w:jc w:val="center"/>
              <w:rPr>
                <w:rFonts w:ascii="宋体" w:hAnsi="宋体" w:cs="宋体"/>
                <w:color w:val="auto"/>
                <w:sz w:val="21"/>
                <w:szCs w:val="21"/>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1137941E">
            <w:pPr>
              <w:spacing w:line="300" w:lineRule="exact"/>
              <w:jc w:val="center"/>
              <w:rPr>
                <w:rFonts w:ascii="宋体" w:hAnsi="宋体"/>
                <w:b/>
                <w:bCs/>
                <w:color w:val="auto"/>
                <w:sz w:val="21"/>
                <w:szCs w:val="21"/>
              </w:rPr>
            </w:pPr>
          </w:p>
        </w:tc>
        <w:tc>
          <w:tcPr>
            <w:tcW w:w="1345" w:type="dxa"/>
            <w:tcBorders>
              <w:top w:val="single" w:color="auto" w:sz="4" w:space="0"/>
              <w:left w:val="single" w:color="auto" w:sz="4" w:space="0"/>
              <w:bottom w:val="single" w:color="auto" w:sz="4" w:space="0"/>
              <w:right w:val="single" w:color="auto" w:sz="4" w:space="0"/>
            </w:tcBorders>
            <w:noWrap w:val="0"/>
            <w:vAlign w:val="center"/>
          </w:tcPr>
          <w:p w14:paraId="1C92BB0F">
            <w:pPr>
              <w:spacing w:line="300" w:lineRule="exact"/>
              <w:jc w:val="center"/>
              <w:rPr>
                <w:rFonts w:ascii="宋体" w:hAnsi="宋体"/>
                <w:b/>
                <w:bCs/>
                <w:color w:val="auto"/>
                <w:sz w:val="21"/>
                <w:szCs w:val="21"/>
              </w:rPr>
            </w:pPr>
          </w:p>
        </w:tc>
        <w:tc>
          <w:tcPr>
            <w:tcW w:w="498" w:type="dxa"/>
            <w:tcBorders>
              <w:top w:val="single" w:color="auto" w:sz="4" w:space="0"/>
              <w:bottom w:val="single" w:color="auto" w:sz="4" w:space="0"/>
            </w:tcBorders>
            <w:noWrap w:val="0"/>
            <w:vAlign w:val="center"/>
          </w:tcPr>
          <w:p w14:paraId="7485FE02">
            <w:pPr>
              <w:spacing w:line="300" w:lineRule="exact"/>
              <w:jc w:val="center"/>
              <w:rPr>
                <w:rFonts w:ascii="宋体" w:hAnsi="宋体"/>
                <w:b/>
                <w:bCs/>
                <w:color w:val="auto"/>
                <w:sz w:val="21"/>
                <w:szCs w:val="21"/>
              </w:rPr>
            </w:pPr>
          </w:p>
        </w:tc>
      </w:tr>
      <w:tr w14:paraId="6C0229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663" w:type="dxa"/>
            <w:tcBorders>
              <w:top w:val="single" w:color="auto" w:sz="4" w:space="0"/>
              <w:left w:val="single" w:color="auto" w:sz="4" w:space="0"/>
              <w:right w:val="single" w:color="auto" w:sz="4" w:space="0"/>
            </w:tcBorders>
            <w:noWrap w:val="0"/>
            <w:vAlign w:val="center"/>
          </w:tcPr>
          <w:p w14:paraId="03DA0DAC">
            <w:pPr>
              <w:ind w:left="0" w:leftChars="0" w:firstLine="210" w:firstLineChars="100"/>
              <w:jc w:val="left"/>
              <w:rPr>
                <w:rFonts w:ascii="宋体" w:hAnsi="宋体" w:cs="宋体"/>
                <w:color w:val="auto"/>
                <w:sz w:val="21"/>
                <w:szCs w:val="21"/>
              </w:rPr>
            </w:pPr>
            <w:r>
              <w:rPr>
                <w:rFonts w:hint="eastAsia" w:ascii="宋体" w:hAnsi="宋体" w:cs="宋体"/>
                <w:color w:val="auto"/>
                <w:sz w:val="21"/>
                <w:szCs w:val="21"/>
              </w:rPr>
              <w:t>N</w:t>
            </w:r>
          </w:p>
        </w:tc>
        <w:tc>
          <w:tcPr>
            <w:tcW w:w="2954" w:type="dxa"/>
            <w:tcBorders>
              <w:top w:val="single" w:color="auto" w:sz="4" w:space="0"/>
              <w:left w:val="single" w:color="auto" w:sz="4" w:space="0"/>
              <w:bottom w:val="single" w:color="auto" w:sz="4" w:space="0"/>
              <w:right w:val="single" w:color="auto" w:sz="4" w:space="0"/>
            </w:tcBorders>
            <w:noWrap w:val="0"/>
            <w:vAlign w:val="center"/>
          </w:tcPr>
          <w:p w14:paraId="038C8F61">
            <w:pPr>
              <w:spacing w:line="300" w:lineRule="exact"/>
              <w:jc w:val="center"/>
              <w:rPr>
                <w:rFonts w:ascii="宋体" w:hAnsi="宋体"/>
                <w:b/>
                <w:bCs/>
                <w:color w:val="auto"/>
                <w:sz w:val="21"/>
                <w:szCs w:val="21"/>
              </w:rPr>
            </w:pPr>
            <w:r>
              <w:rPr>
                <w:rFonts w:ascii="宋体" w:hAnsi="宋体" w:cs="宋体"/>
                <w:color w:val="auto"/>
                <w:sz w:val="21"/>
                <w:szCs w:val="21"/>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055F234D">
            <w:pPr>
              <w:spacing w:line="300" w:lineRule="exact"/>
              <w:jc w:val="center"/>
              <w:rPr>
                <w:rFonts w:ascii="宋体" w:hAnsi="宋体"/>
                <w:b/>
                <w:bCs/>
                <w:color w:val="auto"/>
                <w:sz w:val="21"/>
                <w:szCs w:val="21"/>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61CD33E8">
            <w:pPr>
              <w:spacing w:line="300" w:lineRule="exact"/>
              <w:jc w:val="center"/>
              <w:rPr>
                <w:rFonts w:ascii="宋体" w:hAnsi="宋体"/>
                <w:b/>
                <w:bCs/>
                <w:color w:val="auto"/>
                <w:sz w:val="21"/>
                <w:szCs w:val="21"/>
              </w:rPr>
            </w:pPr>
          </w:p>
        </w:tc>
        <w:tc>
          <w:tcPr>
            <w:tcW w:w="1157" w:type="dxa"/>
            <w:tcBorders>
              <w:top w:val="single" w:color="auto" w:sz="4" w:space="0"/>
              <w:left w:val="single" w:color="auto" w:sz="4" w:space="0"/>
              <w:bottom w:val="single" w:color="auto" w:sz="4" w:space="0"/>
              <w:right w:val="single" w:color="auto" w:sz="4" w:space="0"/>
            </w:tcBorders>
            <w:noWrap w:val="0"/>
            <w:vAlign w:val="center"/>
          </w:tcPr>
          <w:p w14:paraId="28EAA76A">
            <w:pPr>
              <w:spacing w:line="300" w:lineRule="exact"/>
              <w:jc w:val="center"/>
              <w:rPr>
                <w:rFonts w:ascii="宋体" w:hAnsi="宋体"/>
                <w:b/>
                <w:bCs/>
                <w:color w:val="auto"/>
                <w:sz w:val="21"/>
                <w:szCs w:val="21"/>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329D521B">
            <w:pPr>
              <w:jc w:val="center"/>
              <w:rPr>
                <w:rFonts w:ascii="宋体" w:hAnsi="宋体" w:cs="宋体"/>
                <w:color w:val="auto"/>
                <w:sz w:val="21"/>
                <w:szCs w:val="21"/>
              </w:rPr>
            </w:pPr>
            <w:r>
              <w:rPr>
                <w:rFonts w:ascii="宋体" w:hAnsi="宋体" w:cs="宋体"/>
                <w:color w:val="auto"/>
                <w:sz w:val="21"/>
                <w:szCs w:val="21"/>
              </w:rPr>
              <w:t>…</w:t>
            </w:r>
          </w:p>
        </w:tc>
        <w:tc>
          <w:tcPr>
            <w:tcW w:w="427" w:type="dxa"/>
            <w:tcBorders>
              <w:top w:val="single" w:color="auto" w:sz="4" w:space="0"/>
              <w:left w:val="single" w:color="auto" w:sz="4" w:space="0"/>
              <w:bottom w:val="single" w:color="auto" w:sz="4" w:space="0"/>
              <w:right w:val="single" w:color="auto" w:sz="4" w:space="0"/>
            </w:tcBorders>
            <w:noWrap w:val="0"/>
            <w:vAlign w:val="center"/>
          </w:tcPr>
          <w:p w14:paraId="7535D74C">
            <w:pPr>
              <w:jc w:val="center"/>
              <w:rPr>
                <w:rFonts w:ascii="宋体" w:hAnsi="宋体" w:cs="宋体"/>
                <w:color w:val="auto"/>
                <w:sz w:val="21"/>
                <w:szCs w:val="21"/>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66BE3A38">
            <w:pPr>
              <w:spacing w:line="300" w:lineRule="exact"/>
              <w:jc w:val="center"/>
              <w:rPr>
                <w:rFonts w:ascii="宋体" w:hAnsi="宋体"/>
                <w:b/>
                <w:bCs/>
                <w:color w:val="auto"/>
                <w:sz w:val="21"/>
                <w:szCs w:val="21"/>
              </w:rPr>
            </w:pPr>
          </w:p>
        </w:tc>
        <w:tc>
          <w:tcPr>
            <w:tcW w:w="1345" w:type="dxa"/>
            <w:tcBorders>
              <w:top w:val="single" w:color="auto" w:sz="4" w:space="0"/>
              <w:left w:val="single" w:color="auto" w:sz="4" w:space="0"/>
              <w:bottom w:val="single" w:color="auto" w:sz="4" w:space="0"/>
              <w:right w:val="single" w:color="auto" w:sz="4" w:space="0"/>
            </w:tcBorders>
            <w:noWrap w:val="0"/>
            <w:vAlign w:val="center"/>
          </w:tcPr>
          <w:p w14:paraId="3E0B9327">
            <w:pPr>
              <w:spacing w:line="300" w:lineRule="exact"/>
              <w:jc w:val="center"/>
              <w:rPr>
                <w:rFonts w:ascii="宋体" w:hAnsi="宋体"/>
                <w:b/>
                <w:bCs/>
                <w:color w:val="auto"/>
                <w:sz w:val="21"/>
                <w:szCs w:val="21"/>
              </w:rPr>
            </w:pPr>
          </w:p>
        </w:tc>
        <w:tc>
          <w:tcPr>
            <w:tcW w:w="498" w:type="dxa"/>
            <w:tcBorders>
              <w:top w:val="single" w:color="auto" w:sz="4" w:space="0"/>
              <w:bottom w:val="single" w:color="auto" w:sz="4" w:space="0"/>
            </w:tcBorders>
            <w:noWrap w:val="0"/>
            <w:vAlign w:val="center"/>
          </w:tcPr>
          <w:p w14:paraId="7A64E87F">
            <w:pPr>
              <w:spacing w:line="300" w:lineRule="exact"/>
              <w:jc w:val="center"/>
              <w:rPr>
                <w:rFonts w:ascii="宋体" w:hAnsi="宋体"/>
                <w:b/>
                <w:bCs/>
                <w:color w:val="auto"/>
                <w:sz w:val="21"/>
                <w:szCs w:val="21"/>
              </w:rPr>
            </w:pPr>
          </w:p>
        </w:tc>
      </w:tr>
      <w:tr w14:paraId="3839FA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8" w:hRule="atLeast"/>
        </w:trPr>
        <w:tc>
          <w:tcPr>
            <w:tcW w:w="10387" w:type="dxa"/>
            <w:gridSpan w:val="10"/>
            <w:tcBorders>
              <w:top w:val="single" w:color="auto" w:sz="4" w:space="0"/>
              <w:left w:val="single" w:color="auto" w:sz="4" w:space="0"/>
              <w:bottom w:val="single" w:color="auto" w:sz="4" w:space="0"/>
            </w:tcBorders>
            <w:noWrap w:val="0"/>
            <w:vAlign w:val="center"/>
          </w:tcPr>
          <w:p w14:paraId="00207F96">
            <w:pPr>
              <w:spacing w:line="300" w:lineRule="exact"/>
              <w:jc w:val="left"/>
              <w:rPr>
                <w:rFonts w:hint="eastAsia" w:ascii="宋体" w:hAnsi="宋体"/>
                <w:color w:val="auto"/>
                <w:spacing w:val="-6"/>
                <w:sz w:val="21"/>
                <w:szCs w:val="21"/>
              </w:rPr>
            </w:pPr>
            <w:r>
              <w:rPr>
                <w:rFonts w:hint="eastAsia" w:ascii="宋体" w:hAnsi="宋体"/>
                <w:color w:val="auto"/>
                <w:spacing w:val="-6"/>
                <w:sz w:val="21"/>
                <w:szCs w:val="21"/>
              </w:rPr>
              <w:t>投标总</w:t>
            </w:r>
            <w:r>
              <w:rPr>
                <w:rFonts w:ascii="宋体" w:hAnsi="宋体"/>
                <w:color w:val="auto"/>
                <w:spacing w:val="-6"/>
                <w:sz w:val="21"/>
                <w:szCs w:val="21"/>
              </w:rPr>
              <w:t>报价（大写）：</w:t>
            </w:r>
            <w:r>
              <w:rPr>
                <w:rFonts w:ascii="宋体" w:hAnsi="宋体"/>
                <w:color w:val="auto"/>
                <w:spacing w:val="-6"/>
                <w:sz w:val="21"/>
                <w:szCs w:val="21"/>
                <w:u w:val="single"/>
              </w:rPr>
              <w:t xml:space="preserve">                   </w:t>
            </w:r>
            <w:r>
              <w:rPr>
                <w:rFonts w:hint="eastAsia" w:ascii="宋体" w:hAnsi="宋体"/>
                <w:color w:val="auto"/>
                <w:spacing w:val="-6"/>
                <w:sz w:val="21"/>
                <w:szCs w:val="21"/>
                <w:u w:val="single"/>
              </w:rPr>
              <w:t xml:space="preserve">            </w:t>
            </w:r>
            <w:r>
              <w:rPr>
                <w:rFonts w:ascii="宋体" w:hAnsi="宋体"/>
                <w:color w:val="auto"/>
                <w:spacing w:val="-6"/>
                <w:sz w:val="21"/>
                <w:szCs w:val="21"/>
                <w:u w:val="single"/>
              </w:rPr>
              <w:t xml:space="preserve">  </w:t>
            </w:r>
            <w:r>
              <w:rPr>
                <w:rFonts w:hint="eastAsia" w:ascii="宋体" w:hAnsi="宋体"/>
                <w:color w:val="auto"/>
                <w:spacing w:val="-6"/>
                <w:sz w:val="21"/>
                <w:szCs w:val="21"/>
              </w:rPr>
              <w:t>元</w:t>
            </w:r>
            <w:r>
              <w:rPr>
                <w:rFonts w:ascii="宋体" w:hAnsi="宋体"/>
                <w:color w:val="auto"/>
                <w:spacing w:val="-6"/>
                <w:sz w:val="21"/>
                <w:szCs w:val="21"/>
              </w:rPr>
              <w:t>人民币（</w:t>
            </w:r>
            <w:r>
              <w:rPr>
                <w:rFonts w:hint="eastAsia" w:ascii="宋体" w:hAnsi="宋体"/>
                <w:color w:val="auto"/>
                <w:spacing w:val="-6"/>
                <w:sz w:val="21"/>
                <w:szCs w:val="21"/>
              </w:rPr>
              <w:t>¥</w:t>
            </w:r>
            <w:r>
              <w:rPr>
                <w:rFonts w:ascii="宋体" w:hAnsi="宋体"/>
                <w:color w:val="auto"/>
                <w:spacing w:val="-6"/>
                <w:sz w:val="21"/>
                <w:szCs w:val="21"/>
                <w:u w:val="single"/>
              </w:rPr>
              <w:t xml:space="preserve">       </w:t>
            </w:r>
            <w:r>
              <w:rPr>
                <w:rFonts w:hint="eastAsia" w:ascii="宋体" w:hAnsi="宋体"/>
                <w:color w:val="auto"/>
                <w:spacing w:val="-6"/>
                <w:sz w:val="21"/>
                <w:szCs w:val="21"/>
                <w:u w:val="single"/>
              </w:rPr>
              <w:t xml:space="preserve">           </w:t>
            </w:r>
            <w:r>
              <w:rPr>
                <w:rFonts w:ascii="宋体" w:hAnsi="宋体"/>
                <w:color w:val="auto"/>
                <w:spacing w:val="-6"/>
                <w:sz w:val="21"/>
                <w:szCs w:val="21"/>
                <w:u w:val="single"/>
              </w:rPr>
              <w:t xml:space="preserve">             </w:t>
            </w:r>
            <w:r>
              <w:rPr>
                <w:rFonts w:ascii="宋体" w:hAnsi="宋体"/>
                <w:color w:val="auto"/>
                <w:spacing w:val="-6"/>
                <w:sz w:val="21"/>
                <w:szCs w:val="21"/>
              </w:rPr>
              <w:t>）</w:t>
            </w:r>
          </w:p>
        </w:tc>
      </w:tr>
      <w:tr w14:paraId="588CF3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10387" w:type="dxa"/>
            <w:gridSpan w:val="10"/>
            <w:tcBorders>
              <w:top w:val="single" w:color="auto" w:sz="4" w:space="0"/>
              <w:left w:val="single" w:color="auto" w:sz="4" w:space="0"/>
              <w:bottom w:val="single" w:color="auto" w:sz="4" w:space="0"/>
            </w:tcBorders>
            <w:noWrap w:val="0"/>
            <w:vAlign w:val="center"/>
          </w:tcPr>
          <w:p w14:paraId="299C4BE2">
            <w:pPr>
              <w:spacing w:line="300" w:lineRule="exact"/>
              <w:jc w:val="left"/>
              <w:rPr>
                <w:rFonts w:hint="eastAsia" w:ascii="宋体" w:hAnsi="宋体" w:eastAsia="宋体"/>
                <w:color w:val="auto"/>
                <w:spacing w:val="-6"/>
                <w:sz w:val="21"/>
                <w:szCs w:val="21"/>
                <w:lang w:eastAsia="zh-CN"/>
              </w:rPr>
            </w:pPr>
            <w:r>
              <w:rPr>
                <w:rFonts w:hint="eastAsia" w:ascii="宋体" w:hAnsi="宋体"/>
                <w:color w:val="auto"/>
                <w:spacing w:val="-6"/>
                <w:sz w:val="21"/>
                <w:szCs w:val="21"/>
              </w:rPr>
              <w:t>交付</w:t>
            </w:r>
            <w:r>
              <w:rPr>
                <w:rFonts w:hint="eastAsia" w:ascii="宋体" w:hAnsi="宋体"/>
                <w:color w:val="auto"/>
                <w:spacing w:val="-6"/>
                <w:sz w:val="21"/>
                <w:szCs w:val="21"/>
                <w:lang w:val="en-US" w:eastAsia="zh-CN"/>
              </w:rPr>
              <w:t>时间</w:t>
            </w:r>
            <w:r>
              <w:rPr>
                <w:rFonts w:hint="eastAsia" w:ascii="宋体" w:hAnsi="宋体"/>
                <w:color w:val="auto"/>
                <w:spacing w:val="-6"/>
                <w:sz w:val="21"/>
                <w:szCs w:val="21"/>
                <w:lang w:eastAsia="zh-CN"/>
              </w:rPr>
              <w:t>：</w:t>
            </w:r>
          </w:p>
        </w:tc>
      </w:tr>
      <w:tr w14:paraId="77DA87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10387" w:type="dxa"/>
            <w:gridSpan w:val="10"/>
            <w:tcBorders>
              <w:top w:val="single" w:color="auto" w:sz="4" w:space="0"/>
              <w:left w:val="single" w:color="auto" w:sz="4" w:space="0"/>
              <w:bottom w:val="single" w:color="auto" w:sz="4" w:space="0"/>
            </w:tcBorders>
            <w:noWrap w:val="0"/>
            <w:vAlign w:val="center"/>
          </w:tcPr>
          <w:p w14:paraId="78AFEC11">
            <w:pPr>
              <w:spacing w:line="300" w:lineRule="exact"/>
              <w:jc w:val="left"/>
              <w:rPr>
                <w:rFonts w:hint="eastAsia" w:ascii="宋体" w:hAnsi="宋体" w:eastAsia="宋体"/>
                <w:color w:val="auto"/>
                <w:spacing w:val="-6"/>
                <w:sz w:val="21"/>
                <w:szCs w:val="21"/>
                <w:lang w:eastAsia="zh-CN"/>
              </w:rPr>
            </w:pPr>
            <w:r>
              <w:rPr>
                <w:rFonts w:hint="eastAsia" w:ascii="宋体" w:hAnsi="宋体"/>
                <w:color w:val="auto"/>
                <w:spacing w:val="-6"/>
                <w:sz w:val="21"/>
                <w:szCs w:val="21"/>
                <w:lang w:val="en-US" w:eastAsia="zh-CN"/>
              </w:rPr>
              <w:t>质保期</w:t>
            </w:r>
            <w:r>
              <w:rPr>
                <w:rFonts w:hint="eastAsia" w:ascii="宋体" w:hAnsi="宋体"/>
                <w:color w:val="auto"/>
                <w:spacing w:val="-6"/>
                <w:sz w:val="21"/>
                <w:szCs w:val="21"/>
                <w:lang w:eastAsia="zh-CN"/>
              </w:rPr>
              <w:t>：</w:t>
            </w:r>
          </w:p>
        </w:tc>
      </w:tr>
      <w:tr w14:paraId="3AB893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5" w:hRule="atLeast"/>
        </w:trPr>
        <w:tc>
          <w:tcPr>
            <w:tcW w:w="10387" w:type="dxa"/>
            <w:gridSpan w:val="10"/>
            <w:tcBorders>
              <w:top w:val="single" w:color="auto" w:sz="4" w:space="0"/>
              <w:left w:val="single" w:color="auto" w:sz="4" w:space="0"/>
              <w:bottom w:val="single" w:color="auto" w:sz="4" w:space="0"/>
            </w:tcBorders>
            <w:noWrap w:val="0"/>
            <w:vAlign w:val="center"/>
          </w:tcPr>
          <w:p w14:paraId="6320266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olor w:val="auto"/>
                <w:spacing w:val="-6"/>
                <w:sz w:val="21"/>
                <w:szCs w:val="21"/>
                <w:highlight w:val="none"/>
              </w:rPr>
            </w:pPr>
            <w:r>
              <w:rPr>
                <w:rFonts w:hint="eastAsia" w:ascii="宋体" w:hAnsi="宋体"/>
                <w:color w:val="auto"/>
                <w:spacing w:val="-6"/>
                <w:sz w:val="21"/>
                <w:szCs w:val="21"/>
                <w:highlight w:val="none"/>
              </w:rPr>
              <w:t>其中：属于财政部</w:t>
            </w:r>
            <w:r>
              <w:rPr>
                <w:rFonts w:hint="eastAsia" w:hAnsi="宋体"/>
                <w:bCs/>
                <w:color w:val="auto"/>
                <w:sz w:val="21"/>
                <w:szCs w:val="21"/>
                <w:highlight w:val="none"/>
              </w:rPr>
              <w:t>《节能产品政府采购品目清单》</w:t>
            </w:r>
            <w:r>
              <w:rPr>
                <w:rFonts w:hint="eastAsia" w:ascii="宋体" w:hAnsi="宋体"/>
                <w:color w:val="auto"/>
                <w:spacing w:val="-6"/>
                <w:sz w:val="21"/>
                <w:szCs w:val="21"/>
                <w:highlight w:val="none"/>
              </w:rPr>
              <w:t>内产品的总金额为</w:t>
            </w:r>
            <w:r>
              <w:rPr>
                <w:rFonts w:ascii="宋体" w:hAnsi="宋体"/>
                <w:color w:val="auto"/>
                <w:spacing w:val="-6"/>
                <w:sz w:val="21"/>
                <w:szCs w:val="21"/>
                <w:highlight w:val="none"/>
              </w:rPr>
              <w:t>人民币</w:t>
            </w:r>
            <w:r>
              <w:rPr>
                <w:rFonts w:hint="eastAsia" w:ascii="宋体" w:hAnsi="宋体"/>
                <w:color w:val="auto"/>
                <w:spacing w:val="-6"/>
                <w:sz w:val="21"/>
                <w:szCs w:val="21"/>
                <w:highlight w:val="none"/>
              </w:rPr>
              <w:t>（大写）：</w:t>
            </w:r>
            <w:r>
              <w:rPr>
                <w:rFonts w:hint="eastAsia" w:ascii="宋体" w:hAnsi="宋体"/>
                <w:color w:val="auto"/>
                <w:spacing w:val="-6"/>
                <w:sz w:val="21"/>
                <w:szCs w:val="21"/>
                <w:highlight w:val="none"/>
                <w:u w:val="single"/>
                <w:lang w:val="en-US" w:eastAsia="zh-CN"/>
              </w:rPr>
              <w:t xml:space="preserve">          </w:t>
            </w:r>
            <w:r>
              <w:rPr>
                <w:rFonts w:hint="eastAsia" w:ascii="宋体" w:hAnsi="宋体"/>
                <w:color w:val="auto"/>
                <w:spacing w:val="-6"/>
                <w:sz w:val="21"/>
                <w:szCs w:val="21"/>
                <w:highlight w:val="none"/>
                <w:lang w:val="en-US" w:eastAsia="zh-CN"/>
              </w:rPr>
              <w:t xml:space="preserve"> </w:t>
            </w:r>
            <w:r>
              <w:rPr>
                <w:rFonts w:hint="eastAsia" w:ascii="宋体" w:hAnsi="宋体"/>
                <w:color w:val="auto"/>
                <w:spacing w:val="-6"/>
                <w:sz w:val="21"/>
                <w:szCs w:val="21"/>
                <w:highlight w:val="none"/>
              </w:rPr>
              <w:t>元</w:t>
            </w:r>
            <w:r>
              <w:rPr>
                <w:rFonts w:ascii="宋体" w:hAnsi="宋体"/>
                <w:color w:val="auto"/>
                <w:spacing w:val="-6"/>
                <w:sz w:val="21"/>
                <w:szCs w:val="21"/>
                <w:highlight w:val="none"/>
              </w:rPr>
              <w:t>（¥</w:t>
            </w:r>
            <w:r>
              <w:rPr>
                <w:rFonts w:hint="eastAsia" w:ascii="宋体" w:hAnsi="宋体"/>
                <w:color w:val="auto"/>
                <w:spacing w:val="-6"/>
                <w:sz w:val="21"/>
                <w:szCs w:val="21"/>
                <w:highlight w:val="none"/>
                <w:u w:val="single"/>
                <w:lang w:val="en-US" w:eastAsia="zh-CN"/>
              </w:rPr>
              <w:t xml:space="preserve">            </w:t>
            </w:r>
            <w:r>
              <w:rPr>
                <w:rFonts w:ascii="宋体" w:hAnsi="宋体"/>
                <w:color w:val="auto"/>
                <w:spacing w:val="-6"/>
                <w:sz w:val="21"/>
                <w:szCs w:val="21"/>
                <w:highlight w:val="none"/>
              </w:rPr>
              <w:t>）</w:t>
            </w:r>
            <w:r>
              <w:rPr>
                <w:rFonts w:hint="eastAsia" w:ascii="宋体" w:hAnsi="宋体"/>
                <w:color w:val="auto"/>
                <w:spacing w:val="-6"/>
                <w:sz w:val="21"/>
                <w:szCs w:val="21"/>
                <w:highlight w:val="none"/>
              </w:rPr>
              <w:t>；</w:t>
            </w:r>
          </w:p>
          <w:p w14:paraId="0846C8C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olor w:val="auto"/>
                <w:spacing w:val="-6"/>
                <w:sz w:val="21"/>
                <w:szCs w:val="21"/>
                <w:highlight w:val="none"/>
              </w:rPr>
            </w:pPr>
            <w:r>
              <w:rPr>
                <w:rFonts w:hint="eastAsia" w:ascii="宋体" w:hAnsi="宋体"/>
                <w:color w:val="auto"/>
                <w:spacing w:val="-6"/>
                <w:sz w:val="21"/>
                <w:szCs w:val="21"/>
                <w:highlight w:val="none"/>
              </w:rPr>
              <w:t>属于财政部</w:t>
            </w:r>
            <w:r>
              <w:rPr>
                <w:rFonts w:hint="eastAsia" w:hAnsi="宋体"/>
                <w:bCs/>
                <w:color w:val="auto"/>
                <w:sz w:val="21"/>
                <w:szCs w:val="21"/>
                <w:highlight w:val="none"/>
              </w:rPr>
              <w:t>《环境标志产品政府采购品目清单》</w:t>
            </w:r>
            <w:r>
              <w:rPr>
                <w:rFonts w:hint="eastAsia" w:ascii="宋体" w:hAnsi="宋体"/>
                <w:color w:val="auto"/>
                <w:spacing w:val="-6"/>
                <w:sz w:val="21"/>
                <w:szCs w:val="21"/>
                <w:highlight w:val="none"/>
              </w:rPr>
              <w:t>内产品的总金额为</w:t>
            </w:r>
            <w:r>
              <w:rPr>
                <w:rFonts w:ascii="宋体" w:hAnsi="宋体"/>
                <w:color w:val="auto"/>
                <w:spacing w:val="-6"/>
                <w:sz w:val="21"/>
                <w:szCs w:val="21"/>
                <w:highlight w:val="none"/>
              </w:rPr>
              <w:t>人民币</w:t>
            </w:r>
            <w:r>
              <w:rPr>
                <w:rFonts w:hint="eastAsia" w:ascii="宋体" w:hAnsi="宋体"/>
                <w:color w:val="auto"/>
                <w:spacing w:val="-6"/>
                <w:sz w:val="21"/>
                <w:szCs w:val="21"/>
                <w:highlight w:val="none"/>
              </w:rPr>
              <w:t>（大写）：</w:t>
            </w:r>
            <w:r>
              <w:rPr>
                <w:rFonts w:hint="eastAsia" w:ascii="宋体" w:hAnsi="宋体"/>
                <w:color w:val="auto"/>
                <w:spacing w:val="-6"/>
                <w:sz w:val="21"/>
                <w:szCs w:val="21"/>
                <w:highlight w:val="none"/>
                <w:u w:val="single"/>
                <w:lang w:val="en-US" w:eastAsia="zh-CN"/>
              </w:rPr>
              <w:t xml:space="preserve">          </w:t>
            </w:r>
            <w:r>
              <w:rPr>
                <w:rFonts w:hint="eastAsia" w:ascii="宋体" w:hAnsi="宋体"/>
                <w:color w:val="auto"/>
                <w:spacing w:val="-6"/>
                <w:sz w:val="21"/>
                <w:szCs w:val="21"/>
                <w:highlight w:val="none"/>
                <w:lang w:val="en-US" w:eastAsia="zh-CN"/>
              </w:rPr>
              <w:t xml:space="preserve"> </w:t>
            </w:r>
            <w:r>
              <w:rPr>
                <w:rFonts w:hint="eastAsia" w:ascii="宋体" w:hAnsi="宋体"/>
                <w:color w:val="auto"/>
                <w:spacing w:val="-6"/>
                <w:sz w:val="21"/>
                <w:szCs w:val="21"/>
                <w:highlight w:val="none"/>
              </w:rPr>
              <w:t>元</w:t>
            </w:r>
            <w:r>
              <w:rPr>
                <w:rFonts w:ascii="宋体" w:hAnsi="宋体"/>
                <w:color w:val="auto"/>
                <w:spacing w:val="-6"/>
                <w:sz w:val="21"/>
                <w:szCs w:val="21"/>
                <w:highlight w:val="none"/>
              </w:rPr>
              <w:t>（¥</w:t>
            </w:r>
            <w:r>
              <w:rPr>
                <w:rFonts w:hint="eastAsia" w:ascii="宋体" w:hAnsi="宋体"/>
                <w:color w:val="auto"/>
                <w:spacing w:val="-6"/>
                <w:sz w:val="21"/>
                <w:szCs w:val="21"/>
                <w:highlight w:val="none"/>
                <w:u w:val="single"/>
                <w:lang w:val="en-US" w:eastAsia="zh-CN"/>
              </w:rPr>
              <w:t xml:space="preserve">            </w:t>
            </w:r>
            <w:r>
              <w:rPr>
                <w:rFonts w:ascii="宋体" w:hAnsi="宋体"/>
                <w:color w:val="auto"/>
                <w:spacing w:val="-6"/>
                <w:sz w:val="21"/>
                <w:szCs w:val="21"/>
                <w:highlight w:val="none"/>
              </w:rPr>
              <w:t>）</w:t>
            </w:r>
            <w:r>
              <w:rPr>
                <w:rFonts w:hint="eastAsia" w:ascii="宋体" w:hAnsi="宋体"/>
                <w:color w:val="auto"/>
                <w:spacing w:val="-6"/>
                <w:sz w:val="21"/>
                <w:szCs w:val="21"/>
                <w:highlight w:val="none"/>
              </w:rPr>
              <w:t>。</w:t>
            </w:r>
          </w:p>
          <w:p w14:paraId="7CF9E773">
            <w:pPr>
              <w:spacing w:line="340" w:lineRule="exact"/>
              <w:jc w:val="left"/>
              <w:rPr>
                <w:rFonts w:hint="eastAsia"/>
                <w:color w:val="auto"/>
              </w:rPr>
            </w:pPr>
            <w:r>
              <w:rPr>
                <w:rFonts w:hint="eastAsia" w:ascii="宋体" w:hAnsi="宋体"/>
                <w:b/>
                <w:color w:val="auto"/>
                <w:spacing w:val="-6"/>
                <w:sz w:val="21"/>
                <w:szCs w:val="21"/>
                <w:highlight w:val="none"/>
              </w:rPr>
              <w:t>备注：若不属于财政部《节能产品政府采购品目清单》及《环境标志产品政府采购品目清单》内产品的，则该处填写“无”字样。</w:t>
            </w:r>
          </w:p>
        </w:tc>
      </w:tr>
      <w:tr w14:paraId="44E9CA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5" w:hRule="atLeast"/>
        </w:trPr>
        <w:tc>
          <w:tcPr>
            <w:tcW w:w="10387" w:type="dxa"/>
            <w:gridSpan w:val="10"/>
            <w:tcBorders>
              <w:top w:val="single" w:color="auto" w:sz="4" w:space="0"/>
              <w:left w:val="single" w:color="auto" w:sz="4" w:space="0"/>
              <w:bottom w:val="single" w:color="auto" w:sz="4" w:space="0"/>
            </w:tcBorders>
            <w:noWrap w:val="0"/>
            <w:vAlign w:val="center"/>
          </w:tcPr>
          <w:p w14:paraId="69911A6B">
            <w:pPr>
              <w:pStyle w:val="19"/>
              <w:keepNext w:val="0"/>
              <w:keepLines w:val="0"/>
              <w:pageBreakBefore w:val="0"/>
              <w:widowControl w:val="0"/>
              <w:kinsoku/>
              <w:wordWrap/>
              <w:overflowPunct/>
              <w:topLinePunct w:val="0"/>
              <w:autoSpaceDE w:val="0"/>
              <w:autoSpaceDN w:val="0"/>
              <w:bidi w:val="0"/>
              <w:adjustRightInd/>
              <w:snapToGrid/>
              <w:spacing w:line="360" w:lineRule="auto"/>
              <w:ind w:left="249"/>
              <w:jc w:val="left"/>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rPr>
              <w:t>说明：供应商谈判报价应包括本次采购范围内货物价款、货物随配标准附件、包装、运输、装卸、保险、税金、货到位以及安装、安装所需辅材、调试、检验、售后服务、培训、保修</w:t>
            </w:r>
            <w:r>
              <w:rPr>
                <w:rFonts w:hint="eastAsia" w:ascii="宋体" w:hAnsi="宋体"/>
                <w:color w:val="auto"/>
                <w:sz w:val="21"/>
                <w:szCs w:val="21"/>
                <w:highlight w:val="none"/>
                <w:lang w:eastAsia="zh-CN"/>
              </w:rPr>
              <w:t>（质保）</w:t>
            </w:r>
            <w:r>
              <w:rPr>
                <w:rFonts w:hint="eastAsia" w:ascii="宋体" w:hAnsi="宋体"/>
                <w:color w:val="auto"/>
                <w:sz w:val="21"/>
                <w:szCs w:val="21"/>
                <w:highlight w:val="none"/>
              </w:rPr>
              <w:t>、验收及其他所有成本费用的总和，供应商应综合考虑在报价中。</w:t>
            </w:r>
            <w:r>
              <w:rPr>
                <w:rFonts w:hint="eastAsia" w:asciiTheme="minorEastAsia" w:hAnsiTheme="minorEastAsia" w:eastAsiaTheme="minorEastAsia" w:cstheme="minorEastAsia"/>
                <w:color w:val="auto"/>
                <w:sz w:val="21"/>
                <w:szCs w:val="21"/>
                <w:lang w:val="en-US" w:eastAsia="zh-CN"/>
              </w:rPr>
              <w:t>供应商</w:t>
            </w:r>
            <w:r>
              <w:rPr>
                <w:rFonts w:hint="eastAsia" w:asciiTheme="minorEastAsia" w:hAnsiTheme="minorEastAsia" w:eastAsiaTheme="minorEastAsia" w:cstheme="minorEastAsia"/>
                <w:color w:val="auto"/>
                <w:sz w:val="21"/>
                <w:szCs w:val="21"/>
              </w:rPr>
              <w:t>负责工人人身</w:t>
            </w:r>
            <w:r>
              <w:rPr>
                <w:rFonts w:hint="eastAsia" w:asciiTheme="minorEastAsia" w:hAnsiTheme="minorEastAsia" w:eastAsiaTheme="minorEastAsia" w:cstheme="minorEastAsia"/>
                <w:color w:val="auto"/>
                <w:sz w:val="21"/>
                <w:szCs w:val="21"/>
                <w:lang w:val="en-US" w:eastAsia="zh-CN"/>
              </w:rPr>
              <w:t>和</w:t>
            </w:r>
            <w:r>
              <w:rPr>
                <w:rFonts w:hint="eastAsia" w:asciiTheme="minorEastAsia" w:hAnsiTheme="minorEastAsia" w:eastAsiaTheme="minorEastAsia" w:cstheme="minorEastAsia"/>
                <w:color w:val="auto"/>
                <w:sz w:val="21"/>
                <w:szCs w:val="21"/>
              </w:rPr>
              <w:t>设备安全责任，验收前，设备丢失自行负责。</w:t>
            </w:r>
          </w:p>
        </w:tc>
      </w:tr>
      <w:tr w14:paraId="313CF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5" w:hRule="atLeast"/>
        </w:trPr>
        <w:tc>
          <w:tcPr>
            <w:tcW w:w="10387" w:type="dxa"/>
            <w:gridSpan w:val="10"/>
            <w:tcBorders>
              <w:top w:val="single" w:color="auto" w:sz="4" w:space="0"/>
              <w:left w:val="single" w:color="auto" w:sz="4" w:space="0"/>
              <w:bottom w:val="single" w:color="auto" w:sz="4" w:space="0"/>
            </w:tcBorders>
            <w:noWrap w:val="0"/>
            <w:vAlign w:val="center"/>
          </w:tcPr>
          <w:p w14:paraId="269D861D">
            <w:pPr>
              <w:pStyle w:val="19"/>
              <w:jc w:val="left"/>
              <w:rPr>
                <w:rFonts w:hint="eastAsia" w:ascii="宋体" w:hAnsi="宋体"/>
                <w:color w:val="auto"/>
                <w:sz w:val="21"/>
                <w:szCs w:val="21"/>
                <w:highlight w:val="none"/>
              </w:rPr>
            </w:pPr>
            <w:r>
              <w:rPr>
                <w:rFonts w:hint="eastAsia" w:ascii="宋体" w:hAnsi="宋体" w:eastAsia="宋体" w:cs="Times New Roman"/>
                <w:b/>
                <w:color w:val="auto"/>
                <w:spacing w:val="-6"/>
                <w:kern w:val="2"/>
                <w:sz w:val="21"/>
                <w:szCs w:val="21"/>
                <w:highlight w:val="none"/>
                <w:lang w:val="en-US" w:eastAsia="zh-CN" w:bidi="ar-SA"/>
              </w:rPr>
              <w:t>响应产品中，属于本国产品总值为</w:t>
            </w:r>
            <w:r>
              <w:rPr>
                <w:rFonts w:hint="eastAsia" w:ascii="宋体" w:hAnsi="宋体" w:eastAsia="宋体" w:cs="Times New Roman"/>
                <w:b/>
                <w:color w:val="auto"/>
                <w:spacing w:val="-6"/>
                <w:kern w:val="2"/>
                <w:sz w:val="21"/>
                <w:szCs w:val="21"/>
                <w:highlight w:val="none"/>
                <w:u w:val="single"/>
                <w:lang w:val="en-US" w:eastAsia="zh-CN" w:bidi="ar-SA"/>
              </w:rPr>
              <w:t xml:space="preserve">           </w:t>
            </w:r>
            <w:r>
              <w:rPr>
                <w:rFonts w:hint="eastAsia" w:ascii="宋体" w:hAnsi="宋体" w:eastAsia="宋体" w:cs="Times New Roman"/>
                <w:b/>
                <w:color w:val="auto"/>
                <w:spacing w:val="-6"/>
                <w:kern w:val="2"/>
                <w:sz w:val="21"/>
                <w:szCs w:val="21"/>
                <w:highlight w:val="none"/>
                <w:lang w:val="en-US" w:eastAsia="zh-CN" w:bidi="ar-SA"/>
              </w:rPr>
              <w:t>元（¥</w:t>
            </w:r>
            <w:r>
              <w:rPr>
                <w:rFonts w:hint="eastAsia" w:ascii="宋体" w:hAnsi="宋体" w:eastAsia="宋体" w:cs="Times New Roman"/>
                <w:b/>
                <w:color w:val="auto"/>
                <w:spacing w:val="-6"/>
                <w:kern w:val="2"/>
                <w:sz w:val="21"/>
                <w:szCs w:val="21"/>
                <w:highlight w:val="none"/>
                <w:u w:val="single"/>
                <w:lang w:val="en-US" w:eastAsia="zh-CN" w:bidi="ar-SA"/>
              </w:rPr>
              <w:t xml:space="preserve">            </w:t>
            </w:r>
            <w:r>
              <w:rPr>
                <w:rFonts w:hint="eastAsia" w:ascii="宋体" w:hAnsi="宋体" w:eastAsia="宋体" w:cs="Times New Roman"/>
                <w:b/>
                <w:color w:val="auto"/>
                <w:spacing w:val="-6"/>
                <w:kern w:val="2"/>
                <w:sz w:val="21"/>
                <w:szCs w:val="21"/>
                <w:highlight w:val="none"/>
                <w:lang w:val="en-US" w:eastAsia="zh-CN" w:bidi="ar-SA"/>
              </w:rPr>
              <w:t>）（具体明细详见附表，附表格式自拟），占响应产品的比例为</w:t>
            </w:r>
            <w:r>
              <w:rPr>
                <w:rFonts w:hint="eastAsia" w:ascii="宋体" w:hAnsi="宋体" w:eastAsia="宋体" w:cs="Times New Roman"/>
                <w:b/>
                <w:color w:val="auto"/>
                <w:spacing w:val="-6"/>
                <w:kern w:val="2"/>
                <w:sz w:val="21"/>
                <w:szCs w:val="21"/>
                <w:highlight w:val="none"/>
                <w:u w:val="single"/>
                <w:lang w:val="en-US" w:eastAsia="zh-CN" w:bidi="ar-SA"/>
              </w:rPr>
              <w:t xml:space="preserve">          </w:t>
            </w:r>
            <w:r>
              <w:rPr>
                <w:rFonts w:hint="eastAsia" w:ascii="宋体" w:hAnsi="宋体" w:eastAsia="宋体" w:cs="Times New Roman"/>
                <w:b/>
                <w:color w:val="auto"/>
                <w:spacing w:val="-6"/>
                <w:kern w:val="2"/>
                <w:sz w:val="21"/>
                <w:szCs w:val="21"/>
                <w:highlight w:val="none"/>
                <w:lang w:val="en-US" w:eastAsia="zh-CN" w:bidi="ar-SA"/>
              </w:rPr>
              <w:t xml:space="preserve"> %。</w:t>
            </w:r>
          </w:p>
        </w:tc>
      </w:tr>
    </w:tbl>
    <w:p w14:paraId="50476314">
      <w:pPr>
        <w:pStyle w:val="19"/>
        <w:rPr>
          <w:rFonts w:hint="eastAsia"/>
          <w:color w:val="auto"/>
        </w:rPr>
      </w:pPr>
    </w:p>
    <w:p w14:paraId="654E0AD5">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宋体" w:hAnsi="宋体" w:eastAsia="宋体" w:cs="宋体"/>
          <w:color w:val="auto"/>
          <w:sz w:val="21"/>
          <w:szCs w:val="21"/>
          <w:highlight w:val="none"/>
          <w:u w:val="single"/>
          <w:lang w:val="en-US" w:eastAsia="zh-CN"/>
        </w:rPr>
      </w:pPr>
      <w:r>
        <w:rPr>
          <w:rFonts w:hint="eastAsia" w:ascii="宋体" w:hAnsi="宋体" w:cs="宋体"/>
          <w:color w:val="auto"/>
          <w:sz w:val="21"/>
          <w:szCs w:val="21"/>
          <w:highlight w:val="none"/>
        </w:rPr>
        <w:t>供应商（电子签章）：</w:t>
      </w:r>
      <w:r>
        <w:rPr>
          <w:rFonts w:hint="eastAsia" w:ascii="宋体" w:hAnsi="宋体" w:cs="宋体"/>
          <w:color w:val="auto"/>
          <w:sz w:val="21"/>
          <w:szCs w:val="21"/>
          <w:highlight w:val="none"/>
          <w:u w:val="single"/>
          <w:lang w:val="en-US" w:eastAsia="zh-CN"/>
        </w:rPr>
        <w:t xml:space="preserve">                       </w:t>
      </w:r>
    </w:p>
    <w:p w14:paraId="2FFC6E58">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default" w:ascii="宋体" w:hAnsi="宋体" w:eastAsia="宋体" w:cs="宋体"/>
          <w:color w:val="auto"/>
          <w:sz w:val="21"/>
          <w:szCs w:val="24"/>
          <w:highlight w:val="none"/>
          <w:u w:val="single"/>
          <w:lang w:val="en-US" w:eastAsia="zh-CN"/>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r>
        <w:rPr>
          <w:rFonts w:hint="eastAsia" w:ascii="宋体" w:hAnsi="宋体" w:cs="宋体"/>
          <w:color w:val="auto"/>
          <w:sz w:val="21"/>
          <w:szCs w:val="24"/>
          <w:highlight w:val="none"/>
          <w:u w:val="single"/>
          <w:lang w:val="en-US" w:eastAsia="zh-CN"/>
        </w:rPr>
        <w:t xml:space="preserve">                     </w:t>
      </w:r>
    </w:p>
    <w:p w14:paraId="62464EE2">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3F2DBFEA">
      <w:pPr>
        <w:tabs>
          <w:tab w:val="left" w:pos="1305"/>
        </w:tabs>
        <w:spacing w:line="400" w:lineRule="exact"/>
        <w:rPr>
          <w:rFonts w:hint="eastAsia" w:ascii="宋体" w:hAnsi="宋体" w:cs="宋体"/>
          <w:bCs/>
          <w:color w:val="auto"/>
          <w:sz w:val="21"/>
          <w:szCs w:val="21"/>
        </w:rPr>
      </w:pPr>
      <w:r>
        <w:rPr>
          <w:rFonts w:hint="eastAsia" w:ascii="宋体" w:hAnsi="宋体" w:cs="宋体"/>
          <w:b/>
          <w:color w:val="auto"/>
          <w:sz w:val="21"/>
          <w:szCs w:val="21"/>
        </w:rPr>
        <w:t>注：</w:t>
      </w:r>
      <w:r>
        <w:rPr>
          <w:rFonts w:hint="eastAsia" w:ascii="宋体" w:hAnsi="宋体" w:cs="宋体"/>
          <w:bCs/>
          <w:color w:val="auto"/>
          <w:sz w:val="21"/>
          <w:szCs w:val="21"/>
        </w:rPr>
        <w:t>1.</w:t>
      </w:r>
      <w:r>
        <w:rPr>
          <w:rFonts w:hint="eastAsia" w:ascii="宋体" w:hAnsi="宋体" w:cs="宋体"/>
          <w:color w:val="auto"/>
          <w:sz w:val="21"/>
          <w:szCs w:val="21"/>
        </w:rPr>
        <w:t xml:space="preserve"> 供应商必须就“采购需求”中所有内容作完整唯一报价，根据“采购需求”中的“采购需求（技术参数、性能、配置等要求）”要求逐项对应填报所提供货物的性能指标等承诺（即：谈判报价表），否则，其响应将被拒绝；响应文件只允许有一个报价，有选择的或有条件的报价将不予接受。</w:t>
      </w:r>
    </w:p>
    <w:p w14:paraId="7156D418">
      <w:pPr>
        <w:pStyle w:val="24"/>
        <w:spacing w:line="400" w:lineRule="exact"/>
        <w:ind w:firstLine="420" w:firstLineChars="200"/>
        <w:rPr>
          <w:rFonts w:hint="eastAsia" w:hAnsi="宋体" w:cs="宋体"/>
          <w:color w:val="auto"/>
          <w:sz w:val="21"/>
          <w:szCs w:val="21"/>
        </w:rPr>
      </w:pPr>
      <w:r>
        <w:rPr>
          <w:rFonts w:hint="eastAsia" w:hAnsi="宋体" w:cs="宋体"/>
          <w:color w:val="auto"/>
          <w:sz w:val="21"/>
          <w:szCs w:val="21"/>
        </w:rPr>
        <w:t>2.供应商应根据所提供的货物如实填写谈判报价表</w:t>
      </w:r>
      <w:r>
        <w:rPr>
          <w:rFonts w:hint="eastAsia" w:hAnsi="宋体" w:cs="宋体"/>
          <w:bCs/>
          <w:color w:val="auto"/>
          <w:sz w:val="21"/>
          <w:szCs w:val="21"/>
        </w:rPr>
        <w:t>的各项内容，否则，响应文件无效。</w:t>
      </w:r>
    </w:p>
    <w:p w14:paraId="6C254749">
      <w:pPr>
        <w:spacing w:line="400" w:lineRule="exact"/>
        <w:ind w:firstLine="420" w:firstLineChars="200"/>
        <w:rPr>
          <w:rFonts w:hint="eastAsia" w:ascii="宋体" w:hAnsi="宋体" w:cs="宋体"/>
          <w:color w:val="auto"/>
          <w:sz w:val="21"/>
          <w:szCs w:val="21"/>
        </w:rPr>
      </w:pPr>
      <w:r>
        <w:rPr>
          <w:rFonts w:hint="eastAsia" w:ascii="宋体" w:hAnsi="宋体" w:cs="宋体"/>
          <w:bCs/>
          <w:color w:val="auto"/>
          <w:sz w:val="21"/>
          <w:szCs w:val="21"/>
        </w:rPr>
        <w:t>3.</w:t>
      </w:r>
      <w:r>
        <w:rPr>
          <w:rFonts w:hint="eastAsia" w:ascii="宋体" w:hAnsi="宋体" w:cs="宋体"/>
          <w:color w:val="auto"/>
          <w:sz w:val="21"/>
          <w:szCs w:val="21"/>
        </w:rPr>
        <w:t>谈判</w:t>
      </w:r>
      <w:r>
        <w:rPr>
          <w:rFonts w:hint="eastAsia" w:ascii="宋体" w:hAnsi="宋体" w:cs="宋体"/>
          <w:bCs/>
          <w:color w:val="auto"/>
          <w:sz w:val="21"/>
          <w:szCs w:val="21"/>
        </w:rPr>
        <w:t>报价表须由法</w:t>
      </w:r>
      <w:r>
        <w:rPr>
          <w:rFonts w:hint="eastAsia" w:ascii="宋体" w:hAnsi="宋体" w:cs="宋体"/>
          <w:color w:val="auto"/>
          <w:sz w:val="21"/>
          <w:szCs w:val="21"/>
        </w:rPr>
        <w:t>定代表人、负责人、自然人或相应的委托代理人签字或个人</w:t>
      </w:r>
      <w:r>
        <w:rPr>
          <w:rFonts w:hint="eastAsia" w:ascii="宋体" w:hAnsi="宋体" w:cs="宋体"/>
          <w:color w:val="auto"/>
          <w:sz w:val="21"/>
          <w:szCs w:val="21"/>
          <w:lang w:val="en-US" w:eastAsia="zh-CN"/>
        </w:rPr>
        <w:t>电子</w:t>
      </w:r>
      <w:r>
        <w:rPr>
          <w:rFonts w:hint="eastAsia" w:ascii="宋体" w:hAnsi="宋体" w:cs="宋体"/>
          <w:color w:val="auto"/>
          <w:sz w:val="21"/>
          <w:szCs w:val="21"/>
        </w:rPr>
        <w:t>签章（属自然人的应在签名处加盖大拇指指印或个人</w:t>
      </w:r>
      <w:r>
        <w:rPr>
          <w:rFonts w:hint="eastAsia" w:ascii="宋体" w:hAnsi="宋体" w:cs="宋体"/>
          <w:color w:val="auto"/>
          <w:sz w:val="21"/>
          <w:szCs w:val="21"/>
          <w:lang w:val="en-US" w:eastAsia="zh-CN"/>
        </w:rPr>
        <w:t>电子</w:t>
      </w:r>
      <w:r>
        <w:rPr>
          <w:rFonts w:hint="eastAsia" w:ascii="宋体" w:hAnsi="宋体" w:cs="宋体"/>
          <w:color w:val="auto"/>
          <w:sz w:val="21"/>
          <w:szCs w:val="21"/>
        </w:rPr>
        <w:t>签章）并加盖供应商</w:t>
      </w:r>
      <w:r>
        <w:rPr>
          <w:rFonts w:hint="eastAsia" w:ascii="宋体" w:hAnsi="宋体" w:cs="宋体"/>
          <w:color w:val="auto"/>
          <w:sz w:val="21"/>
          <w:szCs w:val="21"/>
          <w:lang w:val="en-US" w:eastAsia="zh-CN"/>
        </w:rPr>
        <w:t>电子</w:t>
      </w:r>
      <w:r>
        <w:rPr>
          <w:rFonts w:hint="eastAsia" w:ascii="宋体" w:hAnsi="宋体" w:cs="宋体"/>
          <w:color w:val="auto"/>
          <w:sz w:val="21"/>
          <w:szCs w:val="21"/>
        </w:rPr>
        <w:t>签章（自然人除外）。</w:t>
      </w:r>
    </w:p>
    <w:p w14:paraId="7B15394E">
      <w:pPr>
        <w:spacing w:line="400" w:lineRule="exact"/>
        <w:ind w:firstLine="420" w:firstLineChars="200"/>
        <w:rPr>
          <w:rFonts w:hint="eastAsia" w:ascii="宋体" w:hAnsi="宋体" w:cs="宋体"/>
          <w:bCs/>
          <w:color w:val="auto"/>
          <w:sz w:val="21"/>
          <w:szCs w:val="21"/>
        </w:rPr>
      </w:pPr>
      <w:r>
        <w:rPr>
          <w:rFonts w:hint="eastAsia" w:ascii="宋体" w:hAnsi="宋体" w:cs="宋体"/>
          <w:bCs/>
          <w:color w:val="auto"/>
          <w:sz w:val="21"/>
          <w:szCs w:val="21"/>
        </w:rPr>
        <w:t>4.如全部或部分产品属于《节能产品政府采购清单》或《环境标志产品政府采购清单》目录范围的，</w:t>
      </w:r>
      <w:r>
        <w:rPr>
          <w:rFonts w:hint="eastAsia" w:ascii="宋体" w:hAnsi="宋体" w:cs="宋体"/>
          <w:color w:val="auto"/>
          <w:sz w:val="21"/>
          <w:szCs w:val="21"/>
        </w:rPr>
        <w:t>供应商</w:t>
      </w:r>
      <w:r>
        <w:rPr>
          <w:rFonts w:hint="eastAsia" w:ascii="宋体" w:hAnsi="宋体" w:cs="宋体"/>
          <w:bCs/>
          <w:color w:val="auto"/>
          <w:sz w:val="21"/>
          <w:szCs w:val="21"/>
        </w:rPr>
        <w:t>应在本表备注栏内写明各分项货物属于节能（或环境标志）产品政府采购清单第几类第几项序号的产品，以便谈判小组作为优先采购或评审的依据。</w:t>
      </w:r>
    </w:p>
    <w:p w14:paraId="24750E61">
      <w:pPr>
        <w:spacing w:line="400" w:lineRule="exact"/>
        <w:ind w:firstLine="422" w:firstLineChars="200"/>
        <w:rPr>
          <w:b/>
          <w:bCs/>
          <w:color w:val="auto"/>
          <w:sz w:val="21"/>
          <w:szCs w:val="21"/>
        </w:rPr>
      </w:pPr>
      <w:r>
        <w:rPr>
          <w:b/>
          <w:bCs/>
          <w:color w:val="auto"/>
          <w:sz w:val="21"/>
          <w:szCs w:val="21"/>
        </w:rPr>
        <w:t>当本表由多页构成时，需逐页加盖供应商</w:t>
      </w:r>
      <w:r>
        <w:rPr>
          <w:rFonts w:hint="eastAsia" w:ascii="宋体" w:hAnsi="宋体" w:cs="宋体"/>
          <w:b/>
          <w:bCs/>
          <w:color w:val="auto"/>
          <w:sz w:val="21"/>
          <w:szCs w:val="21"/>
          <w:lang w:val="en-US" w:eastAsia="zh-CN"/>
        </w:rPr>
        <w:t>电子</w:t>
      </w:r>
      <w:r>
        <w:rPr>
          <w:rFonts w:hint="eastAsia"/>
          <w:b/>
          <w:bCs/>
          <w:color w:val="auto"/>
          <w:sz w:val="21"/>
          <w:szCs w:val="21"/>
        </w:rPr>
        <w:t>签章</w:t>
      </w:r>
      <w:r>
        <w:rPr>
          <w:b/>
          <w:bCs/>
          <w:color w:val="auto"/>
          <w:sz w:val="21"/>
          <w:szCs w:val="21"/>
        </w:rPr>
        <w:t>（属自然人的须逐页签字</w:t>
      </w:r>
      <w:r>
        <w:rPr>
          <w:rFonts w:hint="eastAsia"/>
          <w:b/>
          <w:bCs/>
          <w:color w:val="auto"/>
          <w:sz w:val="21"/>
          <w:szCs w:val="21"/>
        </w:rPr>
        <w:t>或加盖个人</w:t>
      </w:r>
      <w:r>
        <w:rPr>
          <w:rFonts w:hint="eastAsia" w:ascii="宋体" w:hAnsi="宋体" w:cs="宋体"/>
          <w:b/>
          <w:bCs/>
          <w:color w:val="auto"/>
          <w:sz w:val="21"/>
          <w:szCs w:val="21"/>
          <w:lang w:val="en-US" w:eastAsia="zh-CN"/>
        </w:rPr>
        <w:t>电子</w:t>
      </w:r>
      <w:r>
        <w:rPr>
          <w:rFonts w:hint="eastAsia"/>
          <w:b/>
          <w:bCs/>
          <w:color w:val="auto"/>
          <w:sz w:val="21"/>
          <w:szCs w:val="21"/>
        </w:rPr>
        <w:t>签章</w:t>
      </w:r>
      <w:r>
        <w:rPr>
          <w:b/>
          <w:bCs/>
          <w:color w:val="auto"/>
          <w:sz w:val="21"/>
          <w:szCs w:val="21"/>
        </w:rPr>
        <w:t>）。</w:t>
      </w:r>
    </w:p>
    <w:p w14:paraId="441F1746">
      <w:pPr>
        <w:pStyle w:val="24"/>
        <w:keepLines w:val="0"/>
        <w:pageBreakBefore w:val="0"/>
        <w:kinsoku/>
        <w:overflowPunct/>
        <w:bidi w:val="0"/>
        <w:spacing w:line="360" w:lineRule="auto"/>
        <w:rPr>
          <w:rFonts w:hint="eastAsia"/>
          <w:b/>
          <w:color w:val="auto"/>
          <w:sz w:val="28"/>
          <w:szCs w:val="28"/>
          <w:highlight w:val="none"/>
          <w:lang w:val="en-US"/>
        </w:rPr>
      </w:pPr>
    </w:p>
    <w:p w14:paraId="3A733610">
      <w:pPr>
        <w:pStyle w:val="24"/>
        <w:keepLines w:val="0"/>
        <w:pageBreakBefore w:val="0"/>
        <w:kinsoku/>
        <w:overflowPunct/>
        <w:bidi w:val="0"/>
        <w:spacing w:line="360" w:lineRule="auto"/>
        <w:rPr>
          <w:rFonts w:hint="eastAsia"/>
          <w:b/>
          <w:color w:val="auto"/>
          <w:sz w:val="28"/>
          <w:szCs w:val="28"/>
          <w:highlight w:val="none"/>
          <w:lang w:val="en-US"/>
        </w:rPr>
      </w:pPr>
    </w:p>
    <w:p w14:paraId="5AC9C39B">
      <w:pPr>
        <w:pStyle w:val="24"/>
        <w:keepLines w:val="0"/>
        <w:pageBreakBefore w:val="0"/>
        <w:kinsoku/>
        <w:overflowPunct/>
        <w:bidi w:val="0"/>
        <w:spacing w:line="360" w:lineRule="auto"/>
        <w:rPr>
          <w:rFonts w:hint="eastAsia"/>
          <w:b/>
          <w:color w:val="auto"/>
          <w:sz w:val="28"/>
          <w:szCs w:val="28"/>
          <w:highlight w:val="none"/>
          <w:lang w:val="en-US"/>
        </w:rPr>
      </w:pPr>
    </w:p>
    <w:p w14:paraId="45FE1867">
      <w:pPr>
        <w:pStyle w:val="2"/>
        <w:numPr>
          <w:ilvl w:val="0"/>
          <w:numId w:val="0"/>
        </w:numPr>
        <w:ind w:left="432" w:leftChars="0"/>
        <w:rPr>
          <w:rFonts w:hint="eastAsia"/>
          <w:color w:val="auto"/>
          <w:lang w:val="en-US"/>
        </w:rPr>
      </w:pPr>
    </w:p>
    <w:p w14:paraId="1675D0CF">
      <w:pPr>
        <w:rPr>
          <w:rFonts w:hint="eastAsia"/>
          <w:color w:val="auto"/>
          <w:lang w:val="en-US"/>
        </w:rPr>
      </w:pPr>
    </w:p>
    <w:p w14:paraId="0358D443">
      <w:pPr>
        <w:pStyle w:val="19"/>
        <w:rPr>
          <w:rFonts w:hint="eastAsia"/>
          <w:color w:val="auto"/>
          <w:lang w:val="en-US"/>
        </w:rPr>
      </w:pPr>
    </w:p>
    <w:p w14:paraId="5B1AABFD">
      <w:pPr>
        <w:rPr>
          <w:rFonts w:hint="eastAsia"/>
          <w:color w:val="auto"/>
          <w:lang w:val="en-US"/>
        </w:rPr>
      </w:pPr>
    </w:p>
    <w:p w14:paraId="66E2B7B8">
      <w:pPr>
        <w:rPr>
          <w:rFonts w:hint="eastAsia"/>
          <w:b/>
          <w:color w:val="auto"/>
          <w:sz w:val="28"/>
          <w:szCs w:val="28"/>
          <w:highlight w:val="none"/>
          <w:lang w:val="en-US"/>
        </w:rPr>
      </w:pPr>
    </w:p>
    <w:p w14:paraId="3971D9E7">
      <w:pPr>
        <w:pStyle w:val="19"/>
        <w:rPr>
          <w:rFonts w:hint="eastAsia"/>
          <w:b/>
          <w:color w:val="auto"/>
          <w:sz w:val="28"/>
          <w:szCs w:val="28"/>
          <w:highlight w:val="none"/>
          <w:lang w:val="en-US"/>
        </w:rPr>
      </w:pPr>
    </w:p>
    <w:p w14:paraId="66BEF50F">
      <w:pPr>
        <w:rPr>
          <w:rFonts w:hint="eastAsia"/>
          <w:b/>
          <w:color w:val="auto"/>
          <w:sz w:val="28"/>
          <w:szCs w:val="28"/>
          <w:highlight w:val="none"/>
          <w:lang w:val="en-US"/>
        </w:rPr>
      </w:pPr>
    </w:p>
    <w:p w14:paraId="11169540">
      <w:pPr>
        <w:pStyle w:val="19"/>
        <w:rPr>
          <w:rFonts w:hint="eastAsia"/>
          <w:b/>
          <w:color w:val="auto"/>
          <w:sz w:val="28"/>
          <w:szCs w:val="28"/>
          <w:highlight w:val="none"/>
          <w:lang w:val="en-US"/>
        </w:rPr>
      </w:pPr>
    </w:p>
    <w:p w14:paraId="2C51B6E8">
      <w:pPr>
        <w:rPr>
          <w:rFonts w:hint="eastAsia"/>
          <w:b/>
          <w:color w:val="auto"/>
          <w:sz w:val="28"/>
          <w:szCs w:val="28"/>
          <w:highlight w:val="none"/>
          <w:lang w:val="en-US"/>
        </w:rPr>
      </w:pPr>
    </w:p>
    <w:p w14:paraId="6CD11436">
      <w:pPr>
        <w:pStyle w:val="19"/>
        <w:rPr>
          <w:rFonts w:hint="eastAsia"/>
          <w:b/>
          <w:color w:val="auto"/>
          <w:sz w:val="28"/>
          <w:szCs w:val="28"/>
          <w:highlight w:val="none"/>
          <w:lang w:val="en-US"/>
        </w:rPr>
      </w:pPr>
    </w:p>
    <w:p w14:paraId="15EDC72E">
      <w:pPr>
        <w:rPr>
          <w:rFonts w:hint="eastAsia"/>
          <w:b/>
          <w:color w:val="auto"/>
          <w:sz w:val="28"/>
          <w:szCs w:val="28"/>
          <w:highlight w:val="none"/>
          <w:lang w:val="en-US"/>
        </w:rPr>
      </w:pPr>
    </w:p>
    <w:p w14:paraId="7A5FACFD">
      <w:pPr>
        <w:pStyle w:val="19"/>
        <w:rPr>
          <w:rFonts w:hint="eastAsia"/>
          <w:b/>
          <w:color w:val="auto"/>
          <w:sz w:val="28"/>
          <w:szCs w:val="28"/>
          <w:highlight w:val="none"/>
          <w:lang w:val="en-US"/>
        </w:rPr>
      </w:pPr>
    </w:p>
    <w:p w14:paraId="0D4B5B47">
      <w:pPr>
        <w:rPr>
          <w:rFonts w:hint="eastAsia"/>
          <w:b/>
          <w:color w:val="auto"/>
          <w:sz w:val="28"/>
          <w:szCs w:val="28"/>
          <w:highlight w:val="none"/>
          <w:lang w:val="en-US"/>
        </w:rPr>
      </w:pPr>
    </w:p>
    <w:p w14:paraId="5405EA38">
      <w:pPr>
        <w:rPr>
          <w:rFonts w:hint="eastAsia"/>
          <w:b/>
          <w:color w:val="auto"/>
          <w:sz w:val="28"/>
          <w:szCs w:val="28"/>
          <w:highlight w:val="none"/>
          <w:lang w:val="en-US"/>
        </w:rPr>
      </w:pPr>
    </w:p>
    <w:p w14:paraId="040CD58C">
      <w:pPr>
        <w:pStyle w:val="19"/>
        <w:rPr>
          <w:rFonts w:hint="eastAsia"/>
          <w:b/>
          <w:color w:val="auto"/>
          <w:sz w:val="28"/>
          <w:szCs w:val="28"/>
          <w:highlight w:val="none"/>
          <w:lang w:val="en-US"/>
        </w:rPr>
      </w:pPr>
    </w:p>
    <w:p w14:paraId="6400B9C2">
      <w:pPr>
        <w:rPr>
          <w:rFonts w:hint="eastAsia"/>
          <w:b/>
          <w:color w:val="auto"/>
          <w:sz w:val="28"/>
          <w:szCs w:val="28"/>
          <w:highlight w:val="none"/>
          <w:lang w:val="en-US"/>
        </w:rPr>
      </w:pPr>
    </w:p>
    <w:p w14:paraId="51364BE6">
      <w:pPr>
        <w:pStyle w:val="19"/>
        <w:rPr>
          <w:rFonts w:hint="eastAsia"/>
          <w:b/>
          <w:color w:val="auto"/>
          <w:sz w:val="28"/>
          <w:szCs w:val="28"/>
          <w:highlight w:val="none"/>
          <w:lang w:val="en-US"/>
        </w:rPr>
      </w:pPr>
    </w:p>
    <w:p w14:paraId="287A6705">
      <w:pPr>
        <w:pStyle w:val="24"/>
        <w:keepLines w:val="0"/>
        <w:pageBreakBefore w:val="0"/>
        <w:kinsoku/>
        <w:overflowPunct/>
        <w:bidi w:val="0"/>
        <w:spacing w:line="360" w:lineRule="auto"/>
        <w:rPr>
          <w:b/>
          <w:color w:val="auto"/>
          <w:sz w:val="28"/>
          <w:szCs w:val="28"/>
          <w:highlight w:val="none"/>
        </w:rPr>
      </w:pPr>
      <w:r>
        <w:rPr>
          <w:rFonts w:hint="eastAsia"/>
          <w:b/>
          <w:color w:val="auto"/>
          <w:sz w:val="28"/>
          <w:szCs w:val="28"/>
          <w:highlight w:val="none"/>
          <w:lang w:val="en-US"/>
        </w:rPr>
        <w:t>3</w:t>
      </w:r>
      <w:r>
        <w:rPr>
          <w:rFonts w:hint="eastAsia"/>
          <w:b/>
          <w:color w:val="auto"/>
          <w:sz w:val="28"/>
          <w:szCs w:val="28"/>
          <w:highlight w:val="none"/>
        </w:rPr>
        <w:t>.技术响应承诺书（必须提供）</w:t>
      </w:r>
    </w:p>
    <w:p w14:paraId="7F7B57B8">
      <w:pPr>
        <w:pStyle w:val="24"/>
        <w:keepLines w:val="0"/>
        <w:pageBreakBefore w:val="0"/>
        <w:kinsoku/>
        <w:overflowPunct/>
        <w:bidi w:val="0"/>
        <w:spacing w:line="360" w:lineRule="auto"/>
        <w:rPr>
          <w:rFonts w:hint="eastAsia" w:hAnsi="宋体"/>
          <w:b/>
          <w:color w:val="auto"/>
          <w:szCs w:val="24"/>
          <w:highlight w:val="none"/>
        </w:rPr>
      </w:pPr>
      <w:r>
        <w:rPr>
          <w:rFonts w:hint="eastAsia" w:hAnsi="宋体"/>
          <w:b/>
          <w:bCs/>
          <w:color w:val="auto"/>
          <w:sz w:val="32"/>
          <w:szCs w:val="32"/>
          <w:highlight w:val="none"/>
        </w:rPr>
        <w:t>附件：</w:t>
      </w:r>
    </w:p>
    <w:p w14:paraId="73749CBA">
      <w:pPr>
        <w:pStyle w:val="24"/>
        <w:keepLines w:val="0"/>
        <w:pageBreakBefore w:val="0"/>
        <w:kinsoku/>
        <w:overflowPunct/>
        <w:bidi w:val="0"/>
        <w:spacing w:line="360" w:lineRule="auto"/>
        <w:ind w:firstLine="472" w:firstLineChars="147"/>
        <w:jc w:val="center"/>
        <w:rPr>
          <w:rFonts w:hint="eastAsia" w:hAnsi="宋体"/>
          <w:b/>
          <w:bCs/>
          <w:color w:val="auto"/>
          <w:sz w:val="32"/>
          <w:highlight w:val="none"/>
        </w:rPr>
      </w:pPr>
      <w:r>
        <w:rPr>
          <w:rFonts w:hint="eastAsia" w:hAnsi="宋体"/>
          <w:b/>
          <w:bCs/>
          <w:color w:val="auto"/>
          <w:sz w:val="32"/>
          <w:highlight w:val="none"/>
        </w:rPr>
        <w:t>技术响应承诺书（格式）</w:t>
      </w:r>
    </w:p>
    <w:p w14:paraId="58484E86">
      <w:pPr>
        <w:pStyle w:val="24"/>
        <w:keepLines w:val="0"/>
        <w:pageBreakBefore w:val="0"/>
        <w:kinsoku/>
        <w:overflowPunct/>
        <w:bidi w:val="0"/>
        <w:spacing w:line="360" w:lineRule="auto"/>
        <w:rPr>
          <w:rFonts w:hint="eastAsia" w:hAnsi="宋体"/>
          <w:b/>
          <w:color w:val="auto"/>
          <w:szCs w:val="24"/>
          <w:highlight w:val="none"/>
        </w:rPr>
      </w:pPr>
    </w:p>
    <w:tbl>
      <w:tblPr>
        <w:tblStyle w:val="43"/>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517"/>
        <w:gridCol w:w="3156"/>
        <w:gridCol w:w="2682"/>
        <w:gridCol w:w="1489"/>
      </w:tblGrid>
      <w:tr w14:paraId="376A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624" w:type="dxa"/>
            <w:vAlign w:val="center"/>
          </w:tcPr>
          <w:p w14:paraId="0ACF99F2">
            <w:pPr>
              <w:pStyle w:val="24"/>
              <w:spacing w:line="400" w:lineRule="exact"/>
              <w:jc w:val="center"/>
              <w:rPr>
                <w:rFonts w:hAnsi="宋体"/>
                <w:b/>
                <w:bCs/>
                <w:color w:val="auto"/>
                <w:kern w:val="2"/>
                <w:sz w:val="21"/>
                <w:szCs w:val="20"/>
                <w:highlight w:val="none"/>
              </w:rPr>
            </w:pPr>
            <w:r>
              <w:rPr>
                <w:rFonts w:hint="eastAsia" w:hAnsi="宋体"/>
                <w:b/>
                <w:bCs/>
                <w:color w:val="auto"/>
                <w:kern w:val="2"/>
                <w:sz w:val="21"/>
                <w:szCs w:val="20"/>
                <w:highlight w:val="none"/>
              </w:rPr>
              <w:t>项号</w:t>
            </w:r>
          </w:p>
        </w:tc>
        <w:tc>
          <w:tcPr>
            <w:tcW w:w="1517" w:type="dxa"/>
            <w:vAlign w:val="center"/>
          </w:tcPr>
          <w:p w14:paraId="046B520C">
            <w:pPr>
              <w:pStyle w:val="24"/>
              <w:spacing w:line="400" w:lineRule="exact"/>
              <w:jc w:val="center"/>
              <w:rPr>
                <w:rFonts w:hAnsi="宋体"/>
                <w:b/>
                <w:bCs/>
                <w:color w:val="auto"/>
                <w:kern w:val="2"/>
                <w:sz w:val="21"/>
                <w:szCs w:val="20"/>
                <w:highlight w:val="none"/>
              </w:rPr>
            </w:pPr>
            <w:r>
              <w:rPr>
                <w:rFonts w:hint="eastAsia" w:hAnsi="宋体"/>
                <w:b/>
                <w:bCs/>
                <w:color w:val="auto"/>
                <w:kern w:val="2"/>
                <w:sz w:val="21"/>
                <w:szCs w:val="20"/>
                <w:highlight w:val="none"/>
                <w:lang w:val="en-US" w:eastAsia="zh-CN"/>
              </w:rPr>
              <w:t>产品</w:t>
            </w:r>
            <w:r>
              <w:rPr>
                <w:rFonts w:hint="eastAsia" w:hAnsi="宋体"/>
                <w:b/>
                <w:bCs/>
                <w:color w:val="auto"/>
                <w:kern w:val="2"/>
                <w:sz w:val="21"/>
                <w:szCs w:val="20"/>
                <w:highlight w:val="none"/>
              </w:rPr>
              <w:t>名称</w:t>
            </w:r>
          </w:p>
        </w:tc>
        <w:tc>
          <w:tcPr>
            <w:tcW w:w="3156" w:type="dxa"/>
            <w:vAlign w:val="center"/>
          </w:tcPr>
          <w:p w14:paraId="3847224A">
            <w:pPr>
              <w:pStyle w:val="24"/>
              <w:spacing w:line="300" w:lineRule="exact"/>
              <w:jc w:val="center"/>
              <w:rPr>
                <w:rFonts w:hint="eastAsia" w:hAnsi="宋体" w:eastAsia="宋体"/>
                <w:b/>
                <w:bCs/>
                <w:color w:val="auto"/>
                <w:kern w:val="2"/>
                <w:sz w:val="21"/>
                <w:szCs w:val="20"/>
                <w:highlight w:val="none"/>
                <w:lang w:eastAsia="zh-CN"/>
              </w:rPr>
            </w:pPr>
            <w:r>
              <w:rPr>
                <w:rFonts w:hint="eastAsia" w:ascii="Times New Roman" w:hAnsi="Times New Roman"/>
                <w:b/>
                <w:bCs/>
                <w:color w:val="auto"/>
                <w:kern w:val="2"/>
                <w:sz w:val="21"/>
                <w:szCs w:val="21"/>
                <w:highlight w:val="none"/>
              </w:rPr>
              <w:t>竞争性</w:t>
            </w:r>
            <w:r>
              <w:rPr>
                <w:rFonts w:ascii="Times New Roman" w:hAnsi="Times New Roman"/>
                <w:b/>
                <w:bCs/>
                <w:color w:val="auto"/>
                <w:kern w:val="2"/>
                <w:sz w:val="21"/>
                <w:szCs w:val="21"/>
                <w:highlight w:val="none"/>
              </w:rPr>
              <w:t>谈判文件</w:t>
            </w:r>
            <w:r>
              <w:rPr>
                <w:rFonts w:hint="eastAsia" w:ascii="Times New Roman" w:hAnsi="Times New Roman"/>
                <w:b/>
                <w:bCs/>
                <w:color w:val="auto"/>
                <w:kern w:val="2"/>
                <w:sz w:val="21"/>
                <w:szCs w:val="21"/>
                <w:highlight w:val="none"/>
              </w:rPr>
              <w:t>的</w:t>
            </w:r>
            <w:r>
              <w:rPr>
                <w:rFonts w:hint="eastAsia" w:hAnsi="宋体"/>
                <w:b/>
                <w:bCs/>
                <w:color w:val="auto"/>
                <w:kern w:val="2"/>
                <w:sz w:val="21"/>
                <w:highlight w:val="none"/>
                <w:lang w:val="en-US" w:eastAsia="zh-CN"/>
              </w:rPr>
              <w:t>技术要求</w:t>
            </w:r>
          </w:p>
        </w:tc>
        <w:tc>
          <w:tcPr>
            <w:tcW w:w="2682" w:type="dxa"/>
            <w:vAlign w:val="center"/>
          </w:tcPr>
          <w:p w14:paraId="12F074BA">
            <w:pPr>
              <w:pStyle w:val="24"/>
              <w:spacing w:line="300" w:lineRule="exact"/>
              <w:jc w:val="center"/>
              <w:rPr>
                <w:rFonts w:hint="eastAsia" w:hAnsi="宋体" w:eastAsia="宋体"/>
                <w:b/>
                <w:bCs/>
                <w:color w:val="auto"/>
                <w:kern w:val="2"/>
                <w:sz w:val="21"/>
                <w:szCs w:val="20"/>
                <w:highlight w:val="none"/>
                <w:lang w:val="en-US" w:eastAsia="zh-CN"/>
              </w:rPr>
            </w:pPr>
            <w:r>
              <w:rPr>
                <w:rFonts w:hint="eastAsia" w:ascii="Times New Roman" w:hAnsi="Times New Roman"/>
                <w:b/>
                <w:bCs/>
                <w:color w:val="auto"/>
                <w:kern w:val="2"/>
                <w:sz w:val="21"/>
                <w:szCs w:val="21"/>
                <w:highlight w:val="none"/>
              </w:rPr>
              <w:t>响应文件承诺的</w:t>
            </w:r>
            <w:r>
              <w:rPr>
                <w:rFonts w:hint="eastAsia" w:ascii="Times New Roman" w:hAnsi="Times New Roman"/>
                <w:b/>
                <w:bCs/>
                <w:color w:val="auto"/>
                <w:kern w:val="2"/>
                <w:sz w:val="21"/>
                <w:szCs w:val="21"/>
                <w:highlight w:val="none"/>
                <w:lang w:val="en-US" w:eastAsia="zh-CN"/>
              </w:rPr>
              <w:t>技术要求</w:t>
            </w:r>
          </w:p>
        </w:tc>
        <w:tc>
          <w:tcPr>
            <w:tcW w:w="1489" w:type="dxa"/>
            <w:vAlign w:val="center"/>
          </w:tcPr>
          <w:p w14:paraId="320DE346">
            <w:pPr>
              <w:pStyle w:val="24"/>
              <w:spacing w:line="400" w:lineRule="exact"/>
              <w:jc w:val="center"/>
              <w:rPr>
                <w:rFonts w:hAnsi="宋体"/>
                <w:b/>
                <w:bCs/>
                <w:color w:val="auto"/>
                <w:kern w:val="2"/>
                <w:sz w:val="21"/>
                <w:szCs w:val="20"/>
                <w:highlight w:val="none"/>
              </w:rPr>
            </w:pPr>
            <w:bookmarkStart w:id="55" w:name="_Toc254970560"/>
            <w:bookmarkStart w:id="56" w:name="_Toc254970701"/>
            <w:r>
              <w:rPr>
                <w:rFonts w:hint="eastAsia" w:hAnsi="宋体"/>
                <w:b/>
                <w:bCs/>
                <w:color w:val="auto"/>
                <w:kern w:val="2"/>
                <w:sz w:val="21"/>
                <w:szCs w:val="20"/>
                <w:highlight w:val="none"/>
              </w:rPr>
              <w:t>偏离情况</w:t>
            </w:r>
            <w:bookmarkEnd w:id="55"/>
            <w:bookmarkEnd w:id="56"/>
            <w:r>
              <w:rPr>
                <w:rFonts w:hint="eastAsia" w:hAnsi="宋体"/>
                <w:b/>
                <w:bCs/>
                <w:color w:val="auto"/>
                <w:kern w:val="2"/>
                <w:sz w:val="21"/>
                <w:szCs w:val="20"/>
                <w:highlight w:val="none"/>
              </w:rPr>
              <w:t>说明</w:t>
            </w:r>
          </w:p>
        </w:tc>
      </w:tr>
      <w:tr w14:paraId="2962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vAlign w:val="center"/>
          </w:tcPr>
          <w:p w14:paraId="1025705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color w:val="auto"/>
                <w:szCs w:val="21"/>
                <w:highlight w:val="none"/>
              </w:rPr>
            </w:pPr>
            <w:r>
              <w:rPr>
                <w:rFonts w:ascii="宋体" w:hAnsi="宋体" w:cs="宋体"/>
                <w:color w:val="auto"/>
                <w:szCs w:val="21"/>
                <w:highlight w:val="none"/>
              </w:rPr>
              <w:t>1</w:t>
            </w:r>
          </w:p>
        </w:tc>
        <w:tc>
          <w:tcPr>
            <w:tcW w:w="1517" w:type="dxa"/>
            <w:vAlign w:val="center"/>
          </w:tcPr>
          <w:p w14:paraId="4412AA93">
            <w:pPr>
              <w:jc w:val="center"/>
              <w:rPr>
                <w:rFonts w:ascii="宋体" w:hAnsi="宋体" w:cs="宋体"/>
                <w:color w:val="auto"/>
                <w:szCs w:val="21"/>
                <w:highlight w:val="none"/>
              </w:rPr>
            </w:pPr>
          </w:p>
        </w:tc>
        <w:tc>
          <w:tcPr>
            <w:tcW w:w="3156" w:type="dxa"/>
            <w:vAlign w:val="center"/>
          </w:tcPr>
          <w:p w14:paraId="695B44AB">
            <w:pPr>
              <w:pStyle w:val="24"/>
              <w:spacing w:line="600" w:lineRule="exact"/>
              <w:jc w:val="center"/>
              <w:rPr>
                <w:rFonts w:hAnsi="宋体"/>
                <w:color w:val="auto"/>
                <w:kern w:val="2"/>
                <w:sz w:val="21"/>
                <w:szCs w:val="20"/>
                <w:highlight w:val="none"/>
              </w:rPr>
            </w:pPr>
          </w:p>
        </w:tc>
        <w:tc>
          <w:tcPr>
            <w:tcW w:w="2682" w:type="dxa"/>
            <w:vAlign w:val="top"/>
          </w:tcPr>
          <w:p w14:paraId="11849A49">
            <w:pPr>
              <w:pStyle w:val="24"/>
              <w:spacing w:line="600" w:lineRule="exact"/>
              <w:jc w:val="center"/>
              <w:rPr>
                <w:rFonts w:hAnsi="宋体"/>
                <w:color w:val="auto"/>
                <w:kern w:val="2"/>
                <w:sz w:val="21"/>
                <w:szCs w:val="20"/>
                <w:highlight w:val="none"/>
              </w:rPr>
            </w:pPr>
          </w:p>
        </w:tc>
        <w:tc>
          <w:tcPr>
            <w:tcW w:w="1489" w:type="dxa"/>
            <w:vAlign w:val="center"/>
          </w:tcPr>
          <w:p w14:paraId="39E2970B">
            <w:pPr>
              <w:pStyle w:val="24"/>
              <w:spacing w:line="600" w:lineRule="exact"/>
              <w:jc w:val="center"/>
              <w:rPr>
                <w:rFonts w:hAnsi="宋体"/>
                <w:color w:val="auto"/>
                <w:kern w:val="2"/>
                <w:sz w:val="21"/>
                <w:szCs w:val="20"/>
                <w:highlight w:val="none"/>
              </w:rPr>
            </w:pPr>
          </w:p>
        </w:tc>
      </w:tr>
      <w:tr w14:paraId="3AE3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vAlign w:val="center"/>
          </w:tcPr>
          <w:p w14:paraId="0ACFB66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color w:val="auto"/>
                <w:szCs w:val="21"/>
                <w:highlight w:val="none"/>
              </w:rPr>
            </w:pPr>
            <w:r>
              <w:rPr>
                <w:rFonts w:ascii="宋体" w:hAnsi="宋体" w:cs="宋体"/>
                <w:color w:val="auto"/>
                <w:szCs w:val="21"/>
                <w:highlight w:val="none"/>
              </w:rPr>
              <w:t>2</w:t>
            </w:r>
          </w:p>
        </w:tc>
        <w:tc>
          <w:tcPr>
            <w:tcW w:w="1517" w:type="dxa"/>
            <w:vAlign w:val="center"/>
          </w:tcPr>
          <w:p w14:paraId="3B3FD7AD">
            <w:pPr>
              <w:jc w:val="center"/>
              <w:rPr>
                <w:rFonts w:ascii="宋体" w:hAnsi="宋体" w:cs="宋体"/>
                <w:color w:val="auto"/>
                <w:szCs w:val="21"/>
                <w:highlight w:val="none"/>
              </w:rPr>
            </w:pPr>
          </w:p>
        </w:tc>
        <w:tc>
          <w:tcPr>
            <w:tcW w:w="3156" w:type="dxa"/>
            <w:vAlign w:val="top"/>
          </w:tcPr>
          <w:p w14:paraId="6BE42880">
            <w:pPr>
              <w:pStyle w:val="24"/>
              <w:spacing w:line="600" w:lineRule="exact"/>
              <w:rPr>
                <w:rFonts w:hAnsi="宋体"/>
                <w:color w:val="auto"/>
                <w:kern w:val="2"/>
                <w:sz w:val="21"/>
                <w:szCs w:val="20"/>
                <w:highlight w:val="none"/>
              </w:rPr>
            </w:pPr>
          </w:p>
        </w:tc>
        <w:tc>
          <w:tcPr>
            <w:tcW w:w="2682" w:type="dxa"/>
            <w:vAlign w:val="top"/>
          </w:tcPr>
          <w:p w14:paraId="7E023AF9">
            <w:pPr>
              <w:pStyle w:val="24"/>
              <w:spacing w:line="600" w:lineRule="exact"/>
              <w:rPr>
                <w:rFonts w:hAnsi="宋体"/>
                <w:color w:val="auto"/>
                <w:kern w:val="2"/>
                <w:sz w:val="21"/>
                <w:szCs w:val="20"/>
                <w:highlight w:val="none"/>
              </w:rPr>
            </w:pPr>
          </w:p>
        </w:tc>
        <w:tc>
          <w:tcPr>
            <w:tcW w:w="1489" w:type="dxa"/>
            <w:vAlign w:val="top"/>
          </w:tcPr>
          <w:p w14:paraId="723513E4">
            <w:pPr>
              <w:pStyle w:val="24"/>
              <w:spacing w:line="600" w:lineRule="exact"/>
              <w:rPr>
                <w:rFonts w:hAnsi="宋体"/>
                <w:color w:val="auto"/>
                <w:kern w:val="2"/>
                <w:sz w:val="21"/>
                <w:szCs w:val="20"/>
                <w:highlight w:val="none"/>
              </w:rPr>
            </w:pPr>
          </w:p>
        </w:tc>
      </w:tr>
      <w:tr w14:paraId="03E2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vAlign w:val="center"/>
          </w:tcPr>
          <w:p w14:paraId="71178CA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color w:val="auto"/>
                <w:szCs w:val="21"/>
                <w:highlight w:val="none"/>
              </w:rPr>
            </w:pPr>
            <w:r>
              <w:rPr>
                <w:rFonts w:ascii="宋体" w:hAnsi="宋体" w:cs="宋体"/>
                <w:color w:val="auto"/>
                <w:szCs w:val="21"/>
                <w:highlight w:val="none"/>
              </w:rPr>
              <w:t>3</w:t>
            </w:r>
          </w:p>
        </w:tc>
        <w:tc>
          <w:tcPr>
            <w:tcW w:w="1517" w:type="dxa"/>
            <w:vAlign w:val="center"/>
          </w:tcPr>
          <w:p w14:paraId="66407A0B">
            <w:pPr>
              <w:jc w:val="center"/>
              <w:rPr>
                <w:rFonts w:ascii="宋体" w:hAnsi="宋体" w:cs="宋体"/>
                <w:color w:val="auto"/>
                <w:szCs w:val="21"/>
                <w:highlight w:val="none"/>
              </w:rPr>
            </w:pPr>
          </w:p>
        </w:tc>
        <w:tc>
          <w:tcPr>
            <w:tcW w:w="3156" w:type="dxa"/>
            <w:vAlign w:val="top"/>
          </w:tcPr>
          <w:p w14:paraId="69E76F05">
            <w:pPr>
              <w:pStyle w:val="24"/>
              <w:spacing w:line="600" w:lineRule="exact"/>
              <w:rPr>
                <w:rFonts w:hAnsi="宋体"/>
                <w:color w:val="auto"/>
                <w:kern w:val="2"/>
                <w:sz w:val="21"/>
                <w:szCs w:val="20"/>
                <w:highlight w:val="none"/>
              </w:rPr>
            </w:pPr>
          </w:p>
        </w:tc>
        <w:tc>
          <w:tcPr>
            <w:tcW w:w="2682" w:type="dxa"/>
            <w:vAlign w:val="top"/>
          </w:tcPr>
          <w:p w14:paraId="17ECE48A">
            <w:pPr>
              <w:pStyle w:val="24"/>
              <w:spacing w:line="600" w:lineRule="exact"/>
              <w:rPr>
                <w:rFonts w:hAnsi="宋体"/>
                <w:color w:val="auto"/>
                <w:kern w:val="2"/>
                <w:sz w:val="21"/>
                <w:szCs w:val="20"/>
                <w:highlight w:val="none"/>
              </w:rPr>
            </w:pPr>
          </w:p>
        </w:tc>
        <w:tc>
          <w:tcPr>
            <w:tcW w:w="1489" w:type="dxa"/>
            <w:vAlign w:val="top"/>
          </w:tcPr>
          <w:p w14:paraId="1F2A9E6B">
            <w:pPr>
              <w:pStyle w:val="24"/>
              <w:spacing w:line="600" w:lineRule="exact"/>
              <w:rPr>
                <w:rFonts w:hAnsi="宋体"/>
                <w:color w:val="auto"/>
                <w:kern w:val="2"/>
                <w:sz w:val="21"/>
                <w:szCs w:val="20"/>
                <w:highlight w:val="none"/>
              </w:rPr>
            </w:pPr>
          </w:p>
        </w:tc>
      </w:tr>
      <w:tr w14:paraId="0469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vAlign w:val="center"/>
          </w:tcPr>
          <w:p w14:paraId="2EB2610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cs="宋体"/>
                <w:color w:val="auto"/>
                <w:szCs w:val="21"/>
                <w:highlight w:val="none"/>
              </w:rPr>
            </w:pPr>
            <w:r>
              <w:rPr>
                <w:rFonts w:hint="eastAsia" w:ascii="宋体" w:hAnsi="宋体" w:cs="宋体"/>
                <w:color w:val="auto"/>
                <w:szCs w:val="21"/>
                <w:highlight w:val="none"/>
              </w:rPr>
              <w:t>…</w:t>
            </w:r>
          </w:p>
        </w:tc>
        <w:tc>
          <w:tcPr>
            <w:tcW w:w="1517" w:type="dxa"/>
            <w:vAlign w:val="center"/>
          </w:tcPr>
          <w:p w14:paraId="2C1282C3">
            <w:pPr>
              <w:jc w:val="center"/>
              <w:rPr>
                <w:rFonts w:ascii="宋体" w:cs="宋体"/>
                <w:color w:val="auto"/>
                <w:szCs w:val="21"/>
                <w:highlight w:val="none"/>
              </w:rPr>
            </w:pPr>
          </w:p>
        </w:tc>
        <w:tc>
          <w:tcPr>
            <w:tcW w:w="3156" w:type="dxa"/>
            <w:vAlign w:val="top"/>
          </w:tcPr>
          <w:p w14:paraId="7B31DE21">
            <w:pPr>
              <w:pStyle w:val="24"/>
              <w:spacing w:line="600" w:lineRule="exact"/>
              <w:rPr>
                <w:rFonts w:hAnsi="宋体"/>
                <w:color w:val="auto"/>
                <w:kern w:val="2"/>
                <w:sz w:val="21"/>
                <w:szCs w:val="20"/>
                <w:highlight w:val="none"/>
              </w:rPr>
            </w:pPr>
          </w:p>
        </w:tc>
        <w:tc>
          <w:tcPr>
            <w:tcW w:w="2682" w:type="dxa"/>
            <w:vAlign w:val="top"/>
          </w:tcPr>
          <w:p w14:paraId="624026B8">
            <w:pPr>
              <w:pStyle w:val="24"/>
              <w:spacing w:line="600" w:lineRule="exact"/>
              <w:rPr>
                <w:rFonts w:hAnsi="宋体"/>
                <w:color w:val="auto"/>
                <w:kern w:val="2"/>
                <w:sz w:val="21"/>
                <w:szCs w:val="20"/>
                <w:highlight w:val="none"/>
              </w:rPr>
            </w:pPr>
          </w:p>
        </w:tc>
        <w:tc>
          <w:tcPr>
            <w:tcW w:w="1489" w:type="dxa"/>
            <w:vAlign w:val="top"/>
          </w:tcPr>
          <w:p w14:paraId="60415303">
            <w:pPr>
              <w:pStyle w:val="24"/>
              <w:spacing w:line="600" w:lineRule="exact"/>
              <w:rPr>
                <w:rFonts w:hAnsi="宋体"/>
                <w:color w:val="auto"/>
                <w:kern w:val="2"/>
                <w:sz w:val="21"/>
                <w:szCs w:val="20"/>
                <w:highlight w:val="none"/>
              </w:rPr>
            </w:pPr>
          </w:p>
        </w:tc>
      </w:tr>
      <w:tr w14:paraId="3EAF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vAlign w:val="center"/>
          </w:tcPr>
          <w:p w14:paraId="6021BC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w:t>
            </w:r>
          </w:p>
        </w:tc>
        <w:tc>
          <w:tcPr>
            <w:tcW w:w="1517" w:type="dxa"/>
            <w:vAlign w:val="center"/>
          </w:tcPr>
          <w:p w14:paraId="0B82E05C">
            <w:pPr>
              <w:jc w:val="center"/>
              <w:rPr>
                <w:rFonts w:ascii="宋体" w:hAnsi="宋体" w:cs="宋体"/>
                <w:color w:val="auto"/>
                <w:szCs w:val="21"/>
                <w:highlight w:val="none"/>
              </w:rPr>
            </w:pPr>
          </w:p>
        </w:tc>
        <w:tc>
          <w:tcPr>
            <w:tcW w:w="3156" w:type="dxa"/>
            <w:vAlign w:val="top"/>
          </w:tcPr>
          <w:p w14:paraId="0175457A">
            <w:pPr>
              <w:pStyle w:val="24"/>
              <w:spacing w:line="600" w:lineRule="exact"/>
              <w:rPr>
                <w:rFonts w:hAnsi="宋体"/>
                <w:color w:val="auto"/>
                <w:kern w:val="2"/>
                <w:sz w:val="21"/>
                <w:szCs w:val="20"/>
                <w:highlight w:val="none"/>
              </w:rPr>
            </w:pPr>
          </w:p>
        </w:tc>
        <w:tc>
          <w:tcPr>
            <w:tcW w:w="2682" w:type="dxa"/>
            <w:vAlign w:val="top"/>
          </w:tcPr>
          <w:p w14:paraId="0921B5D1">
            <w:pPr>
              <w:pStyle w:val="24"/>
              <w:spacing w:line="600" w:lineRule="exact"/>
              <w:rPr>
                <w:rFonts w:hAnsi="宋体"/>
                <w:color w:val="auto"/>
                <w:kern w:val="2"/>
                <w:sz w:val="21"/>
                <w:szCs w:val="20"/>
                <w:highlight w:val="none"/>
              </w:rPr>
            </w:pPr>
          </w:p>
        </w:tc>
        <w:tc>
          <w:tcPr>
            <w:tcW w:w="1489" w:type="dxa"/>
            <w:vAlign w:val="top"/>
          </w:tcPr>
          <w:p w14:paraId="5CE6DA8D">
            <w:pPr>
              <w:pStyle w:val="24"/>
              <w:spacing w:line="600" w:lineRule="exact"/>
              <w:rPr>
                <w:rFonts w:hAnsi="宋体"/>
                <w:color w:val="auto"/>
                <w:kern w:val="2"/>
                <w:sz w:val="21"/>
                <w:szCs w:val="20"/>
                <w:highlight w:val="none"/>
              </w:rPr>
            </w:pPr>
          </w:p>
        </w:tc>
      </w:tr>
    </w:tbl>
    <w:p w14:paraId="773A11BB">
      <w:pPr>
        <w:keepLines w:val="0"/>
        <w:pageBreakBefore w:val="0"/>
        <w:kinsoku/>
        <w:overflowPunct/>
        <w:bidi w:val="0"/>
        <w:adjustRightInd w:val="0"/>
        <w:snapToGrid w:val="0"/>
        <w:spacing w:line="360" w:lineRule="auto"/>
        <w:ind w:firstLine="0" w:firstLineChars="0"/>
        <w:jc w:val="center"/>
        <w:rPr>
          <w:rFonts w:hint="eastAsia" w:ascii="宋体" w:hAnsi="宋体"/>
          <w:b/>
          <w:bCs/>
          <w:color w:val="auto"/>
          <w:kern w:val="44"/>
          <w:szCs w:val="24"/>
          <w:highlight w:val="none"/>
          <w:lang w:val="zh-CN"/>
        </w:rPr>
      </w:pPr>
    </w:p>
    <w:p w14:paraId="58300B28">
      <w:pPr>
        <w:keepLines w:val="0"/>
        <w:pageBreakBefore w:val="0"/>
        <w:kinsoku/>
        <w:overflowPunct/>
        <w:bidi w:val="0"/>
        <w:snapToGrid w:val="0"/>
        <w:spacing w:line="360" w:lineRule="auto"/>
        <w:ind w:firstLine="0" w:firstLineChars="0"/>
        <w:rPr>
          <w:rFonts w:hint="eastAsia" w:hAnsi="宋体"/>
          <w:color w:val="auto"/>
          <w:sz w:val="21"/>
          <w:szCs w:val="21"/>
          <w:highlight w:val="none"/>
        </w:rPr>
      </w:pPr>
      <w:r>
        <w:rPr>
          <w:rFonts w:hint="eastAsia" w:hAnsi="宋体"/>
          <w:color w:val="auto"/>
          <w:sz w:val="21"/>
          <w:szCs w:val="21"/>
          <w:highlight w:val="none"/>
        </w:rPr>
        <w:t>注：</w:t>
      </w:r>
    </w:p>
    <w:p w14:paraId="4B35D0B9">
      <w:pPr>
        <w:keepLines w:val="0"/>
        <w:pageBreakBefore w:val="0"/>
        <w:kinsoku/>
        <w:overflowPunct/>
        <w:bidi w:val="0"/>
        <w:snapToGrid w:val="0"/>
        <w:spacing w:line="360" w:lineRule="auto"/>
        <w:ind w:firstLine="0" w:firstLineChars="0"/>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rPr>
        <w:t>应对照谈判文件“第三章采购需求”中的技术要求逐条实质性响应。</w:t>
      </w:r>
    </w:p>
    <w:p w14:paraId="3A278D20">
      <w:pPr>
        <w:keepLines w:val="0"/>
        <w:pageBreakBefore w:val="0"/>
        <w:kinsoku/>
        <w:overflowPunct/>
        <w:bidi w:val="0"/>
        <w:snapToGrid w:val="0"/>
        <w:spacing w:line="360" w:lineRule="auto"/>
        <w:ind w:firstLine="0" w:firstLineChars="0"/>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2.如</w:t>
      </w:r>
      <w:r>
        <w:rPr>
          <w:rFonts w:hint="eastAsia" w:ascii="Times New Roman" w:hAnsi="宋体" w:eastAsia="宋体" w:cs="Times New Roman"/>
          <w:color w:val="auto"/>
          <w:sz w:val="21"/>
          <w:szCs w:val="21"/>
          <w:highlight w:val="none"/>
        </w:rPr>
        <w:t>“第三章采购需求”中</w:t>
      </w:r>
      <w:r>
        <w:rPr>
          <w:rFonts w:hint="eastAsia" w:ascii="Times New Roman" w:hAnsi="宋体" w:eastAsia="宋体" w:cs="Times New Roman"/>
          <w:color w:val="auto"/>
          <w:sz w:val="21"/>
          <w:szCs w:val="21"/>
          <w:highlight w:val="none"/>
          <w:lang w:val="en-US" w:eastAsia="zh-CN"/>
        </w:rPr>
        <w:t>要求必须提供相关证明材料的，供应商须对应如实提供。</w:t>
      </w:r>
    </w:p>
    <w:p w14:paraId="53481F02">
      <w:pPr>
        <w:keepLines w:val="0"/>
        <w:pageBreakBefore w:val="0"/>
        <w:kinsoku/>
        <w:overflowPunct/>
        <w:bidi w:val="0"/>
        <w:snapToGrid w:val="0"/>
        <w:spacing w:line="360" w:lineRule="auto"/>
        <w:ind w:firstLine="0" w:firstLineChars="0"/>
        <w:jc w:val="left"/>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lang w:val="en-US" w:eastAsia="zh-CN"/>
        </w:rPr>
        <w:t>3</w:t>
      </w:r>
      <w:r>
        <w:rPr>
          <w:rFonts w:hint="eastAsia" w:ascii="Times New Roman" w:hAnsi="宋体" w:eastAsia="宋体" w:cs="Times New Roman"/>
          <w:color w:val="auto"/>
          <w:sz w:val="21"/>
          <w:szCs w:val="21"/>
          <w:highlight w:val="none"/>
        </w:rPr>
        <w:t>.当本表由多页构成时，需逐页加盖</w:t>
      </w:r>
      <w:r>
        <w:rPr>
          <w:rFonts w:hint="eastAsia" w:ascii="Times New Roman" w:hAnsi="宋体" w:eastAsia="宋体" w:cs="Times New Roman"/>
          <w:color w:val="auto"/>
          <w:sz w:val="21"/>
          <w:szCs w:val="21"/>
          <w:highlight w:val="none"/>
          <w:lang w:eastAsia="zh-CN"/>
        </w:rPr>
        <w:t>供应商</w:t>
      </w:r>
      <w:r>
        <w:rPr>
          <w:rFonts w:hint="eastAsia" w:ascii="Times New Roman" w:hAnsi="宋体" w:eastAsia="宋体" w:cs="Times New Roman"/>
          <w:color w:val="auto"/>
          <w:sz w:val="21"/>
          <w:szCs w:val="21"/>
          <w:highlight w:val="none"/>
        </w:rPr>
        <w:t>公章（</w:t>
      </w:r>
      <w:r>
        <w:rPr>
          <w:rFonts w:hint="eastAsia" w:ascii="Times New Roman" w:hAnsi="宋体" w:eastAsia="宋体" w:cs="Times New Roman"/>
          <w:color w:val="auto"/>
          <w:sz w:val="21"/>
          <w:szCs w:val="21"/>
          <w:highlight w:val="none"/>
          <w:lang w:val="en-US" w:eastAsia="zh-CN"/>
        </w:rPr>
        <w:t>电子</w:t>
      </w:r>
      <w:r>
        <w:rPr>
          <w:rFonts w:hint="eastAsia" w:ascii="Times New Roman" w:hAnsi="宋体" w:eastAsia="宋体" w:cs="Times New Roman"/>
          <w:color w:val="auto"/>
          <w:sz w:val="21"/>
          <w:szCs w:val="21"/>
          <w:highlight w:val="none"/>
        </w:rPr>
        <w:t>签章）（属自然人的须逐页签字或个人</w:t>
      </w:r>
      <w:r>
        <w:rPr>
          <w:rFonts w:hint="eastAsia" w:ascii="Times New Roman" w:hAnsi="宋体" w:eastAsia="宋体" w:cs="Times New Roman"/>
          <w:color w:val="auto"/>
          <w:sz w:val="21"/>
          <w:szCs w:val="21"/>
          <w:highlight w:val="none"/>
          <w:lang w:val="en-US" w:eastAsia="zh-CN"/>
        </w:rPr>
        <w:t>电子</w:t>
      </w:r>
      <w:r>
        <w:rPr>
          <w:rFonts w:hint="eastAsia" w:ascii="Times New Roman" w:hAnsi="宋体" w:eastAsia="宋体" w:cs="Times New Roman"/>
          <w:color w:val="auto"/>
          <w:sz w:val="21"/>
          <w:szCs w:val="21"/>
          <w:highlight w:val="none"/>
        </w:rPr>
        <w:t>签章）。</w:t>
      </w:r>
    </w:p>
    <w:p w14:paraId="772B530D">
      <w:pPr>
        <w:keepLines w:val="0"/>
        <w:pageBreakBefore w:val="0"/>
        <w:kinsoku/>
        <w:overflowPunct/>
        <w:bidi w:val="0"/>
        <w:snapToGrid w:val="0"/>
        <w:spacing w:line="360" w:lineRule="auto"/>
        <w:ind w:firstLine="0" w:firstLineChars="0"/>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4.供应商</w:t>
      </w:r>
      <w:r>
        <w:rPr>
          <w:rFonts w:hint="eastAsia" w:ascii="Times New Roman" w:hAnsi="宋体" w:eastAsia="宋体" w:cs="Times New Roman"/>
          <w:color w:val="auto"/>
          <w:sz w:val="21"/>
          <w:szCs w:val="21"/>
          <w:highlight w:val="none"/>
        </w:rPr>
        <w:t>应对照</w:t>
      </w:r>
      <w:r>
        <w:rPr>
          <w:rFonts w:hint="eastAsia" w:ascii="Times New Roman" w:hAnsi="宋体" w:eastAsia="宋体" w:cs="Times New Roman"/>
          <w:color w:val="auto"/>
          <w:sz w:val="21"/>
          <w:szCs w:val="21"/>
          <w:highlight w:val="none"/>
          <w:lang w:eastAsia="zh-CN"/>
        </w:rPr>
        <w:t>竞争性谈判文件</w:t>
      </w:r>
      <w:r>
        <w:rPr>
          <w:rFonts w:hint="eastAsia" w:ascii="Times New Roman" w:hAnsi="宋体" w:eastAsia="宋体" w:cs="Times New Roman"/>
          <w:color w:val="auto"/>
          <w:sz w:val="21"/>
          <w:szCs w:val="21"/>
          <w:highlight w:val="none"/>
        </w:rPr>
        <w:t>中</w:t>
      </w:r>
      <w:r>
        <w:rPr>
          <w:rFonts w:hint="eastAsia" w:ascii="Times New Roman" w:hAnsi="宋体" w:eastAsia="宋体" w:cs="Times New Roman"/>
          <w:color w:val="auto"/>
          <w:sz w:val="21"/>
          <w:szCs w:val="21"/>
          <w:highlight w:val="none"/>
          <w:lang w:eastAsia="zh-CN"/>
        </w:rPr>
        <w:t>“</w:t>
      </w:r>
      <w:r>
        <w:rPr>
          <w:rFonts w:hint="eastAsia" w:ascii="Times New Roman" w:hAnsi="宋体" w:eastAsia="宋体" w:cs="Times New Roman"/>
          <w:color w:val="auto"/>
          <w:sz w:val="21"/>
          <w:szCs w:val="21"/>
          <w:highlight w:val="none"/>
        </w:rPr>
        <w:t>第三章</w:t>
      </w:r>
      <w:r>
        <w:rPr>
          <w:rFonts w:hint="eastAsia" w:ascii="Times New Roman" w:hAnsi="宋体" w:eastAsia="宋体" w:cs="Times New Roman"/>
          <w:color w:val="auto"/>
          <w:sz w:val="21"/>
          <w:szCs w:val="21"/>
          <w:highlight w:val="none"/>
          <w:lang w:val="en-US" w:eastAsia="zh-CN"/>
        </w:rPr>
        <w:t xml:space="preserve"> </w:t>
      </w:r>
      <w:r>
        <w:rPr>
          <w:rFonts w:hint="eastAsia" w:ascii="Times New Roman" w:hAnsi="宋体" w:eastAsia="宋体" w:cs="Times New Roman"/>
          <w:color w:val="auto"/>
          <w:sz w:val="21"/>
          <w:szCs w:val="21"/>
          <w:highlight w:val="none"/>
        </w:rPr>
        <w:t>采购需求</w:t>
      </w:r>
      <w:r>
        <w:rPr>
          <w:rFonts w:hint="eastAsia" w:ascii="Times New Roman" w:hAnsi="宋体" w:eastAsia="宋体" w:cs="Times New Roman"/>
          <w:color w:val="auto"/>
          <w:sz w:val="21"/>
          <w:szCs w:val="21"/>
          <w:highlight w:val="none"/>
          <w:lang w:eastAsia="zh-CN"/>
        </w:rPr>
        <w:t>”中的“</w:t>
      </w:r>
      <w:r>
        <w:rPr>
          <w:rFonts w:hint="eastAsia" w:ascii="Times New Roman" w:hAnsi="宋体" w:eastAsia="宋体" w:cs="Times New Roman"/>
          <w:color w:val="auto"/>
          <w:sz w:val="21"/>
          <w:szCs w:val="21"/>
          <w:highlight w:val="none"/>
          <w:lang w:val="en-US" w:eastAsia="zh-CN"/>
        </w:rPr>
        <w:t>技术</w:t>
      </w:r>
      <w:r>
        <w:rPr>
          <w:rFonts w:hint="eastAsia" w:ascii="Times New Roman" w:hAnsi="宋体" w:eastAsia="宋体" w:cs="Times New Roman"/>
          <w:color w:val="auto"/>
          <w:sz w:val="21"/>
          <w:szCs w:val="21"/>
          <w:highlight w:val="none"/>
        </w:rPr>
        <w:t>要求</w:t>
      </w:r>
      <w:r>
        <w:rPr>
          <w:rFonts w:hint="eastAsia" w:ascii="Times New Roman" w:hAnsi="宋体" w:eastAsia="宋体" w:cs="Times New Roman"/>
          <w:color w:val="auto"/>
          <w:sz w:val="21"/>
          <w:szCs w:val="21"/>
          <w:highlight w:val="none"/>
          <w:lang w:eastAsia="zh-CN"/>
        </w:rPr>
        <w:t>”</w:t>
      </w:r>
      <w:r>
        <w:rPr>
          <w:rFonts w:hint="eastAsia" w:ascii="Times New Roman" w:hAnsi="宋体" w:eastAsia="宋体" w:cs="Times New Roman"/>
          <w:color w:val="auto"/>
          <w:sz w:val="21"/>
          <w:szCs w:val="21"/>
          <w:highlight w:val="none"/>
        </w:rPr>
        <w:t>的内容逐条响应，并在“偏离情况说明”栏注明“正偏离”、“负偏离”或“无偏离”。</w:t>
      </w:r>
    </w:p>
    <w:p w14:paraId="410AF2B1">
      <w:pPr>
        <w:keepLines w:val="0"/>
        <w:pageBreakBefore w:val="0"/>
        <w:kinsoku/>
        <w:overflowPunct/>
        <w:bidi w:val="0"/>
        <w:snapToGrid w:val="0"/>
        <w:spacing w:line="360" w:lineRule="auto"/>
        <w:ind w:firstLine="4200" w:firstLineChars="2000"/>
        <w:rPr>
          <w:rFonts w:hint="eastAsia" w:ascii="宋体" w:hAnsi="宋体" w:cs="宋体"/>
          <w:color w:val="auto"/>
          <w:sz w:val="21"/>
          <w:szCs w:val="21"/>
          <w:highlight w:val="none"/>
        </w:rPr>
      </w:pPr>
    </w:p>
    <w:p w14:paraId="0E78636D">
      <w:pPr>
        <w:keepLines w:val="0"/>
        <w:pageBreakBefore w:val="0"/>
        <w:kinsoku/>
        <w:overflowPunct/>
        <w:bidi w:val="0"/>
        <w:snapToGrid w:val="0"/>
        <w:spacing w:line="360" w:lineRule="auto"/>
        <w:ind w:firstLine="0" w:firstLineChars="0"/>
        <w:rPr>
          <w:rFonts w:hint="default" w:ascii="宋体" w:hAnsi="宋体" w:eastAsia="宋体" w:cs="宋体"/>
          <w:color w:val="auto"/>
          <w:sz w:val="21"/>
          <w:szCs w:val="21"/>
          <w:highlight w:val="none"/>
          <w:u w:val="single"/>
          <w:lang w:val="en-US" w:eastAsia="zh-CN"/>
        </w:rPr>
      </w:pPr>
      <w:r>
        <w:rPr>
          <w:rFonts w:hint="eastAsia" w:ascii="宋体" w:hAnsi="宋体" w:cs="宋体"/>
          <w:color w:val="auto"/>
          <w:sz w:val="21"/>
          <w:szCs w:val="21"/>
          <w:highlight w:val="none"/>
        </w:rPr>
        <w:t>供应商（电子签章）：</w:t>
      </w:r>
      <w:r>
        <w:rPr>
          <w:rFonts w:hint="eastAsia" w:ascii="宋体" w:hAnsi="宋体" w:cs="宋体"/>
          <w:color w:val="auto"/>
          <w:sz w:val="21"/>
          <w:szCs w:val="21"/>
          <w:highlight w:val="none"/>
          <w:u w:val="single"/>
          <w:lang w:val="en-US" w:eastAsia="zh-CN"/>
        </w:rPr>
        <w:t xml:space="preserve">                  </w:t>
      </w:r>
    </w:p>
    <w:p w14:paraId="5B7E313A">
      <w:pPr>
        <w:keepLines w:val="0"/>
        <w:pageBreakBefore w:val="0"/>
        <w:kinsoku/>
        <w:overflowPunct/>
        <w:bidi w:val="0"/>
        <w:spacing w:line="360" w:lineRule="auto"/>
        <w:ind w:firstLine="0" w:firstLineChars="0"/>
        <w:rPr>
          <w:rFonts w:hint="default" w:ascii="宋体" w:hAnsi="宋体" w:eastAsia="宋体" w:cs="宋体"/>
          <w:color w:val="auto"/>
          <w:sz w:val="21"/>
          <w:szCs w:val="24"/>
          <w:highlight w:val="none"/>
          <w:u w:val="single"/>
          <w:lang w:val="en-US" w:eastAsia="zh-CN"/>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r>
        <w:rPr>
          <w:rFonts w:hint="eastAsia" w:ascii="宋体" w:hAnsi="宋体" w:cs="宋体"/>
          <w:color w:val="auto"/>
          <w:sz w:val="21"/>
          <w:szCs w:val="24"/>
          <w:highlight w:val="none"/>
          <w:u w:val="single"/>
          <w:lang w:val="en-US" w:eastAsia="zh-CN"/>
        </w:rPr>
        <w:t xml:space="preserve">                     </w:t>
      </w:r>
    </w:p>
    <w:p w14:paraId="58EB88C2">
      <w:pPr>
        <w:keepLines w:val="0"/>
        <w:pageBreakBefore w:val="0"/>
        <w:kinsoku/>
        <w:overflowPunct/>
        <w:bidi w:val="0"/>
        <w:spacing w:line="360" w:lineRule="auto"/>
        <w:ind w:firstLine="0" w:firstLineChars="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65B233CF">
      <w:pPr>
        <w:keepLines w:val="0"/>
        <w:pageBreakBefore w:val="0"/>
        <w:kinsoku/>
        <w:overflowPunct/>
        <w:bidi w:val="0"/>
        <w:spacing w:line="360" w:lineRule="auto"/>
        <w:ind w:firstLine="4200" w:firstLineChars="2000"/>
        <w:rPr>
          <w:rFonts w:hint="eastAsia" w:ascii="宋体" w:hAnsi="宋体"/>
          <w:color w:val="auto"/>
          <w:sz w:val="21"/>
          <w:szCs w:val="20"/>
          <w:highlight w:val="none"/>
          <w:u w:val="single"/>
        </w:rPr>
      </w:pPr>
    </w:p>
    <w:p w14:paraId="54B54CD7">
      <w:pPr>
        <w:keepLines w:val="0"/>
        <w:pageBreakBefore w:val="0"/>
        <w:kinsoku/>
        <w:overflowPunct/>
        <w:bidi w:val="0"/>
        <w:spacing w:line="360" w:lineRule="auto"/>
        <w:ind w:firstLine="4200" w:firstLineChars="2000"/>
        <w:rPr>
          <w:rFonts w:hint="eastAsia" w:ascii="宋体" w:hAnsi="宋体"/>
          <w:color w:val="auto"/>
          <w:sz w:val="21"/>
          <w:szCs w:val="20"/>
          <w:highlight w:val="none"/>
          <w:u w:val="single"/>
        </w:rPr>
      </w:pPr>
    </w:p>
    <w:p w14:paraId="6EE05AF8">
      <w:pPr>
        <w:pStyle w:val="2"/>
        <w:numPr>
          <w:ilvl w:val="0"/>
          <w:numId w:val="0"/>
        </w:numPr>
        <w:rPr>
          <w:rFonts w:hint="eastAsia"/>
          <w:color w:val="auto"/>
        </w:rPr>
      </w:pPr>
    </w:p>
    <w:p w14:paraId="25F046A2">
      <w:pPr>
        <w:keepLines w:val="0"/>
        <w:pageBreakBefore w:val="0"/>
        <w:kinsoku/>
        <w:overflowPunct/>
        <w:bidi w:val="0"/>
        <w:spacing w:line="360" w:lineRule="auto"/>
        <w:ind w:left="0" w:leftChars="0" w:firstLine="0" w:firstLineChars="0"/>
        <w:rPr>
          <w:color w:val="auto"/>
          <w:highlight w:val="none"/>
          <w:lang w:val="en-GB"/>
        </w:rPr>
      </w:pPr>
    </w:p>
    <w:p w14:paraId="74F70D43">
      <w:pPr>
        <w:pStyle w:val="24"/>
        <w:keepLines w:val="0"/>
        <w:pageBreakBefore w:val="0"/>
        <w:kinsoku/>
        <w:overflowPunct/>
        <w:bidi w:val="0"/>
        <w:spacing w:line="360" w:lineRule="auto"/>
        <w:rPr>
          <w:rFonts w:hint="eastAsia" w:ascii="宋体" w:hAnsi="宋体" w:cs="宋体"/>
          <w:b/>
          <w:color w:val="auto"/>
          <w:sz w:val="28"/>
          <w:szCs w:val="28"/>
          <w:highlight w:val="none"/>
        </w:rPr>
      </w:pPr>
      <w:r>
        <w:rPr>
          <w:rFonts w:hint="eastAsia" w:ascii="宋体" w:hAnsi="宋体" w:cs="宋体"/>
          <w:b/>
          <w:color w:val="auto"/>
          <w:sz w:val="28"/>
          <w:szCs w:val="28"/>
          <w:highlight w:val="none"/>
          <w:lang w:val="en-US"/>
        </w:rPr>
        <w:t>4.</w:t>
      </w:r>
      <w:r>
        <w:rPr>
          <w:rFonts w:hint="eastAsia" w:ascii="宋体" w:hAnsi="宋体" w:cs="宋体"/>
          <w:b/>
          <w:color w:val="auto"/>
          <w:sz w:val="28"/>
          <w:szCs w:val="28"/>
          <w:highlight w:val="none"/>
        </w:rPr>
        <w:t>商务要求响应承诺书（必须提供）</w:t>
      </w:r>
    </w:p>
    <w:p w14:paraId="6D7A0A14">
      <w:pPr>
        <w:pStyle w:val="24"/>
        <w:keepLines w:val="0"/>
        <w:pageBreakBefore w:val="0"/>
        <w:kinsoku/>
        <w:overflowPunct/>
        <w:bidi w:val="0"/>
        <w:spacing w:line="360" w:lineRule="auto"/>
        <w:rPr>
          <w:rFonts w:hint="eastAsia" w:hAnsi="宋体"/>
          <w:b/>
          <w:bCs/>
          <w:color w:val="auto"/>
          <w:sz w:val="30"/>
          <w:szCs w:val="30"/>
          <w:highlight w:val="none"/>
        </w:rPr>
      </w:pPr>
      <w:r>
        <w:rPr>
          <w:rFonts w:hint="eastAsia" w:hAnsi="宋体"/>
          <w:b/>
          <w:bCs/>
          <w:color w:val="auto"/>
          <w:sz w:val="30"/>
          <w:szCs w:val="30"/>
          <w:highlight w:val="none"/>
        </w:rPr>
        <w:t>附件：</w:t>
      </w:r>
    </w:p>
    <w:p w14:paraId="6FCDE210">
      <w:pPr>
        <w:pStyle w:val="24"/>
        <w:keepLines w:val="0"/>
        <w:pageBreakBefore w:val="0"/>
        <w:kinsoku/>
        <w:overflowPunct/>
        <w:bidi w:val="0"/>
        <w:spacing w:line="360" w:lineRule="auto"/>
        <w:jc w:val="center"/>
        <w:rPr>
          <w:b/>
          <w:bCs/>
          <w:color w:val="auto"/>
          <w:sz w:val="28"/>
          <w:szCs w:val="28"/>
          <w:highlight w:val="none"/>
        </w:rPr>
      </w:pPr>
      <w:r>
        <w:rPr>
          <w:rFonts w:hint="eastAsia"/>
          <w:b/>
          <w:color w:val="auto"/>
          <w:sz w:val="28"/>
          <w:szCs w:val="28"/>
          <w:highlight w:val="none"/>
        </w:rPr>
        <w:t>商务要求响应承诺书</w:t>
      </w:r>
      <w:r>
        <w:rPr>
          <w:rFonts w:hint="eastAsia"/>
          <w:b/>
          <w:bCs/>
          <w:color w:val="auto"/>
          <w:sz w:val="28"/>
          <w:szCs w:val="28"/>
          <w:highlight w:val="none"/>
        </w:rPr>
        <w:t>（格式）</w:t>
      </w:r>
    </w:p>
    <w:p w14:paraId="0FFC33A4">
      <w:pPr>
        <w:pStyle w:val="24"/>
        <w:keepLines w:val="0"/>
        <w:pageBreakBefore w:val="0"/>
        <w:kinsoku/>
        <w:overflowPunct/>
        <w:bidi w:val="0"/>
        <w:spacing w:line="360" w:lineRule="auto"/>
        <w:jc w:val="left"/>
        <w:rPr>
          <w:b/>
          <w:bCs/>
          <w:color w:val="auto"/>
          <w:sz w:val="28"/>
          <w:szCs w:val="28"/>
          <w:highlight w:val="none"/>
        </w:rPr>
      </w:pPr>
    </w:p>
    <w:tbl>
      <w:tblPr>
        <w:tblStyle w:val="43"/>
        <w:tblW w:w="9289" w:type="dxa"/>
        <w:tblInd w:w="1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6"/>
        <w:gridCol w:w="3296"/>
        <w:gridCol w:w="2880"/>
        <w:gridCol w:w="2287"/>
      </w:tblGrid>
      <w:tr w14:paraId="4FAFFC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826" w:type="dxa"/>
            <w:tcBorders>
              <w:top w:val="single" w:color="auto" w:sz="4" w:space="0"/>
              <w:left w:val="single" w:color="auto" w:sz="4" w:space="0"/>
              <w:bottom w:val="single" w:color="auto" w:sz="4" w:space="0"/>
              <w:right w:val="single" w:color="auto" w:sz="4" w:space="0"/>
            </w:tcBorders>
            <w:vAlign w:val="top"/>
          </w:tcPr>
          <w:p w14:paraId="71996742">
            <w:pPr>
              <w:keepNext w:val="0"/>
              <w:keepLines w:val="0"/>
              <w:pageBreakBefore w:val="0"/>
              <w:widowControl w:val="0"/>
              <w:kinsoku/>
              <w:wordWrap/>
              <w:overflowPunct/>
              <w:topLinePunct w:val="0"/>
              <w:autoSpaceDE/>
              <w:autoSpaceDN/>
              <w:bidi w:val="0"/>
              <w:adjustRightInd/>
              <w:snapToGrid w:val="0"/>
              <w:spacing w:before="156" w:beforeLines="50"/>
              <w:ind w:left="0" w:leftChars="0" w:right="0" w:rightChars="0" w:firstLine="0" w:firstLineChars="0"/>
              <w:jc w:val="center"/>
              <w:textAlignment w:val="auto"/>
              <w:rPr>
                <w:rFonts w:ascii="宋体" w:hAnsi="宋体" w:cs="宋体"/>
                <w:b/>
                <w:bCs/>
                <w:color w:val="auto"/>
                <w:sz w:val="21"/>
                <w:szCs w:val="18"/>
                <w:highlight w:val="none"/>
              </w:rPr>
            </w:pPr>
            <w:r>
              <w:rPr>
                <w:rFonts w:hint="eastAsia" w:ascii="宋体" w:hAnsi="宋体" w:cs="宋体"/>
                <w:b/>
                <w:bCs/>
                <w:color w:val="auto"/>
                <w:sz w:val="21"/>
                <w:szCs w:val="18"/>
                <w:highlight w:val="none"/>
              </w:rPr>
              <w:t>项号</w:t>
            </w:r>
          </w:p>
        </w:tc>
        <w:tc>
          <w:tcPr>
            <w:tcW w:w="3296" w:type="dxa"/>
            <w:tcBorders>
              <w:top w:val="single" w:color="auto" w:sz="4" w:space="0"/>
              <w:left w:val="single" w:color="auto" w:sz="4" w:space="0"/>
              <w:bottom w:val="single" w:color="auto" w:sz="4" w:space="0"/>
              <w:right w:val="single" w:color="auto" w:sz="4" w:space="0"/>
            </w:tcBorders>
            <w:vAlign w:val="top"/>
          </w:tcPr>
          <w:p w14:paraId="2283C0A3">
            <w:pPr>
              <w:pStyle w:val="24"/>
              <w:keepNext w:val="0"/>
              <w:keepLines w:val="0"/>
              <w:pageBreakBefore w:val="0"/>
              <w:widowControl w:val="0"/>
              <w:kinsoku/>
              <w:wordWrap/>
              <w:overflowPunct/>
              <w:topLinePunct w:val="0"/>
              <w:autoSpaceDE/>
              <w:autoSpaceDN/>
              <w:bidi w:val="0"/>
              <w:adjustRightInd/>
              <w:spacing w:line="600" w:lineRule="exact"/>
              <w:ind w:left="0" w:leftChars="0" w:right="0" w:rightChars="0" w:firstLine="0" w:firstLineChars="0"/>
              <w:jc w:val="center"/>
              <w:textAlignment w:val="auto"/>
              <w:rPr>
                <w:rFonts w:hint="eastAsia" w:ascii="宋体" w:hAnsi="宋体" w:eastAsia="宋体" w:cs="宋体"/>
                <w:b/>
                <w:bCs/>
                <w:color w:val="auto"/>
                <w:kern w:val="2"/>
                <w:sz w:val="21"/>
                <w:szCs w:val="18"/>
                <w:highlight w:val="none"/>
                <w:lang w:val="en-US" w:eastAsia="zh-CN" w:bidi="ar-SA"/>
              </w:rPr>
            </w:pPr>
            <w:r>
              <w:rPr>
                <w:rFonts w:hint="eastAsia" w:ascii="宋体" w:hAnsi="宋体" w:eastAsia="宋体" w:cs="宋体"/>
                <w:b/>
                <w:bCs/>
                <w:color w:val="auto"/>
                <w:kern w:val="2"/>
                <w:sz w:val="21"/>
                <w:szCs w:val="18"/>
                <w:highlight w:val="none"/>
                <w:lang w:val="en-US" w:eastAsia="zh-CN" w:bidi="ar-SA"/>
              </w:rPr>
              <w:t>竞争性谈判文件的商务要求</w:t>
            </w:r>
          </w:p>
        </w:tc>
        <w:tc>
          <w:tcPr>
            <w:tcW w:w="2880" w:type="dxa"/>
            <w:tcBorders>
              <w:top w:val="single" w:color="auto" w:sz="4" w:space="0"/>
              <w:left w:val="single" w:color="auto" w:sz="4" w:space="0"/>
              <w:bottom w:val="single" w:color="auto" w:sz="4" w:space="0"/>
              <w:right w:val="single" w:color="auto" w:sz="4" w:space="0"/>
            </w:tcBorders>
            <w:vAlign w:val="top"/>
          </w:tcPr>
          <w:p w14:paraId="6F6A947F">
            <w:pPr>
              <w:pStyle w:val="24"/>
              <w:keepNext w:val="0"/>
              <w:keepLines w:val="0"/>
              <w:pageBreakBefore w:val="0"/>
              <w:widowControl w:val="0"/>
              <w:kinsoku/>
              <w:wordWrap/>
              <w:overflowPunct/>
              <w:topLinePunct w:val="0"/>
              <w:autoSpaceDE/>
              <w:autoSpaceDN/>
              <w:bidi w:val="0"/>
              <w:adjustRightInd/>
              <w:spacing w:line="600" w:lineRule="exact"/>
              <w:ind w:left="0" w:leftChars="0" w:right="0" w:rightChars="0" w:firstLine="0" w:firstLineChars="0"/>
              <w:jc w:val="center"/>
              <w:textAlignment w:val="auto"/>
              <w:rPr>
                <w:rFonts w:hint="eastAsia" w:ascii="宋体" w:hAnsi="宋体" w:eastAsia="宋体" w:cs="宋体"/>
                <w:b/>
                <w:bCs/>
                <w:color w:val="auto"/>
                <w:kern w:val="2"/>
                <w:sz w:val="21"/>
                <w:szCs w:val="18"/>
                <w:highlight w:val="none"/>
                <w:lang w:val="en-US" w:eastAsia="zh-CN" w:bidi="ar-SA"/>
              </w:rPr>
            </w:pPr>
            <w:r>
              <w:rPr>
                <w:rFonts w:hint="eastAsia" w:ascii="宋体" w:hAnsi="宋体" w:eastAsia="宋体" w:cs="宋体"/>
                <w:b/>
                <w:bCs/>
                <w:color w:val="auto"/>
                <w:kern w:val="2"/>
                <w:sz w:val="21"/>
                <w:szCs w:val="18"/>
                <w:highlight w:val="none"/>
                <w:lang w:val="en-US" w:eastAsia="zh-CN" w:bidi="ar-SA"/>
              </w:rPr>
              <w:t>响应文件承诺的商务要求</w:t>
            </w:r>
          </w:p>
        </w:tc>
        <w:tc>
          <w:tcPr>
            <w:tcW w:w="2287" w:type="dxa"/>
            <w:tcBorders>
              <w:top w:val="single" w:color="auto" w:sz="4" w:space="0"/>
              <w:left w:val="single" w:color="auto" w:sz="4" w:space="0"/>
              <w:bottom w:val="single" w:color="auto" w:sz="4" w:space="0"/>
              <w:right w:val="single" w:color="auto" w:sz="4" w:space="0"/>
            </w:tcBorders>
            <w:vAlign w:val="top"/>
          </w:tcPr>
          <w:p w14:paraId="041E5574">
            <w:pPr>
              <w:pStyle w:val="24"/>
              <w:keepNext w:val="0"/>
              <w:keepLines w:val="0"/>
              <w:pageBreakBefore w:val="0"/>
              <w:widowControl w:val="0"/>
              <w:kinsoku/>
              <w:wordWrap/>
              <w:overflowPunct/>
              <w:topLinePunct w:val="0"/>
              <w:autoSpaceDE/>
              <w:autoSpaceDN/>
              <w:bidi w:val="0"/>
              <w:adjustRightInd/>
              <w:spacing w:line="600" w:lineRule="exact"/>
              <w:ind w:left="0" w:leftChars="0" w:right="0" w:rightChars="0" w:firstLine="0" w:firstLineChars="0"/>
              <w:jc w:val="center"/>
              <w:textAlignment w:val="auto"/>
              <w:rPr>
                <w:rFonts w:hint="eastAsia" w:ascii="宋体" w:hAnsi="宋体" w:eastAsia="宋体" w:cs="宋体"/>
                <w:b/>
                <w:bCs/>
                <w:color w:val="auto"/>
                <w:kern w:val="2"/>
                <w:sz w:val="21"/>
                <w:szCs w:val="18"/>
                <w:highlight w:val="none"/>
                <w:lang w:val="en-US" w:eastAsia="zh-CN" w:bidi="ar-SA"/>
              </w:rPr>
            </w:pPr>
            <w:r>
              <w:rPr>
                <w:rFonts w:hint="eastAsia" w:ascii="宋体" w:hAnsi="宋体" w:eastAsia="宋体" w:cs="宋体"/>
                <w:b/>
                <w:bCs/>
                <w:color w:val="auto"/>
                <w:kern w:val="2"/>
                <w:sz w:val="21"/>
                <w:szCs w:val="18"/>
                <w:highlight w:val="none"/>
                <w:lang w:val="en-US" w:eastAsia="zh-CN" w:bidi="ar-SA"/>
              </w:rPr>
              <w:t>偏离情况说明</w:t>
            </w:r>
          </w:p>
        </w:tc>
      </w:tr>
      <w:tr w14:paraId="410694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826" w:type="dxa"/>
            <w:tcBorders>
              <w:top w:val="single" w:color="auto" w:sz="4" w:space="0"/>
              <w:left w:val="single" w:color="auto" w:sz="4" w:space="0"/>
              <w:bottom w:val="single" w:color="auto" w:sz="4" w:space="0"/>
              <w:right w:val="single" w:color="auto" w:sz="4" w:space="0"/>
            </w:tcBorders>
            <w:vAlign w:val="center"/>
          </w:tcPr>
          <w:p w14:paraId="131AF46A">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3296" w:type="dxa"/>
            <w:tcBorders>
              <w:top w:val="single" w:color="auto" w:sz="4" w:space="0"/>
              <w:left w:val="single" w:color="auto" w:sz="4" w:space="0"/>
              <w:bottom w:val="single" w:color="auto" w:sz="4" w:space="0"/>
              <w:right w:val="single" w:color="auto" w:sz="4" w:space="0"/>
            </w:tcBorders>
            <w:vAlign w:val="center"/>
          </w:tcPr>
          <w:p w14:paraId="2BF91819">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2880" w:type="dxa"/>
            <w:tcBorders>
              <w:top w:val="single" w:color="auto" w:sz="4" w:space="0"/>
              <w:left w:val="single" w:color="auto" w:sz="4" w:space="0"/>
              <w:bottom w:val="single" w:color="auto" w:sz="4" w:space="0"/>
              <w:right w:val="single" w:color="auto" w:sz="4" w:space="0"/>
            </w:tcBorders>
            <w:vAlign w:val="center"/>
          </w:tcPr>
          <w:p w14:paraId="61599244">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2287" w:type="dxa"/>
            <w:tcBorders>
              <w:top w:val="single" w:color="auto" w:sz="4" w:space="0"/>
              <w:left w:val="single" w:color="auto" w:sz="4" w:space="0"/>
              <w:bottom w:val="single" w:color="auto" w:sz="4" w:space="0"/>
              <w:right w:val="single" w:color="auto" w:sz="4" w:space="0"/>
            </w:tcBorders>
            <w:vAlign w:val="center"/>
          </w:tcPr>
          <w:p w14:paraId="290C17A1">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r>
      <w:tr w14:paraId="5793F0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26" w:type="dxa"/>
            <w:tcBorders>
              <w:top w:val="single" w:color="auto" w:sz="4" w:space="0"/>
              <w:left w:val="single" w:color="auto" w:sz="4" w:space="0"/>
              <w:bottom w:val="single" w:color="auto" w:sz="4" w:space="0"/>
              <w:right w:val="single" w:color="auto" w:sz="4" w:space="0"/>
            </w:tcBorders>
            <w:vAlign w:val="center"/>
          </w:tcPr>
          <w:p w14:paraId="0EA19CB7">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3296" w:type="dxa"/>
            <w:tcBorders>
              <w:top w:val="single" w:color="auto" w:sz="4" w:space="0"/>
              <w:left w:val="single" w:color="auto" w:sz="4" w:space="0"/>
              <w:bottom w:val="single" w:color="auto" w:sz="4" w:space="0"/>
              <w:right w:val="single" w:color="auto" w:sz="4" w:space="0"/>
            </w:tcBorders>
            <w:vAlign w:val="center"/>
          </w:tcPr>
          <w:p w14:paraId="3242E43F">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2880" w:type="dxa"/>
            <w:tcBorders>
              <w:top w:val="single" w:color="auto" w:sz="4" w:space="0"/>
              <w:left w:val="single" w:color="auto" w:sz="4" w:space="0"/>
              <w:bottom w:val="single" w:color="auto" w:sz="4" w:space="0"/>
              <w:right w:val="single" w:color="auto" w:sz="4" w:space="0"/>
            </w:tcBorders>
            <w:vAlign w:val="center"/>
          </w:tcPr>
          <w:p w14:paraId="0C3A6B5B">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2287" w:type="dxa"/>
            <w:tcBorders>
              <w:top w:val="single" w:color="auto" w:sz="4" w:space="0"/>
              <w:left w:val="single" w:color="auto" w:sz="4" w:space="0"/>
              <w:bottom w:val="single" w:color="auto" w:sz="4" w:space="0"/>
              <w:right w:val="single" w:color="auto" w:sz="4" w:space="0"/>
            </w:tcBorders>
            <w:vAlign w:val="center"/>
          </w:tcPr>
          <w:p w14:paraId="38A4071F">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r>
      <w:tr w14:paraId="0922B9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826" w:type="dxa"/>
            <w:tcBorders>
              <w:top w:val="single" w:color="auto" w:sz="4" w:space="0"/>
              <w:left w:val="single" w:color="auto" w:sz="4" w:space="0"/>
              <w:bottom w:val="single" w:color="auto" w:sz="4" w:space="0"/>
              <w:right w:val="single" w:color="auto" w:sz="4" w:space="0"/>
            </w:tcBorders>
            <w:vAlign w:val="center"/>
          </w:tcPr>
          <w:p w14:paraId="60521B55">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3296" w:type="dxa"/>
            <w:tcBorders>
              <w:top w:val="single" w:color="auto" w:sz="4" w:space="0"/>
              <w:left w:val="single" w:color="auto" w:sz="4" w:space="0"/>
              <w:bottom w:val="single" w:color="auto" w:sz="4" w:space="0"/>
              <w:right w:val="single" w:color="auto" w:sz="4" w:space="0"/>
            </w:tcBorders>
            <w:vAlign w:val="center"/>
          </w:tcPr>
          <w:p w14:paraId="1A32006D">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2880" w:type="dxa"/>
            <w:tcBorders>
              <w:top w:val="single" w:color="auto" w:sz="4" w:space="0"/>
              <w:left w:val="single" w:color="auto" w:sz="4" w:space="0"/>
              <w:bottom w:val="single" w:color="auto" w:sz="4" w:space="0"/>
              <w:right w:val="single" w:color="auto" w:sz="4" w:space="0"/>
            </w:tcBorders>
            <w:vAlign w:val="center"/>
          </w:tcPr>
          <w:p w14:paraId="76D26164">
            <w:pPr>
              <w:keepNext w:val="0"/>
              <w:keepLines w:val="0"/>
              <w:pageBreakBefore w:val="0"/>
              <w:widowControl w:val="0"/>
              <w:kinsoku/>
              <w:wordWrap/>
              <w:overflowPunct/>
              <w:topLinePunct w:val="0"/>
              <w:autoSpaceDE/>
              <w:autoSpaceDN/>
              <w:bidi w:val="0"/>
              <w:adjustRightInd/>
              <w:snapToGrid w:val="0"/>
              <w:spacing w:before="156" w:beforeLines="50"/>
              <w:ind w:left="43" w:firstLine="0" w:firstLineChars="0"/>
              <w:jc w:val="center"/>
              <w:textAlignment w:val="auto"/>
              <w:rPr>
                <w:rFonts w:ascii="宋体" w:hAnsi="宋体" w:cs="宋体"/>
                <w:color w:val="auto"/>
                <w:szCs w:val="21"/>
                <w:highlight w:val="none"/>
              </w:rPr>
            </w:pPr>
          </w:p>
        </w:tc>
        <w:tc>
          <w:tcPr>
            <w:tcW w:w="2287" w:type="dxa"/>
            <w:tcBorders>
              <w:top w:val="single" w:color="auto" w:sz="4" w:space="0"/>
              <w:left w:val="single" w:color="auto" w:sz="4" w:space="0"/>
              <w:bottom w:val="single" w:color="auto" w:sz="4" w:space="0"/>
              <w:right w:val="single" w:color="auto" w:sz="4" w:space="0"/>
            </w:tcBorders>
            <w:vAlign w:val="center"/>
          </w:tcPr>
          <w:p w14:paraId="4751E25A">
            <w:pPr>
              <w:keepNext w:val="0"/>
              <w:keepLines w:val="0"/>
              <w:pageBreakBefore w:val="0"/>
              <w:widowControl w:val="0"/>
              <w:kinsoku/>
              <w:wordWrap/>
              <w:overflowPunct/>
              <w:topLinePunct w:val="0"/>
              <w:autoSpaceDE/>
              <w:autoSpaceDN/>
              <w:bidi w:val="0"/>
              <w:adjustRightInd/>
              <w:snapToGrid w:val="0"/>
              <w:spacing w:before="156" w:beforeLines="50"/>
              <w:ind w:left="43" w:firstLine="0" w:firstLineChars="0"/>
              <w:jc w:val="center"/>
              <w:textAlignment w:val="auto"/>
              <w:rPr>
                <w:rFonts w:ascii="宋体" w:hAnsi="宋体" w:cs="宋体"/>
                <w:color w:val="auto"/>
                <w:szCs w:val="21"/>
                <w:highlight w:val="none"/>
              </w:rPr>
            </w:pPr>
          </w:p>
        </w:tc>
      </w:tr>
      <w:tr w14:paraId="2C6315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826" w:type="dxa"/>
            <w:tcBorders>
              <w:top w:val="single" w:color="auto" w:sz="4" w:space="0"/>
              <w:left w:val="single" w:color="auto" w:sz="4" w:space="0"/>
              <w:bottom w:val="single" w:color="auto" w:sz="4" w:space="0"/>
              <w:right w:val="single" w:color="auto" w:sz="4" w:space="0"/>
            </w:tcBorders>
            <w:vAlign w:val="center"/>
          </w:tcPr>
          <w:p w14:paraId="54C2EAB0">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3296" w:type="dxa"/>
            <w:tcBorders>
              <w:top w:val="single" w:color="auto" w:sz="4" w:space="0"/>
              <w:left w:val="single" w:color="auto" w:sz="4" w:space="0"/>
              <w:bottom w:val="single" w:color="auto" w:sz="4" w:space="0"/>
              <w:right w:val="single" w:color="auto" w:sz="4" w:space="0"/>
            </w:tcBorders>
            <w:vAlign w:val="center"/>
          </w:tcPr>
          <w:p w14:paraId="3638F66F">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2880" w:type="dxa"/>
            <w:tcBorders>
              <w:top w:val="single" w:color="auto" w:sz="4" w:space="0"/>
              <w:left w:val="single" w:color="auto" w:sz="4" w:space="0"/>
              <w:bottom w:val="single" w:color="auto" w:sz="4" w:space="0"/>
              <w:right w:val="single" w:color="auto" w:sz="4" w:space="0"/>
            </w:tcBorders>
            <w:vAlign w:val="center"/>
          </w:tcPr>
          <w:p w14:paraId="793CB5BA">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2287" w:type="dxa"/>
            <w:tcBorders>
              <w:top w:val="single" w:color="auto" w:sz="4" w:space="0"/>
              <w:left w:val="single" w:color="auto" w:sz="4" w:space="0"/>
              <w:bottom w:val="single" w:color="auto" w:sz="4" w:space="0"/>
              <w:right w:val="single" w:color="auto" w:sz="4" w:space="0"/>
            </w:tcBorders>
            <w:vAlign w:val="center"/>
          </w:tcPr>
          <w:p w14:paraId="0E379A0A">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r>
      <w:tr w14:paraId="0E286C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6" w:type="dxa"/>
            <w:tcBorders>
              <w:top w:val="single" w:color="auto" w:sz="4" w:space="0"/>
              <w:left w:val="single" w:color="auto" w:sz="4" w:space="0"/>
              <w:bottom w:val="single" w:color="auto" w:sz="4" w:space="0"/>
              <w:right w:val="single" w:color="auto" w:sz="4" w:space="0"/>
            </w:tcBorders>
            <w:vAlign w:val="center"/>
          </w:tcPr>
          <w:p w14:paraId="20441E98">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3296" w:type="dxa"/>
            <w:tcBorders>
              <w:top w:val="single" w:color="auto" w:sz="4" w:space="0"/>
              <w:left w:val="single" w:color="auto" w:sz="4" w:space="0"/>
              <w:bottom w:val="single" w:color="auto" w:sz="4" w:space="0"/>
              <w:right w:val="single" w:color="auto" w:sz="4" w:space="0"/>
            </w:tcBorders>
            <w:vAlign w:val="center"/>
          </w:tcPr>
          <w:p w14:paraId="116B26CF">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2880" w:type="dxa"/>
            <w:tcBorders>
              <w:top w:val="single" w:color="auto" w:sz="4" w:space="0"/>
              <w:left w:val="single" w:color="auto" w:sz="4" w:space="0"/>
              <w:bottom w:val="single" w:color="auto" w:sz="4" w:space="0"/>
              <w:right w:val="single" w:color="auto" w:sz="4" w:space="0"/>
            </w:tcBorders>
            <w:vAlign w:val="center"/>
          </w:tcPr>
          <w:p w14:paraId="7D987E52">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2287" w:type="dxa"/>
            <w:tcBorders>
              <w:top w:val="single" w:color="auto" w:sz="4" w:space="0"/>
              <w:left w:val="single" w:color="auto" w:sz="4" w:space="0"/>
              <w:bottom w:val="single" w:color="auto" w:sz="4" w:space="0"/>
              <w:right w:val="single" w:color="auto" w:sz="4" w:space="0"/>
            </w:tcBorders>
            <w:vAlign w:val="center"/>
          </w:tcPr>
          <w:p w14:paraId="675B4669">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r>
      <w:tr w14:paraId="63CB4C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6" w:type="dxa"/>
            <w:tcBorders>
              <w:top w:val="single" w:color="auto" w:sz="4" w:space="0"/>
              <w:left w:val="single" w:color="auto" w:sz="4" w:space="0"/>
              <w:bottom w:val="single" w:color="auto" w:sz="4" w:space="0"/>
              <w:right w:val="single" w:color="auto" w:sz="4" w:space="0"/>
            </w:tcBorders>
            <w:vAlign w:val="center"/>
          </w:tcPr>
          <w:p w14:paraId="03276FB0">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w:t>
            </w:r>
          </w:p>
        </w:tc>
        <w:tc>
          <w:tcPr>
            <w:tcW w:w="3296" w:type="dxa"/>
            <w:tcBorders>
              <w:top w:val="single" w:color="auto" w:sz="4" w:space="0"/>
              <w:left w:val="single" w:color="auto" w:sz="4" w:space="0"/>
              <w:bottom w:val="single" w:color="auto" w:sz="4" w:space="0"/>
              <w:right w:val="single" w:color="auto" w:sz="4" w:space="0"/>
            </w:tcBorders>
            <w:vAlign w:val="center"/>
          </w:tcPr>
          <w:p w14:paraId="27D034B3">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2880" w:type="dxa"/>
            <w:tcBorders>
              <w:top w:val="single" w:color="auto" w:sz="4" w:space="0"/>
              <w:left w:val="single" w:color="auto" w:sz="4" w:space="0"/>
              <w:bottom w:val="single" w:color="auto" w:sz="4" w:space="0"/>
              <w:right w:val="single" w:color="auto" w:sz="4" w:space="0"/>
            </w:tcBorders>
            <w:vAlign w:val="center"/>
          </w:tcPr>
          <w:p w14:paraId="6B25B796">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c>
          <w:tcPr>
            <w:tcW w:w="2287" w:type="dxa"/>
            <w:tcBorders>
              <w:top w:val="single" w:color="auto" w:sz="4" w:space="0"/>
              <w:left w:val="single" w:color="auto" w:sz="4" w:space="0"/>
              <w:bottom w:val="single" w:color="auto" w:sz="4" w:space="0"/>
              <w:right w:val="single" w:color="auto" w:sz="4" w:space="0"/>
            </w:tcBorders>
            <w:vAlign w:val="center"/>
          </w:tcPr>
          <w:p w14:paraId="4D9BBCE5">
            <w:pPr>
              <w:keepNext w:val="0"/>
              <w:keepLines w:val="0"/>
              <w:pageBreakBefore w:val="0"/>
              <w:widowControl w:val="0"/>
              <w:kinsoku/>
              <w:wordWrap/>
              <w:overflowPunct/>
              <w:topLinePunct w:val="0"/>
              <w:autoSpaceDE/>
              <w:autoSpaceDN/>
              <w:bidi w:val="0"/>
              <w:adjustRightInd/>
              <w:snapToGrid w:val="0"/>
              <w:spacing w:before="156" w:beforeLines="50"/>
              <w:ind w:firstLine="0" w:firstLineChars="0"/>
              <w:jc w:val="center"/>
              <w:textAlignment w:val="auto"/>
              <w:rPr>
                <w:rFonts w:ascii="宋体" w:hAnsi="宋体" w:cs="宋体"/>
                <w:color w:val="auto"/>
                <w:szCs w:val="21"/>
                <w:highlight w:val="none"/>
              </w:rPr>
            </w:pPr>
          </w:p>
        </w:tc>
      </w:tr>
    </w:tbl>
    <w:p w14:paraId="26AF50D2">
      <w:pPr>
        <w:keepLines w:val="0"/>
        <w:pageBreakBefore w:val="0"/>
        <w:kinsoku/>
        <w:overflowPunct/>
        <w:bidi w:val="0"/>
        <w:snapToGrid w:val="0"/>
        <w:spacing w:line="360" w:lineRule="auto"/>
        <w:ind w:firstLine="0" w:firstLineChars="0"/>
        <w:rPr>
          <w:rFonts w:hint="eastAsia" w:ascii="宋体" w:hAnsi="宋体" w:cs="宋体"/>
          <w:color w:val="auto"/>
          <w:sz w:val="21"/>
          <w:szCs w:val="21"/>
          <w:highlight w:val="none"/>
        </w:rPr>
      </w:pPr>
    </w:p>
    <w:p w14:paraId="72F16AAE">
      <w:pPr>
        <w:keepLines w:val="0"/>
        <w:pageBreakBefore w:val="0"/>
        <w:kinsoku/>
        <w:overflowPunct/>
        <w:bidi w:val="0"/>
        <w:snapToGrid w:val="0"/>
        <w:spacing w:line="360" w:lineRule="auto"/>
        <w:ind w:firstLine="0" w:firstLineChars="0"/>
        <w:rPr>
          <w:rFonts w:hint="eastAsia" w:ascii="宋体" w:hAnsi="宋体" w:cs="宋体"/>
          <w:color w:val="auto"/>
          <w:sz w:val="21"/>
          <w:szCs w:val="21"/>
          <w:highlight w:val="none"/>
        </w:rPr>
      </w:pPr>
    </w:p>
    <w:p w14:paraId="1D23B502">
      <w:pPr>
        <w:keepLines w:val="0"/>
        <w:pageBreakBefore w:val="0"/>
        <w:kinsoku/>
        <w:overflowPunct/>
        <w:bidi w:val="0"/>
        <w:snapToGrid w:val="0"/>
        <w:spacing w:line="360" w:lineRule="auto"/>
        <w:ind w:firstLine="0" w:firstLineChars="0"/>
        <w:rPr>
          <w:rFonts w:hint="default" w:ascii="宋体" w:hAnsi="宋体" w:eastAsia="宋体" w:cs="宋体"/>
          <w:color w:val="auto"/>
          <w:sz w:val="21"/>
          <w:szCs w:val="21"/>
          <w:highlight w:val="none"/>
          <w:u w:val="single"/>
          <w:lang w:val="en-US" w:eastAsia="zh-CN"/>
        </w:rPr>
      </w:pPr>
      <w:r>
        <w:rPr>
          <w:rFonts w:hint="eastAsia" w:ascii="宋体" w:hAnsi="宋体" w:cs="宋体"/>
          <w:color w:val="auto"/>
          <w:sz w:val="21"/>
          <w:szCs w:val="21"/>
          <w:highlight w:val="none"/>
        </w:rPr>
        <w:t>供应商（电子签章）：</w:t>
      </w:r>
      <w:r>
        <w:rPr>
          <w:rFonts w:hint="eastAsia" w:ascii="宋体" w:hAnsi="宋体" w:cs="宋体"/>
          <w:color w:val="auto"/>
          <w:sz w:val="21"/>
          <w:szCs w:val="21"/>
          <w:highlight w:val="none"/>
          <w:u w:val="single"/>
          <w:lang w:val="en-US" w:eastAsia="zh-CN"/>
        </w:rPr>
        <w:t xml:space="preserve">                </w:t>
      </w:r>
    </w:p>
    <w:p w14:paraId="4710086F">
      <w:pPr>
        <w:keepLines w:val="0"/>
        <w:pageBreakBefore w:val="0"/>
        <w:kinsoku/>
        <w:overflowPunct/>
        <w:bidi w:val="0"/>
        <w:spacing w:line="360" w:lineRule="auto"/>
        <w:ind w:firstLine="0" w:firstLineChars="0"/>
        <w:rPr>
          <w:rFonts w:hint="default" w:ascii="宋体" w:hAnsi="宋体" w:eastAsia="宋体" w:cs="宋体"/>
          <w:color w:val="auto"/>
          <w:sz w:val="21"/>
          <w:szCs w:val="24"/>
          <w:highlight w:val="none"/>
          <w:u w:val="single"/>
          <w:lang w:val="en-US" w:eastAsia="zh-CN"/>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r>
        <w:rPr>
          <w:rFonts w:hint="eastAsia" w:ascii="宋体" w:hAnsi="宋体" w:cs="宋体"/>
          <w:color w:val="auto"/>
          <w:sz w:val="21"/>
          <w:szCs w:val="24"/>
          <w:highlight w:val="none"/>
          <w:u w:val="single"/>
          <w:lang w:val="en-US" w:eastAsia="zh-CN"/>
        </w:rPr>
        <w:t xml:space="preserve">                   </w:t>
      </w:r>
    </w:p>
    <w:p w14:paraId="197E9813">
      <w:pPr>
        <w:keepLines w:val="0"/>
        <w:pageBreakBefore w:val="0"/>
        <w:kinsoku/>
        <w:overflowPunct/>
        <w:bidi w:val="0"/>
        <w:spacing w:line="360" w:lineRule="auto"/>
        <w:ind w:firstLine="0" w:firstLineChars="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3B44F037">
      <w:pPr>
        <w:keepLines w:val="0"/>
        <w:pageBreakBefore w:val="0"/>
        <w:kinsoku/>
        <w:overflowPunct/>
        <w:bidi w:val="0"/>
        <w:spacing w:line="360" w:lineRule="auto"/>
        <w:ind w:firstLine="4200" w:firstLineChars="2000"/>
        <w:rPr>
          <w:rFonts w:hint="eastAsia" w:ascii="宋体" w:hAnsi="宋体"/>
          <w:color w:val="auto"/>
          <w:sz w:val="21"/>
          <w:szCs w:val="20"/>
          <w:highlight w:val="none"/>
          <w:u w:val="single"/>
        </w:rPr>
      </w:pPr>
    </w:p>
    <w:p w14:paraId="177FADC8">
      <w:pPr>
        <w:spacing w:line="400" w:lineRule="exact"/>
        <w:ind w:left="902" w:leftChars="200" w:hanging="422" w:hangingChars="20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注：1.“商务响应表”各项内容必须如实填写。</w:t>
      </w:r>
    </w:p>
    <w:p w14:paraId="405CC1A4">
      <w:pPr>
        <w:spacing w:line="400" w:lineRule="exact"/>
        <w:ind w:firstLine="843" w:firstLineChars="40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2.当本表由多页构成时，需逐页加盖</w:t>
      </w:r>
      <w:r>
        <w:rPr>
          <w:rFonts w:hint="eastAsia" w:ascii="宋体" w:hAnsi="宋体" w:cs="宋体"/>
          <w:b/>
          <w:bCs/>
          <w:color w:val="auto"/>
          <w:sz w:val="21"/>
          <w:szCs w:val="21"/>
          <w:highlight w:val="none"/>
          <w:lang w:eastAsia="zh-CN"/>
        </w:rPr>
        <w:t>供应商</w:t>
      </w:r>
      <w:r>
        <w:rPr>
          <w:rFonts w:hint="eastAsia" w:ascii="宋体" w:hAnsi="宋体" w:cs="宋体"/>
          <w:b/>
          <w:bCs/>
          <w:color w:val="auto"/>
          <w:sz w:val="21"/>
          <w:szCs w:val="21"/>
          <w:highlight w:val="none"/>
        </w:rPr>
        <w:t>公章（</w:t>
      </w:r>
      <w:r>
        <w:rPr>
          <w:rFonts w:hint="eastAsia" w:ascii="宋体" w:hAnsi="宋体" w:cs="宋体"/>
          <w:b/>
          <w:bCs/>
          <w:color w:val="auto"/>
          <w:sz w:val="21"/>
          <w:szCs w:val="21"/>
          <w:highlight w:val="none"/>
          <w:lang w:val="en-US" w:eastAsia="zh-CN"/>
        </w:rPr>
        <w:t>电子</w:t>
      </w:r>
      <w:r>
        <w:rPr>
          <w:rFonts w:hint="eastAsia" w:ascii="宋体" w:hAnsi="宋体" w:cs="宋体"/>
          <w:b/>
          <w:bCs/>
          <w:color w:val="auto"/>
          <w:sz w:val="21"/>
          <w:szCs w:val="21"/>
          <w:highlight w:val="none"/>
        </w:rPr>
        <w:t>签章）（属自然人的须逐页签字或个人</w:t>
      </w:r>
      <w:r>
        <w:rPr>
          <w:rFonts w:hint="eastAsia" w:ascii="宋体" w:hAnsi="宋体" w:cs="宋体"/>
          <w:b/>
          <w:bCs/>
          <w:color w:val="auto"/>
          <w:sz w:val="21"/>
          <w:szCs w:val="21"/>
          <w:highlight w:val="none"/>
          <w:lang w:val="en-US" w:eastAsia="zh-CN"/>
        </w:rPr>
        <w:t>电子</w:t>
      </w:r>
      <w:r>
        <w:rPr>
          <w:rFonts w:hint="eastAsia" w:ascii="宋体" w:hAnsi="宋体" w:cs="宋体"/>
          <w:b/>
          <w:bCs/>
          <w:color w:val="auto"/>
          <w:sz w:val="21"/>
          <w:szCs w:val="21"/>
          <w:highlight w:val="none"/>
        </w:rPr>
        <w:t>签章）。</w:t>
      </w:r>
    </w:p>
    <w:p w14:paraId="66223152">
      <w:pPr>
        <w:spacing w:line="400" w:lineRule="exact"/>
        <w:ind w:firstLine="843" w:firstLineChars="400"/>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应对照</w:t>
      </w:r>
      <w:r>
        <w:rPr>
          <w:rFonts w:hint="eastAsia" w:ascii="宋体" w:hAnsi="宋体" w:eastAsia="宋体" w:cs="宋体"/>
          <w:b/>
          <w:bCs/>
          <w:color w:val="auto"/>
          <w:sz w:val="21"/>
          <w:szCs w:val="21"/>
          <w:highlight w:val="none"/>
          <w:lang w:eastAsia="zh-CN"/>
        </w:rPr>
        <w:t>竞争性</w:t>
      </w:r>
      <w:r>
        <w:rPr>
          <w:rFonts w:hint="eastAsia" w:ascii="宋体" w:hAnsi="宋体" w:cs="宋体"/>
          <w:b/>
          <w:bCs/>
          <w:color w:val="auto"/>
          <w:sz w:val="21"/>
          <w:szCs w:val="21"/>
          <w:highlight w:val="none"/>
          <w:lang w:eastAsia="zh-CN"/>
        </w:rPr>
        <w:t>谈判</w:t>
      </w:r>
      <w:r>
        <w:rPr>
          <w:rFonts w:hint="eastAsia" w:ascii="宋体" w:hAnsi="宋体" w:eastAsia="宋体" w:cs="宋体"/>
          <w:b/>
          <w:bCs/>
          <w:color w:val="auto"/>
          <w:sz w:val="21"/>
          <w:szCs w:val="21"/>
          <w:highlight w:val="none"/>
          <w:lang w:eastAsia="zh-CN"/>
        </w:rPr>
        <w:t>文件</w:t>
      </w:r>
      <w:r>
        <w:rPr>
          <w:rFonts w:hint="eastAsia" w:ascii="宋体" w:hAnsi="宋体" w:eastAsia="宋体" w:cs="宋体"/>
          <w:b/>
          <w:bCs/>
          <w:color w:val="auto"/>
          <w:sz w:val="21"/>
          <w:szCs w:val="21"/>
          <w:highlight w:val="none"/>
        </w:rPr>
        <w:t>中</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第三章</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采购需求</w:t>
      </w:r>
      <w:r>
        <w:rPr>
          <w:rFonts w:hint="eastAsia" w:ascii="宋体" w:hAnsi="宋体" w:eastAsia="宋体" w:cs="宋体"/>
          <w:b/>
          <w:bCs/>
          <w:color w:val="auto"/>
          <w:sz w:val="21"/>
          <w:szCs w:val="21"/>
          <w:highlight w:val="none"/>
          <w:lang w:eastAsia="zh-CN"/>
        </w:rPr>
        <w:t>”中的“</w:t>
      </w:r>
      <w:r>
        <w:rPr>
          <w:rFonts w:hint="eastAsia" w:ascii="宋体" w:hAnsi="宋体" w:eastAsia="宋体" w:cs="宋体"/>
          <w:b/>
          <w:bCs/>
          <w:color w:val="auto"/>
          <w:sz w:val="21"/>
          <w:szCs w:val="21"/>
          <w:highlight w:val="none"/>
        </w:rPr>
        <w:t>商务要求</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的内容逐条响应，并在“偏离情况说明”栏注明“正偏离”、“负偏离”或“无偏离”。</w:t>
      </w:r>
    </w:p>
    <w:p w14:paraId="33C559B9">
      <w:pPr>
        <w:spacing w:line="400" w:lineRule="exact"/>
        <w:ind w:firstLine="843" w:firstLineChars="400"/>
        <w:rPr>
          <w:rFonts w:hint="eastAsia" w:ascii="宋体" w:hAnsi="宋体" w:eastAsia="宋体" w:cs="宋体"/>
          <w:b/>
          <w:bCs/>
          <w:color w:val="auto"/>
          <w:sz w:val="21"/>
          <w:szCs w:val="21"/>
          <w:highlight w:val="none"/>
        </w:rPr>
      </w:pPr>
    </w:p>
    <w:p w14:paraId="50EDC025">
      <w:pPr>
        <w:spacing w:line="400" w:lineRule="exact"/>
        <w:ind w:firstLine="843" w:firstLineChars="400"/>
        <w:rPr>
          <w:rFonts w:hint="eastAsia" w:ascii="宋体" w:hAnsi="宋体" w:eastAsia="宋体" w:cs="宋体"/>
          <w:b/>
          <w:bCs/>
          <w:color w:val="auto"/>
          <w:sz w:val="21"/>
          <w:szCs w:val="21"/>
          <w:highlight w:val="none"/>
        </w:rPr>
      </w:pPr>
    </w:p>
    <w:p w14:paraId="48790291">
      <w:pPr>
        <w:spacing w:line="400" w:lineRule="exact"/>
        <w:ind w:firstLine="843" w:firstLineChars="400"/>
        <w:rPr>
          <w:rFonts w:hint="eastAsia" w:ascii="宋体" w:hAnsi="宋体" w:eastAsia="宋体" w:cs="宋体"/>
          <w:b/>
          <w:bCs/>
          <w:color w:val="auto"/>
          <w:sz w:val="21"/>
          <w:szCs w:val="21"/>
          <w:highlight w:val="none"/>
        </w:rPr>
      </w:pPr>
    </w:p>
    <w:p w14:paraId="3B8E7A5F">
      <w:pPr>
        <w:spacing w:line="400" w:lineRule="exact"/>
        <w:ind w:firstLine="843" w:firstLineChars="400"/>
        <w:rPr>
          <w:rFonts w:hint="default" w:ascii="宋体" w:hAnsi="宋体" w:eastAsia="宋体" w:cs="宋体"/>
          <w:b/>
          <w:bCs/>
          <w:color w:val="auto"/>
          <w:sz w:val="21"/>
          <w:szCs w:val="21"/>
          <w:highlight w:val="none"/>
          <w:lang w:val="en-US" w:eastAsia="zh-CN"/>
        </w:rPr>
      </w:pPr>
    </w:p>
    <w:p w14:paraId="2C9FC86A">
      <w:pPr>
        <w:spacing w:line="400" w:lineRule="exact"/>
        <w:ind w:firstLine="800" w:firstLineChars="400"/>
        <w:rPr>
          <w:rFonts w:hint="eastAsia" w:ascii="宋体" w:hAnsi="宋体" w:cs="宋体"/>
          <w:color w:val="auto"/>
          <w:sz w:val="20"/>
          <w:szCs w:val="20"/>
        </w:rPr>
      </w:pPr>
    </w:p>
    <w:p w14:paraId="610F7AC8">
      <w:pPr>
        <w:keepLines w:val="0"/>
        <w:pageBreakBefore w:val="0"/>
        <w:tabs>
          <w:tab w:val="left" w:pos="1305"/>
        </w:tabs>
        <w:kinsoku/>
        <w:overflowPunct/>
        <w:bidi w:val="0"/>
        <w:spacing w:line="360" w:lineRule="auto"/>
        <w:ind w:firstLine="420"/>
        <w:rPr>
          <w:rFonts w:hint="eastAsia" w:ascii="宋体" w:hAnsi="宋体" w:eastAsia="宋体" w:cs="宋体"/>
          <w:b/>
          <w:color w:val="auto"/>
          <w:kern w:val="0"/>
          <w:sz w:val="28"/>
          <w:szCs w:val="28"/>
          <w:highlight w:val="none"/>
          <w:lang w:val="en-GB" w:eastAsia="zh-CN" w:bidi="ar-SA"/>
        </w:rPr>
      </w:pPr>
      <w:r>
        <w:rPr>
          <w:rFonts w:hint="eastAsia" w:ascii="宋体" w:hAnsi="宋体" w:eastAsia="宋体" w:cs="宋体"/>
          <w:b/>
          <w:color w:val="auto"/>
          <w:kern w:val="0"/>
          <w:sz w:val="28"/>
          <w:szCs w:val="28"/>
          <w:highlight w:val="none"/>
          <w:lang w:val="en-US" w:eastAsia="zh-CN" w:bidi="ar-SA"/>
        </w:rPr>
        <w:t>5.</w:t>
      </w:r>
      <w:r>
        <w:rPr>
          <w:rFonts w:hint="eastAsia" w:ascii="宋体" w:hAnsi="宋体" w:eastAsia="宋体" w:cs="宋体"/>
          <w:b/>
          <w:color w:val="auto"/>
          <w:kern w:val="0"/>
          <w:sz w:val="28"/>
          <w:szCs w:val="28"/>
          <w:highlight w:val="none"/>
          <w:lang w:val="en-GB" w:eastAsia="zh-CN" w:bidi="ar-SA"/>
        </w:rPr>
        <w:t>售后服务承诺（必须提供）。</w:t>
      </w:r>
    </w:p>
    <w:p w14:paraId="7E557992">
      <w:pPr>
        <w:pStyle w:val="19"/>
        <w:rPr>
          <w:rFonts w:ascii="宋体" w:hAnsi="宋体" w:cs="宋体"/>
          <w:color w:val="auto"/>
          <w:highlight w:val="none"/>
        </w:rPr>
      </w:pPr>
    </w:p>
    <w:p w14:paraId="29FF68E0">
      <w:pPr>
        <w:pStyle w:val="24"/>
        <w:spacing w:line="340" w:lineRule="exact"/>
        <w:jc w:val="center"/>
        <w:rPr>
          <w:rFonts w:hAnsi="宋体" w:cs="宋体"/>
          <w:b/>
          <w:color w:val="auto"/>
          <w:sz w:val="32"/>
          <w:szCs w:val="32"/>
          <w:highlight w:val="none"/>
        </w:rPr>
      </w:pPr>
      <w:r>
        <w:rPr>
          <w:rFonts w:hint="eastAsia" w:hAnsi="宋体" w:cs="宋体"/>
          <w:b/>
          <w:color w:val="auto"/>
          <w:sz w:val="32"/>
          <w:szCs w:val="32"/>
          <w:highlight w:val="none"/>
          <w:lang w:val="en-GB" w:eastAsia="zh-CN"/>
        </w:rPr>
        <w:t>售后服务承诺</w:t>
      </w:r>
      <w:r>
        <w:rPr>
          <w:rFonts w:hint="eastAsia" w:hAnsi="宋体" w:cs="宋体"/>
          <w:b/>
          <w:color w:val="auto"/>
          <w:sz w:val="32"/>
          <w:szCs w:val="32"/>
          <w:highlight w:val="none"/>
        </w:rPr>
        <w:t>（格式）</w:t>
      </w:r>
    </w:p>
    <w:p w14:paraId="50119E47">
      <w:pPr>
        <w:pStyle w:val="24"/>
        <w:spacing w:line="340" w:lineRule="exact"/>
        <w:jc w:val="center"/>
        <w:rPr>
          <w:rFonts w:hAnsi="宋体" w:cs="宋体"/>
          <w:b/>
          <w:color w:val="auto"/>
          <w:sz w:val="32"/>
          <w:szCs w:val="32"/>
          <w:highlight w:val="none"/>
        </w:rPr>
      </w:pPr>
    </w:p>
    <w:p w14:paraId="701FDDF8">
      <w:pPr>
        <w:ind w:left="0" w:leftChars="0" w:right="0" w:rightChars="0" w:firstLine="0" w:firstLineChars="0"/>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w:t>
      </w:r>
      <w:r>
        <w:rPr>
          <w:rFonts w:hint="eastAsia" w:ascii="宋体" w:hAnsi="宋体" w:cs="宋体"/>
          <w:b/>
          <w:color w:val="auto"/>
          <w:sz w:val="24"/>
          <w:szCs w:val="24"/>
          <w:highlight w:val="none"/>
          <w:lang w:val="en-US" w:eastAsia="zh-CN"/>
        </w:rPr>
        <w:t>由供应商</w:t>
      </w:r>
      <w:r>
        <w:rPr>
          <w:rFonts w:hint="eastAsia" w:ascii="宋体" w:hAnsi="宋体" w:cs="宋体"/>
          <w:b/>
          <w:color w:val="auto"/>
          <w:sz w:val="24"/>
          <w:szCs w:val="24"/>
          <w:highlight w:val="none"/>
        </w:rPr>
        <w:t>根据</w:t>
      </w:r>
      <w:r>
        <w:rPr>
          <w:rFonts w:hint="eastAsia" w:ascii="宋体" w:hAnsi="宋体" w:cs="宋体"/>
          <w:b/>
          <w:color w:val="auto"/>
          <w:sz w:val="24"/>
          <w:szCs w:val="24"/>
          <w:highlight w:val="none"/>
          <w:lang w:val="en-US" w:eastAsia="zh-CN"/>
        </w:rPr>
        <w:t>采购需求</w:t>
      </w:r>
      <w:r>
        <w:rPr>
          <w:rFonts w:hint="eastAsia" w:ascii="宋体" w:hAnsi="宋体" w:cs="宋体"/>
          <w:b/>
          <w:color w:val="auto"/>
          <w:sz w:val="24"/>
          <w:szCs w:val="24"/>
          <w:highlight w:val="none"/>
        </w:rPr>
        <w:t>及</w:t>
      </w:r>
      <w:r>
        <w:rPr>
          <w:rFonts w:hint="eastAsia" w:ascii="宋体" w:hAnsi="宋体" w:cs="宋体"/>
          <w:b/>
          <w:color w:val="auto"/>
          <w:sz w:val="24"/>
          <w:szCs w:val="24"/>
          <w:highlight w:val="none"/>
          <w:lang w:val="en-US" w:eastAsia="zh-CN"/>
        </w:rPr>
        <w:t>项目</w:t>
      </w:r>
      <w:r>
        <w:rPr>
          <w:rFonts w:hint="eastAsia" w:ascii="宋体" w:hAnsi="宋体" w:cs="宋体"/>
          <w:b/>
          <w:color w:val="auto"/>
          <w:sz w:val="24"/>
          <w:szCs w:val="24"/>
          <w:highlight w:val="none"/>
        </w:rPr>
        <w:t>情况自行编制，格式自拟）</w:t>
      </w:r>
    </w:p>
    <w:p w14:paraId="30A659EE">
      <w:pPr>
        <w:rPr>
          <w:rFonts w:ascii="宋体" w:hAnsi="宋体" w:cs="宋体"/>
          <w:b/>
          <w:color w:val="auto"/>
          <w:sz w:val="32"/>
          <w:szCs w:val="32"/>
          <w:highlight w:val="none"/>
        </w:rPr>
      </w:pPr>
    </w:p>
    <w:p w14:paraId="7D8441E4">
      <w:pPr>
        <w:pStyle w:val="19"/>
        <w:rPr>
          <w:rFonts w:ascii="宋体" w:hAnsi="宋体" w:cs="宋体"/>
          <w:b/>
          <w:color w:val="auto"/>
          <w:sz w:val="32"/>
          <w:szCs w:val="32"/>
          <w:highlight w:val="none"/>
        </w:rPr>
      </w:pPr>
    </w:p>
    <w:p w14:paraId="47C36F05">
      <w:pPr>
        <w:pStyle w:val="19"/>
        <w:rPr>
          <w:rFonts w:ascii="宋体" w:hAnsi="宋体" w:cs="宋体"/>
          <w:b/>
          <w:color w:val="auto"/>
          <w:sz w:val="32"/>
          <w:szCs w:val="32"/>
          <w:highlight w:val="none"/>
        </w:rPr>
      </w:pPr>
    </w:p>
    <w:p w14:paraId="2B016956">
      <w:pPr>
        <w:pStyle w:val="24"/>
        <w:spacing w:line="340" w:lineRule="exact"/>
        <w:jc w:val="center"/>
        <w:rPr>
          <w:rFonts w:hAnsi="宋体" w:cs="宋体"/>
          <w:b/>
          <w:color w:val="auto"/>
          <w:sz w:val="32"/>
          <w:szCs w:val="32"/>
          <w:highlight w:val="none"/>
        </w:rPr>
      </w:pPr>
    </w:p>
    <w:p w14:paraId="7F0A4F57">
      <w:pPr>
        <w:keepLines w:val="0"/>
        <w:pageBreakBefore w:val="0"/>
        <w:kinsoku/>
        <w:overflowPunct/>
        <w:bidi w:val="0"/>
        <w:snapToGrid w:val="0"/>
        <w:spacing w:line="360" w:lineRule="auto"/>
        <w:ind w:firstLine="0" w:firstLineChars="0"/>
        <w:rPr>
          <w:rFonts w:hint="default" w:ascii="宋体" w:hAnsi="宋体" w:eastAsia="宋体" w:cs="宋体"/>
          <w:color w:val="auto"/>
          <w:sz w:val="21"/>
          <w:szCs w:val="21"/>
          <w:highlight w:val="none"/>
          <w:u w:val="single"/>
          <w:lang w:val="en-US" w:eastAsia="zh-CN"/>
        </w:rPr>
      </w:pPr>
      <w:r>
        <w:rPr>
          <w:rFonts w:hint="eastAsia" w:ascii="宋体" w:hAnsi="宋体" w:cs="宋体"/>
          <w:color w:val="auto"/>
          <w:sz w:val="21"/>
          <w:szCs w:val="21"/>
          <w:highlight w:val="none"/>
        </w:rPr>
        <w:t>供应商（电子签章）：</w:t>
      </w:r>
      <w:r>
        <w:rPr>
          <w:rFonts w:hint="eastAsia" w:ascii="宋体" w:hAnsi="宋体" w:cs="宋体"/>
          <w:color w:val="auto"/>
          <w:sz w:val="21"/>
          <w:szCs w:val="21"/>
          <w:highlight w:val="none"/>
          <w:u w:val="single"/>
          <w:lang w:val="en-US" w:eastAsia="zh-CN"/>
        </w:rPr>
        <w:t xml:space="preserve">                </w:t>
      </w:r>
    </w:p>
    <w:p w14:paraId="6CE5276E">
      <w:pPr>
        <w:keepLines w:val="0"/>
        <w:pageBreakBefore w:val="0"/>
        <w:kinsoku/>
        <w:overflowPunct/>
        <w:bidi w:val="0"/>
        <w:spacing w:line="360" w:lineRule="auto"/>
        <w:ind w:firstLine="0" w:firstLineChars="0"/>
        <w:rPr>
          <w:rFonts w:hint="default" w:ascii="宋体" w:hAnsi="宋体" w:eastAsia="宋体" w:cs="宋体"/>
          <w:color w:val="auto"/>
          <w:sz w:val="21"/>
          <w:szCs w:val="24"/>
          <w:highlight w:val="none"/>
          <w:u w:val="single"/>
          <w:lang w:val="en-US" w:eastAsia="zh-CN"/>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r>
        <w:rPr>
          <w:rFonts w:hint="eastAsia" w:ascii="宋体" w:hAnsi="宋体" w:cs="宋体"/>
          <w:color w:val="auto"/>
          <w:sz w:val="21"/>
          <w:szCs w:val="24"/>
          <w:highlight w:val="none"/>
          <w:u w:val="single"/>
          <w:lang w:val="en-US" w:eastAsia="zh-CN"/>
        </w:rPr>
        <w:t xml:space="preserve">                   </w:t>
      </w:r>
    </w:p>
    <w:p w14:paraId="15CCB325">
      <w:pPr>
        <w:keepLines w:val="0"/>
        <w:pageBreakBefore w:val="0"/>
        <w:kinsoku/>
        <w:overflowPunct/>
        <w:bidi w:val="0"/>
        <w:spacing w:line="360" w:lineRule="auto"/>
        <w:ind w:firstLine="0" w:firstLineChars="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0D052A36">
      <w:pPr>
        <w:keepLines w:val="0"/>
        <w:pageBreakBefore w:val="0"/>
        <w:kinsoku/>
        <w:overflowPunct/>
        <w:bidi w:val="0"/>
        <w:spacing w:line="360" w:lineRule="auto"/>
        <w:ind w:firstLine="0" w:firstLineChars="0"/>
        <w:jc w:val="both"/>
        <w:rPr>
          <w:rFonts w:hint="eastAsia" w:ascii="宋体" w:hAnsi="宋体"/>
          <w:b/>
          <w:color w:val="auto"/>
          <w:kern w:val="0"/>
          <w:sz w:val="30"/>
          <w:szCs w:val="30"/>
          <w:highlight w:val="none"/>
        </w:rPr>
        <w:sectPr>
          <w:pgSz w:w="11906" w:h="16838"/>
          <w:pgMar w:top="1440" w:right="1797" w:bottom="1440" w:left="1418" w:header="851" w:footer="992" w:gutter="0"/>
          <w:cols w:space="720" w:num="1"/>
          <w:docGrid w:type="lines" w:linePitch="326" w:charSpace="0"/>
        </w:sectPr>
      </w:pPr>
    </w:p>
    <w:p w14:paraId="6E4EEFBC">
      <w:pPr>
        <w:keepLines w:val="0"/>
        <w:pageBreakBefore w:val="0"/>
        <w:kinsoku/>
        <w:overflowPunct/>
        <w:bidi w:val="0"/>
        <w:spacing w:line="360" w:lineRule="auto"/>
        <w:ind w:firstLine="0" w:firstLineChars="0"/>
        <w:jc w:val="both"/>
        <w:rPr>
          <w:rFonts w:hint="eastAsia" w:ascii="宋体" w:hAnsi="宋体" w:cs="宋体"/>
          <w:b/>
          <w:color w:val="auto"/>
          <w:kern w:val="0"/>
          <w:sz w:val="32"/>
          <w:szCs w:val="20"/>
          <w:highlight w:val="none"/>
        </w:rPr>
      </w:pPr>
      <w:r>
        <w:rPr>
          <w:rFonts w:hint="eastAsia" w:ascii="宋体" w:hAnsi="宋体"/>
          <w:b/>
          <w:color w:val="auto"/>
          <w:kern w:val="0"/>
          <w:sz w:val="30"/>
          <w:szCs w:val="30"/>
          <w:highlight w:val="none"/>
        </w:rPr>
        <w:t>（三）其他有效证明材料</w:t>
      </w:r>
    </w:p>
    <w:p w14:paraId="71B9E64B">
      <w:pPr>
        <w:keepLines w:val="0"/>
        <w:pageBreakBefore w:val="0"/>
        <w:kinsoku/>
        <w:overflowPunct/>
        <w:bidi w:val="0"/>
        <w:spacing w:line="360" w:lineRule="auto"/>
        <w:ind w:firstLine="0" w:firstLineChars="0"/>
        <w:rPr>
          <w:color w:val="auto"/>
          <w:sz w:val="28"/>
          <w:szCs w:val="28"/>
          <w:highlight w:val="none"/>
        </w:rPr>
      </w:pPr>
      <w:r>
        <w:rPr>
          <w:rFonts w:hint="eastAsia" w:ascii="宋体" w:hAnsi="宋体" w:cs="宋体"/>
          <w:b/>
          <w:color w:val="auto"/>
          <w:kern w:val="0"/>
          <w:sz w:val="28"/>
          <w:szCs w:val="28"/>
          <w:highlight w:val="none"/>
        </w:rPr>
        <w:t>1.节能、环保产品相关证明材料复印件（如有，请提供）</w:t>
      </w:r>
    </w:p>
    <w:p w14:paraId="00880DD7">
      <w:pPr>
        <w:pStyle w:val="22"/>
        <w:keepLines w:val="0"/>
        <w:pageBreakBefore w:val="0"/>
        <w:kinsoku/>
        <w:overflowPunct/>
        <w:bidi w:val="0"/>
        <w:spacing w:line="360" w:lineRule="auto"/>
        <w:rPr>
          <w:color w:val="auto"/>
          <w:sz w:val="28"/>
          <w:szCs w:val="28"/>
          <w:highlight w:val="none"/>
        </w:rPr>
      </w:pPr>
    </w:p>
    <w:p w14:paraId="7075DE72">
      <w:pPr>
        <w:keepLines w:val="0"/>
        <w:pageBreakBefore w:val="0"/>
        <w:kinsoku/>
        <w:overflowPunct/>
        <w:bidi w:val="0"/>
        <w:adjustRightInd w:val="0"/>
        <w:snapToGrid w:val="0"/>
        <w:spacing w:line="360" w:lineRule="auto"/>
        <w:ind w:firstLine="0" w:firstLineChars="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2.供应商属于中小企业的相关有效证明材料（如有，请提供）</w:t>
      </w:r>
    </w:p>
    <w:p w14:paraId="29630411">
      <w:pPr>
        <w:keepLines w:val="0"/>
        <w:pageBreakBefore w:val="0"/>
        <w:kinsoku/>
        <w:overflowPunct/>
        <w:bidi w:val="0"/>
        <w:adjustRightInd w:val="0"/>
        <w:snapToGrid w:val="0"/>
        <w:spacing w:line="360" w:lineRule="auto"/>
        <w:ind w:firstLine="0" w:firstLineChars="0"/>
        <w:rPr>
          <w:rFonts w:hint="eastAsia" w:hAnsi="宋体"/>
          <w:b/>
          <w:color w:val="auto"/>
          <w:sz w:val="28"/>
          <w:szCs w:val="28"/>
          <w:highlight w:val="none"/>
        </w:rPr>
      </w:pPr>
      <w:r>
        <w:rPr>
          <w:rFonts w:hint="eastAsia" w:ascii="宋体" w:hAnsi="宋体" w:eastAsia="宋体" w:cs="宋体"/>
          <w:b/>
          <w:color w:val="auto"/>
          <w:kern w:val="0"/>
          <w:sz w:val="28"/>
          <w:szCs w:val="28"/>
          <w:highlight w:val="none"/>
        </w:rPr>
        <w:t>①</w:t>
      </w:r>
      <w:r>
        <w:rPr>
          <w:rFonts w:hint="eastAsia" w:ascii="宋体" w:hAnsi="宋体" w:eastAsia="宋体" w:cs="宋体"/>
          <w:b/>
          <w:color w:val="auto"/>
          <w:kern w:val="0"/>
          <w:sz w:val="28"/>
          <w:szCs w:val="28"/>
          <w:highlight w:val="none"/>
          <w:lang w:eastAsia="zh-CN"/>
        </w:rPr>
        <w:t>供应商提供的货物全部由符合政策要求中小企业制造，响应文件中提供《中小企业声明函》</w:t>
      </w:r>
    </w:p>
    <w:p w14:paraId="246E9527">
      <w:pPr>
        <w:pStyle w:val="24"/>
        <w:keepLines w:val="0"/>
        <w:pageBreakBefore w:val="0"/>
        <w:kinsoku/>
        <w:overflowPunct/>
        <w:bidi w:val="0"/>
        <w:spacing w:line="360" w:lineRule="auto"/>
        <w:rPr>
          <w:rFonts w:hint="eastAsia" w:hAnsi="宋体"/>
          <w:b/>
          <w:color w:val="auto"/>
          <w:sz w:val="28"/>
          <w:szCs w:val="28"/>
          <w:highlight w:val="none"/>
        </w:rPr>
      </w:pPr>
      <w:r>
        <w:rPr>
          <w:rFonts w:hint="eastAsia" w:hAnsi="宋体"/>
          <w:b/>
          <w:color w:val="auto"/>
          <w:sz w:val="28"/>
          <w:szCs w:val="28"/>
          <w:highlight w:val="none"/>
        </w:rPr>
        <w:t>附件：</w:t>
      </w:r>
    </w:p>
    <w:p w14:paraId="587EBE6E">
      <w:pPr>
        <w:keepLines w:val="0"/>
        <w:pageBreakBefore w:val="0"/>
        <w:kinsoku/>
        <w:overflowPunct/>
        <w:bidi w:val="0"/>
        <w:snapToGrid w:val="0"/>
        <w:spacing w:before="163" w:beforeLines="50" w:after="50" w:line="360" w:lineRule="auto"/>
        <w:ind w:firstLine="643"/>
        <w:jc w:val="center"/>
        <w:rPr>
          <w:rFonts w:hint="eastAsia" w:ascii="宋体" w:hAnsi="宋体"/>
          <w:b/>
          <w:color w:val="auto"/>
          <w:sz w:val="32"/>
          <w:szCs w:val="32"/>
          <w:highlight w:val="none"/>
        </w:rPr>
      </w:pPr>
      <w:r>
        <w:rPr>
          <w:rFonts w:hint="eastAsia" w:ascii="宋体" w:hAnsi="宋体"/>
          <w:b/>
          <w:color w:val="auto"/>
          <w:sz w:val="28"/>
          <w:szCs w:val="28"/>
          <w:highlight w:val="none"/>
        </w:rPr>
        <w:t>中小企业声明函（货物）（格式）</w:t>
      </w:r>
    </w:p>
    <w:p w14:paraId="5FB4BA8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olor w:val="auto"/>
          <w:sz w:val="21"/>
          <w:szCs w:val="21"/>
          <w:highlight w:val="none"/>
        </w:rPr>
      </w:pPr>
      <w:r>
        <w:rPr>
          <w:rFonts w:hint="eastAsia" w:ascii="宋体" w:hAnsi="宋体"/>
          <w:color w:val="auto"/>
          <w:sz w:val="21"/>
          <w:szCs w:val="21"/>
          <w:highlight w:val="none"/>
        </w:rPr>
        <w:t>本公司（联合体）郑重声明，根据《政府采购促进中小企业发展管理办法》（财库﹝2020﹞46 号）的规定，本公司（联合体）参加</w:t>
      </w:r>
      <w:r>
        <w:rPr>
          <w:rFonts w:hint="eastAsia" w:ascii="宋体" w:hAnsi="宋体"/>
          <w:color w:val="auto"/>
          <w:sz w:val="21"/>
          <w:szCs w:val="21"/>
          <w:highlight w:val="none"/>
          <w:u w:val="single"/>
        </w:rPr>
        <w:t>（单位名称）</w:t>
      </w:r>
      <w:r>
        <w:rPr>
          <w:rFonts w:hint="eastAsia" w:ascii="宋体" w:hAnsi="宋体"/>
          <w:color w:val="auto"/>
          <w:sz w:val="21"/>
          <w:szCs w:val="21"/>
          <w:highlight w:val="none"/>
        </w:rPr>
        <w:t>的</w:t>
      </w:r>
      <w:r>
        <w:rPr>
          <w:rFonts w:hint="eastAsia" w:ascii="宋体" w:hAnsi="宋体"/>
          <w:color w:val="auto"/>
          <w:sz w:val="21"/>
          <w:szCs w:val="21"/>
          <w:highlight w:val="none"/>
          <w:u w:val="single"/>
        </w:rPr>
        <w:t>（项目名称）</w:t>
      </w:r>
      <w:r>
        <w:rPr>
          <w:rFonts w:hint="eastAsia" w:ascii="宋体" w:hAnsi="宋体"/>
          <w:color w:val="auto"/>
          <w:sz w:val="21"/>
          <w:szCs w:val="21"/>
          <w:highlight w:val="none"/>
        </w:rPr>
        <w:t>采购活动，提供的货物全部由符合政策要求的中小企业制造。相关企业（含联合体中的中小企业、签订分包意向协议的中小企业）的具体情况如下：</w:t>
      </w:r>
    </w:p>
    <w:p w14:paraId="5E31CE05">
      <w:pPr>
        <w:pStyle w:val="235"/>
        <w:keepNext w:val="0"/>
        <w:keepLines w:val="0"/>
        <w:pageBreakBefore w:val="0"/>
        <w:widowControl w:val="0"/>
        <w:kinsoku/>
        <w:wordWrap/>
        <w:overflowPunct/>
        <w:topLinePunct w:val="0"/>
        <w:autoSpaceDE/>
        <w:autoSpaceDN/>
        <w:bidi w:val="0"/>
        <w:adjustRightInd/>
        <w:snapToGrid/>
        <w:spacing w:line="360" w:lineRule="auto"/>
        <w:ind w:firstLine="640"/>
        <w:jc w:val="both"/>
        <w:textAlignment w:val="auto"/>
        <w:rPr>
          <w:rFonts w:hint="eastAsia"/>
          <w:color w:val="auto"/>
          <w:sz w:val="21"/>
          <w:szCs w:val="21"/>
        </w:rPr>
      </w:pPr>
      <w:r>
        <w:rPr>
          <w:rFonts w:hint="eastAsia"/>
          <w:color w:val="auto"/>
          <w:sz w:val="21"/>
          <w:szCs w:val="21"/>
        </w:rPr>
        <w:t>1.</w:t>
      </w:r>
      <w:r>
        <w:rPr>
          <w:rFonts w:hint="eastAsia"/>
          <w:color w:val="auto"/>
          <w:sz w:val="21"/>
          <w:szCs w:val="21"/>
          <w:u w:val="single"/>
        </w:rPr>
        <w:t xml:space="preserve">     （标的名称）</w:t>
      </w:r>
      <w:r>
        <w:rPr>
          <w:rFonts w:hint="eastAsia"/>
          <w:color w:val="auto"/>
          <w:sz w:val="21"/>
          <w:szCs w:val="21"/>
        </w:rPr>
        <w:t>，属于</w:t>
      </w:r>
      <w:r>
        <w:rPr>
          <w:rFonts w:hint="eastAsia"/>
          <w:color w:val="auto"/>
          <w:sz w:val="21"/>
          <w:szCs w:val="21"/>
          <w:u w:val="single"/>
        </w:rPr>
        <w:t xml:space="preserve">     （釆购文件中明确的所属行业）行业</w:t>
      </w:r>
      <w:r>
        <w:rPr>
          <w:rFonts w:hint="eastAsia"/>
          <w:color w:val="auto"/>
          <w:sz w:val="21"/>
          <w:szCs w:val="21"/>
        </w:rPr>
        <w:t>；制造商为</w:t>
      </w:r>
      <w:r>
        <w:rPr>
          <w:rFonts w:hint="eastAsia"/>
          <w:color w:val="auto"/>
          <w:sz w:val="21"/>
          <w:szCs w:val="21"/>
          <w:u w:val="single"/>
        </w:rPr>
        <w:t>（企业名称）</w:t>
      </w:r>
      <w:r>
        <w:rPr>
          <w:rFonts w:hint="eastAsia"/>
          <w:color w:val="auto"/>
          <w:sz w:val="21"/>
          <w:szCs w:val="21"/>
        </w:rPr>
        <w:t>，从业人员</w:t>
      </w:r>
      <w:r>
        <w:rPr>
          <w:rFonts w:hint="eastAsia"/>
          <w:color w:val="auto"/>
          <w:sz w:val="21"/>
          <w:szCs w:val="21"/>
          <w:u w:val="single"/>
        </w:rPr>
        <w:t xml:space="preserve"> </w:t>
      </w:r>
      <w:r>
        <w:rPr>
          <w:rFonts w:hint="eastAsia"/>
          <w:color w:val="auto"/>
          <w:sz w:val="21"/>
          <w:szCs w:val="21"/>
          <w:u w:val="single"/>
        </w:rPr>
        <w:tab/>
      </w:r>
      <w:r>
        <w:rPr>
          <w:rFonts w:hint="eastAsia"/>
          <w:color w:val="auto"/>
          <w:sz w:val="21"/>
          <w:szCs w:val="21"/>
        </w:rPr>
        <w:t>人，营业收入为</w:t>
      </w:r>
      <w:r>
        <w:rPr>
          <w:rFonts w:hint="eastAsia"/>
          <w:color w:val="auto"/>
          <w:sz w:val="21"/>
          <w:szCs w:val="21"/>
          <w:u w:val="single"/>
        </w:rPr>
        <w:t xml:space="preserve">    </w:t>
      </w:r>
      <w:r>
        <w:rPr>
          <w:rFonts w:hint="eastAsia"/>
          <w:color w:val="auto"/>
          <w:sz w:val="21"/>
          <w:szCs w:val="21"/>
        </w:rPr>
        <w:t>万元，资产总额为</w:t>
      </w:r>
      <w:r>
        <w:rPr>
          <w:rFonts w:hint="eastAsia"/>
          <w:color w:val="auto"/>
          <w:sz w:val="21"/>
          <w:szCs w:val="21"/>
          <w:u w:val="single"/>
        </w:rPr>
        <w:t xml:space="preserve">     </w:t>
      </w:r>
      <w:r>
        <w:rPr>
          <w:rFonts w:hint="eastAsia"/>
          <w:color w:val="auto"/>
          <w:sz w:val="21"/>
          <w:szCs w:val="21"/>
        </w:rPr>
        <w:t>万元，属于</w:t>
      </w:r>
      <w:r>
        <w:rPr>
          <w:rFonts w:hint="eastAsia"/>
          <w:color w:val="auto"/>
          <w:sz w:val="21"/>
          <w:szCs w:val="21"/>
          <w:u w:val="single"/>
        </w:rPr>
        <w:t>（中型企业、小型企业、微型企业）</w:t>
      </w:r>
      <w:r>
        <w:rPr>
          <w:rFonts w:hint="eastAsia"/>
          <w:color w:val="auto"/>
          <w:sz w:val="21"/>
          <w:szCs w:val="21"/>
        </w:rPr>
        <w:t xml:space="preserve">； </w:t>
      </w:r>
    </w:p>
    <w:p w14:paraId="60A5C0E3">
      <w:pPr>
        <w:pStyle w:val="235"/>
        <w:keepNext w:val="0"/>
        <w:keepLines w:val="0"/>
        <w:pageBreakBefore w:val="0"/>
        <w:widowControl w:val="0"/>
        <w:kinsoku/>
        <w:wordWrap/>
        <w:overflowPunct/>
        <w:topLinePunct w:val="0"/>
        <w:autoSpaceDE/>
        <w:autoSpaceDN/>
        <w:bidi w:val="0"/>
        <w:adjustRightInd/>
        <w:snapToGrid/>
        <w:spacing w:line="360" w:lineRule="auto"/>
        <w:ind w:firstLine="640"/>
        <w:jc w:val="both"/>
        <w:textAlignment w:val="auto"/>
        <w:rPr>
          <w:rFonts w:hint="eastAsia"/>
          <w:color w:val="auto"/>
          <w:sz w:val="21"/>
          <w:szCs w:val="21"/>
        </w:rPr>
      </w:pPr>
      <w:r>
        <w:rPr>
          <w:rFonts w:hint="eastAsia"/>
          <w:color w:val="auto"/>
          <w:sz w:val="21"/>
          <w:szCs w:val="21"/>
        </w:rPr>
        <w:t>2.</w:t>
      </w:r>
      <w:r>
        <w:rPr>
          <w:rFonts w:hint="eastAsia"/>
          <w:color w:val="auto"/>
          <w:sz w:val="21"/>
          <w:szCs w:val="21"/>
          <w:u w:val="single"/>
        </w:rPr>
        <w:t xml:space="preserve">    （标的名称）</w:t>
      </w:r>
      <w:r>
        <w:rPr>
          <w:rFonts w:hint="eastAsia"/>
          <w:color w:val="auto"/>
          <w:sz w:val="21"/>
          <w:szCs w:val="21"/>
        </w:rPr>
        <w:t>，属于</w:t>
      </w:r>
      <w:r>
        <w:rPr>
          <w:rFonts w:hint="eastAsia"/>
          <w:color w:val="auto"/>
          <w:sz w:val="21"/>
          <w:szCs w:val="21"/>
          <w:u w:val="single"/>
        </w:rPr>
        <w:t xml:space="preserve">     （釆购文件中明确的所属行业）行业</w:t>
      </w:r>
      <w:r>
        <w:rPr>
          <w:rFonts w:hint="eastAsia"/>
          <w:color w:val="auto"/>
          <w:sz w:val="21"/>
          <w:szCs w:val="21"/>
        </w:rPr>
        <w:t>；制造商为</w:t>
      </w:r>
      <w:r>
        <w:rPr>
          <w:rFonts w:hint="eastAsia"/>
          <w:color w:val="auto"/>
          <w:sz w:val="21"/>
          <w:szCs w:val="21"/>
          <w:u w:val="single"/>
        </w:rPr>
        <w:t>（企业名称）</w:t>
      </w:r>
      <w:r>
        <w:rPr>
          <w:rFonts w:hint="eastAsia"/>
          <w:color w:val="auto"/>
          <w:sz w:val="21"/>
          <w:szCs w:val="21"/>
        </w:rPr>
        <w:t>、从业人员</w:t>
      </w:r>
      <w:r>
        <w:rPr>
          <w:rFonts w:hint="eastAsia"/>
          <w:color w:val="auto"/>
          <w:sz w:val="21"/>
          <w:szCs w:val="21"/>
          <w:u w:val="single"/>
        </w:rPr>
        <w:tab/>
      </w:r>
      <w:r>
        <w:rPr>
          <w:rFonts w:hint="eastAsia"/>
          <w:color w:val="auto"/>
          <w:sz w:val="21"/>
          <w:szCs w:val="21"/>
        </w:rPr>
        <w:t>人，营业收入为</w:t>
      </w:r>
      <w:r>
        <w:rPr>
          <w:rFonts w:hint="eastAsia"/>
          <w:color w:val="auto"/>
          <w:sz w:val="21"/>
          <w:szCs w:val="21"/>
          <w:u w:val="single"/>
        </w:rPr>
        <w:t xml:space="preserve">    </w:t>
      </w:r>
      <w:r>
        <w:rPr>
          <w:rFonts w:hint="eastAsia"/>
          <w:color w:val="auto"/>
          <w:sz w:val="21"/>
          <w:szCs w:val="21"/>
        </w:rPr>
        <w:t>万元，资产总额为</w:t>
      </w:r>
      <w:r>
        <w:rPr>
          <w:rFonts w:hint="eastAsia"/>
          <w:color w:val="auto"/>
          <w:sz w:val="21"/>
          <w:szCs w:val="21"/>
          <w:u w:val="single"/>
        </w:rPr>
        <w:t xml:space="preserve">    </w:t>
      </w:r>
      <w:r>
        <w:rPr>
          <w:rFonts w:hint="eastAsia"/>
          <w:color w:val="auto"/>
          <w:sz w:val="21"/>
          <w:szCs w:val="21"/>
        </w:rPr>
        <w:t>万元，属于</w:t>
      </w:r>
      <w:r>
        <w:rPr>
          <w:rFonts w:hint="eastAsia"/>
          <w:color w:val="auto"/>
          <w:sz w:val="21"/>
          <w:szCs w:val="21"/>
          <w:u w:val="single"/>
        </w:rPr>
        <w:t>（中型企业、小型 企业、微型企业）</w:t>
      </w:r>
      <w:r>
        <w:rPr>
          <w:rFonts w:hint="eastAsia"/>
          <w:color w:val="auto"/>
          <w:sz w:val="21"/>
          <w:szCs w:val="21"/>
        </w:rPr>
        <w:t>；</w:t>
      </w:r>
    </w:p>
    <w:p w14:paraId="0434634E">
      <w:pPr>
        <w:pStyle w:val="235"/>
        <w:keepNext w:val="0"/>
        <w:keepLines w:val="0"/>
        <w:pageBreakBefore w:val="0"/>
        <w:widowControl w:val="0"/>
        <w:kinsoku/>
        <w:wordWrap/>
        <w:overflowPunct/>
        <w:topLinePunct w:val="0"/>
        <w:autoSpaceDE/>
        <w:autoSpaceDN/>
        <w:bidi w:val="0"/>
        <w:adjustRightInd/>
        <w:snapToGrid/>
        <w:spacing w:line="360" w:lineRule="auto"/>
        <w:ind w:firstLine="640"/>
        <w:jc w:val="both"/>
        <w:textAlignment w:val="auto"/>
        <w:rPr>
          <w:rFonts w:hint="eastAsia"/>
          <w:color w:val="auto"/>
          <w:sz w:val="21"/>
          <w:szCs w:val="21"/>
        </w:rPr>
      </w:pPr>
      <w:r>
        <w:rPr>
          <w:rFonts w:hint="eastAsia"/>
          <w:color w:val="auto"/>
          <w:sz w:val="21"/>
          <w:szCs w:val="21"/>
        </w:rPr>
        <w:t>......</w:t>
      </w:r>
    </w:p>
    <w:p w14:paraId="7962817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olor w:val="auto"/>
          <w:sz w:val="21"/>
          <w:szCs w:val="21"/>
          <w:highlight w:val="none"/>
        </w:rPr>
      </w:pPr>
      <w:r>
        <w:rPr>
          <w:rFonts w:hint="eastAsia" w:ascii="宋体" w:hAnsi="宋体"/>
          <w:color w:val="auto"/>
          <w:sz w:val="21"/>
          <w:szCs w:val="21"/>
          <w:highlight w:val="none"/>
        </w:rPr>
        <w:t>以上企业，不属于大企业的分支机构，不存在控股股东为大企业的情形，也不存在与大企业的负责人为同一人的情形。</w:t>
      </w:r>
    </w:p>
    <w:p w14:paraId="6725EB4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olor w:val="auto"/>
          <w:sz w:val="21"/>
          <w:szCs w:val="21"/>
          <w:highlight w:val="none"/>
        </w:rPr>
      </w:pPr>
      <w:r>
        <w:rPr>
          <w:rFonts w:hint="eastAsia" w:ascii="宋体" w:hAnsi="宋体"/>
          <w:color w:val="auto"/>
          <w:sz w:val="21"/>
          <w:szCs w:val="21"/>
          <w:highlight w:val="none"/>
        </w:rPr>
        <w:t>本企业对上述声明内容的真实性负责。如有虚假，将依法承担相应责任。</w:t>
      </w:r>
    </w:p>
    <w:p w14:paraId="39B8A957">
      <w:pPr>
        <w:keepLines w:val="0"/>
        <w:pageBreakBefore w:val="0"/>
        <w:kinsoku/>
        <w:overflowPunct/>
        <w:bidi w:val="0"/>
        <w:spacing w:line="360" w:lineRule="auto"/>
        <w:ind w:firstLine="480"/>
        <w:jc w:val="right"/>
        <w:rPr>
          <w:rFonts w:hint="eastAsia" w:ascii="宋体" w:hAnsi="宋体"/>
          <w:color w:val="auto"/>
          <w:sz w:val="21"/>
          <w:szCs w:val="21"/>
          <w:highlight w:val="none"/>
        </w:rPr>
      </w:pPr>
    </w:p>
    <w:p w14:paraId="6DB5F809">
      <w:pPr>
        <w:keepLines w:val="0"/>
        <w:pageBreakBefore w:val="0"/>
        <w:kinsoku/>
        <w:overflowPunct/>
        <w:bidi w:val="0"/>
        <w:spacing w:line="360" w:lineRule="auto"/>
        <w:ind w:right="960" w:firstLine="480"/>
        <w:jc w:val="center"/>
        <w:rPr>
          <w:rFonts w:hint="eastAsia" w:ascii="宋体" w:hAnsi="宋体"/>
          <w:color w:val="auto"/>
          <w:sz w:val="21"/>
          <w:szCs w:val="21"/>
          <w:highlight w:val="none"/>
          <w:u w:val="single"/>
        </w:rPr>
      </w:pPr>
      <w:r>
        <w:rPr>
          <w:rFonts w:hint="eastAsia" w:ascii="宋体" w:hAnsi="宋体"/>
          <w:color w:val="auto"/>
          <w:sz w:val="21"/>
          <w:szCs w:val="21"/>
          <w:highlight w:val="none"/>
        </w:rPr>
        <w:t>单位名称（电子签章）：</w:t>
      </w:r>
      <w:r>
        <w:rPr>
          <w:rFonts w:hint="eastAsia" w:ascii="宋体" w:hAnsi="宋体"/>
          <w:color w:val="auto"/>
          <w:sz w:val="21"/>
          <w:szCs w:val="21"/>
          <w:highlight w:val="none"/>
          <w:u w:val="single"/>
          <w:lang w:val="en-US" w:eastAsia="zh-CN"/>
        </w:rPr>
        <w:t xml:space="preserve">                   </w:t>
      </w:r>
      <w:r>
        <w:rPr>
          <w:rFonts w:hint="eastAsia" w:ascii="宋体" w:hAnsi="宋体"/>
          <w:color w:val="auto"/>
          <w:sz w:val="21"/>
          <w:szCs w:val="21"/>
          <w:highlight w:val="none"/>
        </w:rPr>
        <w:t xml:space="preserve"> </w:t>
      </w:r>
    </w:p>
    <w:p w14:paraId="42C2AF83">
      <w:pPr>
        <w:keepLines w:val="0"/>
        <w:pageBreakBefore w:val="0"/>
        <w:kinsoku/>
        <w:overflowPunct/>
        <w:bidi w:val="0"/>
        <w:spacing w:line="360" w:lineRule="auto"/>
        <w:ind w:right="960" w:firstLine="480"/>
        <w:jc w:val="center"/>
        <w:rPr>
          <w:rFonts w:hint="default" w:ascii="宋体" w:hAnsi="宋体" w:eastAsia="宋体"/>
          <w:color w:val="auto"/>
          <w:sz w:val="21"/>
          <w:szCs w:val="21"/>
          <w:highlight w:val="none"/>
          <w:u w:val="single"/>
          <w:lang w:val="en-US" w:eastAsia="zh-CN"/>
        </w:rPr>
      </w:pPr>
      <w:r>
        <w:rPr>
          <w:rFonts w:hint="eastAsia" w:ascii="宋体" w:hAnsi="宋体"/>
          <w:color w:val="auto"/>
          <w:sz w:val="21"/>
          <w:szCs w:val="21"/>
          <w:highlight w:val="none"/>
        </w:rPr>
        <w:t>日期：</w:t>
      </w:r>
      <w:r>
        <w:rPr>
          <w:rFonts w:hint="eastAsia" w:ascii="宋体" w:hAnsi="宋体"/>
          <w:color w:val="auto"/>
          <w:sz w:val="21"/>
          <w:szCs w:val="21"/>
          <w:highlight w:val="none"/>
          <w:u w:val="single"/>
          <w:lang w:val="en-US" w:eastAsia="zh-CN"/>
        </w:rPr>
        <w:t xml:space="preserve">                    </w:t>
      </w:r>
    </w:p>
    <w:p w14:paraId="2B4333B6">
      <w:pPr>
        <w:keepLines w:val="0"/>
        <w:pageBreakBefore w:val="0"/>
        <w:kinsoku/>
        <w:overflowPunct/>
        <w:bidi w:val="0"/>
        <w:spacing w:line="360" w:lineRule="auto"/>
        <w:ind w:firstLine="480"/>
        <w:jc w:val="right"/>
        <w:rPr>
          <w:rFonts w:ascii="仿宋_GB2312" w:eastAsia="仿宋_GB2312"/>
          <w:color w:val="auto"/>
          <w:highlight w:val="none"/>
        </w:rPr>
      </w:pPr>
    </w:p>
    <w:p w14:paraId="76245373">
      <w:pPr>
        <w:keepLines w:val="0"/>
        <w:pageBreakBefore w:val="0"/>
        <w:kinsoku/>
        <w:overflowPunct/>
        <w:bidi w:val="0"/>
        <w:spacing w:line="360" w:lineRule="auto"/>
        <w:ind w:firstLine="482"/>
        <w:rPr>
          <w:rFonts w:hint="eastAsia" w:ascii="宋体" w:hAnsi="宋体"/>
          <w:b/>
          <w:color w:val="auto"/>
          <w:sz w:val="21"/>
          <w:szCs w:val="21"/>
          <w:highlight w:val="none"/>
        </w:rPr>
      </w:pPr>
      <w:r>
        <w:rPr>
          <w:rFonts w:hint="eastAsia" w:ascii="宋体" w:hAnsi="宋体"/>
          <w:b/>
          <w:color w:val="auto"/>
          <w:sz w:val="21"/>
          <w:szCs w:val="21"/>
          <w:highlight w:val="none"/>
        </w:rPr>
        <w:t>注：</w:t>
      </w:r>
    </w:p>
    <w:p w14:paraId="3208BFC1">
      <w:pPr>
        <w:keepLines w:val="0"/>
        <w:pageBreakBefore w:val="0"/>
        <w:kinsoku/>
        <w:overflowPunct/>
        <w:bidi w:val="0"/>
        <w:spacing w:line="360" w:lineRule="auto"/>
        <w:ind w:firstLine="482"/>
        <w:rPr>
          <w:rFonts w:hint="eastAsia" w:ascii="宋体" w:hAnsi="宋体"/>
          <w:b/>
          <w:color w:val="auto"/>
          <w:sz w:val="21"/>
          <w:szCs w:val="21"/>
          <w:highlight w:val="none"/>
        </w:rPr>
      </w:pPr>
      <w:r>
        <w:rPr>
          <w:rFonts w:hint="eastAsia" w:ascii="宋体" w:hAnsi="宋体"/>
          <w:b/>
          <w:color w:val="auto"/>
          <w:sz w:val="21"/>
          <w:szCs w:val="21"/>
          <w:highlight w:val="none"/>
        </w:rPr>
        <w:t>1.从业人员、营业收入、资产总额填报上一年度数据，无上一年度数据的新成立企业可不填报。</w:t>
      </w:r>
    </w:p>
    <w:p w14:paraId="51451845">
      <w:pPr>
        <w:keepLines w:val="0"/>
        <w:pageBreakBefore w:val="0"/>
        <w:kinsoku/>
        <w:overflowPunct/>
        <w:bidi w:val="0"/>
        <w:spacing w:line="360" w:lineRule="auto"/>
        <w:ind w:firstLine="482"/>
        <w:rPr>
          <w:rFonts w:hint="eastAsia" w:ascii="宋体" w:hAnsi="宋体"/>
          <w:b/>
          <w:color w:val="auto"/>
          <w:sz w:val="21"/>
          <w:szCs w:val="21"/>
          <w:highlight w:val="none"/>
        </w:rPr>
      </w:pPr>
      <w:r>
        <w:rPr>
          <w:rFonts w:hint="eastAsia" w:ascii="宋体" w:hAnsi="宋体"/>
          <w:b/>
          <w:color w:val="auto"/>
          <w:sz w:val="21"/>
          <w:szCs w:val="21"/>
          <w:highlight w:val="none"/>
        </w:rPr>
        <w:t>2.中小企业在政府采购活动过程中，请根据自己的真实情况出具本声明函。依法享受中小企业优惠政策的，采购人或采购代理机构在公告成交结果时，同时公告其《中小企业声明函》，接受社会监督。</w:t>
      </w:r>
    </w:p>
    <w:p w14:paraId="2F6A0567">
      <w:pPr>
        <w:pStyle w:val="22"/>
        <w:keepLines w:val="0"/>
        <w:pageBreakBefore w:val="0"/>
        <w:kinsoku/>
        <w:overflowPunct/>
        <w:bidi w:val="0"/>
        <w:spacing w:line="360" w:lineRule="auto"/>
        <w:rPr>
          <w:color w:val="auto"/>
          <w:highlight w:val="none"/>
        </w:rPr>
      </w:pPr>
      <w:r>
        <w:rPr>
          <w:color w:val="auto"/>
          <w:highlight w:val="none"/>
        </w:rPr>
        <w:br w:type="page"/>
      </w:r>
    </w:p>
    <w:p w14:paraId="3F572E33">
      <w:pPr>
        <w:pStyle w:val="22"/>
        <w:keepLines w:val="0"/>
        <w:pageBreakBefore w:val="0"/>
        <w:kinsoku/>
        <w:overflowPunct/>
        <w:bidi w:val="0"/>
        <w:spacing w:line="360" w:lineRule="auto"/>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②</w:t>
      </w:r>
      <w:r>
        <w:rPr>
          <w:rFonts w:hint="eastAsia" w:ascii="宋体" w:hAnsi="宋体" w:eastAsia="宋体" w:cs="宋体"/>
          <w:b/>
          <w:color w:val="auto"/>
          <w:kern w:val="0"/>
          <w:sz w:val="28"/>
          <w:szCs w:val="28"/>
          <w:highlight w:val="none"/>
          <w:lang w:eastAsia="zh-CN"/>
        </w:rPr>
        <w:t>属于监狱企业的，提供由省级以上监狱管理局、戒毒管理局（含新疆生产建设兵团）出具的属于监狱企业的证明文件</w:t>
      </w:r>
    </w:p>
    <w:p w14:paraId="7809552B">
      <w:pPr>
        <w:pStyle w:val="22"/>
        <w:keepLines w:val="0"/>
        <w:pageBreakBefore w:val="0"/>
        <w:kinsoku/>
        <w:overflowPunct/>
        <w:bidi w:val="0"/>
        <w:spacing w:line="360" w:lineRule="auto"/>
        <w:rPr>
          <w:color w:val="auto"/>
          <w:sz w:val="28"/>
          <w:szCs w:val="28"/>
          <w:highlight w:val="none"/>
        </w:rPr>
      </w:pPr>
    </w:p>
    <w:p w14:paraId="06E89E91">
      <w:pPr>
        <w:pStyle w:val="22"/>
        <w:keepLines w:val="0"/>
        <w:pageBreakBefore w:val="0"/>
        <w:kinsoku/>
        <w:overflowPunct/>
        <w:bidi w:val="0"/>
        <w:spacing w:line="360" w:lineRule="auto"/>
        <w:rPr>
          <w:color w:val="auto"/>
          <w:sz w:val="28"/>
          <w:szCs w:val="28"/>
          <w:highlight w:val="none"/>
        </w:rPr>
      </w:pPr>
    </w:p>
    <w:p w14:paraId="56C7FD4E">
      <w:pPr>
        <w:pStyle w:val="22"/>
        <w:keepLines w:val="0"/>
        <w:pageBreakBefore w:val="0"/>
        <w:kinsoku/>
        <w:overflowPunct/>
        <w:bidi w:val="0"/>
        <w:spacing w:line="360" w:lineRule="auto"/>
        <w:rPr>
          <w:color w:val="auto"/>
          <w:sz w:val="28"/>
          <w:szCs w:val="28"/>
          <w:highlight w:val="none"/>
        </w:rPr>
      </w:pPr>
    </w:p>
    <w:p w14:paraId="258AD74B">
      <w:pPr>
        <w:pStyle w:val="22"/>
        <w:keepLines w:val="0"/>
        <w:pageBreakBefore w:val="0"/>
        <w:kinsoku/>
        <w:overflowPunct/>
        <w:bidi w:val="0"/>
        <w:spacing w:line="360" w:lineRule="auto"/>
        <w:rPr>
          <w:rFonts w:hint="eastAsia" w:ascii="宋体" w:hAnsi="宋体" w:cs="宋体"/>
          <w:b/>
          <w:color w:val="auto"/>
          <w:sz w:val="28"/>
          <w:szCs w:val="28"/>
          <w:highlight w:val="none"/>
        </w:rPr>
      </w:pPr>
      <w:r>
        <w:rPr>
          <w:rFonts w:hint="eastAsia" w:ascii="宋体" w:hAnsi="宋体" w:cs="宋体"/>
          <w:b/>
          <w:color w:val="auto"/>
          <w:kern w:val="0"/>
          <w:sz w:val="28"/>
          <w:szCs w:val="28"/>
          <w:highlight w:val="none"/>
        </w:rPr>
        <w:t>③符合条件的残疾人福利性单位在参加政府采购活动时，提供《残疾人福利性单位声明函》，并对声明的真实性负责</w:t>
      </w:r>
    </w:p>
    <w:p w14:paraId="142D789F">
      <w:pPr>
        <w:keepLines w:val="0"/>
        <w:pageBreakBefore w:val="0"/>
        <w:kinsoku/>
        <w:overflowPunct/>
        <w:bidi w:val="0"/>
        <w:spacing w:line="360" w:lineRule="auto"/>
        <w:ind w:firstLine="413" w:firstLineChars="147"/>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附件：</w:t>
      </w:r>
    </w:p>
    <w:p w14:paraId="6DB4191D">
      <w:pPr>
        <w:keepLines w:val="0"/>
        <w:pageBreakBefore w:val="0"/>
        <w:tabs>
          <w:tab w:val="left" w:pos="1305"/>
        </w:tabs>
        <w:kinsoku/>
        <w:overflowPunct/>
        <w:bidi w:val="0"/>
        <w:spacing w:line="360" w:lineRule="auto"/>
        <w:ind w:firstLine="0" w:firstLineChars="0"/>
        <w:rPr>
          <w:rFonts w:hint="eastAsia" w:ascii="宋体" w:hAnsi="宋体" w:cs="宋体"/>
          <w:b/>
          <w:bCs/>
          <w:color w:val="auto"/>
          <w:kern w:val="0"/>
          <w:sz w:val="32"/>
          <w:szCs w:val="32"/>
          <w:highlight w:val="none"/>
        </w:rPr>
      </w:pPr>
    </w:p>
    <w:p w14:paraId="25FCEE65">
      <w:pPr>
        <w:keepLines w:val="0"/>
        <w:pageBreakBefore w:val="0"/>
        <w:kinsoku/>
        <w:overflowPunct/>
        <w:bidi w:val="0"/>
        <w:spacing w:line="360" w:lineRule="auto"/>
        <w:ind w:firstLine="0" w:firstLineChars="0"/>
        <w:jc w:val="center"/>
        <w:rPr>
          <w:rFonts w:hint="eastAsia" w:ascii="宋体" w:hAnsi="宋体" w:cs="宋体"/>
          <w:b/>
          <w:color w:val="auto"/>
          <w:kern w:val="0"/>
          <w:sz w:val="28"/>
          <w:szCs w:val="28"/>
          <w:highlight w:val="none"/>
        </w:rPr>
      </w:pPr>
      <w:bookmarkStart w:id="57" w:name="OLE_LINK13"/>
      <w:bookmarkStart w:id="58" w:name="OLE_LINK14"/>
      <w:r>
        <w:rPr>
          <w:rFonts w:hint="eastAsia" w:ascii="宋体" w:hAnsi="宋体" w:cs="宋体"/>
          <w:b/>
          <w:color w:val="auto"/>
          <w:kern w:val="0"/>
          <w:sz w:val="28"/>
          <w:szCs w:val="28"/>
          <w:highlight w:val="none"/>
        </w:rPr>
        <w:t>残疾人福利性单位声明函（格式）</w:t>
      </w:r>
    </w:p>
    <w:bookmarkEnd w:id="57"/>
    <w:bookmarkEnd w:id="58"/>
    <w:p w14:paraId="023DD15C">
      <w:pPr>
        <w:keepLines w:val="0"/>
        <w:pageBreakBefore w:val="0"/>
        <w:kinsoku/>
        <w:overflowPunct/>
        <w:bidi w:val="0"/>
        <w:spacing w:line="360" w:lineRule="auto"/>
        <w:ind w:firstLine="0" w:firstLineChars="0"/>
        <w:rPr>
          <w:rFonts w:hint="eastAsia" w:ascii="宋体" w:hAnsi="宋体" w:cs="宋体"/>
          <w:b/>
          <w:color w:val="auto"/>
          <w:kern w:val="0"/>
          <w:sz w:val="30"/>
          <w:szCs w:val="30"/>
          <w:highlight w:val="none"/>
        </w:rPr>
      </w:pPr>
    </w:p>
    <w:p w14:paraId="057998A8">
      <w:pPr>
        <w:keepLines w:val="0"/>
        <w:pageBreakBefore w:val="0"/>
        <w:kinsoku/>
        <w:overflowPunct/>
        <w:bidi w:val="0"/>
        <w:spacing w:line="360" w:lineRule="auto"/>
        <w:ind w:firstLine="60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358654D">
      <w:pPr>
        <w:keepLines w:val="0"/>
        <w:pageBreakBefore w:val="0"/>
        <w:kinsoku/>
        <w:overflowPunct/>
        <w:bidi w:val="0"/>
        <w:spacing w:line="360" w:lineRule="auto"/>
        <w:ind w:firstLine="60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本单位对上述声明的真实性负责。如有虚假，将依法承担相应责任。</w:t>
      </w:r>
    </w:p>
    <w:p w14:paraId="08CEB5C3">
      <w:pPr>
        <w:keepLines w:val="0"/>
        <w:pageBreakBefore w:val="0"/>
        <w:kinsoku/>
        <w:overflowPunct/>
        <w:bidi w:val="0"/>
        <w:spacing w:line="360" w:lineRule="auto"/>
        <w:ind w:firstLine="600"/>
        <w:rPr>
          <w:rFonts w:hint="eastAsia" w:ascii="宋体" w:hAnsi="宋体" w:cs="宋体"/>
          <w:color w:val="auto"/>
          <w:kern w:val="0"/>
          <w:sz w:val="21"/>
          <w:szCs w:val="21"/>
          <w:highlight w:val="none"/>
        </w:rPr>
      </w:pPr>
    </w:p>
    <w:p w14:paraId="7E0B8EB0">
      <w:pPr>
        <w:keepLines w:val="0"/>
        <w:pageBreakBefore w:val="0"/>
        <w:tabs>
          <w:tab w:val="left" w:pos="4860"/>
        </w:tabs>
        <w:kinsoku/>
        <w:overflowPunct/>
        <w:bidi w:val="0"/>
        <w:spacing w:line="360" w:lineRule="auto"/>
        <w:ind w:right="1560" w:firstLine="60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单位名称（电子签章）：</w:t>
      </w:r>
    </w:p>
    <w:p w14:paraId="6F79F04C">
      <w:pPr>
        <w:keepLines w:val="0"/>
        <w:pageBreakBefore w:val="0"/>
        <w:tabs>
          <w:tab w:val="left" w:pos="4860"/>
        </w:tabs>
        <w:kinsoku/>
        <w:overflowPunct/>
        <w:bidi w:val="0"/>
        <w:spacing w:line="360" w:lineRule="auto"/>
        <w:ind w:right="1560" w:firstLine="600"/>
        <w:jc w:val="center"/>
        <w:rPr>
          <w:color w:val="auto"/>
          <w:sz w:val="21"/>
          <w:szCs w:val="21"/>
          <w:highlight w:val="none"/>
        </w:rPr>
      </w:pPr>
      <w:r>
        <w:rPr>
          <w:rFonts w:hint="eastAsia" w:ascii="宋体" w:hAnsi="宋体" w:cs="宋体"/>
          <w:color w:val="auto"/>
          <w:kern w:val="0"/>
          <w:sz w:val="21"/>
          <w:szCs w:val="21"/>
          <w:highlight w:val="none"/>
        </w:rPr>
        <w:t xml:space="preserve">   日  期：</w:t>
      </w:r>
    </w:p>
    <w:p w14:paraId="66E7A642">
      <w:pPr>
        <w:pStyle w:val="22"/>
        <w:keepLines w:val="0"/>
        <w:pageBreakBefore w:val="0"/>
        <w:kinsoku/>
        <w:overflowPunct/>
        <w:bidi w:val="0"/>
        <w:spacing w:line="360" w:lineRule="auto"/>
        <w:ind w:left="0" w:leftChars="0" w:firstLine="0" w:firstLineChars="0"/>
        <w:rPr>
          <w:rFonts w:hint="eastAsia" w:ascii="宋体" w:hAnsi="宋体" w:cs="宋体"/>
          <w:b/>
          <w:color w:val="auto"/>
          <w:kern w:val="0"/>
          <w:sz w:val="28"/>
          <w:szCs w:val="28"/>
          <w:highlight w:val="none"/>
          <w:lang w:val="en-US" w:eastAsia="zh-CN"/>
        </w:rPr>
      </w:pPr>
    </w:p>
    <w:p w14:paraId="21EFFB0D">
      <w:pPr>
        <w:pStyle w:val="22"/>
        <w:keepLines w:val="0"/>
        <w:pageBreakBefore w:val="0"/>
        <w:kinsoku/>
        <w:overflowPunct/>
        <w:bidi w:val="0"/>
        <w:spacing w:line="360" w:lineRule="auto"/>
        <w:ind w:left="0" w:leftChars="0" w:firstLine="0" w:firstLineChars="0"/>
        <w:rPr>
          <w:rFonts w:hint="eastAsia" w:ascii="宋体" w:hAnsi="宋体" w:cs="宋体"/>
          <w:b/>
          <w:color w:val="auto"/>
          <w:kern w:val="0"/>
          <w:sz w:val="28"/>
          <w:szCs w:val="28"/>
          <w:highlight w:val="none"/>
          <w:lang w:val="en-US" w:eastAsia="zh-CN"/>
        </w:rPr>
      </w:pPr>
    </w:p>
    <w:p w14:paraId="2A89CF1B">
      <w:pPr>
        <w:pStyle w:val="22"/>
        <w:keepLines w:val="0"/>
        <w:pageBreakBefore w:val="0"/>
        <w:kinsoku/>
        <w:overflowPunct/>
        <w:bidi w:val="0"/>
        <w:spacing w:line="360" w:lineRule="auto"/>
        <w:ind w:left="0" w:leftChars="0" w:firstLine="0" w:firstLineChars="0"/>
        <w:rPr>
          <w:rFonts w:hint="eastAsia" w:ascii="宋体" w:hAnsi="宋体" w:cs="宋体"/>
          <w:b/>
          <w:color w:val="auto"/>
          <w:kern w:val="0"/>
          <w:sz w:val="28"/>
          <w:szCs w:val="28"/>
          <w:highlight w:val="none"/>
          <w:lang w:val="en-US" w:eastAsia="zh-CN"/>
        </w:rPr>
      </w:pPr>
    </w:p>
    <w:p w14:paraId="5C5A3909">
      <w:pPr>
        <w:pStyle w:val="22"/>
        <w:keepLines w:val="0"/>
        <w:pageBreakBefore w:val="0"/>
        <w:kinsoku/>
        <w:overflowPunct/>
        <w:bidi w:val="0"/>
        <w:spacing w:line="360" w:lineRule="auto"/>
        <w:ind w:left="0" w:leftChars="0" w:firstLine="0" w:firstLineChars="0"/>
        <w:rPr>
          <w:rFonts w:hint="eastAsia" w:ascii="宋体" w:hAnsi="宋体" w:cs="宋体"/>
          <w:b/>
          <w:color w:val="auto"/>
          <w:kern w:val="0"/>
          <w:sz w:val="28"/>
          <w:szCs w:val="28"/>
          <w:highlight w:val="none"/>
          <w:lang w:val="en-US" w:eastAsia="zh-CN"/>
        </w:rPr>
      </w:pPr>
    </w:p>
    <w:p w14:paraId="6EA68F28">
      <w:pPr>
        <w:pStyle w:val="22"/>
        <w:keepLines w:val="0"/>
        <w:pageBreakBefore w:val="0"/>
        <w:kinsoku/>
        <w:overflowPunct/>
        <w:bidi w:val="0"/>
        <w:spacing w:line="360" w:lineRule="auto"/>
        <w:ind w:left="0" w:leftChars="0" w:firstLine="0" w:firstLineChars="0"/>
        <w:rPr>
          <w:color w:val="auto"/>
          <w:sz w:val="28"/>
          <w:szCs w:val="28"/>
          <w:highlight w:val="none"/>
        </w:rPr>
      </w:pPr>
      <w:r>
        <w:rPr>
          <w:rFonts w:hint="eastAsia" w:ascii="宋体" w:hAnsi="宋体" w:cs="宋体"/>
          <w:b/>
          <w:color w:val="auto"/>
          <w:kern w:val="0"/>
          <w:sz w:val="28"/>
          <w:szCs w:val="28"/>
          <w:highlight w:val="none"/>
          <w:lang w:val="en-US" w:eastAsia="zh-CN"/>
        </w:rPr>
        <w:t>3</w:t>
      </w:r>
      <w:r>
        <w:rPr>
          <w:rFonts w:hint="eastAsia" w:ascii="宋体" w:hAnsi="宋体" w:cs="宋体"/>
          <w:b/>
          <w:color w:val="auto"/>
          <w:kern w:val="0"/>
          <w:sz w:val="28"/>
          <w:szCs w:val="28"/>
          <w:highlight w:val="none"/>
        </w:rPr>
        <w:t>.《关于符合本国产品标准的声明函》或者财政部会同有关部门规定的有关证明文件（如有，请提供）</w:t>
      </w:r>
    </w:p>
    <w:p w14:paraId="3350C6DD">
      <w:pPr>
        <w:keepLines w:val="0"/>
        <w:pageBreakBefore w:val="0"/>
        <w:widowControl/>
        <w:shd w:val="clear" w:color="auto"/>
        <w:kinsoku/>
        <w:overflowPunct/>
        <w:bidi w:val="0"/>
        <w:spacing w:line="360" w:lineRule="auto"/>
        <w:jc w:val="center"/>
        <w:rPr>
          <w:rFonts w:ascii="宋体" w:hAnsi="宋体" w:cs="宋体"/>
          <w:color w:val="auto"/>
          <w:kern w:val="0"/>
          <w:sz w:val="30"/>
          <w:szCs w:val="30"/>
          <w:highlight w:val="none"/>
        </w:rPr>
      </w:pPr>
      <w:r>
        <w:rPr>
          <w:rFonts w:hint="eastAsia" w:ascii="宋体" w:hAnsi="宋体" w:cs="宋体"/>
          <w:b/>
          <w:bCs/>
          <w:color w:val="auto"/>
          <w:kern w:val="0"/>
          <w:sz w:val="30"/>
          <w:szCs w:val="30"/>
          <w:highlight w:val="none"/>
        </w:rPr>
        <w:t>关于符合本国产品标准的声明函</w:t>
      </w:r>
    </w:p>
    <w:p w14:paraId="3CE9CDD9">
      <w:pPr>
        <w:keepLines w:val="0"/>
        <w:pageBreakBefore w:val="0"/>
        <w:widowControl/>
        <w:shd w:val="clear" w:color="auto"/>
        <w:kinsoku/>
        <w:overflowPunct/>
        <w:bidi w:val="0"/>
        <w:spacing w:before="30" w:after="30" w:line="360" w:lineRule="auto"/>
        <w:ind w:firstLine="48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本公司（单位）郑重声明，根据《国务院办公厅关于在政府采购中实施本国产品标准及相关政策的通知》（国办发〔2025〕34号）的规定，本公司（单位）提供的以下产品属于本国产品。具体情况如下：</w:t>
      </w:r>
    </w:p>
    <w:p w14:paraId="708AD532">
      <w:pPr>
        <w:keepLines w:val="0"/>
        <w:pageBreakBefore w:val="0"/>
        <w:widowControl/>
        <w:shd w:val="clear" w:color="auto"/>
        <w:kinsoku/>
        <w:overflowPunct/>
        <w:bidi w:val="0"/>
        <w:spacing w:line="360" w:lineRule="auto"/>
        <w:ind w:firstLine="480"/>
        <w:jc w:val="left"/>
        <w:rPr>
          <w:rFonts w:ascii="宋体" w:hAnsi="宋体" w:cs="宋体"/>
          <w:i w:val="0"/>
          <w:iCs w:val="0"/>
          <w:color w:val="auto"/>
          <w:kern w:val="0"/>
          <w:sz w:val="21"/>
          <w:szCs w:val="21"/>
          <w:highlight w:val="none"/>
        </w:rPr>
      </w:pPr>
      <w:r>
        <w:rPr>
          <w:rFonts w:hint="eastAsia" w:ascii="宋体" w:hAnsi="宋体" w:cs="宋体"/>
          <w:i w:val="0"/>
          <w:iCs w:val="0"/>
          <w:color w:val="auto"/>
          <w:kern w:val="0"/>
          <w:sz w:val="21"/>
          <w:szCs w:val="21"/>
          <w:highlight w:val="none"/>
        </w:rPr>
        <w:t>1.</w:t>
      </w:r>
      <w:r>
        <w:rPr>
          <w:rFonts w:hint="eastAsia" w:ascii="宋体" w:hAnsi="宋体" w:cs="宋体"/>
          <w:i w:val="0"/>
          <w:iCs w:val="0"/>
          <w:color w:val="auto"/>
          <w:kern w:val="0"/>
          <w:sz w:val="21"/>
          <w:szCs w:val="21"/>
          <w:highlight w:val="none"/>
          <w:u w:val="single"/>
        </w:rPr>
        <w:t>（产品名称1）</w:t>
      </w:r>
      <w:r>
        <w:rPr>
          <w:rFonts w:hint="eastAsia" w:ascii="宋体" w:hAnsi="宋体" w:cs="宋体"/>
          <w:i w:val="0"/>
          <w:iCs w:val="0"/>
          <w:color w:val="auto"/>
          <w:kern w:val="0"/>
          <w:sz w:val="21"/>
          <w:szCs w:val="21"/>
          <w:highlight w:val="none"/>
          <w:vertAlign w:val="superscript"/>
        </w:rPr>
        <w:t>1</w:t>
      </w:r>
      <w:r>
        <w:rPr>
          <w:rFonts w:hint="eastAsia" w:ascii="宋体" w:hAnsi="宋体" w:cs="宋体"/>
          <w:i w:val="0"/>
          <w:iCs w:val="0"/>
          <w:color w:val="auto"/>
          <w:kern w:val="0"/>
          <w:sz w:val="21"/>
          <w:szCs w:val="21"/>
          <w:highlight w:val="none"/>
        </w:rPr>
        <w:t>，生产厂为</w:t>
      </w:r>
      <w:r>
        <w:rPr>
          <w:rFonts w:hint="eastAsia" w:ascii="宋体" w:hAnsi="宋体" w:cs="宋体"/>
          <w:i w:val="0"/>
          <w:iCs w:val="0"/>
          <w:color w:val="auto"/>
          <w:kern w:val="0"/>
          <w:sz w:val="21"/>
          <w:szCs w:val="21"/>
          <w:highlight w:val="none"/>
          <w:u w:val="single"/>
        </w:rPr>
        <w:t>（厂名）</w:t>
      </w:r>
      <w:r>
        <w:rPr>
          <w:rFonts w:hint="eastAsia" w:ascii="宋体" w:hAnsi="宋体" w:cs="宋体"/>
          <w:i w:val="0"/>
          <w:iCs w:val="0"/>
          <w:color w:val="auto"/>
          <w:kern w:val="0"/>
          <w:sz w:val="21"/>
          <w:szCs w:val="21"/>
          <w:highlight w:val="none"/>
          <w:vertAlign w:val="superscript"/>
        </w:rPr>
        <w:t>2</w:t>
      </w:r>
      <w:r>
        <w:rPr>
          <w:rFonts w:hint="eastAsia" w:ascii="宋体" w:hAnsi="宋体" w:cs="宋体"/>
          <w:i w:val="0"/>
          <w:iCs w:val="0"/>
          <w:color w:val="auto"/>
          <w:kern w:val="0"/>
          <w:sz w:val="21"/>
          <w:szCs w:val="21"/>
          <w:highlight w:val="none"/>
        </w:rPr>
        <w:t>，厂址为</w:t>
      </w:r>
      <w:r>
        <w:rPr>
          <w:rFonts w:hint="eastAsia" w:ascii="宋体" w:hAnsi="宋体" w:cs="宋体"/>
          <w:i w:val="0"/>
          <w:iCs w:val="0"/>
          <w:color w:val="auto"/>
          <w:kern w:val="0"/>
          <w:sz w:val="21"/>
          <w:szCs w:val="21"/>
          <w:highlight w:val="none"/>
          <w:u w:val="single"/>
        </w:rPr>
        <w:t>（生产厂址）</w:t>
      </w:r>
      <w:r>
        <w:rPr>
          <w:rFonts w:hint="eastAsia" w:ascii="宋体" w:hAnsi="宋体" w:cs="宋体"/>
          <w:i w:val="0"/>
          <w:iCs w:val="0"/>
          <w:color w:val="auto"/>
          <w:kern w:val="0"/>
          <w:sz w:val="21"/>
          <w:szCs w:val="21"/>
          <w:highlight w:val="none"/>
        </w:rPr>
        <w:t>。</w:t>
      </w:r>
      <w:r>
        <w:rPr>
          <w:rFonts w:hint="eastAsia" w:ascii="宋体" w:hAnsi="宋体" w:cs="宋体"/>
          <w:i w:val="0"/>
          <w:iCs w:val="0"/>
          <w:color w:val="auto"/>
          <w:kern w:val="0"/>
          <w:sz w:val="21"/>
          <w:szCs w:val="21"/>
          <w:highlight w:val="none"/>
          <w:u w:val="single"/>
        </w:rPr>
        <w:t>（产品名称1）</w:t>
      </w:r>
      <w:r>
        <w:rPr>
          <w:rFonts w:hint="eastAsia" w:ascii="宋体" w:hAnsi="宋体" w:cs="宋体"/>
          <w:i w:val="0"/>
          <w:iCs w:val="0"/>
          <w:color w:val="auto"/>
          <w:kern w:val="0"/>
          <w:sz w:val="21"/>
          <w:szCs w:val="21"/>
          <w:highlight w:val="none"/>
        </w:rPr>
        <w:t>的中国境内生产的组件成本占比≥</w:t>
      </w:r>
      <w:r>
        <w:rPr>
          <w:rFonts w:hint="eastAsia" w:ascii="宋体" w:hAnsi="宋体" w:cs="宋体"/>
          <w:i w:val="0"/>
          <w:iCs w:val="0"/>
          <w:color w:val="auto"/>
          <w:kern w:val="0"/>
          <w:sz w:val="21"/>
          <w:szCs w:val="21"/>
          <w:highlight w:val="none"/>
          <w:u w:val="single"/>
        </w:rPr>
        <w:t>（规定比例）</w:t>
      </w:r>
      <w:r>
        <w:rPr>
          <w:rFonts w:hint="eastAsia" w:ascii="宋体" w:hAnsi="宋体" w:cs="宋体"/>
          <w:i w:val="0"/>
          <w:iCs w:val="0"/>
          <w:color w:val="auto"/>
          <w:kern w:val="0"/>
          <w:sz w:val="21"/>
          <w:szCs w:val="21"/>
          <w:highlight w:val="none"/>
          <w:vertAlign w:val="superscript"/>
        </w:rPr>
        <w:t>3</w:t>
      </w:r>
      <w:r>
        <w:rPr>
          <w:rFonts w:hint="eastAsia" w:ascii="宋体" w:hAnsi="宋体" w:cs="宋体"/>
          <w:i w:val="0"/>
          <w:iCs w:val="0"/>
          <w:color w:val="auto"/>
          <w:kern w:val="0"/>
          <w:sz w:val="21"/>
          <w:szCs w:val="21"/>
          <w:highlight w:val="none"/>
        </w:rPr>
        <w:t>。</w:t>
      </w:r>
      <w:r>
        <w:rPr>
          <w:rFonts w:hint="eastAsia" w:ascii="宋体" w:hAnsi="宋体" w:cs="宋体"/>
          <w:i w:val="0"/>
          <w:iCs w:val="0"/>
          <w:color w:val="auto"/>
          <w:kern w:val="0"/>
          <w:sz w:val="21"/>
          <w:szCs w:val="21"/>
          <w:highlight w:val="none"/>
          <w:u w:val="single"/>
        </w:rPr>
        <w:t>（产品名称1）</w:t>
      </w:r>
      <w:r>
        <w:rPr>
          <w:rFonts w:hint="eastAsia" w:ascii="宋体" w:hAnsi="宋体" w:cs="宋体"/>
          <w:i w:val="0"/>
          <w:iCs w:val="0"/>
          <w:color w:val="auto"/>
          <w:kern w:val="0"/>
          <w:sz w:val="21"/>
          <w:szCs w:val="21"/>
          <w:highlight w:val="none"/>
        </w:rPr>
        <w:t>的</w:t>
      </w:r>
      <w:r>
        <w:rPr>
          <w:rFonts w:hint="eastAsia" w:ascii="宋体" w:hAnsi="宋体" w:cs="宋体"/>
          <w:i w:val="0"/>
          <w:iCs w:val="0"/>
          <w:color w:val="auto"/>
          <w:kern w:val="0"/>
          <w:sz w:val="21"/>
          <w:szCs w:val="21"/>
          <w:highlight w:val="none"/>
          <w:u w:val="single"/>
        </w:rPr>
        <w:t>（关键组件）</w:t>
      </w:r>
      <w:r>
        <w:rPr>
          <w:rFonts w:hint="eastAsia" w:ascii="宋体" w:hAnsi="宋体" w:cs="宋体"/>
          <w:i w:val="0"/>
          <w:iCs w:val="0"/>
          <w:color w:val="auto"/>
          <w:kern w:val="0"/>
          <w:sz w:val="21"/>
          <w:szCs w:val="21"/>
          <w:highlight w:val="none"/>
          <w:vertAlign w:val="superscript"/>
        </w:rPr>
        <w:t>4</w:t>
      </w:r>
      <w:r>
        <w:rPr>
          <w:rFonts w:hint="eastAsia" w:ascii="宋体" w:hAnsi="宋体" w:cs="宋体"/>
          <w:i w:val="0"/>
          <w:iCs w:val="0"/>
          <w:color w:val="auto"/>
          <w:kern w:val="0"/>
          <w:sz w:val="21"/>
          <w:szCs w:val="21"/>
          <w:highlight w:val="none"/>
        </w:rPr>
        <w:t>在中国境内生产。</w:t>
      </w:r>
      <w:r>
        <w:rPr>
          <w:rFonts w:hint="eastAsia" w:ascii="宋体" w:hAnsi="宋体" w:cs="宋体"/>
          <w:i w:val="0"/>
          <w:iCs w:val="0"/>
          <w:color w:val="auto"/>
          <w:kern w:val="0"/>
          <w:sz w:val="21"/>
          <w:szCs w:val="21"/>
          <w:highlight w:val="none"/>
          <w:u w:val="single"/>
        </w:rPr>
        <w:t>（产品名称1）</w:t>
      </w:r>
      <w:r>
        <w:rPr>
          <w:rFonts w:hint="eastAsia" w:ascii="宋体" w:hAnsi="宋体" w:cs="宋体"/>
          <w:i w:val="0"/>
          <w:iCs w:val="0"/>
          <w:color w:val="auto"/>
          <w:kern w:val="0"/>
          <w:sz w:val="21"/>
          <w:szCs w:val="21"/>
          <w:highlight w:val="none"/>
        </w:rPr>
        <w:t>的</w:t>
      </w:r>
      <w:r>
        <w:rPr>
          <w:rFonts w:hint="eastAsia" w:ascii="宋体" w:hAnsi="宋体" w:cs="宋体"/>
          <w:i w:val="0"/>
          <w:iCs w:val="0"/>
          <w:color w:val="auto"/>
          <w:kern w:val="0"/>
          <w:sz w:val="21"/>
          <w:szCs w:val="21"/>
          <w:highlight w:val="none"/>
          <w:u w:val="single"/>
        </w:rPr>
        <w:t>（关键工序）</w:t>
      </w:r>
      <w:r>
        <w:rPr>
          <w:rFonts w:hint="eastAsia" w:ascii="宋体" w:hAnsi="宋体" w:cs="宋体"/>
          <w:i w:val="0"/>
          <w:iCs w:val="0"/>
          <w:color w:val="auto"/>
          <w:kern w:val="0"/>
          <w:sz w:val="21"/>
          <w:szCs w:val="21"/>
          <w:highlight w:val="none"/>
          <w:vertAlign w:val="superscript"/>
        </w:rPr>
        <w:t>5</w:t>
      </w:r>
      <w:r>
        <w:rPr>
          <w:rFonts w:hint="eastAsia" w:ascii="宋体" w:hAnsi="宋体" w:cs="宋体"/>
          <w:i w:val="0"/>
          <w:iCs w:val="0"/>
          <w:color w:val="auto"/>
          <w:kern w:val="0"/>
          <w:sz w:val="21"/>
          <w:szCs w:val="21"/>
          <w:highlight w:val="none"/>
        </w:rPr>
        <w:t>在中国境内完成。</w:t>
      </w:r>
    </w:p>
    <w:p w14:paraId="1921D76D">
      <w:pPr>
        <w:keepLines w:val="0"/>
        <w:pageBreakBefore w:val="0"/>
        <w:widowControl/>
        <w:shd w:val="clear" w:color="auto"/>
        <w:kinsoku/>
        <w:overflowPunct/>
        <w:bidi w:val="0"/>
        <w:spacing w:line="360" w:lineRule="auto"/>
        <w:ind w:firstLine="480"/>
        <w:jc w:val="left"/>
        <w:rPr>
          <w:rFonts w:ascii="宋体" w:hAnsi="宋体" w:cs="宋体"/>
          <w:i w:val="0"/>
          <w:iCs w:val="0"/>
          <w:color w:val="auto"/>
          <w:kern w:val="0"/>
          <w:sz w:val="21"/>
          <w:szCs w:val="21"/>
          <w:highlight w:val="none"/>
        </w:rPr>
      </w:pPr>
      <w:r>
        <w:rPr>
          <w:rFonts w:hint="eastAsia" w:ascii="宋体" w:hAnsi="宋体" w:cs="宋体"/>
          <w:i w:val="0"/>
          <w:iCs w:val="0"/>
          <w:color w:val="auto"/>
          <w:kern w:val="0"/>
          <w:sz w:val="21"/>
          <w:szCs w:val="21"/>
          <w:highlight w:val="none"/>
        </w:rPr>
        <w:t>2.</w:t>
      </w:r>
      <w:r>
        <w:rPr>
          <w:rFonts w:hint="eastAsia" w:ascii="宋体" w:hAnsi="宋体" w:cs="宋体"/>
          <w:i w:val="0"/>
          <w:iCs w:val="0"/>
          <w:color w:val="auto"/>
          <w:kern w:val="0"/>
          <w:sz w:val="21"/>
          <w:szCs w:val="21"/>
          <w:highlight w:val="none"/>
          <w:u w:val="single"/>
        </w:rPr>
        <w:t>（产品名称2）</w:t>
      </w:r>
      <w:r>
        <w:rPr>
          <w:rFonts w:hint="eastAsia" w:ascii="宋体" w:hAnsi="宋体" w:cs="宋体"/>
          <w:i w:val="0"/>
          <w:iCs w:val="0"/>
          <w:color w:val="auto"/>
          <w:kern w:val="0"/>
          <w:sz w:val="21"/>
          <w:szCs w:val="21"/>
          <w:highlight w:val="none"/>
        </w:rPr>
        <w:t>，生产厂为</w:t>
      </w:r>
      <w:r>
        <w:rPr>
          <w:rFonts w:hint="eastAsia" w:ascii="宋体" w:hAnsi="宋体" w:cs="宋体"/>
          <w:i w:val="0"/>
          <w:iCs w:val="0"/>
          <w:color w:val="auto"/>
          <w:kern w:val="0"/>
          <w:sz w:val="21"/>
          <w:szCs w:val="21"/>
          <w:highlight w:val="none"/>
          <w:u w:val="single"/>
        </w:rPr>
        <w:t>（厂名）</w:t>
      </w:r>
      <w:r>
        <w:rPr>
          <w:rFonts w:hint="eastAsia" w:ascii="宋体" w:hAnsi="宋体" w:cs="宋体"/>
          <w:i w:val="0"/>
          <w:iCs w:val="0"/>
          <w:color w:val="auto"/>
          <w:kern w:val="0"/>
          <w:sz w:val="21"/>
          <w:szCs w:val="21"/>
          <w:highlight w:val="none"/>
        </w:rPr>
        <w:t>，厂址为</w:t>
      </w:r>
      <w:r>
        <w:rPr>
          <w:rFonts w:hint="eastAsia" w:ascii="宋体" w:hAnsi="宋体" w:cs="宋体"/>
          <w:i w:val="0"/>
          <w:iCs w:val="0"/>
          <w:color w:val="auto"/>
          <w:kern w:val="0"/>
          <w:sz w:val="21"/>
          <w:szCs w:val="21"/>
          <w:highlight w:val="none"/>
          <w:u w:val="single"/>
        </w:rPr>
        <w:t>（生产厂址）</w:t>
      </w:r>
      <w:r>
        <w:rPr>
          <w:rFonts w:hint="eastAsia" w:ascii="宋体" w:hAnsi="宋体" w:cs="宋体"/>
          <w:i w:val="0"/>
          <w:iCs w:val="0"/>
          <w:color w:val="auto"/>
          <w:kern w:val="0"/>
          <w:sz w:val="21"/>
          <w:szCs w:val="21"/>
          <w:highlight w:val="none"/>
        </w:rPr>
        <w:t>。</w:t>
      </w:r>
      <w:r>
        <w:rPr>
          <w:rFonts w:hint="eastAsia" w:ascii="宋体" w:hAnsi="宋体" w:cs="宋体"/>
          <w:i w:val="0"/>
          <w:iCs w:val="0"/>
          <w:color w:val="auto"/>
          <w:kern w:val="0"/>
          <w:sz w:val="21"/>
          <w:szCs w:val="21"/>
          <w:highlight w:val="none"/>
          <w:u w:val="single"/>
        </w:rPr>
        <w:t>（产品名称2）</w:t>
      </w:r>
      <w:r>
        <w:rPr>
          <w:rFonts w:hint="eastAsia" w:ascii="宋体" w:hAnsi="宋体" w:cs="宋体"/>
          <w:i w:val="0"/>
          <w:iCs w:val="0"/>
          <w:color w:val="auto"/>
          <w:kern w:val="0"/>
          <w:sz w:val="21"/>
          <w:szCs w:val="21"/>
          <w:highlight w:val="none"/>
        </w:rPr>
        <w:t>的中国境内生产的组件成本占比≥</w:t>
      </w:r>
      <w:r>
        <w:rPr>
          <w:rFonts w:hint="eastAsia" w:ascii="宋体" w:hAnsi="宋体" w:cs="宋体"/>
          <w:i w:val="0"/>
          <w:iCs w:val="0"/>
          <w:color w:val="auto"/>
          <w:kern w:val="0"/>
          <w:sz w:val="21"/>
          <w:szCs w:val="21"/>
          <w:highlight w:val="none"/>
          <w:u w:val="single"/>
        </w:rPr>
        <w:t>（规定比例）</w:t>
      </w:r>
      <w:r>
        <w:rPr>
          <w:rFonts w:hint="eastAsia" w:ascii="宋体" w:hAnsi="宋体" w:cs="宋体"/>
          <w:i w:val="0"/>
          <w:iCs w:val="0"/>
          <w:color w:val="auto"/>
          <w:kern w:val="0"/>
          <w:sz w:val="21"/>
          <w:szCs w:val="21"/>
          <w:highlight w:val="none"/>
        </w:rPr>
        <w:t>。</w:t>
      </w:r>
      <w:r>
        <w:rPr>
          <w:rFonts w:hint="eastAsia" w:ascii="宋体" w:hAnsi="宋体" w:cs="宋体"/>
          <w:i w:val="0"/>
          <w:iCs w:val="0"/>
          <w:color w:val="auto"/>
          <w:kern w:val="0"/>
          <w:sz w:val="21"/>
          <w:szCs w:val="21"/>
          <w:highlight w:val="none"/>
          <w:u w:val="single"/>
        </w:rPr>
        <w:t>（产品名称2）</w:t>
      </w:r>
      <w:r>
        <w:rPr>
          <w:rFonts w:hint="eastAsia" w:ascii="宋体" w:hAnsi="宋体" w:cs="宋体"/>
          <w:i w:val="0"/>
          <w:iCs w:val="0"/>
          <w:color w:val="auto"/>
          <w:kern w:val="0"/>
          <w:sz w:val="21"/>
          <w:szCs w:val="21"/>
          <w:highlight w:val="none"/>
        </w:rPr>
        <w:t>的</w:t>
      </w:r>
      <w:r>
        <w:rPr>
          <w:rFonts w:hint="eastAsia" w:ascii="宋体" w:hAnsi="宋体" w:cs="宋体"/>
          <w:i w:val="0"/>
          <w:iCs w:val="0"/>
          <w:color w:val="auto"/>
          <w:kern w:val="0"/>
          <w:sz w:val="21"/>
          <w:szCs w:val="21"/>
          <w:highlight w:val="none"/>
          <w:u w:val="single"/>
        </w:rPr>
        <w:t>（关键组件）</w:t>
      </w:r>
      <w:r>
        <w:rPr>
          <w:rFonts w:hint="eastAsia" w:ascii="宋体" w:hAnsi="宋体" w:cs="宋体"/>
          <w:i w:val="0"/>
          <w:iCs w:val="0"/>
          <w:color w:val="auto"/>
          <w:kern w:val="0"/>
          <w:sz w:val="21"/>
          <w:szCs w:val="21"/>
          <w:highlight w:val="none"/>
        </w:rPr>
        <w:t>在中国境内生产。</w:t>
      </w:r>
      <w:r>
        <w:rPr>
          <w:rFonts w:hint="eastAsia" w:ascii="宋体" w:hAnsi="宋体" w:cs="宋体"/>
          <w:i w:val="0"/>
          <w:iCs w:val="0"/>
          <w:color w:val="auto"/>
          <w:kern w:val="0"/>
          <w:sz w:val="21"/>
          <w:szCs w:val="21"/>
          <w:highlight w:val="none"/>
          <w:u w:val="single"/>
        </w:rPr>
        <w:t>（产品名称2）</w:t>
      </w:r>
      <w:r>
        <w:rPr>
          <w:rFonts w:hint="eastAsia" w:ascii="宋体" w:hAnsi="宋体" w:cs="宋体"/>
          <w:i w:val="0"/>
          <w:iCs w:val="0"/>
          <w:color w:val="auto"/>
          <w:kern w:val="0"/>
          <w:sz w:val="21"/>
          <w:szCs w:val="21"/>
          <w:highlight w:val="none"/>
        </w:rPr>
        <w:t>的</w:t>
      </w:r>
      <w:r>
        <w:rPr>
          <w:rFonts w:hint="eastAsia" w:ascii="宋体" w:hAnsi="宋体" w:cs="宋体"/>
          <w:i w:val="0"/>
          <w:iCs w:val="0"/>
          <w:color w:val="auto"/>
          <w:kern w:val="0"/>
          <w:sz w:val="21"/>
          <w:szCs w:val="21"/>
          <w:highlight w:val="none"/>
          <w:u w:val="single"/>
        </w:rPr>
        <w:t>（关键工序）</w:t>
      </w:r>
      <w:r>
        <w:rPr>
          <w:rFonts w:hint="eastAsia" w:ascii="宋体" w:hAnsi="宋体" w:cs="宋体"/>
          <w:i w:val="0"/>
          <w:iCs w:val="0"/>
          <w:color w:val="auto"/>
          <w:kern w:val="0"/>
          <w:sz w:val="21"/>
          <w:szCs w:val="21"/>
          <w:highlight w:val="none"/>
        </w:rPr>
        <w:t>在中国境内完成。</w:t>
      </w:r>
    </w:p>
    <w:p w14:paraId="4252389B">
      <w:pPr>
        <w:keepLines w:val="0"/>
        <w:pageBreakBefore w:val="0"/>
        <w:widowControl/>
        <w:shd w:val="clear" w:color="auto"/>
        <w:kinsoku/>
        <w:overflowPunct/>
        <w:bidi w:val="0"/>
        <w:spacing w:before="30" w:after="30" w:line="360" w:lineRule="auto"/>
        <w:ind w:firstLine="48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w:t>
      </w:r>
    </w:p>
    <w:p w14:paraId="67525B23">
      <w:pPr>
        <w:keepLines w:val="0"/>
        <w:pageBreakBefore w:val="0"/>
        <w:widowControl/>
        <w:shd w:val="clear" w:color="auto"/>
        <w:kinsoku/>
        <w:overflowPunct/>
        <w:bidi w:val="0"/>
        <w:spacing w:before="30" w:after="30" w:line="360" w:lineRule="auto"/>
        <w:ind w:firstLine="48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本公司（单位）对上述声明内容的真实性负责。如有虚假，愿承担相应法律责任。</w:t>
      </w:r>
    </w:p>
    <w:p w14:paraId="5D7F3CD5">
      <w:pPr>
        <w:keepLines w:val="0"/>
        <w:pageBreakBefore w:val="0"/>
        <w:widowControl/>
        <w:shd w:val="clear" w:color="auto"/>
        <w:kinsoku/>
        <w:overflowPunct/>
        <w:bidi w:val="0"/>
        <w:spacing w:before="30" w:after="30" w:line="36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p w14:paraId="754D9F87">
      <w:pPr>
        <w:keepLines w:val="0"/>
        <w:pageBreakBefore w:val="0"/>
        <w:widowControl/>
        <w:shd w:val="clear" w:color="auto"/>
        <w:kinsoku/>
        <w:overflowPunct/>
        <w:bidi w:val="0"/>
        <w:spacing w:before="30" w:after="30" w:line="360" w:lineRule="auto"/>
        <w:jc w:val="right"/>
        <w:rPr>
          <w:rFonts w:ascii="宋体" w:hAnsi="宋体" w:cs="宋体"/>
          <w:color w:val="auto"/>
          <w:kern w:val="0"/>
          <w:sz w:val="21"/>
          <w:szCs w:val="21"/>
          <w:highlight w:val="none"/>
        </w:rPr>
      </w:pPr>
      <w:r>
        <w:rPr>
          <w:rFonts w:hint="eastAsia" w:ascii="宋体" w:hAnsi="宋体" w:cs="宋体"/>
          <w:color w:val="auto"/>
          <w:kern w:val="0"/>
          <w:sz w:val="21"/>
          <w:szCs w:val="21"/>
          <w:highlight w:val="none"/>
        </w:rPr>
        <w:t>公司（单位）名称（盖章）：　        </w:t>
      </w:r>
    </w:p>
    <w:p w14:paraId="3DEDEA51">
      <w:pPr>
        <w:keepLines w:val="0"/>
        <w:pageBreakBefore w:val="0"/>
        <w:widowControl/>
        <w:shd w:val="clear" w:color="auto"/>
        <w:kinsoku/>
        <w:overflowPunct/>
        <w:bidi w:val="0"/>
        <w:spacing w:line="360" w:lineRule="auto"/>
        <w:jc w:val="right"/>
        <w:rPr>
          <w:rFonts w:ascii="宋体" w:hAnsi="宋体" w:cs="宋体"/>
          <w:color w:val="auto"/>
          <w:kern w:val="0"/>
          <w:sz w:val="21"/>
          <w:szCs w:val="21"/>
          <w:highlight w:val="none"/>
        </w:rPr>
      </w:pPr>
      <w:r>
        <w:rPr>
          <w:rFonts w:hint="eastAsia" w:ascii="宋体" w:hAnsi="宋体" w:cs="宋体"/>
          <w:color w:val="auto"/>
          <w:kern w:val="0"/>
          <w:sz w:val="21"/>
          <w:szCs w:val="21"/>
          <w:highlight w:val="none"/>
        </w:rPr>
        <w:t>日期：　     年　  月　  日         </w:t>
      </w:r>
    </w:p>
    <w:p w14:paraId="6B42EB08">
      <w:pPr>
        <w:keepLines w:val="0"/>
        <w:pageBreakBefore w:val="0"/>
        <w:widowControl/>
        <w:shd w:val="clear" w:color="auto"/>
        <w:kinsoku/>
        <w:overflowPunct/>
        <w:bidi w:val="0"/>
        <w:spacing w:before="30" w:after="30" w:line="36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__________________</w:t>
      </w:r>
    </w:p>
    <w:p w14:paraId="013F884C">
      <w:pPr>
        <w:keepLines w:val="0"/>
        <w:pageBreakBefore w:val="0"/>
        <w:widowControl/>
        <w:shd w:val="clear" w:color="auto"/>
        <w:kinsoku/>
        <w:overflowPunct/>
        <w:bidi w:val="0"/>
        <w:spacing w:line="360" w:lineRule="auto"/>
        <w:ind w:firstLine="48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1.产品如有型号，请在“产品名称”栏一并填写。</w:t>
      </w:r>
    </w:p>
    <w:p w14:paraId="7D5C7EC8">
      <w:pPr>
        <w:keepLines w:val="0"/>
        <w:pageBreakBefore w:val="0"/>
        <w:widowControl/>
        <w:shd w:val="clear" w:color="auto"/>
        <w:kinsoku/>
        <w:overflowPunct/>
        <w:bidi w:val="0"/>
        <w:spacing w:line="360" w:lineRule="auto"/>
        <w:ind w:firstLine="48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2.生产厂名与厂址应与生产厂营业执照载明的相关信息保持一致。</w:t>
      </w:r>
    </w:p>
    <w:p w14:paraId="6078C12E">
      <w:pPr>
        <w:keepLines w:val="0"/>
        <w:pageBreakBefore w:val="0"/>
        <w:widowControl/>
        <w:shd w:val="clear" w:color="auto"/>
        <w:kinsoku/>
        <w:overflowPunct/>
        <w:bidi w:val="0"/>
        <w:spacing w:line="360" w:lineRule="auto"/>
        <w:ind w:firstLine="48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3.该产品的中国境内生产的组件成本占比相关要求实施前，“规定比例”栏可不填，下同。</w:t>
      </w:r>
    </w:p>
    <w:p w14:paraId="1397F720">
      <w:pPr>
        <w:keepLines w:val="0"/>
        <w:pageBreakBefore w:val="0"/>
        <w:widowControl/>
        <w:shd w:val="clear" w:color="auto"/>
        <w:kinsoku/>
        <w:overflowPunct/>
        <w:bidi w:val="0"/>
        <w:spacing w:line="360" w:lineRule="auto"/>
        <w:ind w:firstLine="48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4.该产品的关键组件要求实施前，“关键组件”栏可不填，下同。</w:t>
      </w:r>
    </w:p>
    <w:p w14:paraId="47F0524D">
      <w:pPr>
        <w:keepLines w:val="0"/>
        <w:pageBreakBefore w:val="0"/>
        <w:widowControl/>
        <w:shd w:val="clear" w:color="auto"/>
        <w:kinsoku/>
        <w:overflowPunct/>
        <w:bidi w:val="0"/>
        <w:spacing w:line="360" w:lineRule="auto"/>
        <w:ind w:firstLine="48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5.该产品的关键工序要求实施前，“关键工序”栏可不填，下同。</w:t>
      </w:r>
    </w:p>
    <w:p w14:paraId="2E5FDC50">
      <w:pPr>
        <w:keepLines w:val="0"/>
        <w:pageBreakBefore w:val="0"/>
        <w:kinsoku/>
        <w:overflowPunct/>
        <w:bidi w:val="0"/>
        <w:spacing w:line="360" w:lineRule="auto"/>
        <w:ind w:firstLine="0" w:firstLineChars="0"/>
        <w:rPr>
          <w:rFonts w:hint="eastAsia" w:ascii="宋体" w:hAnsi="宋体" w:cs="宋体"/>
          <w:b/>
          <w:color w:val="auto"/>
          <w:kern w:val="0"/>
          <w:sz w:val="32"/>
          <w:szCs w:val="20"/>
          <w:highlight w:val="none"/>
        </w:rPr>
      </w:pPr>
    </w:p>
    <w:p w14:paraId="629DFB39">
      <w:pPr>
        <w:keepLines w:val="0"/>
        <w:pageBreakBefore w:val="0"/>
        <w:kinsoku/>
        <w:overflowPunct/>
        <w:bidi w:val="0"/>
        <w:spacing w:line="360" w:lineRule="auto"/>
        <w:ind w:firstLine="0" w:firstLineChars="0"/>
        <w:rPr>
          <w:rFonts w:hint="eastAsia" w:ascii="宋体" w:hAnsi="宋体" w:cs="宋体"/>
          <w:b/>
          <w:color w:val="auto"/>
          <w:kern w:val="0"/>
          <w:sz w:val="32"/>
          <w:szCs w:val="20"/>
          <w:highlight w:val="none"/>
        </w:rPr>
      </w:pPr>
    </w:p>
    <w:p w14:paraId="66FBBB4B">
      <w:pPr>
        <w:keepLines w:val="0"/>
        <w:pageBreakBefore w:val="0"/>
        <w:kinsoku/>
        <w:overflowPunct/>
        <w:bidi w:val="0"/>
        <w:spacing w:line="360" w:lineRule="auto"/>
        <w:ind w:firstLine="0" w:firstLineChars="0"/>
        <w:rPr>
          <w:rFonts w:hint="eastAsia" w:ascii="宋体" w:hAnsi="宋体"/>
          <w:b/>
          <w:color w:val="auto"/>
          <w:sz w:val="28"/>
          <w:szCs w:val="28"/>
          <w:highlight w:val="none"/>
        </w:rPr>
      </w:pPr>
      <w:r>
        <w:rPr>
          <w:rFonts w:hint="eastAsia" w:ascii="宋体" w:hAnsi="宋体" w:cs="宋体"/>
          <w:b/>
          <w:color w:val="auto"/>
          <w:kern w:val="0"/>
          <w:sz w:val="28"/>
          <w:szCs w:val="28"/>
          <w:highlight w:val="none"/>
        </w:rPr>
        <w:t>4.供应商可结合本项目的评审办法视自身情况自行提交相关证明材料（如有，请提供）</w:t>
      </w:r>
    </w:p>
    <w:p w14:paraId="5DD033D3">
      <w:pPr>
        <w:keepLines w:val="0"/>
        <w:pageBreakBefore w:val="0"/>
        <w:kinsoku/>
        <w:overflowPunct/>
        <w:bidi w:val="0"/>
        <w:spacing w:line="360" w:lineRule="auto"/>
        <w:ind w:firstLine="0" w:firstLineChars="0"/>
        <w:rPr>
          <w:rFonts w:hint="eastAsia" w:ascii="宋体" w:hAnsi="宋体" w:cs="宋体"/>
          <w:b/>
          <w:bCs/>
          <w:color w:val="auto"/>
          <w:kern w:val="0"/>
          <w:sz w:val="32"/>
          <w:szCs w:val="32"/>
          <w:highlight w:val="none"/>
        </w:rPr>
      </w:pPr>
    </w:p>
    <w:p w14:paraId="77B5E90A">
      <w:pPr>
        <w:keepLines w:val="0"/>
        <w:pageBreakBefore w:val="0"/>
        <w:kinsoku/>
        <w:overflowPunct/>
        <w:bidi w:val="0"/>
        <w:spacing w:line="360" w:lineRule="auto"/>
        <w:ind w:firstLine="0" w:firstLineChars="0"/>
        <w:rPr>
          <w:rFonts w:hint="eastAsia" w:ascii="宋体" w:hAnsi="宋体" w:cs="宋体"/>
          <w:b/>
          <w:bCs/>
          <w:color w:val="auto"/>
          <w:kern w:val="0"/>
          <w:sz w:val="32"/>
          <w:szCs w:val="32"/>
          <w:highlight w:val="none"/>
        </w:rPr>
      </w:pPr>
    </w:p>
    <w:sectPr>
      <w:pgSz w:w="11906" w:h="16838"/>
      <w:pgMar w:top="1440" w:right="1797" w:bottom="1440" w:left="1418" w:header="851" w:footer="992" w:gutter="0"/>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4412EB3-6646-42BF-A798-38F77A587307}"/>
  </w:font>
  <w:font w:name="黑体">
    <w:panose1 w:val="02010609060101010101"/>
    <w:charset w:val="86"/>
    <w:family w:val="auto"/>
    <w:pitch w:val="default"/>
    <w:sig w:usb0="800002BF" w:usb1="38CF7CFA" w:usb2="00000016" w:usb3="00000000" w:csb0="00040001" w:csb1="00000000"/>
    <w:embedRegular r:id="rId2" w:fontKey="{CA6AFAC8-9BE7-460C-9310-EB3A91B963D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3" w:fontKey="{F35A46C1-6FB8-46BD-AA75-B0362DA52834}"/>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4" w:fontKey="{5E90B44D-233D-4849-8C18-65A3D1291293}"/>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embedRegular r:id="rId5" w:fontKey="{E0F7FAA1-153D-48A6-A1F1-6D55C45AA9EB}"/>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2AAB8">
    <w:pPr>
      <w:pStyle w:val="28"/>
      <w:ind w:firstLine="360"/>
      <w:jc w:val="center"/>
    </w:pPr>
    <w:r>
      <w:fldChar w:fldCharType="begin"/>
    </w:r>
    <w:r>
      <w:instrText xml:space="preserve"> PAGE   \* MERGEFORMAT </w:instrText>
    </w:r>
    <w:r>
      <w:fldChar w:fldCharType="separate"/>
    </w:r>
    <w:r>
      <w:rPr>
        <w:lang w:val="zh-CN"/>
      </w:rPr>
      <w:t>1</w:t>
    </w:r>
    <w:r>
      <w:fldChar w:fldCharType="end"/>
    </w:r>
  </w:p>
  <w:p w14:paraId="703DC471">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9C06E">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1</w:t>
    </w:r>
    <w:r>
      <w:fldChar w:fldCharType="end"/>
    </w:r>
  </w:p>
  <w:p w14:paraId="56E6044C">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18DE9">
    <w:pPr>
      <w:pStyle w:val="28"/>
      <w:ind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C797035">
                          <w:pPr>
                            <w:pStyle w:val="28"/>
                            <w:ind w:firstLine="360"/>
                          </w:pP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w1/8cBAACcAwAADgAAAGRycy9lMm9Eb2MueG1srVPNjtMwEL6vxDtY&#10;vtNkK4S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GNuENZ05YevHzzx/nX4/nh+9s&#10;mfTpPVZUduepMA7vYaDaOY4UTLSHNtj0JUKM8qTu6aKuGiKT6dJquVqVlJKUmx3CL56u+4DxgwLL&#10;klHzQM+XVRXHTxjH0rkkdXNwq43JT2jcXwHCHCMq78B0OzEZJ05WHHbDRG8HzYnY9bQHNXe09pyZ&#10;j45kTiszG2E2dpOROqJ/d4g0Rp4uoY5QxCo59GiZ37RgaSv+9HPV00+1+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kw1/8cBAACcAwAADgAAAAAAAAABACAAAAAeAQAAZHJzL2Uyb0RvYy54&#10;bWxQSwUGAAAAAAYABgBZAQAAVwUAAAAA&#10;">
              <v:fill on="f" focussize="0,0"/>
              <v:stroke on="f"/>
              <v:imagedata o:title=""/>
              <o:lock v:ext="edit" aspectratio="f"/>
              <v:textbox inset="0mm,0mm,0mm,0mm" style="mso-fit-shape-to-text:t;">
                <w:txbxContent>
                  <w:p w14:paraId="4C797035">
                    <w:pPr>
                      <w:pStyle w:val="28"/>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368F">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33</w:t>
    </w:r>
    <w:r>
      <w:fldChar w:fldCharType="end"/>
    </w:r>
  </w:p>
  <w:p w14:paraId="56E831EF">
    <w:pPr>
      <w:pStyle w:val="28"/>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8CDFD">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52</w:t>
    </w:r>
    <w:r>
      <w:fldChar w:fldCharType="end"/>
    </w:r>
  </w:p>
  <w:p w14:paraId="5EAA82E0">
    <w:pPr>
      <w:pStyle w:val="28"/>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83F38">
    <w:pPr>
      <w:pStyle w:val="28"/>
      <w:ind w:firstLine="360"/>
      <w:jc w:val="center"/>
    </w:pPr>
    <w:r>
      <w:fldChar w:fldCharType="begin"/>
    </w:r>
    <w:r>
      <w:instrText xml:space="preserve"> PAGE   \* MERGEFORMAT </w:instrText>
    </w:r>
    <w:r>
      <w:fldChar w:fldCharType="separate"/>
    </w:r>
    <w:r>
      <w:rPr>
        <w:lang w:val="zh-CN"/>
      </w:rPr>
      <w:t>1</w:t>
    </w:r>
    <w:r>
      <w:fldChar w:fldCharType="end"/>
    </w:r>
  </w:p>
  <w:p w14:paraId="726E898C">
    <w:pPr>
      <w:pStyle w:val="2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20C80">
    <w:pPr>
      <w:pStyle w:val="28"/>
      <w:ind w:firstLine="360"/>
      <w:jc w:val="center"/>
    </w:pPr>
    <w:r>
      <w:fldChar w:fldCharType="begin"/>
    </w:r>
    <w:r>
      <w:instrText xml:space="preserve"> PAGE   \* MERGEFORMAT </w:instrText>
    </w:r>
    <w:r>
      <w:fldChar w:fldCharType="separate"/>
    </w:r>
    <w:r>
      <w:rPr>
        <w:lang w:val="zh-CN"/>
      </w:rPr>
      <w:t>54</w:t>
    </w:r>
    <w:r>
      <w:fldChar w:fldCharType="end"/>
    </w:r>
  </w:p>
  <w:p w14:paraId="3D52E3CC">
    <w:pPr>
      <w:pStyle w:val="2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0A2B0">
    <w:pPr>
      <w:pStyle w:val="28"/>
      <w:ind w:firstLine="360"/>
      <w:jc w:val="center"/>
    </w:pPr>
    <w:r>
      <w:fldChar w:fldCharType="begin"/>
    </w:r>
    <w:r>
      <w:instrText xml:space="preserve"> PAGE   \* MERGEFORMAT </w:instrText>
    </w:r>
    <w:r>
      <w:fldChar w:fldCharType="separate"/>
    </w:r>
    <w:r>
      <w:rPr>
        <w:lang w:val="zh-CN"/>
      </w:rPr>
      <w:t>56</w:t>
    </w:r>
    <w:r>
      <w:fldChar w:fldCharType="end"/>
    </w:r>
  </w:p>
  <w:p w14:paraId="43DA1DA3">
    <w:pPr>
      <w:pStyle w:val="2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E3B45">
    <w:pPr>
      <w:pStyle w:val="2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9F469">
    <w:pPr>
      <w:pStyle w:val="2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E3571">
    <w:pPr>
      <w:pStyle w:val="29"/>
      <w:ind w:firstLine="360"/>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902325" cy="5230495"/>
          <wp:effectExtent l="0" t="0" r="3175" b="8255"/>
          <wp:wrapNone/>
          <wp:docPr id="5" name="WordPictureWatermark9583532"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9583532"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C5C54">
    <w:pPr>
      <w:pStyle w:val="29"/>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19F71">
    <w:pPr>
      <w:pStyle w:val="29"/>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28829">
    <w:pPr>
      <w:pStyle w:val="29"/>
      <w:ind w:firstLine="36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02325" cy="5230495"/>
          <wp:effectExtent l="0" t="0" r="3175" b="8255"/>
          <wp:wrapNone/>
          <wp:docPr id="8" name="WordPictureWatermark9583535"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9583535"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6A37D">
    <w:pPr>
      <w:ind w:left="480" w:firstLine="0" w:firstLineChars="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ED9D0">
    <w:pPr>
      <w:ind w:left="480" w:firstLine="0" w:firstLineChars="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3E0B9">
    <w:pPr>
      <w:pStyle w:val="29"/>
      <w:ind w:firstLine="360"/>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902325" cy="5230495"/>
          <wp:effectExtent l="0" t="0" r="3175" b="8255"/>
          <wp:wrapNone/>
          <wp:docPr id="11" name="WordPictureWatermark9583538"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9583538"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E1DB4">
    <w:pPr>
      <w:pStyle w:val="29"/>
      <w:ind w:firstLine="360"/>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902325" cy="5230495"/>
          <wp:effectExtent l="0" t="0" r="3175" b="8255"/>
          <wp:wrapNone/>
          <wp:docPr id="10" name="WordPictureWatermark9583537"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9583537"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4A81D2"/>
    <w:multiLevelType w:val="singleLevel"/>
    <w:tmpl w:val="974A81D2"/>
    <w:lvl w:ilvl="0" w:tentative="0">
      <w:start w:val="1"/>
      <w:numFmt w:val="decimal"/>
      <w:lvlText w:val="%1."/>
      <w:lvlJc w:val="left"/>
      <w:pPr>
        <w:tabs>
          <w:tab w:val="left" w:pos="312"/>
        </w:tabs>
      </w:pPr>
    </w:lvl>
  </w:abstractNum>
  <w:abstractNum w:abstractNumId="1">
    <w:nsid w:val="979FDA58"/>
    <w:multiLevelType w:val="singleLevel"/>
    <w:tmpl w:val="979FDA58"/>
    <w:lvl w:ilvl="0" w:tentative="0">
      <w:start w:val="1"/>
      <w:numFmt w:val="decimal"/>
      <w:lvlText w:val="%1."/>
      <w:lvlJc w:val="left"/>
      <w:pPr>
        <w:tabs>
          <w:tab w:val="left" w:pos="312"/>
        </w:tabs>
      </w:pPr>
    </w:lvl>
  </w:abstractNum>
  <w:abstractNum w:abstractNumId="2">
    <w:nsid w:val="A06F2D30"/>
    <w:multiLevelType w:val="singleLevel"/>
    <w:tmpl w:val="A06F2D30"/>
    <w:lvl w:ilvl="0" w:tentative="0">
      <w:start w:val="1"/>
      <w:numFmt w:val="decimal"/>
      <w:lvlText w:val="%1."/>
      <w:lvlJc w:val="left"/>
      <w:pPr>
        <w:tabs>
          <w:tab w:val="left" w:pos="312"/>
        </w:tabs>
      </w:pPr>
    </w:lvl>
  </w:abstractNum>
  <w:abstractNum w:abstractNumId="3">
    <w:nsid w:val="A55D9E5F"/>
    <w:multiLevelType w:val="singleLevel"/>
    <w:tmpl w:val="A55D9E5F"/>
    <w:lvl w:ilvl="0" w:tentative="0">
      <w:start w:val="1"/>
      <w:numFmt w:val="decimal"/>
      <w:lvlText w:val="%1."/>
      <w:lvlJc w:val="left"/>
      <w:pPr>
        <w:tabs>
          <w:tab w:val="left" w:pos="312"/>
        </w:tabs>
      </w:pPr>
    </w:lvl>
  </w:abstractNum>
  <w:abstractNum w:abstractNumId="4">
    <w:nsid w:val="AB1B7232"/>
    <w:multiLevelType w:val="singleLevel"/>
    <w:tmpl w:val="AB1B7232"/>
    <w:lvl w:ilvl="0" w:tentative="0">
      <w:start w:val="1"/>
      <w:numFmt w:val="decimal"/>
      <w:lvlText w:val="%1."/>
      <w:lvlJc w:val="left"/>
      <w:pPr>
        <w:tabs>
          <w:tab w:val="left" w:pos="312"/>
        </w:tabs>
      </w:pPr>
    </w:lvl>
  </w:abstractNum>
  <w:abstractNum w:abstractNumId="5">
    <w:nsid w:val="C06B886E"/>
    <w:multiLevelType w:val="singleLevel"/>
    <w:tmpl w:val="C06B886E"/>
    <w:lvl w:ilvl="0" w:tentative="0">
      <w:start w:val="1"/>
      <w:numFmt w:val="decimal"/>
      <w:lvlText w:val="%1."/>
      <w:lvlJc w:val="left"/>
      <w:pPr>
        <w:tabs>
          <w:tab w:val="left" w:pos="312"/>
        </w:tabs>
      </w:pPr>
    </w:lvl>
  </w:abstractNum>
  <w:abstractNum w:abstractNumId="6">
    <w:nsid w:val="C2AB24A8"/>
    <w:multiLevelType w:val="singleLevel"/>
    <w:tmpl w:val="C2AB24A8"/>
    <w:lvl w:ilvl="0" w:tentative="0">
      <w:start w:val="1"/>
      <w:numFmt w:val="decimal"/>
      <w:suff w:val="space"/>
      <w:lvlText w:val="%1."/>
      <w:lvlJc w:val="left"/>
    </w:lvl>
  </w:abstractNum>
  <w:abstractNum w:abstractNumId="7">
    <w:nsid w:val="C62F3DC9"/>
    <w:multiLevelType w:val="singleLevel"/>
    <w:tmpl w:val="C62F3DC9"/>
    <w:lvl w:ilvl="0" w:tentative="0">
      <w:start w:val="1"/>
      <w:numFmt w:val="decimal"/>
      <w:lvlText w:val="%1."/>
      <w:lvlJc w:val="left"/>
      <w:pPr>
        <w:tabs>
          <w:tab w:val="left" w:pos="312"/>
        </w:tabs>
      </w:pPr>
    </w:lvl>
  </w:abstractNum>
  <w:abstractNum w:abstractNumId="8">
    <w:nsid w:val="C7A7CC05"/>
    <w:multiLevelType w:val="singleLevel"/>
    <w:tmpl w:val="C7A7CC05"/>
    <w:lvl w:ilvl="0" w:tentative="0">
      <w:start w:val="1"/>
      <w:numFmt w:val="decimal"/>
      <w:lvlText w:val="%1."/>
      <w:lvlJc w:val="left"/>
      <w:pPr>
        <w:tabs>
          <w:tab w:val="left" w:pos="312"/>
        </w:tabs>
      </w:pPr>
    </w:lvl>
  </w:abstractNum>
  <w:abstractNum w:abstractNumId="9">
    <w:nsid w:val="CDB60621"/>
    <w:multiLevelType w:val="singleLevel"/>
    <w:tmpl w:val="CDB60621"/>
    <w:lvl w:ilvl="0" w:tentative="0">
      <w:start w:val="1"/>
      <w:numFmt w:val="decimal"/>
      <w:lvlText w:val="%1."/>
      <w:lvlJc w:val="left"/>
      <w:pPr>
        <w:tabs>
          <w:tab w:val="left" w:pos="312"/>
        </w:tabs>
      </w:pPr>
    </w:lvl>
  </w:abstractNum>
  <w:abstractNum w:abstractNumId="10">
    <w:nsid w:val="D0A7137E"/>
    <w:multiLevelType w:val="singleLevel"/>
    <w:tmpl w:val="D0A7137E"/>
    <w:lvl w:ilvl="0" w:tentative="0">
      <w:start w:val="1"/>
      <w:numFmt w:val="decimal"/>
      <w:lvlText w:val="%1."/>
      <w:lvlJc w:val="left"/>
      <w:pPr>
        <w:tabs>
          <w:tab w:val="left" w:pos="312"/>
        </w:tabs>
      </w:pPr>
    </w:lvl>
  </w:abstractNum>
  <w:abstractNum w:abstractNumId="11">
    <w:nsid w:val="DA7A0929"/>
    <w:multiLevelType w:val="singleLevel"/>
    <w:tmpl w:val="DA7A0929"/>
    <w:lvl w:ilvl="0" w:tentative="0">
      <w:start w:val="1"/>
      <w:numFmt w:val="decimal"/>
      <w:lvlText w:val="%1."/>
      <w:lvlJc w:val="left"/>
      <w:pPr>
        <w:tabs>
          <w:tab w:val="left" w:pos="312"/>
        </w:tabs>
      </w:pPr>
    </w:lvl>
  </w:abstractNum>
  <w:abstractNum w:abstractNumId="12">
    <w:nsid w:val="EA1AFC20"/>
    <w:multiLevelType w:val="singleLevel"/>
    <w:tmpl w:val="EA1AFC20"/>
    <w:lvl w:ilvl="0" w:tentative="0">
      <w:start w:val="1"/>
      <w:numFmt w:val="decimal"/>
      <w:suff w:val="nothing"/>
      <w:lvlText w:val="%1，"/>
      <w:lvlJc w:val="left"/>
    </w:lvl>
  </w:abstractNum>
  <w:abstractNum w:abstractNumId="13">
    <w:nsid w:val="F025EB6C"/>
    <w:multiLevelType w:val="singleLevel"/>
    <w:tmpl w:val="F025EB6C"/>
    <w:lvl w:ilvl="0" w:tentative="0">
      <w:start w:val="1"/>
      <w:numFmt w:val="decimal"/>
      <w:lvlText w:val="%1."/>
      <w:lvlJc w:val="left"/>
      <w:pPr>
        <w:tabs>
          <w:tab w:val="left" w:pos="312"/>
        </w:tabs>
      </w:pPr>
    </w:lvl>
  </w:abstractNum>
  <w:abstractNum w:abstractNumId="14">
    <w:nsid w:val="F1D5D83E"/>
    <w:multiLevelType w:val="singleLevel"/>
    <w:tmpl w:val="F1D5D83E"/>
    <w:lvl w:ilvl="0" w:tentative="0">
      <w:start w:val="1"/>
      <w:numFmt w:val="decimal"/>
      <w:lvlText w:val="%1."/>
      <w:lvlJc w:val="left"/>
      <w:pPr>
        <w:tabs>
          <w:tab w:val="left" w:pos="312"/>
        </w:tabs>
      </w:pPr>
    </w:lvl>
  </w:abstractNum>
  <w:abstractNum w:abstractNumId="15">
    <w:nsid w:val="F247B5A2"/>
    <w:multiLevelType w:val="singleLevel"/>
    <w:tmpl w:val="F247B5A2"/>
    <w:lvl w:ilvl="0" w:tentative="0">
      <w:start w:val="1"/>
      <w:numFmt w:val="decimal"/>
      <w:lvlText w:val="%1."/>
      <w:lvlJc w:val="left"/>
      <w:pPr>
        <w:tabs>
          <w:tab w:val="left" w:pos="312"/>
        </w:tabs>
      </w:pPr>
    </w:lvl>
  </w:abstractNum>
  <w:abstractNum w:abstractNumId="16">
    <w:nsid w:val="F730EAD2"/>
    <w:multiLevelType w:val="singleLevel"/>
    <w:tmpl w:val="F730EAD2"/>
    <w:lvl w:ilvl="0" w:tentative="0">
      <w:start w:val="1"/>
      <w:numFmt w:val="decimal"/>
      <w:lvlText w:val="%1."/>
      <w:lvlJc w:val="left"/>
      <w:pPr>
        <w:tabs>
          <w:tab w:val="left" w:pos="312"/>
        </w:tabs>
      </w:pPr>
    </w:lvl>
  </w:abstractNum>
  <w:abstractNum w:abstractNumId="17">
    <w:nsid w:val="F9209F00"/>
    <w:multiLevelType w:val="singleLevel"/>
    <w:tmpl w:val="F9209F00"/>
    <w:lvl w:ilvl="0" w:tentative="0">
      <w:start w:val="1"/>
      <w:numFmt w:val="decimal"/>
      <w:lvlText w:val="%1."/>
      <w:lvlJc w:val="left"/>
      <w:pPr>
        <w:tabs>
          <w:tab w:val="left" w:pos="312"/>
        </w:tabs>
      </w:pPr>
    </w:lvl>
  </w:abstractNum>
  <w:abstractNum w:abstractNumId="18">
    <w:nsid w:val="24081CA1"/>
    <w:multiLevelType w:val="singleLevel"/>
    <w:tmpl w:val="24081CA1"/>
    <w:lvl w:ilvl="0" w:tentative="0">
      <w:start w:val="1"/>
      <w:numFmt w:val="decimal"/>
      <w:lvlText w:val="%1."/>
      <w:lvlJc w:val="left"/>
      <w:pPr>
        <w:tabs>
          <w:tab w:val="left" w:pos="312"/>
        </w:tabs>
      </w:pPr>
    </w:lvl>
  </w:abstractNum>
  <w:abstractNum w:abstractNumId="19">
    <w:nsid w:val="24B26C46"/>
    <w:multiLevelType w:val="multilevel"/>
    <w:tmpl w:val="24B26C46"/>
    <w:lvl w:ilvl="0" w:tentative="0">
      <w:start w:val="1"/>
      <w:numFmt w:val="decimal"/>
      <w:pStyle w:val="2"/>
      <w:lvlText w:val="%1."/>
      <w:lvlJc w:val="left"/>
      <w:pPr>
        <w:ind w:left="432" w:hanging="432"/>
      </w:pPr>
      <w:rPr>
        <w:rFonts w:hint="eastAsia"/>
      </w:rPr>
    </w:lvl>
    <w:lvl w:ilvl="1" w:tentative="0">
      <w:start w:val="1"/>
      <w:numFmt w:val="decimal"/>
      <w:pStyle w:val="3"/>
      <w:suff w:val="space"/>
      <w:lvlText w:val="%1.%2"/>
      <w:lvlJc w:val="left"/>
      <w:pPr>
        <w:ind w:left="1002" w:hanging="576"/>
      </w:pPr>
      <w:rPr>
        <w:rFonts w:hint="eastAsia"/>
        <w:lang w:val="en-US"/>
      </w:rPr>
    </w:lvl>
    <w:lvl w:ilvl="2" w:tentative="0">
      <w:start w:val="1"/>
      <w:numFmt w:val="decimal"/>
      <w:pStyle w:val="4"/>
      <w:suff w:val="space"/>
      <w:lvlText w:val="%1.%2.%3"/>
      <w:lvlJc w:val="left"/>
      <w:pPr>
        <w:ind w:left="720" w:hanging="720"/>
      </w:pPr>
      <w:rPr>
        <w:rFonts w:hint="eastAsia"/>
      </w:rPr>
    </w:lvl>
    <w:lvl w:ilvl="3" w:tentative="0">
      <w:start w:val="1"/>
      <w:numFmt w:val="decimal"/>
      <w:pStyle w:val="5"/>
      <w:suff w:val="space"/>
      <w:lvlText w:val="%1.%2.%3.%4"/>
      <w:lvlJc w:val="left"/>
      <w:pPr>
        <w:ind w:left="864" w:hanging="864"/>
      </w:pPr>
      <w:rPr>
        <w:rFonts w:hint="eastAsia"/>
      </w:rPr>
    </w:lvl>
    <w:lvl w:ilvl="4" w:tentative="0">
      <w:start w:val="1"/>
      <w:numFmt w:val="decimal"/>
      <w:pStyle w:val="6"/>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7"/>
      <w:suff w:val="space"/>
      <w:lvlText w:val="%1.%2.%3.%4.%5.%6.%7"/>
      <w:lvlJc w:val="left"/>
      <w:pPr>
        <w:ind w:left="1296" w:hanging="1296"/>
      </w:pPr>
      <w:rPr>
        <w:rFonts w:hint="eastAsia"/>
      </w:rPr>
    </w:lvl>
    <w:lvl w:ilvl="7" w:tentative="0">
      <w:start w:val="1"/>
      <w:numFmt w:val="decimal"/>
      <w:pStyle w:val="9"/>
      <w:suff w:val="space"/>
      <w:lvlText w:val="%1.%2.%3.%4.%5.%6.%7.%8"/>
      <w:lvlJc w:val="left"/>
      <w:pPr>
        <w:ind w:left="1440" w:hanging="1440"/>
      </w:pPr>
      <w:rPr>
        <w:rFonts w:hint="eastAsia"/>
      </w:rPr>
    </w:lvl>
    <w:lvl w:ilvl="8" w:tentative="0">
      <w:start w:val="1"/>
      <w:numFmt w:val="decimal"/>
      <w:pStyle w:val="10"/>
      <w:suff w:val="space"/>
      <w:lvlText w:val="%1.%2.%3.%4.%5.%6.%7.%8.%9"/>
      <w:lvlJc w:val="left"/>
      <w:pPr>
        <w:ind w:left="1584" w:hanging="1584"/>
      </w:pPr>
      <w:rPr>
        <w:rFonts w:hint="eastAsia"/>
      </w:rPr>
    </w:lvl>
  </w:abstractNum>
  <w:abstractNum w:abstractNumId="20">
    <w:nsid w:val="2DFF37F0"/>
    <w:multiLevelType w:val="singleLevel"/>
    <w:tmpl w:val="2DFF37F0"/>
    <w:lvl w:ilvl="0" w:tentative="0">
      <w:start w:val="1"/>
      <w:numFmt w:val="decimal"/>
      <w:lvlText w:val="%1."/>
      <w:lvlJc w:val="left"/>
      <w:pPr>
        <w:tabs>
          <w:tab w:val="left" w:pos="312"/>
        </w:tabs>
      </w:pPr>
    </w:lvl>
  </w:abstractNum>
  <w:abstractNum w:abstractNumId="21">
    <w:nsid w:val="33B72361"/>
    <w:multiLevelType w:val="singleLevel"/>
    <w:tmpl w:val="33B72361"/>
    <w:lvl w:ilvl="0" w:tentative="0">
      <w:start w:val="1"/>
      <w:numFmt w:val="decimal"/>
      <w:lvlText w:val="%1."/>
      <w:lvlJc w:val="left"/>
      <w:pPr>
        <w:tabs>
          <w:tab w:val="left" w:pos="312"/>
        </w:tabs>
      </w:pPr>
    </w:lvl>
  </w:abstractNum>
  <w:abstractNum w:abstractNumId="22">
    <w:nsid w:val="3731A225"/>
    <w:multiLevelType w:val="singleLevel"/>
    <w:tmpl w:val="3731A225"/>
    <w:lvl w:ilvl="0" w:tentative="0">
      <w:start w:val="1"/>
      <w:numFmt w:val="decimal"/>
      <w:lvlText w:val="%1."/>
      <w:lvlJc w:val="left"/>
      <w:pPr>
        <w:tabs>
          <w:tab w:val="left" w:pos="312"/>
        </w:tabs>
      </w:pPr>
    </w:lvl>
  </w:abstractNum>
  <w:abstractNum w:abstractNumId="23">
    <w:nsid w:val="38BF7235"/>
    <w:multiLevelType w:val="singleLevel"/>
    <w:tmpl w:val="38BF7235"/>
    <w:lvl w:ilvl="0" w:tentative="0">
      <w:start w:val="1"/>
      <w:numFmt w:val="chineseCounting"/>
      <w:suff w:val="nothing"/>
      <w:lvlText w:val="%1、"/>
      <w:lvlJc w:val="left"/>
      <w:rPr>
        <w:rFonts w:hint="eastAsia"/>
      </w:rPr>
    </w:lvl>
  </w:abstractNum>
  <w:abstractNum w:abstractNumId="24">
    <w:nsid w:val="3BEDDC60"/>
    <w:multiLevelType w:val="singleLevel"/>
    <w:tmpl w:val="3BEDDC60"/>
    <w:lvl w:ilvl="0" w:tentative="0">
      <w:start w:val="4"/>
      <w:numFmt w:val="decimal"/>
      <w:suff w:val="nothing"/>
      <w:lvlText w:val="（%1）"/>
      <w:lvlJc w:val="left"/>
    </w:lvl>
  </w:abstractNum>
  <w:abstractNum w:abstractNumId="25">
    <w:nsid w:val="4074BD70"/>
    <w:multiLevelType w:val="singleLevel"/>
    <w:tmpl w:val="4074BD70"/>
    <w:lvl w:ilvl="0" w:tentative="0">
      <w:start w:val="1"/>
      <w:numFmt w:val="decimal"/>
      <w:lvlText w:val="%1."/>
      <w:lvlJc w:val="left"/>
      <w:pPr>
        <w:tabs>
          <w:tab w:val="left" w:pos="312"/>
        </w:tabs>
      </w:pPr>
    </w:lvl>
  </w:abstractNum>
  <w:abstractNum w:abstractNumId="26">
    <w:nsid w:val="4CB5C4E1"/>
    <w:multiLevelType w:val="singleLevel"/>
    <w:tmpl w:val="4CB5C4E1"/>
    <w:lvl w:ilvl="0" w:tentative="0">
      <w:start w:val="1"/>
      <w:numFmt w:val="decimal"/>
      <w:lvlText w:val="%1."/>
      <w:lvlJc w:val="left"/>
      <w:pPr>
        <w:tabs>
          <w:tab w:val="left" w:pos="312"/>
        </w:tabs>
      </w:pPr>
    </w:lvl>
  </w:abstractNum>
  <w:abstractNum w:abstractNumId="27">
    <w:nsid w:val="58CFAC3A"/>
    <w:multiLevelType w:val="singleLevel"/>
    <w:tmpl w:val="58CFAC3A"/>
    <w:lvl w:ilvl="0" w:tentative="0">
      <w:start w:val="1"/>
      <w:numFmt w:val="decimal"/>
      <w:lvlText w:val="%1."/>
      <w:lvlJc w:val="left"/>
      <w:pPr>
        <w:tabs>
          <w:tab w:val="left" w:pos="312"/>
        </w:tabs>
      </w:pPr>
    </w:lvl>
  </w:abstractNum>
  <w:abstractNum w:abstractNumId="28">
    <w:nsid w:val="5D99120A"/>
    <w:multiLevelType w:val="singleLevel"/>
    <w:tmpl w:val="5D99120A"/>
    <w:lvl w:ilvl="0" w:tentative="0">
      <w:start w:val="1"/>
      <w:numFmt w:val="decimal"/>
      <w:lvlText w:val="%1."/>
      <w:lvlJc w:val="left"/>
      <w:pPr>
        <w:tabs>
          <w:tab w:val="left" w:pos="312"/>
        </w:tabs>
      </w:pPr>
    </w:lvl>
  </w:abstractNum>
  <w:abstractNum w:abstractNumId="29">
    <w:nsid w:val="5F561A93"/>
    <w:multiLevelType w:val="singleLevel"/>
    <w:tmpl w:val="5F561A93"/>
    <w:lvl w:ilvl="0" w:tentative="0">
      <w:start w:val="1"/>
      <w:numFmt w:val="decimal"/>
      <w:lvlText w:val="%1."/>
      <w:lvlJc w:val="left"/>
      <w:pPr>
        <w:tabs>
          <w:tab w:val="left" w:pos="312"/>
        </w:tabs>
      </w:pPr>
    </w:lvl>
  </w:abstractNum>
  <w:abstractNum w:abstractNumId="30">
    <w:nsid w:val="621293DE"/>
    <w:multiLevelType w:val="singleLevel"/>
    <w:tmpl w:val="621293DE"/>
    <w:lvl w:ilvl="0" w:tentative="0">
      <w:start w:val="1"/>
      <w:numFmt w:val="decimal"/>
      <w:lvlText w:val="%1."/>
      <w:lvlJc w:val="left"/>
      <w:pPr>
        <w:tabs>
          <w:tab w:val="left" w:pos="312"/>
        </w:tabs>
      </w:pPr>
    </w:lvl>
  </w:abstractNum>
  <w:abstractNum w:abstractNumId="31">
    <w:nsid w:val="6364176E"/>
    <w:multiLevelType w:val="singleLevel"/>
    <w:tmpl w:val="6364176E"/>
    <w:lvl w:ilvl="0" w:tentative="0">
      <w:start w:val="1"/>
      <w:numFmt w:val="decimal"/>
      <w:lvlText w:val="%1."/>
      <w:lvlJc w:val="left"/>
      <w:pPr>
        <w:tabs>
          <w:tab w:val="left" w:pos="312"/>
        </w:tabs>
      </w:pPr>
    </w:lvl>
  </w:abstractNum>
  <w:abstractNum w:abstractNumId="32">
    <w:nsid w:val="64A4EEC7"/>
    <w:multiLevelType w:val="singleLevel"/>
    <w:tmpl w:val="64A4EEC7"/>
    <w:lvl w:ilvl="0" w:tentative="0">
      <w:start w:val="1"/>
      <w:numFmt w:val="decimal"/>
      <w:lvlText w:val="%1."/>
      <w:lvlJc w:val="left"/>
      <w:pPr>
        <w:tabs>
          <w:tab w:val="left" w:pos="312"/>
        </w:tabs>
      </w:pPr>
    </w:lvl>
  </w:abstractNum>
  <w:abstractNum w:abstractNumId="33">
    <w:nsid w:val="66634307"/>
    <w:multiLevelType w:val="singleLevel"/>
    <w:tmpl w:val="66634307"/>
    <w:lvl w:ilvl="0" w:tentative="0">
      <w:start w:val="1"/>
      <w:numFmt w:val="decimal"/>
      <w:lvlText w:val="%1."/>
      <w:lvlJc w:val="left"/>
      <w:pPr>
        <w:tabs>
          <w:tab w:val="left" w:pos="312"/>
        </w:tabs>
      </w:pPr>
    </w:lvl>
  </w:abstractNum>
  <w:abstractNum w:abstractNumId="34">
    <w:nsid w:val="69F15CA3"/>
    <w:multiLevelType w:val="singleLevel"/>
    <w:tmpl w:val="69F15CA3"/>
    <w:lvl w:ilvl="0" w:tentative="0">
      <w:start w:val="1"/>
      <w:numFmt w:val="decimal"/>
      <w:lvlText w:val="%1."/>
      <w:lvlJc w:val="left"/>
      <w:pPr>
        <w:tabs>
          <w:tab w:val="left" w:pos="312"/>
        </w:tabs>
      </w:pPr>
    </w:lvl>
  </w:abstractNum>
  <w:abstractNum w:abstractNumId="35">
    <w:nsid w:val="6EF8DF36"/>
    <w:multiLevelType w:val="singleLevel"/>
    <w:tmpl w:val="6EF8DF36"/>
    <w:lvl w:ilvl="0" w:tentative="0">
      <w:start w:val="1"/>
      <w:numFmt w:val="decimal"/>
      <w:lvlText w:val="%1."/>
      <w:lvlJc w:val="left"/>
      <w:pPr>
        <w:tabs>
          <w:tab w:val="left" w:pos="312"/>
        </w:tabs>
      </w:pPr>
    </w:lvl>
  </w:abstractNum>
  <w:abstractNum w:abstractNumId="36">
    <w:nsid w:val="7433B379"/>
    <w:multiLevelType w:val="singleLevel"/>
    <w:tmpl w:val="7433B379"/>
    <w:lvl w:ilvl="0" w:tentative="0">
      <w:start w:val="1"/>
      <w:numFmt w:val="decimal"/>
      <w:lvlText w:val="%1."/>
      <w:lvlJc w:val="left"/>
      <w:pPr>
        <w:tabs>
          <w:tab w:val="left" w:pos="312"/>
        </w:tabs>
      </w:pPr>
    </w:lvl>
  </w:abstractNum>
  <w:abstractNum w:abstractNumId="37">
    <w:nsid w:val="753E2042"/>
    <w:multiLevelType w:val="singleLevel"/>
    <w:tmpl w:val="753E2042"/>
    <w:lvl w:ilvl="0" w:tentative="0">
      <w:start w:val="1"/>
      <w:numFmt w:val="decimal"/>
      <w:lvlText w:val="%1."/>
      <w:lvlJc w:val="left"/>
      <w:pPr>
        <w:tabs>
          <w:tab w:val="left" w:pos="312"/>
        </w:tabs>
      </w:pPr>
    </w:lvl>
  </w:abstractNum>
  <w:abstractNum w:abstractNumId="38">
    <w:nsid w:val="75F9097A"/>
    <w:multiLevelType w:val="singleLevel"/>
    <w:tmpl w:val="75F9097A"/>
    <w:lvl w:ilvl="0" w:tentative="0">
      <w:start w:val="1"/>
      <w:numFmt w:val="decimal"/>
      <w:lvlText w:val="%1."/>
      <w:lvlJc w:val="left"/>
      <w:pPr>
        <w:tabs>
          <w:tab w:val="left" w:pos="312"/>
        </w:tabs>
      </w:pPr>
    </w:lvl>
  </w:abstractNum>
  <w:abstractNum w:abstractNumId="39">
    <w:nsid w:val="78E2D185"/>
    <w:multiLevelType w:val="singleLevel"/>
    <w:tmpl w:val="78E2D185"/>
    <w:lvl w:ilvl="0" w:tentative="0">
      <w:start w:val="7"/>
      <w:numFmt w:val="chineseCounting"/>
      <w:suff w:val="nothing"/>
      <w:lvlText w:val="%1、"/>
      <w:lvlJc w:val="left"/>
      <w:rPr>
        <w:rFonts w:hint="eastAsia"/>
      </w:rPr>
    </w:lvl>
  </w:abstractNum>
  <w:abstractNum w:abstractNumId="40">
    <w:nsid w:val="7E13DD4B"/>
    <w:multiLevelType w:val="singleLevel"/>
    <w:tmpl w:val="7E13DD4B"/>
    <w:lvl w:ilvl="0" w:tentative="0">
      <w:start w:val="1"/>
      <w:numFmt w:val="decimal"/>
      <w:lvlText w:val="%1."/>
      <w:lvlJc w:val="left"/>
      <w:pPr>
        <w:tabs>
          <w:tab w:val="left" w:pos="312"/>
        </w:tabs>
      </w:pPr>
    </w:lvl>
  </w:abstractNum>
  <w:num w:numId="1">
    <w:abstractNumId w:val="19"/>
  </w:num>
  <w:num w:numId="2">
    <w:abstractNumId w:val="39"/>
  </w:num>
  <w:num w:numId="3">
    <w:abstractNumId w:val="9"/>
  </w:num>
  <w:num w:numId="4">
    <w:abstractNumId w:val="1"/>
  </w:num>
  <w:num w:numId="5">
    <w:abstractNumId w:val="31"/>
  </w:num>
  <w:num w:numId="6">
    <w:abstractNumId w:val="25"/>
  </w:num>
  <w:num w:numId="7">
    <w:abstractNumId w:val="6"/>
  </w:num>
  <w:num w:numId="8">
    <w:abstractNumId w:val="15"/>
  </w:num>
  <w:num w:numId="9">
    <w:abstractNumId w:val="36"/>
  </w:num>
  <w:num w:numId="10">
    <w:abstractNumId w:val="20"/>
  </w:num>
  <w:num w:numId="11">
    <w:abstractNumId w:val="33"/>
  </w:num>
  <w:num w:numId="12">
    <w:abstractNumId w:val="16"/>
  </w:num>
  <w:num w:numId="13">
    <w:abstractNumId w:val="37"/>
  </w:num>
  <w:num w:numId="14">
    <w:abstractNumId w:val="22"/>
  </w:num>
  <w:num w:numId="15">
    <w:abstractNumId w:val="30"/>
  </w:num>
  <w:num w:numId="16">
    <w:abstractNumId w:val="7"/>
  </w:num>
  <w:num w:numId="17">
    <w:abstractNumId w:val="11"/>
  </w:num>
  <w:num w:numId="18">
    <w:abstractNumId w:val="10"/>
  </w:num>
  <w:num w:numId="19">
    <w:abstractNumId w:val="21"/>
  </w:num>
  <w:num w:numId="20">
    <w:abstractNumId w:val="4"/>
  </w:num>
  <w:num w:numId="21">
    <w:abstractNumId w:val="0"/>
  </w:num>
  <w:num w:numId="22">
    <w:abstractNumId w:val="26"/>
  </w:num>
  <w:num w:numId="23">
    <w:abstractNumId w:val="32"/>
  </w:num>
  <w:num w:numId="24">
    <w:abstractNumId w:val="8"/>
  </w:num>
  <w:num w:numId="25">
    <w:abstractNumId w:val="14"/>
  </w:num>
  <w:num w:numId="26">
    <w:abstractNumId w:val="40"/>
  </w:num>
  <w:num w:numId="27">
    <w:abstractNumId w:val="34"/>
  </w:num>
  <w:num w:numId="28">
    <w:abstractNumId w:val="17"/>
  </w:num>
  <w:num w:numId="29">
    <w:abstractNumId w:val="2"/>
  </w:num>
  <w:num w:numId="30">
    <w:abstractNumId w:val="18"/>
  </w:num>
  <w:num w:numId="31">
    <w:abstractNumId w:val="3"/>
  </w:num>
  <w:num w:numId="32">
    <w:abstractNumId w:val="29"/>
  </w:num>
  <w:num w:numId="33">
    <w:abstractNumId w:val="13"/>
  </w:num>
  <w:num w:numId="34">
    <w:abstractNumId w:val="5"/>
  </w:num>
  <w:num w:numId="35">
    <w:abstractNumId w:val="27"/>
  </w:num>
  <w:num w:numId="36">
    <w:abstractNumId w:val="38"/>
  </w:num>
  <w:num w:numId="37">
    <w:abstractNumId w:val="35"/>
  </w:num>
  <w:num w:numId="38">
    <w:abstractNumId w:val="28"/>
  </w:num>
  <w:num w:numId="39">
    <w:abstractNumId w:val="12"/>
  </w:num>
  <w:num w:numId="40">
    <w:abstractNumId w:val="24"/>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revisionView w:markup="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2ZTQzYmM1OTQzMTRhMzg5NzJmNGVkNTA3ZmNiODMifQ=="/>
  </w:docVars>
  <w:rsids>
    <w:rsidRoot w:val="00D0178C"/>
    <w:rsid w:val="000017A7"/>
    <w:rsid w:val="00002E39"/>
    <w:rsid w:val="00003B4D"/>
    <w:rsid w:val="00003B58"/>
    <w:rsid w:val="0000457E"/>
    <w:rsid w:val="00005BA2"/>
    <w:rsid w:val="00005CC6"/>
    <w:rsid w:val="000065F3"/>
    <w:rsid w:val="000072AE"/>
    <w:rsid w:val="00010902"/>
    <w:rsid w:val="00011604"/>
    <w:rsid w:val="00011B6F"/>
    <w:rsid w:val="00011E36"/>
    <w:rsid w:val="00013764"/>
    <w:rsid w:val="00013F0C"/>
    <w:rsid w:val="000149A0"/>
    <w:rsid w:val="00015AD6"/>
    <w:rsid w:val="00016D42"/>
    <w:rsid w:val="00017577"/>
    <w:rsid w:val="00020A4E"/>
    <w:rsid w:val="00021013"/>
    <w:rsid w:val="0002126F"/>
    <w:rsid w:val="000213E4"/>
    <w:rsid w:val="00021A0D"/>
    <w:rsid w:val="000222F1"/>
    <w:rsid w:val="000228F2"/>
    <w:rsid w:val="00022D5E"/>
    <w:rsid w:val="0002368C"/>
    <w:rsid w:val="000248B4"/>
    <w:rsid w:val="00024A0A"/>
    <w:rsid w:val="0002561E"/>
    <w:rsid w:val="00025A05"/>
    <w:rsid w:val="00026660"/>
    <w:rsid w:val="00027A30"/>
    <w:rsid w:val="0003080B"/>
    <w:rsid w:val="00030BCD"/>
    <w:rsid w:val="0003110B"/>
    <w:rsid w:val="00031798"/>
    <w:rsid w:val="00032A8C"/>
    <w:rsid w:val="0003345B"/>
    <w:rsid w:val="000339EF"/>
    <w:rsid w:val="000342BC"/>
    <w:rsid w:val="00035019"/>
    <w:rsid w:val="00035BB7"/>
    <w:rsid w:val="000363A8"/>
    <w:rsid w:val="00036B99"/>
    <w:rsid w:val="00037376"/>
    <w:rsid w:val="00037EF0"/>
    <w:rsid w:val="00041B33"/>
    <w:rsid w:val="00042185"/>
    <w:rsid w:val="00042648"/>
    <w:rsid w:val="00043953"/>
    <w:rsid w:val="00045E4C"/>
    <w:rsid w:val="00046658"/>
    <w:rsid w:val="00046752"/>
    <w:rsid w:val="00046B06"/>
    <w:rsid w:val="0004796A"/>
    <w:rsid w:val="00050586"/>
    <w:rsid w:val="00050B45"/>
    <w:rsid w:val="00051213"/>
    <w:rsid w:val="0005205D"/>
    <w:rsid w:val="000520FD"/>
    <w:rsid w:val="0005263D"/>
    <w:rsid w:val="00052D0A"/>
    <w:rsid w:val="000530C4"/>
    <w:rsid w:val="00054F2A"/>
    <w:rsid w:val="00055B12"/>
    <w:rsid w:val="00056360"/>
    <w:rsid w:val="0005677F"/>
    <w:rsid w:val="00057EEC"/>
    <w:rsid w:val="000605BE"/>
    <w:rsid w:val="00060608"/>
    <w:rsid w:val="000611CE"/>
    <w:rsid w:val="0006211E"/>
    <w:rsid w:val="00062135"/>
    <w:rsid w:val="0006242B"/>
    <w:rsid w:val="00062D9A"/>
    <w:rsid w:val="00063451"/>
    <w:rsid w:val="00063890"/>
    <w:rsid w:val="00063E65"/>
    <w:rsid w:val="00064C4B"/>
    <w:rsid w:val="00065D5E"/>
    <w:rsid w:val="000668B7"/>
    <w:rsid w:val="00066ACE"/>
    <w:rsid w:val="0006703C"/>
    <w:rsid w:val="000671FF"/>
    <w:rsid w:val="00067A6F"/>
    <w:rsid w:val="00070B66"/>
    <w:rsid w:val="00073741"/>
    <w:rsid w:val="0007375E"/>
    <w:rsid w:val="00073D86"/>
    <w:rsid w:val="00073E58"/>
    <w:rsid w:val="0007440B"/>
    <w:rsid w:val="00075B4F"/>
    <w:rsid w:val="000763F7"/>
    <w:rsid w:val="00076C0E"/>
    <w:rsid w:val="000776B2"/>
    <w:rsid w:val="000778AE"/>
    <w:rsid w:val="00077909"/>
    <w:rsid w:val="000779C2"/>
    <w:rsid w:val="00077BF0"/>
    <w:rsid w:val="00080903"/>
    <w:rsid w:val="00084747"/>
    <w:rsid w:val="000849C5"/>
    <w:rsid w:val="0008533B"/>
    <w:rsid w:val="00087A2E"/>
    <w:rsid w:val="00091772"/>
    <w:rsid w:val="00091AAF"/>
    <w:rsid w:val="0009398E"/>
    <w:rsid w:val="00094A0B"/>
    <w:rsid w:val="0009610B"/>
    <w:rsid w:val="000970D0"/>
    <w:rsid w:val="00097846"/>
    <w:rsid w:val="000978DA"/>
    <w:rsid w:val="00097E2E"/>
    <w:rsid w:val="000A079C"/>
    <w:rsid w:val="000A11C8"/>
    <w:rsid w:val="000A120C"/>
    <w:rsid w:val="000A1ABC"/>
    <w:rsid w:val="000A1DBD"/>
    <w:rsid w:val="000A3377"/>
    <w:rsid w:val="000A3645"/>
    <w:rsid w:val="000A3D95"/>
    <w:rsid w:val="000A44DE"/>
    <w:rsid w:val="000A50BB"/>
    <w:rsid w:val="000A564E"/>
    <w:rsid w:val="000A5765"/>
    <w:rsid w:val="000B0544"/>
    <w:rsid w:val="000B0893"/>
    <w:rsid w:val="000B19AD"/>
    <w:rsid w:val="000B1A00"/>
    <w:rsid w:val="000B1FCB"/>
    <w:rsid w:val="000B281C"/>
    <w:rsid w:val="000B29AA"/>
    <w:rsid w:val="000B2DE1"/>
    <w:rsid w:val="000B312E"/>
    <w:rsid w:val="000B329C"/>
    <w:rsid w:val="000B3F8B"/>
    <w:rsid w:val="000B4363"/>
    <w:rsid w:val="000B4C2E"/>
    <w:rsid w:val="000B5167"/>
    <w:rsid w:val="000B6405"/>
    <w:rsid w:val="000B6E67"/>
    <w:rsid w:val="000C0995"/>
    <w:rsid w:val="000C0D3B"/>
    <w:rsid w:val="000C142E"/>
    <w:rsid w:val="000C165A"/>
    <w:rsid w:val="000C1886"/>
    <w:rsid w:val="000C1A53"/>
    <w:rsid w:val="000C3689"/>
    <w:rsid w:val="000C4E6A"/>
    <w:rsid w:val="000C50CB"/>
    <w:rsid w:val="000C633E"/>
    <w:rsid w:val="000C6709"/>
    <w:rsid w:val="000C6DB8"/>
    <w:rsid w:val="000C7596"/>
    <w:rsid w:val="000C7B02"/>
    <w:rsid w:val="000D0791"/>
    <w:rsid w:val="000D0D54"/>
    <w:rsid w:val="000D1BA9"/>
    <w:rsid w:val="000D3EC8"/>
    <w:rsid w:val="000D4354"/>
    <w:rsid w:val="000D44E6"/>
    <w:rsid w:val="000D5323"/>
    <w:rsid w:val="000D5420"/>
    <w:rsid w:val="000D63FE"/>
    <w:rsid w:val="000E0029"/>
    <w:rsid w:val="000E3EFB"/>
    <w:rsid w:val="000E3FCF"/>
    <w:rsid w:val="000E445D"/>
    <w:rsid w:val="000E4F4C"/>
    <w:rsid w:val="000E4FDC"/>
    <w:rsid w:val="000E502D"/>
    <w:rsid w:val="000E5487"/>
    <w:rsid w:val="000E597F"/>
    <w:rsid w:val="000E6020"/>
    <w:rsid w:val="000E6529"/>
    <w:rsid w:val="000E6D3D"/>
    <w:rsid w:val="000E75E4"/>
    <w:rsid w:val="000E7B39"/>
    <w:rsid w:val="000E7F29"/>
    <w:rsid w:val="000F0466"/>
    <w:rsid w:val="000F0BAA"/>
    <w:rsid w:val="000F0E88"/>
    <w:rsid w:val="000F2C09"/>
    <w:rsid w:val="000F2D7F"/>
    <w:rsid w:val="000F3222"/>
    <w:rsid w:val="000F37FE"/>
    <w:rsid w:val="000F382F"/>
    <w:rsid w:val="000F3F2A"/>
    <w:rsid w:val="000F4FC8"/>
    <w:rsid w:val="000F6641"/>
    <w:rsid w:val="000F7D22"/>
    <w:rsid w:val="0010061F"/>
    <w:rsid w:val="0010075A"/>
    <w:rsid w:val="001008F8"/>
    <w:rsid w:val="00101C20"/>
    <w:rsid w:val="00102F04"/>
    <w:rsid w:val="00104FA2"/>
    <w:rsid w:val="00110020"/>
    <w:rsid w:val="001106B5"/>
    <w:rsid w:val="001116D5"/>
    <w:rsid w:val="00112437"/>
    <w:rsid w:val="0011289C"/>
    <w:rsid w:val="00112B0A"/>
    <w:rsid w:val="00113844"/>
    <w:rsid w:val="00115619"/>
    <w:rsid w:val="001158B1"/>
    <w:rsid w:val="00117464"/>
    <w:rsid w:val="001205DF"/>
    <w:rsid w:val="00120795"/>
    <w:rsid w:val="001214F5"/>
    <w:rsid w:val="001215D8"/>
    <w:rsid w:val="00121AB1"/>
    <w:rsid w:val="00122456"/>
    <w:rsid w:val="001234B2"/>
    <w:rsid w:val="0012400D"/>
    <w:rsid w:val="00124116"/>
    <w:rsid w:val="0012433D"/>
    <w:rsid w:val="0012451C"/>
    <w:rsid w:val="00124772"/>
    <w:rsid w:val="00124A8E"/>
    <w:rsid w:val="0012530A"/>
    <w:rsid w:val="001257F2"/>
    <w:rsid w:val="001258FD"/>
    <w:rsid w:val="00125AAE"/>
    <w:rsid w:val="00125E04"/>
    <w:rsid w:val="00126320"/>
    <w:rsid w:val="00127E36"/>
    <w:rsid w:val="00130020"/>
    <w:rsid w:val="00130ADF"/>
    <w:rsid w:val="00131A89"/>
    <w:rsid w:val="001322EC"/>
    <w:rsid w:val="0013395D"/>
    <w:rsid w:val="001344B8"/>
    <w:rsid w:val="00134EE8"/>
    <w:rsid w:val="00136202"/>
    <w:rsid w:val="00136B54"/>
    <w:rsid w:val="001370FF"/>
    <w:rsid w:val="001374FE"/>
    <w:rsid w:val="00137741"/>
    <w:rsid w:val="00137BBA"/>
    <w:rsid w:val="00140202"/>
    <w:rsid w:val="001409B8"/>
    <w:rsid w:val="001412A6"/>
    <w:rsid w:val="00141ED3"/>
    <w:rsid w:val="00142261"/>
    <w:rsid w:val="00142B92"/>
    <w:rsid w:val="0014306D"/>
    <w:rsid w:val="00143334"/>
    <w:rsid w:val="00144795"/>
    <w:rsid w:val="00144D46"/>
    <w:rsid w:val="00145136"/>
    <w:rsid w:val="00145E28"/>
    <w:rsid w:val="001464B7"/>
    <w:rsid w:val="00146EDD"/>
    <w:rsid w:val="00147154"/>
    <w:rsid w:val="00147417"/>
    <w:rsid w:val="00150E04"/>
    <w:rsid w:val="00151D34"/>
    <w:rsid w:val="001522C9"/>
    <w:rsid w:val="001526EB"/>
    <w:rsid w:val="00152EB8"/>
    <w:rsid w:val="00153203"/>
    <w:rsid w:val="001536B8"/>
    <w:rsid w:val="00153D8A"/>
    <w:rsid w:val="00155584"/>
    <w:rsid w:val="00155B2E"/>
    <w:rsid w:val="001569CF"/>
    <w:rsid w:val="001576CC"/>
    <w:rsid w:val="0016042F"/>
    <w:rsid w:val="00161DC4"/>
    <w:rsid w:val="001622C1"/>
    <w:rsid w:val="00162866"/>
    <w:rsid w:val="00163BA0"/>
    <w:rsid w:val="0016425B"/>
    <w:rsid w:val="001649A5"/>
    <w:rsid w:val="00164D11"/>
    <w:rsid w:val="001656CF"/>
    <w:rsid w:val="00165A12"/>
    <w:rsid w:val="00165C95"/>
    <w:rsid w:val="00166D8C"/>
    <w:rsid w:val="00167516"/>
    <w:rsid w:val="00167FA5"/>
    <w:rsid w:val="00171E5F"/>
    <w:rsid w:val="00172BDE"/>
    <w:rsid w:val="00172E39"/>
    <w:rsid w:val="0017352A"/>
    <w:rsid w:val="00173C5F"/>
    <w:rsid w:val="00174FA5"/>
    <w:rsid w:val="0017520F"/>
    <w:rsid w:val="0017541E"/>
    <w:rsid w:val="00176103"/>
    <w:rsid w:val="00176FAD"/>
    <w:rsid w:val="00177000"/>
    <w:rsid w:val="0017764B"/>
    <w:rsid w:val="00177959"/>
    <w:rsid w:val="00177F87"/>
    <w:rsid w:val="00180CD8"/>
    <w:rsid w:val="00180E07"/>
    <w:rsid w:val="0018132D"/>
    <w:rsid w:val="00181861"/>
    <w:rsid w:val="001819C0"/>
    <w:rsid w:val="00181F7E"/>
    <w:rsid w:val="00183745"/>
    <w:rsid w:val="00184A42"/>
    <w:rsid w:val="00186290"/>
    <w:rsid w:val="00186BD8"/>
    <w:rsid w:val="00186E76"/>
    <w:rsid w:val="00187515"/>
    <w:rsid w:val="00187D1A"/>
    <w:rsid w:val="001903F9"/>
    <w:rsid w:val="00192113"/>
    <w:rsid w:val="00193329"/>
    <w:rsid w:val="001934FD"/>
    <w:rsid w:val="00193E5D"/>
    <w:rsid w:val="001942B8"/>
    <w:rsid w:val="0019452C"/>
    <w:rsid w:val="00194916"/>
    <w:rsid w:val="0019527B"/>
    <w:rsid w:val="00195763"/>
    <w:rsid w:val="00195785"/>
    <w:rsid w:val="001964DE"/>
    <w:rsid w:val="00196E9D"/>
    <w:rsid w:val="001A059E"/>
    <w:rsid w:val="001A0EE9"/>
    <w:rsid w:val="001A1C75"/>
    <w:rsid w:val="001A1DC9"/>
    <w:rsid w:val="001A21BE"/>
    <w:rsid w:val="001A2C4F"/>
    <w:rsid w:val="001A342B"/>
    <w:rsid w:val="001A3C69"/>
    <w:rsid w:val="001A508D"/>
    <w:rsid w:val="001A5AB2"/>
    <w:rsid w:val="001A65C7"/>
    <w:rsid w:val="001A75E4"/>
    <w:rsid w:val="001B03A1"/>
    <w:rsid w:val="001B047D"/>
    <w:rsid w:val="001B0954"/>
    <w:rsid w:val="001B09AB"/>
    <w:rsid w:val="001B0FA2"/>
    <w:rsid w:val="001B102D"/>
    <w:rsid w:val="001B1321"/>
    <w:rsid w:val="001B38D4"/>
    <w:rsid w:val="001B40C6"/>
    <w:rsid w:val="001B4F43"/>
    <w:rsid w:val="001B58D7"/>
    <w:rsid w:val="001B5A44"/>
    <w:rsid w:val="001B7921"/>
    <w:rsid w:val="001B7E77"/>
    <w:rsid w:val="001C013D"/>
    <w:rsid w:val="001C0506"/>
    <w:rsid w:val="001C0A0B"/>
    <w:rsid w:val="001C1658"/>
    <w:rsid w:val="001C18A9"/>
    <w:rsid w:val="001C1A62"/>
    <w:rsid w:val="001C2211"/>
    <w:rsid w:val="001C24E1"/>
    <w:rsid w:val="001C3732"/>
    <w:rsid w:val="001C3DF6"/>
    <w:rsid w:val="001C4526"/>
    <w:rsid w:val="001C48E1"/>
    <w:rsid w:val="001C521C"/>
    <w:rsid w:val="001C5D7C"/>
    <w:rsid w:val="001C72E6"/>
    <w:rsid w:val="001C770F"/>
    <w:rsid w:val="001C7FB2"/>
    <w:rsid w:val="001D0817"/>
    <w:rsid w:val="001D1B02"/>
    <w:rsid w:val="001D2460"/>
    <w:rsid w:val="001D2B68"/>
    <w:rsid w:val="001D3188"/>
    <w:rsid w:val="001D3E4B"/>
    <w:rsid w:val="001D4788"/>
    <w:rsid w:val="001D48C7"/>
    <w:rsid w:val="001D4EDA"/>
    <w:rsid w:val="001D51C9"/>
    <w:rsid w:val="001D6655"/>
    <w:rsid w:val="001D79DA"/>
    <w:rsid w:val="001D7E26"/>
    <w:rsid w:val="001D7EC2"/>
    <w:rsid w:val="001E0CC8"/>
    <w:rsid w:val="001E1B1F"/>
    <w:rsid w:val="001E21E8"/>
    <w:rsid w:val="001E3598"/>
    <w:rsid w:val="001E7A5C"/>
    <w:rsid w:val="001F0937"/>
    <w:rsid w:val="001F121B"/>
    <w:rsid w:val="001F24DF"/>
    <w:rsid w:val="001F2862"/>
    <w:rsid w:val="001F41D6"/>
    <w:rsid w:val="001F4406"/>
    <w:rsid w:val="001F4C74"/>
    <w:rsid w:val="001F60D7"/>
    <w:rsid w:val="001F61BF"/>
    <w:rsid w:val="001F7168"/>
    <w:rsid w:val="00201649"/>
    <w:rsid w:val="00201AEA"/>
    <w:rsid w:val="00202096"/>
    <w:rsid w:val="0020286E"/>
    <w:rsid w:val="00202E26"/>
    <w:rsid w:val="00203CD3"/>
    <w:rsid w:val="00205549"/>
    <w:rsid w:val="002055B5"/>
    <w:rsid w:val="002056E5"/>
    <w:rsid w:val="002062D2"/>
    <w:rsid w:val="00206B6C"/>
    <w:rsid w:val="00207214"/>
    <w:rsid w:val="00207B6D"/>
    <w:rsid w:val="00210C10"/>
    <w:rsid w:val="00212982"/>
    <w:rsid w:val="0021324B"/>
    <w:rsid w:val="002135D5"/>
    <w:rsid w:val="00213B18"/>
    <w:rsid w:val="002140EA"/>
    <w:rsid w:val="0021432B"/>
    <w:rsid w:val="00214537"/>
    <w:rsid w:val="00214A79"/>
    <w:rsid w:val="00214E42"/>
    <w:rsid w:val="00214F42"/>
    <w:rsid w:val="00215196"/>
    <w:rsid w:val="0021533F"/>
    <w:rsid w:val="00215A5E"/>
    <w:rsid w:val="00216496"/>
    <w:rsid w:val="002174C6"/>
    <w:rsid w:val="00222679"/>
    <w:rsid w:val="002229F9"/>
    <w:rsid w:val="002231C3"/>
    <w:rsid w:val="00224649"/>
    <w:rsid w:val="002249D8"/>
    <w:rsid w:val="00226933"/>
    <w:rsid w:val="00227B3C"/>
    <w:rsid w:val="002302A4"/>
    <w:rsid w:val="00230E89"/>
    <w:rsid w:val="002316C9"/>
    <w:rsid w:val="00231AA6"/>
    <w:rsid w:val="00232E5F"/>
    <w:rsid w:val="002333AE"/>
    <w:rsid w:val="002347D9"/>
    <w:rsid w:val="00235982"/>
    <w:rsid w:val="002369CB"/>
    <w:rsid w:val="00240990"/>
    <w:rsid w:val="00241580"/>
    <w:rsid w:val="0024338D"/>
    <w:rsid w:val="00243842"/>
    <w:rsid w:val="002447ED"/>
    <w:rsid w:val="002477BA"/>
    <w:rsid w:val="00247934"/>
    <w:rsid w:val="00250391"/>
    <w:rsid w:val="00252EB5"/>
    <w:rsid w:val="00254095"/>
    <w:rsid w:val="00254170"/>
    <w:rsid w:val="0025449F"/>
    <w:rsid w:val="00254578"/>
    <w:rsid w:val="00254B9B"/>
    <w:rsid w:val="00255BE0"/>
    <w:rsid w:val="0025725D"/>
    <w:rsid w:val="00257620"/>
    <w:rsid w:val="002600AA"/>
    <w:rsid w:val="002604C0"/>
    <w:rsid w:val="0026312C"/>
    <w:rsid w:val="00263C25"/>
    <w:rsid w:val="00264DD7"/>
    <w:rsid w:val="00267288"/>
    <w:rsid w:val="00271389"/>
    <w:rsid w:val="00271CB6"/>
    <w:rsid w:val="00271CDF"/>
    <w:rsid w:val="00272D57"/>
    <w:rsid w:val="002751B6"/>
    <w:rsid w:val="00275278"/>
    <w:rsid w:val="00275365"/>
    <w:rsid w:val="00275554"/>
    <w:rsid w:val="00275972"/>
    <w:rsid w:val="00275BDA"/>
    <w:rsid w:val="00276256"/>
    <w:rsid w:val="002763BC"/>
    <w:rsid w:val="00276B9E"/>
    <w:rsid w:val="002812F5"/>
    <w:rsid w:val="00282969"/>
    <w:rsid w:val="00284339"/>
    <w:rsid w:val="0028539C"/>
    <w:rsid w:val="00286A8E"/>
    <w:rsid w:val="00286F93"/>
    <w:rsid w:val="002870EB"/>
    <w:rsid w:val="0028765D"/>
    <w:rsid w:val="002909CB"/>
    <w:rsid w:val="00290B8D"/>
    <w:rsid w:val="00291054"/>
    <w:rsid w:val="002911CF"/>
    <w:rsid w:val="00291B69"/>
    <w:rsid w:val="002923C6"/>
    <w:rsid w:val="002927B4"/>
    <w:rsid w:val="00292C74"/>
    <w:rsid w:val="0029331D"/>
    <w:rsid w:val="00293E1D"/>
    <w:rsid w:val="00294170"/>
    <w:rsid w:val="002948C3"/>
    <w:rsid w:val="00294E69"/>
    <w:rsid w:val="00295052"/>
    <w:rsid w:val="00295D37"/>
    <w:rsid w:val="00296096"/>
    <w:rsid w:val="002969D5"/>
    <w:rsid w:val="00297332"/>
    <w:rsid w:val="002A05A3"/>
    <w:rsid w:val="002A0B59"/>
    <w:rsid w:val="002A149D"/>
    <w:rsid w:val="002A2230"/>
    <w:rsid w:val="002A2D87"/>
    <w:rsid w:val="002A3B55"/>
    <w:rsid w:val="002A3C05"/>
    <w:rsid w:val="002A5D1F"/>
    <w:rsid w:val="002A5D6C"/>
    <w:rsid w:val="002A6515"/>
    <w:rsid w:val="002A6A95"/>
    <w:rsid w:val="002A6C3E"/>
    <w:rsid w:val="002A7B97"/>
    <w:rsid w:val="002B0705"/>
    <w:rsid w:val="002B09B9"/>
    <w:rsid w:val="002B1497"/>
    <w:rsid w:val="002B1E58"/>
    <w:rsid w:val="002B2BF2"/>
    <w:rsid w:val="002B30FA"/>
    <w:rsid w:val="002B631B"/>
    <w:rsid w:val="002B7F49"/>
    <w:rsid w:val="002C08D2"/>
    <w:rsid w:val="002C0CB3"/>
    <w:rsid w:val="002C11CA"/>
    <w:rsid w:val="002C220E"/>
    <w:rsid w:val="002C22C5"/>
    <w:rsid w:val="002C3BF2"/>
    <w:rsid w:val="002C3EB8"/>
    <w:rsid w:val="002C49A5"/>
    <w:rsid w:val="002C5653"/>
    <w:rsid w:val="002C5BA5"/>
    <w:rsid w:val="002C5CAA"/>
    <w:rsid w:val="002C6207"/>
    <w:rsid w:val="002C6C26"/>
    <w:rsid w:val="002C6C87"/>
    <w:rsid w:val="002C7769"/>
    <w:rsid w:val="002D09B4"/>
    <w:rsid w:val="002D16B3"/>
    <w:rsid w:val="002D1F6E"/>
    <w:rsid w:val="002D2C8A"/>
    <w:rsid w:val="002D2FA9"/>
    <w:rsid w:val="002D40CD"/>
    <w:rsid w:val="002D52B0"/>
    <w:rsid w:val="002D5378"/>
    <w:rsid w:val="002D5EF3"/>
    <w:rsid w:val="002D6085"/>
    <w:rsid w:val="002D7F96"/>
    <w:rsid w:val="002E0200"/>
    <w:rsid w:val="002E045A"/>
    <w:rsid w:val="002E13C5"/>
    <w:rsid w:val="002E181C"/>
    <w:rsid w:val="002E486C"/>
    <w:rsid w:val="002E60DC"/>
    <w:rsid w:val="002E658C"/>
    <w:rsid w:val="002E6D80"/>
    <w:rsid w:val="002E7D21"/>
    <w:rsid w:val="002F194B"/>
    <w:rsid w:val="002F1DCC"/>
    <w:rsid w:val="002F2C3B"/>
    <w:rsid w:val="002F2E36"/>
    <w:rsid w:val="002F3F8E"/>
    <w:rsid w:val="002F45DF"/>
    <w:rsid w:val="002F601E"/>
    <w:rsid w:val="002F622E"/>
    <w:rsid w:val="002F71C3"/>
    <w:rsid w:val="002F7C97"/>
    <w:rsid w:val="00300DB9"/>
    <w:rsid w:val="003014FF"/>
    <w:rsid w:val="00303757"/>
    <w:rsid w:val="003040DD"/>
    <w:rsid w:val="00304888"/>
    <w:rsid w:val="00304900"/>
    <w:rsid w:val="00304AEE"/>
    <w:rsid w:val="00304F89"/>
    <w:rsid w:val="00305E13"/>
    <w:rsid w:val="00305F1C"/>
    <w:rsid w:val="00306710"/>
    <w:rsid w:val="00307AAE"/>
    <w:rsid w:val="00310701"/>
    <w:rsid w:val="0031227B"/>
    <w:rsid w:val="00312CD8"/>
    <w:rsid w:val="00312D07"/>
    <w:rsid w:val="00313881"/>
    <w:rsid w:val="0031508C"/>
    <w:rsid w:val="00315CFB"/>
    <w:rsid w:val="0031686A"/>
    <w:rsid w:val="00316D1E"/>
    <w:rsid w:val="0031723D"/>
    <w:rsid w:val="0032091F"/>
    <w:rsid w:val="00320C30"/>
    <w:rsid w:val="003211E6"/>
    <w:rsid w:val="00322106"/>
    <w:rsid w:val="00322568"/>
    <w:rsid w:val="00322EDA"/>
    <w:rsid w:val="00322F74"/>
    <w:rsid w:val="003230B2"/>
    <w:rsid w:val="0032422B"/>
    <w:rsid w:val="00326CE6"/>
    <w:rsid w:val="003277A3"/>
    <w:rsid w:val="0033051C"/>
    <w:rsid w:val="003308E6"/>
    <w:rsid w:val="00332691"/>
    <w:rsid w:val="00332D69"/>
    <w:rsid w:val="00333E8B"/>
    <w:rsid w:val="0033463B"/>
    <w:rsid w:val="00334945"/>
    <w:rsid w:val="00334B80"/>
    <w:rsid w:val="00335581"/>
    <w:rsid w:val="00336E10"/>
    <w:rsid w:val="00337D69"/>
    <w:rsid w:val="003403D2"/>
    <w:rsid w:val="00340A89"/>
    <w:rsid w:val="00341554"/>
    <w:rsid w:val="00341631"/>
    <w:rsid w:val="003418C9"/>
    <w:rsid w:val="00341F20"/>
    <w:rsid w:val="00342A00"/>
    <w:rsid w:val="00342D56"/>
    <w:rsid w:val="00343997"/>
    <w:rsid w:val="00344A20"/>
    <w:rsid w:val="00345663"/>
    <w:rsid w:val="00345D6B"/>
    <w:rsid w:val="00346D17"/>
    <w:rsid w:val="00347AAA"/>
    <w:rsid w:val="00350254"/>
    <w:rsid w:val="00350382"/>
    <w:rsid w:val="00350DCC"/>
    <w:rsid w:val="003527E0"/>
    <w:rsid w:val="00353B22"/>
    <w:rsid w:val="00353C4E"/>
    <w:rsid w:val="0035416E"/>
    <w:rsid w:val="003549B3"/>
    <w:rsid w:val="00354D43"/>
    <w:rsid w:val="0035540C"/>
    <w:rsid w:val="00356617"/>
    <w:rsid w:val="00357015"/>
    <w:rsid w:val="00360052"/>
    <w:rsid w:val="00360827"/>
    <w:rsid w:val="00360D62"/>
    <w:rsid w:val="003632AA"/>
    <w:rsid w:val="003637B1"/>
    <w:rsid w:val="00363A50"/>
    <w:rsid w:val="00363CB3"/>
    <w:rsid w:val="003647A1"/>
    <w:rsid w:val="00364924"/>
    <w:rsid w:val="00367775"/>
    <w:rsid w:val="00370360"/>
    <w:rsid w:val="00370A02"/>
    <w:rsid w:val="00372A96"/>
    <w:rsid w:val="00372FC6"/>
    <w:rsid w:val="003739E1"/>
    <w:rsid w:val="00373C03"/>
    <w:rsid w:val="00374692"/>
    <w:rsid w:val="00374E72"/>
    <w:rsid w:val="003765E1"/>
    <w:rsid w:val="0037724E"/>
    <w:rsid w:val="00377411"/>
    <w:rsid w:val="003775CF"/>
    <w:rsid w:val="00377C02"/>
    <w:rsid w:val="00380297"/>
    <w:rsid w:val="00380444"/>
    <w:rsid w:val="00382A99"/>
    <w:rsid w:val="0038318C"/>
    <w:rsid w:val="0038343A"/>
    <w:rsid w:val="00384214"/>
    <w:rsid w:val="00385D2C"/>
    <w:rsid w:val="00386CCF"/>
    <w:rsid w:val="003872AD"/>
    <w:rsid w:val="00390639"/>
    <w:rsid w:val="00391024"/>
    <w:rsid w:val="003919E6"/>
    <w:rsid w:val="00392B9A"/>
    <w:rsid w:val="003930E9"/>
    <w:rsid w:val="003936FD"/>
    <w:rsid w:val="00394B71"/>
    <w:rsid w:val="00394BB8"/>
    <w:rsid w:val="00395EFB"/>
    <w:rsid w:val="00397EB3"/>
    <w:rsid w:val="003A017D"/>
    <w:rsid w:val="003A1852"/>
    <w:rsid w:val="003A3D9F"/>
    <w:rsid w:val="003A4712"/>
    <w:rsid w:val="003A4CC1"/>
    <w:rsid w:val="003A5FB7"/>
    <w:rsid w:val="003A7F29"/>
    <w:rsid w:val="003B0E0D"/>
    <w:rsid w:val="003B136E"/>
    <w:rsid w:val="003B1705"/>
    <w:rsid w:val="003B1972"/>
    <w:rsid w:val="003B1B8E"/>
    <w:rsid w:val="003B274A"/>
    <w:rsid w:val="003B399C"/>
    <w:rsid w:val="003B43A0"/>
    <w:rsid w:val="003B447B"/>
    <w:rsid w:val="003B4755"/>
    <w:rsid w:val="003B6E13"/>
    <w:rsid w:val="003B7497"/>
    <w:rsid w:val="003B7D4E"/>
    <w:rsid w:val="003C185D"/>
    <w:rsid w:val="003C24D4"/>
    <w:rsid w:val="003C2AC0"/>
    <w:rsid w:val="003C3B92"/>
    <w:rsid w:val="003C5A42"/>
    <w:rsid w:val="003C5B10"/>
    <w:rsid w:val="003C5F47"/>
    <w:rsid w:val="003C6528"/>
    <w:rsid w:val="003C669A"/>
    <w:rsid w:val="003C6717"/>
    <w:rsid w:val="003C695B"/>
    <w:rsid w:val="003C6AEC"/>
    <w:rsid w:val="003D0A90"/>
    <w:rsid w:val="003D0C3B"/>
    <w:rsid w:val="003D15CE"/>
    <w:rsid w:val="003D1BC5"/>
    <w:rsid w:val="003D2CE6"/>
    <w:rsid w:val="003D358E"/>
    <w:rsid w:val="003D3AC6"/>
    <w:rsid w:val="003D3B52"/>
    <w:rsid w:val="003D4B20"/>
    <w:rsid w:val="003D4CCD"/>
    <w:rsid w:val="003D5B6D"/>
    <w:rsid w:val="003D63CF"/>
    <w:rsid w:val="003D6469"/>
    <w:rsid w:val="003D71D3"/>
    <w:rsid w:val="003E1A0F"/>
    <w:rsid w:val="003E1D21"/>
    <w:rsid w:val="003E23CE"/>
    <w:rsid w:val="003E268E"/>
    <w:rsid w:val="003E290E"/>
    <w:rsid w:val="003E3E8B"/>
    <w:rsid w:val="003E41FB"/>
    <w:rsid w:val="003E45C3"/>
    <w:rsid w:val="003E46E3"/>
    <w:rsid w:val="003E54EB"/>
    <w:rsid w:val="003E601E"/>
    <w:rsid w:val="003E7BAF"/>
    <w:rsid w:val="003E7C75"/>
    <w:rsid w:val="003F00F3"/>
    <w:rsid w:val="003F01E3"/>
    <w:rsid w:val="003F060B"/>
    <w:rsid w:val="003F1991"/>
    <w:rsid w:val="003F2055"/>
    <w:rsid w:val="003F215D"/>
    <w:rsid w:val="003F252E"/>
    <w:rsid w:val="003F2BCB"/>
    <w:rsid w:val="003F30EC"/>
    <w:rsid w:val="003F389A"/>
    <w:rsid w:val="003F3A98"/>
    <w:rsid w:val="003F3C0C"/>
    <w:rsid w:val="003F4385"/>
    <w:rsid w:val="003F4473"/>
    <w:rsid w:val="003F4B69"/>
    <w:rsid w:val="003F50C0"/>
    <w:rsid w:val="003F5697"/>
    <w:rsid w:val="003F6AA8"/>
    <w:rsid w:val="003F734C"/>
    <w:rsid w:val="003F77AC"/>
    <w:rsid w:val="003F78D8"/>
    <w:rsid w:val="003F7E37"/>
    <w:rsid w:val="00400FA8"/>
    <w:rsid w:val="00401181"/>
    <w:rsid w:val="0040126C"/>
    <w:rsid w:val="0040142A"/>
    <w:rsid w:val="00401E37"/>
    <w:rsid w:val="0040357A"/>
    <w:rsid w:val="00403C6A"/>
    <w:rsid w:val="00404945"/>
    <w:rsid w:val="00404EE0"/>
    <w:rsid w:val="00404F12"/>
    <w:rsid w:val="00405677"/>
    <w:rsid w:val="00405CF2"/>
    <w:rsid w:val="00407DD2"/>
    <w:rsid w:val="00410136"/>
    <w:rsid w:val="0041055F"/>
    <w:rsid w:val="00410D7E"/>
    <w:rsid w:val="00412BFA"/>
    <w:rsid w:val="004133D0"/>
    <w:rsid w:val="00413DD3"/>
    <w:rsid w:val="004141DB"/>
    <w:rsid w:val="00414428"/>
    <w:rsid w:val="00414936"/>
    <w:rsid w:val="00414B14"/>
    <w:rsid w:val="00414E20"/>
    <w:rsid w:val="0041547E"/>
    <w:rsid w:val="00415992"/>
    <w:rsid w:val="00417279"/>
    <w:rsid w:val="004179C5"/>
    <w:rsid w:val="004218BC"/>
    <w:rsid w:val="00423448"/>
    <w:rsid w:val="00424C73"/>
    <w:rsid w:val="00424D78"/>
    <w:rsid w:val="00425563"/>
    <w:rsid w:val="004263DD"/>
    <w:rsid w:val="0042667F"/>
    <w:rsid w:val="00427A09"/>
    <w:rsid w:val="0043022A"/>
    <w:rsid w:val="004331DA"/>
    <w:rsid w:val="00433C38"/>
    <w:rsid w:val="004343CB"/>
    <w:rsid w:val="0043506F"/>
    <w:rsid w:val="004352B5"/>
    <w:rsid w:val="00435559"/>
    <w:rsid w:val="00436D4E"/>
    <w:rsid w:val="00437B2C"/>
    <w:rsid w:val="00440846"/>
    <w:rsid w:val="00440A70"/>
    <w:rsid w:val="00440C7E"/>
    <w:rsid w:val="00440D07"/>
    <w:rsid w:val="00441155"/>
    <w:rsid w:val="004413E6"/>
    <w:rsid w:val="004416DD"/>
    <w:rsid w:val="004432FB"/>
    <w:rsid w:val="00447458"/>
    <w:rsid w:val="00451790"/>
    <w:rsid w:val="004517E1"/>
    <w:rsid w:val="0045268B"/>
    <w:rsid w:val="00452D45"/>
    <w:rsid w:val="00453004"/>
    <w:rsid w:val="004534A3"/>
    <w:rsid w:val="00454DCC"/>
    <w:rsid w:val="0045526B"/>
    <w:rsid w:val="0045556F"/>
    <w:rsid w:val="004564A0"/>
    <w:rsid w:val="004564B0"/>
    <w:rsid w:val="004576A9"/>
    <w:rsid w:val="00457C0B"/>
    <w:rsid w:val="00457E03"/>
    <w:rsid w:val="00457E61"/>
    <w:rsid w:val="00457F26"/>
    <w:rsid w:val="00460A5B"/>
    <w:rsid w:val="00460BED"/>
    <w:rsid w:val="00460CA1"/>
    <w:rsid w:val="00460E2B"/>
    <w:rsid w:val="00460E69"/>
    <w:rsid w:val="00461193"/>
    <w:rsid w:val="00461E9D"/>
    <w:rsid w:val="00463965"/>
    <w:rsid w:val="00463DAC"/>
    <w:rsid w:val="00465DE1"/>
    <w:rsid w:val="004665C0"/>
    <w:rsid w:val="00466633"/>
    <w:rsid w:val="00467306"/>
    <w:rsid w:val="00467859"/>
    <w:rsid w:val="00470A35"/>
    <w:rsid w:val="00471341"/>
    <w:rsid w:val="0047179B"/>
    <w:rsid w:val="00472A2C"/>
    <w:rsid w:val="00473509"/>
    <w:rsid w:val="0047424F"/>
    <w:rsid w:val="00474A93"/>
    <w:rsid w:val="00474BC9"/>
    <w:rsid w:val="00475781"/>
    <w:rsid w:val="00476337"/>
    <w:rsid w:val="00477A27"/>
    <w:rsid w:val="00477E07"/>
    <w:rsid w:val="00480D8A"/>
    <w:rsid w:val="00480FAB"/>
    <w:rsid w:val="0048117E"/>
    <w:rsid w:val="00481755"/>
    <w:rsid w:val="0048192B"/>
    <w:rsid w:val="004824E1"/>
    <w:rsid w:val="00482A54"/>
    <w:rsid w:val="00484F6C"/>
    <w:rsid w:val="004855D1"/>
    <w:rsid w:val="00485E34"/>
    <w:rsid w:val="00487034"/>
    <w:rsid w:val="00490043"/>
    <w:rsid w:val="00490563"/>
    <w:rsid w:val="0049075B"/>
    <w:rsid w:val="00490CBE"/>
    <w:rsid w:val="00490D99"/>
    <w:rsid w:val="00491574"/>
    <w:rsid w:val="00492C9A"/>
    <w:rsid w:val="00493720"/>
    <w:rsid w:val="00493CB7"/>
    <w:rsid w:val="00494672"/>
    <w:rsid w:val="00494DFC"/>
    <w:rsid w:val="0049568D"/>
    <w:rsid w:val="00497042"/>
    <w:rsid w:val="0049778E"/>
    <w:rsid w:val="004977AC"/>
    <w:rsid w:val="00497B57"/>
    <w:rsid w:val="00497EC9"/>
    <w:rsid w:val="00497FC1"/>
    <w:rsid w:val="004A0C16"/>
    <w:rsid w:val="004A2FF1"/>
    <w:rsid w:val="004A4255"/>
    <w:rsid w:val="004A542E"/>
    <w:rsid w:val="004A5CAF"/>
    <w:rsid w:val="004A5E1A"/>
    <w:rsid w:val="004A5E55"/>
    <w:rsid w:val="004A6023"/>
    <w:rsid w:val="004A67E7"/>
    <w:rsid w:val="004A6983"/>
    <w:rsid w:val="004A7AA1"/>
    <w:rsid w:val="004A7B75"/>
    <w:rsid w:val="004B006A"/>
    <w:rsid w:val="004B085B"/>
    <w:rsid w:val="004B0BFE"/>
    <w:rsid w:val="004B2BC6"/>
    <w:rsid w:val="004B2CED"/>
    <w:rsid w:val="004B2F23"/>
    <w:rsid w:val="004B5906"/>
    <w:rsid w:val="004B6DF3"/>
    <w:rsid w:val="004B6E14"/>
    <w:rsid w:val="004B761C"/>
    <w:rsid w:val="004B7F95"/>
    <w:rsid w:val="004C01C7"/>
    <w:rsid w:val="004C0714"/>
    <w:rsid w:val="004C119F"/>
    <w:rsid w:val="004C16B7"/>
    <w:rsid w:val="004C2558"/>
    <w:rsid w:val="004C5DC2"/>
    <w:rsid w:val="004C6889"/>
    <w:rsid w:val="004C68F1"/>
    <w:rsid w:val="004C6DEC"/>
    <w:rsid w:val="004C7109"/>
    <w:rsid w:val="004C76AA"/>
    <w:rsid w:val="004D0BC6"/>
    <w:rsid w:val="004D22EE"/>
    <w:rsid w:val="004D253C"/>
    <w:rsid w:val="004D35DA"/>
    <w:rsid w:val="004D4298"/>
    <w:rsid w:val="004D5745"/>
    <w:rsid w:val="004D5A61"/>
    <w:rsid w:val="004D6E7D"/>
    <w:rsid w:val="004D7074"/>
    <w:rsid w:val="004D7819"/>
    <w:rsid w:val="004E1A39"/>
    <w:rsid w:val="004E1DFD"/>
    <w:rsid w:val="004E1E0C"/>
    <w:rsid w:val="004E23C6"/>
    <w:rsid w:val="004E2E15"/>
    <w:rsid w:val="004E38DD"/>
    <w:rsid w:val="004E39CA"/>
    <w:rsid w:val="004E3C23"/>
    <w:rsid w:val="004E3D16"/>
    <w:rsid w:val="004E527C"/>
    <w:rsid w:val="004E6722"/>
    <w:rsid w:val="004E6881"/>
    <w:rsid w:val="004E6A12"/>
    <w:rsid w:val="004E708B"/>
    <w:rsid w:val="004E71EF"/>
    <w:rsid w:val="004E7200"/>
    <w:rsid w:val="004E73F4"/>
    <w:rsid w:val="004E7415"/>
    <w:rsid w:val="004F01B2"/>
    <w:rsid w:val="004F1E75"/>
    <w:rsid w:val="004F25A2"/>
    <w:rsid w:val="004F263E"/>
    <w:rsid w:val="004F3A1D"/>
    <w:rsid w:val="004F414C"/>
    <w:rsid w:val="004F4736"/>
    <w:rsid w:val="004F4D6F"/>
    <w:rsid w:val="004F50A7"/>
    <w:rsid w:val="004F6207"/>
    <w:rsid w:val="004F63A6"/>
    <w:rsid w:val="004F67A8"/>
    <w:rsid w:val="004F7118"/>
    <w:rsid w:val="005003E3"/>
    <w:rsid w:val="005007D4"/>
    <w:rsid w:val="00501341"/>
    <w:rsid w:val="00501BFB"/>
    <w:rsid w:val="00502481"/>
    <w:rsid w:val="00502B90"/>
    <w:rsid w:val="00502F60"/>
    <w:rsid w:val="005033A4"/>
    <w:rsid w:val="005033CF"/>
    <w:rsid w:val="00504787"/>
    <w:rsid w:val="0050548F"/>
    <w:rsid w:val="00505B9E"/>
    <w:rsid w:val="00505FA6"/>
    <w:rsid w:val="005060AD"/>
    <w:rsid w:val="00507BB9"/>
    <w:rsid w:val="00507C0A"/>
    <w:rsid w:val="00510587"/>
    <w:rsid w:val="00511B53"/>
    <w:rsid w:val="005131F2"/>
    <w:rsid w:val="0051332B"/>
    <w:rsid w:val="00513C4C"/>
    <w:rsid w:val="0051634D"/>
    <w:rsid w:val="00517580"/>
    <w:rsid w:val="0052137F"/>
    <w:rsid w:val="00521C44"/>
    <w:rsid w:val="00521F86"/>
    <w:rsid w:val="00521FEC"/>
    <w:rsid w:val="00522A3E"/>
    <w:rsid w:val="00522E18"/>
    <w:rsid w:val="00523A65"/>
    <w:rsid w:val="00524BD1"/>
    <w:rsid w:val="00524CEE"/>
    <w:rsid w:val="005274B7"/>
    <w:rsid w:val="0052761C"/>
    <w:rsid w:val="00527C19"/>
    <w:rsid w:val="00527DC4"/>
    <w:rsid w:val="00530579"/>
    <w:rsid w:val="005306F3"/>
    <w:rsid w:val="00530991"/>
    <w:rsid w:val="00531F58"/>
    <w:rsid w:val="00531FE3"/>
    <w:rsid w:val="00532DC9"/>
    <w:rsid w:val="0053365C"/>
    <w:rsid w:val="00533DB6"/>
    <w:rsid w:val="005351B7"/>
    <w:rsid w:val="00535D23"/>
    <w:rsid w:val="0053626C"/>
    <w:rsid w:val="00536313"/>
    <w:rsid w:val="00536472"/>
    <w:rsid w:val="00540107"/>
    <w:rsid w:val="00540A83"/>
    <w:rsid w:val="00541585"/>
    <w:rsid w:val="0054182E"/>
    <w:rsid w:val="00541A00"/>
    <w:rsid w:val="00541B85"/>
    <w:rsid w:val="00542B01"/>
    <w:rsid w:val="00544101"/>
    <w:rsid w:val="00544462"/>
    <w:rsid w:val="00544B61"/>
    <w:rsid w:val="00544CB9"/>
    <w:rsid w:val="00545370"/>
    <w:rsid w:val="005455A2"/>
    <w:rsid w:val="005457B6"/>
    <w:rsid w:val="005460AF"/>
    <w:rsid w:val="00546F81"/>
    <w:rsid w:val="00547982"/>
    <w:rsid w:val="00551104"/>
    <w:rsid w:val="00551A71"/>
    <w:rsid w:val="00552A31"/>
    <w:rsid w:val="00552AED"/>
    <w:rsid w:val="005546FD"/>
    <w:rsid w:val="00554DAE"/>
    <w:rsid w:val="005562DD"/>
    <w:rsid w:val="0055675C"/>
    <w:rsid w:val="005568F6"/>
    <w:rsid w:val="00556C20"/>
    <w:rsid w:val="00556D89"/>
    <w:rsid w:val="00556F9A"/>
    <w:rsid w:val="00557348"/>
    <w:rsid w:val="0056028B"/>
    <w:rsid w:val="005609CE"/>
    <w:rsid w:val="00560E3D"/>
    <w:rsid w:val="00561495"/>
    <w:rsid w:val="00561648"/>
    <w:rsid w:val="005620B0"/>
    <w:rsid w:val="00563A66"/>
    <w:rsid w:val="0056558B"/>
    <w:rsid w:val="00566A8C"/>
    <w:rsid w:val="00571AFC"/>
    <w:rsid w:val="0057212A"/>
    <w:rsid w:val="0057236C"/>
    <w:rsid w:val="00572730"/>
    <w:rsid w:val="00573E17"/>
    <w:rsid w:val="00574119"/>
    <w:rsid w:val="00574142"/>
    <w:rsid w:val="00574C67"/>
    <w:rsid w:val="00575441"/>
    <w:rsid w:val="00576217"/>
    <w:rsid w:val="00576799"/>
    <w:rsid w:val="00576F17"/>
    <w:rsid w:val="00577236"/>
    <w:rsid w:val="0058043C"/>
    <w:rsid w:val="00581766"/>
    <w:rsid w:val="00581B76"/>
    <w:rsid w:val="00581B82"/>
    <w:rsid w:val="0058203F"/>
    <w:rsid w:val="00582951"/>
    <w:rsid w:val="0058340D"/>
    <w:rsid w:val="00585A2B"/>
    <w:rsid w:val="005862EA"/>
    <w:rsid w:val="0058771A"/>
    <w:rsid w:val="00587F07"/>
    <w:rsid w:val="0059056C"/>
    <w:rsid w:val="00590889"/>
    <w:rsid w:val="00591354"/>
    <w:rsid w:val="00591700"/>
    <w:rsid w:val="00591CE1"/>
    <w:rsid w:val="005921F5"/>
    <w:rsid w:val="0059436E"/>
    <w:rsid w:val="005943C1"/>
    <w:rsid w:val="0059473D"/>
    <w:rsid w:val="00595F7E"/>
    <w:rsid w:val="00596E73"/>
    <w:rsid w:val="005A12B4"/>
    <w:rsid w:val="005A3174"/>
    <w:rsid w:val="005A343A"/>
    <w:rsid w:val="005A543F"/>
    <w:rsid w:val="005A5BF0"/>
    <w:rsid w:val="005A64E8"/>
    <w:rsid w:val="005A6E49"/>
    <w:rsid w:val="005A7065"/>
    <w:rsid w:val="005B0924"/>
    <w:rsid w:val="005B1526"/>
    <w:rsid w:val="005B1A22"/>
    <w:rsid w:val="005B1B45"/>
    <w:rsid w:val="005B1F9C"/>
    <w:rsid w:val="005B279D"/>
    <w:rsid w:val="005B2B60"/>
    <w:rsid w:val="005B435E"/>
    <w:rsid w:val="005B651D"/>
    <w:rsid w:val="005B6BBF"/>
    <w:rsid w:val="005B7A8D"/>
    <w:rsid w:val="005C016B"/>
    <w:rsid w:val="005C1A3F"/>
    <w:rsid w:val="005C1B87"/>
    <w:rsid w:val="005C3215"/>
    <w:rsid w:val="005C3281"/>
    <w:rsid w:val="005C3894"/>
    <w:rsid w:val="005C416A"/>
    <w:rsid w:val="005C420E"/>
    <w:rsid w:val="005C441D"/>
    <w:rsid w:val="005C506E"/>
    <w:rsid w:val="005C61FD"/>
    <w:rsid w:val="005C64AD"/>
    <w:rsid w:val="005D0C59"/>
    <w:rsid w:val="005D1035"/>
    <w:rsid w:val="005D1179"/>
    <w:rsid w:val="005D1222"/>
    <w:rsid w:val="005D128B"/>
    <w:rsid w:val="005D1773"/>
    <w:rsid w:val="005D24DD"/>
    <w:rsid w:val="005D3298"/>
    <w:rsid w:val="005D383D"/>
    <w:rsid w:val="005D4CBB"/>
    <w:rsid w:val="005D4FC0"/>
    <w:rsid w:val="005D5247"/>
    <w:rsid w:val="005D5E40"/>
    <w:rsid w:val="005D6319"/>
    <w:rsid w:val="005D63E1"/>
    <w:rsid w:val="005D69B2"/>
    <w:rsid w:val="005D6B31"/>
    <w:rsid w:val="005D6FA0"/>
    <w:rsid w:val="005D70B1"/>
    <w:rsid w:val="005D7181"/>
    <w:rsid w:val="005E18C1"/>
    <w:rsid w:val="005E214A"/>
    <w:rsid w:val="005E2882"/>
    <w:rsid w:val="005E28F0"/>
    <w:rsid w:val="005E30A5"/>
    <w:rsid w:val="005E35A0"/>
    <w:rsid w:val="005E3C3E"/>
    <w:rsid w:val="005E3F1E"/>
    <w:rsid w:val="005E5168"/>
    <w:rsid w:val="005E7F95"/>
    <w:rsid w:val="005F000E"/>
    <w:rsid w:val="005F16FA"/>
    <w:rsid w:val="005F19D5"/>
    <w:rsid w:val="005F1C74"/>
    <w:rsid w:val="005F1D03"/>
    <w:rsid w:val="005F1D20"/>
    <w:rsid w:val="005F2A21"/>
    <w:rsid w:val="005F2EF2"/>
    <w:rsid w:val="005F4531"/>
    <w:rsid w:val="005F6B4D"/>
    <w:rsid w:val="005F7361"/>
    <w:rsid w:val="006000FA"/>
    <w:rsid w:val="00600171"/>
    <w:rsid w:val="0060105F"/>
    <w:rsid w:val="00601144"/>
    <w:rsid w:val="00602674"/>
    <w:rsid w:val="00605ED3"/>
    <w:rsid w:val="00606C17"/>
    <w:rsid w:val="00607ABA"/>
    <w:rsid w:val="0061146D"/>
    <w:rsid w:val="00611AF6"/>
    <w:rsid w:val="006120A2"/>
    <w:rsid w:val="006127E7"/>
    <w:rsid w:val="00612C56"/>
    <w:rsid w:val="0061404A"/>
    <w:rsid w:val="00615B8C"/>
    <w:rsid w:val="00616886"/>
    <w:rsid w:val="00616D75"/>
    <w:rsid w:val="00616EF8"/>
    <w:rsid w:val="00620620"/>
    <w:rsid w:val="0062110E"/>
    <w:rsid w:val="00621968"/>
    <w:rsid w:val="00621B89"/>
    <w:rsid w:val="00621EEF"/>
    <w:rsid w:val="00622E86"/>
    <w:rsid w:val="006243FB"/>
    <w:rsid w:val="00624759"/>
    <w:rsid w:val="006247DD"/>
    <w:rsid w:val="00625138"/>
    <w:rsid w:val="00626978"/>
    <w:rsid w:val="0062734D"/>
    <w:rsid w:val="006300BA"/>
    <w:rsid w:val="00630AC5"/>
    <w:rsid w:val="006312A1"/>
    <w:rsid w:val="006328B4"/>
    <w:rsid w:val="0063301F"/>
    <w:rsid w:val="00635511"/>
    <w:rsid w:val="006357E1"/>
    <w:rsid w:val="00635DB9"/>
    <w:rsid w:val="00636ED8"/>
    <w:rsid w:val="0063754C"/>
    <w:rsid w:val="00637873"/>
    <w:rsid w:val="0064074B"/>
    <w:rsid w:val="00640BA7"/>
    <w:rsid w:val="00640DDE"/>
    <w:rsid w:val="006427EC"/>
    <w:rsid w:val="00642832"/>
    <w:rsid w:val="00642BAD"/>
    <w:rsid w:val="0064372A"/>
    <w:rsid w:val="00645E62"/>
    <w:rsid w:val="00647A5D"/>
    <w:rsid w:val="00647F69"/>
    <w:rsid w:val="00651556"/>
    <w:rsid w:val="006515C7"/>
    <w:rsid w:val="00652829"/>
    <w:rsid w:val="006530EE"/>
    <w:rsid w:val="006531BF"/>
    <w:rsid w:val="00653CCD"/>
    <w:rsid w:val="00654178"/>
    <w:rsid w:val="00655D09"/>
    <w:rsid w:val="00656215"/>
    <w:rsid w:val="0065650B"/>
    <w:rsid w:val="00656643"/>
    <w:rsid w:val="006570F8"/>
    <w:rsid w:val="00657D98"/>
    <w:rsid w:val="00657E8A"/>
    <w:rsid w:val="00660141"/>
    <w:rsid w:val="006605C6"/>
    <w:rsid w:val="00660F09"/>
    <w:rsid w:val="006611F6"/>
    <w:rsid w:val="00662F13"/>
    <w:rsid w:val="00663BA0"/>
    <w:rsid w:val="00663E95"/>
    <w:rsid w:val="00663F8F"/>
    <w:rsid w:val="00664041"/>
    <w:rsid w:val="00664138"/>
    <w:rsid w:val="00664361"/>
    <w:rsid w:val="006660CD"/>
    <w:rsid w:val="0067016F"/>
    <w:rsid w:val="006704E5"/>
    <w:rsid w:val="00675259"/>
    <w:rsid w:val="00675481"/>
    <w:rsid w:val="006756E3"/>
    <w:rsid w:val="00676128"/>
    <w:rsid w:val="006764FD"/>
    <w:rsid w:val="00676727"/>
    <w:rsid w:val="00676740"/>
    <w:rsid w:val="00677634"/>
    <w:rsid w:val="0067778F"/>
    <w:rsid w:val="006779A5"/>
    <w:rsid w:val="00680FE3"/>
    <w:rsid w:val="0068105E"/>
    <w:rsid w:val="00681323"/>
    <w:rsid w:val="00681716"/>
    <w:rsid w:val="0068183E"/>
    <w:rsid w:val="00683585"/>
    <w:rsid w:val="00684EF9"/>
    <w:rsid w:val="006850E5"/>
    <w:rsid w:val="00685BBA"/>
    <w:rsid w:val="00685D6F"/>
    <w:rsid w:val="00686553"/>
    <w:rsid w:val="00687196"/>
    <w:rsid w:val="0068732B"/>
    <w:rsid w:val="00687498"/>
    <w:rsid w:val="00687663"/>
    <w:rsid w:val="006877FE"/>
    <w:rsid w:val="00687E78"/>
    <w:rsid w:val="00690AA7"/>
    <w:rsid w:val="006917F7"/>
    <w:rsid w:val="00691CE5"/>
    <w:rsid w:val="006924A2"/>
    <w:rsid w:val="00692BEF"/>
    <w:rsid w:val="0069307F"/>
    <w:rsid w:val="0069316F"/>
    <w:rsid w:val="00693ACC"/>
    <w:rsid w:val="00694D9F"/>
    <w:rsid w:val="00695844"/>
    <w:rsid w:val="00696544"/>
    <w:rsid w:val="00697187"/>
    <w:rsid w:val="00697459"/>
    <w:rsid w:val="006975A7"/>
    <w:rsid w:val="006A1189"/>
    <w:rsid w:val="006A136F"/>
    <w:rsid w:val="006A2328"/>
    <w:rsid w:val="006A27AF"/>
    <w:rsid w:val="006A3110"/>
    <w:rsid w:val="006A3507"/>
    <w:rsid w:val="006A3887"/>
    <w:rsid w:val="006A575C"/>
    <w:rsid w:val="006A5DD6"/>
    <w:rsid w:val="006A5DE2"/>
    <w:rsid w:val="006A62FA"/>
    <w:rsid w:val="006A7180"/>
    <w:rsid w:val="006A7AED"/>
    <w:rsid w:val="006A7DAE"/>
    <w:rsid w:val="006A7E01"/>
    <w:rsid w:val="006B0323"/>
    <w:rsid w:val="006B0682"/>
    <w:rsid w:val="006B103A"/>
    <w:rsid w:val="006B1532"/>
    <w:rsid w:val="006B1F4E"/>
    <w:rsid w:val="006B377D"/>
    <w:rsid w:val="006B38B5"/>
    <w:rsid w:val="006B4817"/>
    <w:rsid w:val="006B5F34"/>
    <w:rsid w:val="006B5F3B"/>
    <w:rsid w:val="006B62C3"/>
    <w:rsid w:val="006B69E4"/>
    <w:rsid w:val="006B7208"/>
    <w:rsid w:val="006C086E"/>
    <w:rsid w:val="006C1D41"/>
    <w:rsid w:val="006C20AE"/>
    <w:rsid w:val="006C2626"/>
    <w:rsid w:val="006C43BD"/>
    <w:rsid w:val="006C44BE"/>
    <w:rsid w:val="006C477F"/>
    <w:rsid w:val="006C52B0"/>
    <w:rsid w:val="006C5455"/>
    <w:rsid w:val="006C5D6B"/>
    <w:rsid w:val="006C613D"/>
    <w:rsid w:val="006C6F94"/>
    <w:rsid w:val="006C701E"/>
    <w:rsid w:val="006D063E"/>
    <w:rsid w:val="006D09DD"/>
    <w:rsid w:val="006D16AB"/>
    <w:rsid w:val="006D17FD"/>
    <w:rsid w:val="006D1F23"/>
    <w:rsid w:val="006D311F"/>
    <w:rsid w:val="006D4322"/>
    <w:rsid w:val="006D54AD"/>
    <w:rsid w:val="006D5613"/>
    <w:rsid w:val="006D588B"/>
    <w:rsid w:val="006D5BD2"/>
    <w:rsid w:val="006D70A2"/>
    <w:rsid w:val="006D7259"/>
    <w:rsid w:val="006D78C8"/>
    <w:rsid w:val="006E185E"/>
    <w:rsid w:val="006E2A7A"/>
    <w:rsid w:val="006E3649"/>
    <w:rsid w:val="006E3DDF"/>
    <w:rsid w:val="006E4BC6"/>
    <w:rsid w:val="006E4D07"/>
    <w:rsid w:val="006E4E4F"/>
    <w:rsid w:val="006E4ED2"/>
    <w:rsid w:val="006E5AA0"/>
    <w:rsid w:val="006E72DE"/>
    <w:rsid w:val="006E754F"/>
    <w:rsid w:val="006E7C11"/>
    <w:rsid w:val="006F1256"/>
    <w:rsid w:val="006F248D"/>
    <w:rsid w:val="006F3754"/>
    <w:rsid w:val="006F3DD9"/>
    <w:rsid w:val="006F42AA"/>
    <w:rsid w:val="006F4319"/>
    <w:rsid w:val="006F5AC0"/>
    <w:rsid w:val="006F719F"/>
    <w:rsid w:val="006F75A8"/>
    <w:rsid w:val="007002BD"/>
    <w:rsid w:val="0070095D"/>
    <w:rsid w:val="007018A6"/>
    <w:rsid w:val="00701C4C"/>
    <w:rsid w:val="00701DA5"/>
    <w:rsid w:val="0070251D"/>
    <w:rsid w:val="00703853"/>
    <w:rsid w:val="007048CA"/>
    <w:rsid w:val="00704A7C"/>
    <w:rsid w:val="00705721"/>
    <w:rsid w:val="00706E60"/>
    <w:rsid w:val="007114F4"/>
    <w:rsid w:val="007120FC"/>
    <w:rsid w:val="007125E6"/>
    <w:rsid w:val="00712C51"/>
    <w:rsid w:val="0071315A"/>
    <w:rsid w:val="00713260"/>
    <w:rsid w:val="00713CDF"/>
    <w:rsid w:val="00713EA2"/>
    <w:rsid w:val="00714BDA"/>
    <w:rsid w:val="0071627D"/>
    <w:rsid w:val="00716B33"/>
    <w:rsid w:val="00716F32"/>
    <w:rsid w:val="00717337"/>
    <w:rsid w:val="00717C6C"/>
    <w:rsid w:val="00720AEA"/>
    <w:rsid w:val="00721A9B"/>
    <w:rsid w:val="00721F17"/>
    <w:rsid w:val="00722B5E"/>
    <w:rsid w:val="00722D70"/>
    <w:rsid w:val="00724359"/>
    <w:rsid w:val="007248E7"/>
    <w:rsid w:val="00724C42"/>
    <w:rsid w:val="00724D15"/>
    <w:rsid w:val="00726487"/>
    <w:rsid w:val="007273AB"/>
    <w:rsid w:val="007275B1"/>
    <w:rsid w:val="00727730"/>
    <w:rsid w:val="00730B3D"/>
    <w:rsid w:val="00731687"/>
    <w:rsid w:val="007327AF"/>
    <w:rsid w:val="00732F6F"/>
    <w:rsid w:val="00734F88"/>
    <w:rsid w:val="00735B17"/>
    <w:rsid w:val="007378BA"/>
    <w:rsid w:val="00740597"/>
    <w:rsid w:val="0074059F"/>
    <w:rsid w:val="00740991"/>
    <w:rsid w:val="00744074"/>
    <w:rsid w:val="007442AC"/>
    <w:rsid w:val="00744CC4"/>
    <w:rsid w:val="00744DC5"/>
    <w:rsid w:val="00745127"/>
    <w:rsid w:val="007457F3"/>
    <w:rsid w:val="007461F0"/>
    <w:rsid w:val="007469E8"/>
    <w:rsid w:val="00750C48"/>
    <w:rsid w:val="007543DD"/>
    <w:rsid w:val="00755389"/>
    <w:rsid w:val="0075566B"/>
    <w:rsid w:val="00755888"/>
    <w:rsid w:val="00755B6F"/>
    <w:rsid w:val="007608B5"/>
    <w:rsid w:val="0076147F"/>
    <w:rsid w:val="00761FCA"/>
    <w:rsid w:val="00762D0B"/>
    <w:rsid w:val="00762F96"/>
    <w:rsid w:val="00763607"/>
    <w:rsid w:val="0076396A"/>
    <w:rsid w:val="00764598"/>
    <w:rsid w:val="00764898"/>
    <w:rsid w:val="00764E71"/>
    <w:rsid w:val="0076504A"/>
    <w:rsid w:val="00765109"/>
    <w:rsid w:val="00765747"/>
    <w:rsid w:val="00765E1C"/>
    <w:rsid w:val="00766081"/>
    <w:rsid w:val="00766EFC"/>
    <w:rsid w:val="00767987"/>
    <w:rsid w:val="0077060D"/>
    <w:rsid w:val="00770A82"/>
    <w:rsid w:val="00770E82"/>
    <w:rsid w:val="007715DC"/>
    <w:rsid w:val="00772E86"/>
    <w:rsid w:val="007732AF"/>
    <w:rsid w:val="00773C09"/>
    <w:rsid w:val="00774A40"/>
    <w:rsid w:val="0077573F"/>
    <w:rsid w:val="00775A19"/>
    <w:rsid w:val="007814B7"/>
    <w:rsid w:val="0078313F"/>
    <w:rsid w:val="00783772"/>
    <w:rsid w:val="0078471E"/>
    <w:rsid w:val="00784C20"/>
    <w:rsid w:val="007850DD"/>
    <w:rsid w:val="0078512F"/>
    <w:rsid w:val="00785A92"/>
    <w:rsid w:val="00785DE2"/>
    <w:rsid w:val="00786062"/>
    <w:rsid w:val="007865EA"/>
    <w:rsid w:val="007866D2"/>
    <w:rsid w:val="00786F61"/>
    <w:rsid w:val="0078726D"/>
    <w:rsid w:val="00790224"/>
    <w:rsid w:val="007903AF"/>
    <w:rsid w:val="007909E6"/>
    <w:rsid w:val="00791260"/>
    <w:rsid w:val="007913E1"/>
    <w:rsid w:val="00791592"/>
    <w:rsid w:val="00791A35"/>
    <w:rsid w:val="007925D1"/>
    <w:rsid w:val="0079318D"/>
    <w:rsid w:val="0079336B"/>
    <w:rsid w:val="007936C8"/>
    <w:rsid w:val="0079404D"/>
    <w:rsid w:val="0079448F"/>
    <w:rsid w:val="0079467C"/>
    <w:rsid w:val="00794A7C"/>
    <w:rsid w:val="00794CA1"/>
    <w:rsid w:val="00796A17"/>
    <w:rsid w:val="00796B93"/>
    <w:rsid w:val="00796F95"/>
    <w:rsid w:val="007977E6"/>
    <w:rsid w:val="007A0360"/>
    <w:rsid w:val="007A1AAA"/>
    <w:rsid w:val="007A2CD3"/>
    <w:rsid w:val="007A2DDD"/>
    <w:rsid w:val="007A4EBC"/>
    <w:rsid w:val="007A54AF"/>
    <w:rsid w:val="007A68B1"/>
    <w:rsid w:val="007A7101"/>
    <w:rsid w:val="007A7337"/>
    <w:rsid w:val="007B0D0D"/>
    <w:rsid w:val="007B0EE8"/>
    <w:rsid w:val="007B0FE6"/>
    <w:rsid w:val="007B1743"/>
    <w:rsid w:val="007B1E20"/>
    <w:rsid w:val="007B200D"/>
    <w:rsid w:val="007B36DF"/>
    <w:rsid w:val="007B371D"/>
    <w:rsid w:val="007B5FE0"/>
    <w:rsid w:val="007B617E"/>
    <w:rsid w:val="007B7015"/>
    <w:rsid w:val="007C0211"/>
    <w:rsid w:val="007C0636"/>
    <w:rsid w:val="007C0D00"/>
    <w:rsid w:val="007C4552"/>
    <w:rsid w:val="007C4A92"/>
    <w:rsid w:val="007C5D70"/>
    <w:rsid w:val="007C696D"/>
    <w:rsid w:val="007C77CD"/>
    <w:rsid w:val="007D0EC3"/>
    <w:rsid w:val="007D1AC5"/>
    <w:rsid w:val="007D2484"/>
    <w:rsid w:val="007D2514"/>
    <w:rsid w:val="007D2B5F"/>
    <w:rsid w:val="007D37BA"/>
    <w:rsid w:val="007D4E1D"/>
    <w:rsid w:val="007D5C0B"/>
    <w:rsid w:val="007D5F94"/>
    <w:rsid w:val="007D62A9"/>
    <w:rsid w:val="007D638E"/>
    <w:rsid w:val="007D6B32"/>
    <w:rsid w:val="007D6CD2"/>
    <w:rsid w:val="007D6E4A"/>
    <w:rsid w:val="007D71C3"/>
    <w:rsid w:val="007D7DD1"/>
    <w:rsid w:val="007E04AF"/>
    <w:rsid w:val="007E2D0E"/>
    <w:rsid w:val="007E32E9"/>
    <w:rsid w:val="007E3560"/>
    <w:rsid w:val="007E3E1D"/>
    <w:rsid w:val="007E4237"/>
    <w:rsid w:val="007E4D3C"/>
    <w:rsid w:val="007E5112"/>
    <w:rsid w:val="007E60B3"/>
    <w:rsid w:val="007E6A88"/>
    <w:rsid w:val="007F23FC"/>
    <w:rsid w:val="007F268C"/>
    <w:rsid w:val="007F3871"/>
    <w:rsid w:val="007F3E0C"/>
    <w:rsid w:val="007F4539"/>
    <w:rsid w:val="007F4617"/>
    <w:rsid w:val="007F522D"/>
    <w:rsid w:val="007F55EA"/>
    <w:rsid w:val="007F6572"/>
    <w:rsid w:val="007F6698"/>
    <w:rsid w:val="007F6EC0"/>
    <w:rsid w:val="0080082F"/>
    <w:rsid w:val="00801621"/>
    <w:rsid w:val="00801F3E"/>
    <w:rsid w:val="0080202B"/>
    <w:rsid w:val="008023E9"/>
    <w:rsid w:val="00802646"/>
    <w:rsid w:val="0080310A"/>
    <w:rsid w:val="0080332D"/>
    <w:rsid w:val="00803BD1"/>
    <w:rsid w:val="008045AE"/>
    <w:rsid w:val="00804760"/>
    <w:rsid w:val="00804D43"/>
    <w:rsid w:val="00805474"/>
    <w:rsid w:val="0080599C"/>
    <w:rsid w:val="0080646B"/>
    <w:rsid w:val="00807151"/>
    <w:rsid w:val="0080727C"/>
    <w:rsid w:val="00807649"/>
    <w:rsid w:val="00807748"/>
    <w:rsid w:val="008107F8"/>
    <w:rsid w:val="008109F2"/>
    <w:rsid w:val="00810BDF"/>
    <w:rsid w:val="00810F8F"/>
    <w:rsid w:val="0081100D"/>
    <w:rsid w:val="008119FB"/>
    <w:rsid w:val="00813158"/>
    <w:rsid w:val="00813C19"/>
    <w:rsid w:val="00814242"/>
    <w:rsid w:val="00816259"/>
    <w:rsid w:val="00820150"/>
    <w:rsid w:val="008205EE"/>
    <w:rsid w:val="00820621"/>
    <w:rsid w:val="008216D6"/>
    <w:rsid w:val="0082610B"/>
    <w:rsid w:val="0082636F"/>
    <w:rsid w:val="008265C3"/>
    <w:rsid w:val="00826AF3"/>
    <w:rsid w:val="00827A59"/>
    <w:rsid w:val="00827FD4"/>
    <w:rsid w:val="008306D5"/>
    <w:rsid w:val="00830841"/>
    <w:rsid w:val="008311B7"/>
    <w:rsid w:val="00832600"/>
    <w:rsid w:val="00833C32"/>
    <w:rsid w:val="00833C4E"/>
    <w:rsid w:val="008342AB"/>
    <w:rsid w:val="00834485"/>
    <w:rsid w:val="00835CED"/>
    <w:rsid w:val="008365D7"/>
    <w:rsid w:val="00837595"/>
    <w:rsid w:val="008379C0"/>
    <w:rsid w:val="00837E1A"/>
    <w:rsid w:val="0084006D"/>
    <w:rsid w:val="008403AF"/>
    <w:rsid w:val="00840B0F"/>
    <w:rsid w:val="00840B9B"/>
    <w:rsid w:val="008415E4"/>
    <w:rsid w:val="00843183"/>
    <w:rsid w:val="008432A5"/>
    <w:rsid w:val="00844D9C"/>
    <w:rsid w:val="00845622"/>
    <w:rsid w:val="00846291"/>
    <w:rsid w:val="00846B5F"/>
    <w:rsid w:val="00847880"/>
    <w:rsid w:val="0085141F"/>
    <w:rsid w:val="008516EB"/>
    <w:rsid w:val="00851C5B"/>
    <w:rsid w:val="00852C9B"/>
    <w:rsid w:val="00853CEB"/>
    <w:rsid w:val="00853D4C"/>
    <w:rsid w:val="00853F65"/>
    <w:rsid w:val="00855357"/>
    <w:rsid w:val="008563D7"/>
    <w:rsid w:val="00857E49"/>
    <w:rsid w:val="0086010E"/>
    <w:rsid w:val="00860F64"/>
    <w:rsid w:val="00861910"/>
    <w:rsid w:val="0086260F"/>
    <w:rsid w:val="0086327B"/>
    <w:rsid w:val="0086358B"/>
    <w:rsid w:val="008638DF"/>
    <w:rsid w:val="0086468D"/>
    <w:rsid w:val="00864C28"/>
    <w:rsid w:val="00864D24"/>
    <w:rsid w:val="008661EB"/>
    <w:rsid w:val="00867188"/>
    <w:rsid w:val="00867CCC"/>
    <w:rsid w:val="00867E4E"/>
    <w:rsid w:val="0087020F"/>
    <w:rsid w:val="00873474"/>
    <w:rsid w:val="0087383C"/>
    <w:rsid w:val="0087422F"/>
    <w:rsid w:val="008744EB"/>
    <w:rsid w:val="0087461C"/>
    <w:rsid w:val="008765D6"/>
    <w:rsid w:val="00876611"/>
    <w:rsid w:val="008767E8"/>
    <w:rsid w:val="0088040A"/>
    <w:rsid w:val="008805F0"/>
    <w:rsid w:val="00881E45"/>
    <w:rsid w:val="0088208F"/>
    <w:rsid w:val="00883088"/>
    <w:rsid w:val="008835F1"/>
    <w:rsid w:val="00883ECA"/>
    <w:rsid w:val="00883FCE"/>
    <w:rsid w:val="0088653C"/>
    <w:rsid w:val="00886913"/>
    <w:rsid w:val="00886A13"/>
    <w:rsid w:val="00887204"/>
    <w:rsid w:val="00892CC9"/>
    <w:rsid w:val="00893B22"/>
    <w:rsid w:val="00894E6C"/>
    <w:rsid w:val="00895AD8"/>
    <w:rsid w:val="00896019"/>
    <w:rsid w:val="008962BD"/>
    <w:rsid w:val="0089650D"/>
    <w:rsid w:val="00896882"/>
    <w:rsid w:val="00896E15"/>
    <w:rsid w:val="008975B4"/>
    <w:rsid w:val="00897CCF"/>
    <w:rsid w:val="008A0330"/>
    <w:rsid w:val="008A0716"/>
    <w:rsid w:val="008A12D9"/>
    <w:rsid w:val="008A1861"/>
    <w:rsid w:val="008A1E79"/>
    <w:rsid w:val="008A2A22"/>
    <w:rsid w:val="008A3799"/>
    <w:rsid w:val="008A487C"/>
    <w:rsid w:val="008A645B"/>
    <w:rsid w:val="008A73BE"/>
    <w:rsid w:val="008A781E"/>
    <w:rsid w:val="008B01D3"/>
    <w:rsid w:val="008B261E"/>
    <w:rsid w:val="008B288D"/>
    <w:rsid w:val="008B2E22"/>
    <w:rsid w:val="008B2EFF"/>
    <w:rsid w:val="008B4918"/>
    <w:rsid w:val="008B588B"/>
    <w:rsid w:val="008B7179"/>
    <w:rsid w:val="008B71F3"/>
    <w:rsid w:val="008B7227"/>
    <w:rsid w:val="008C0B06"/>
    <w:rsid w:val="008C0B1B"/>
    <w:rsid w:val="008C0D60"/>
    <w:rsid w:val="008C1FFA"/>
    <w:rsid w:val="008C251B"/>
    <w:rsid w:val="008C28A1"/>
    <w:rsid w:val="008C2BC7"/>
    <w:rsid w:val="008C2C05"/>
    <w:rsid w:val="008C44D2"/>
    <w:rsid w:val="008C5FAF"/>
    <w:rsid w:val="008C613E"/>
    <w:rsid w:val="008C668F"/>
    <w:rsid w:val="008C67C4"/>
    <w:rsid w:val="008C6FD6"/>
    <w:rsid w:val="008C70DC"/>
    <w:rsid w:val="008D1761"/>
    <w:rsid w:val="008D1CE7"/>
    <w:rsid w:val="008D1E1F"/>
    <w:rsid w:val="008D2D97"/>
    <w:rsid w:val="008D2FAB"/>
    <w:rsid w:val="008D3111"/>
    <w:rsid w:val="008D323E"/>
    <w:rsid w:val="008D3BB2"/>
    <w:rsid w:val="008D3DCC"/>
    <w:rsid w:val="008D4087"/>
    <w:rsid w:val="008D5DBB"/>
    <w:rsid w:val="008D6B0E"/>
    <w:rsid w:val="008D73CB"/>
    <w:rsid w:val="008D76E0"/>
    <w:rsid w:val="008E00FD"/>
    <w:rsid w:val="008E045B"/>
    <w:rsid w:val="008E0AD2"/>
    <w:rsid w:val="008E154A"/>
    <w:rsid w:val="008E163A"/>
    <w:rsid w:val="008E1709"/>
    <w:rsid w:val="008E1D57"/>
    <w:rsid w:val="008E2133"/>
    <w:rsid w:val="008E23A7"/>
    <w:rsid w:val="008E27AB"/>
    <w:rsid w:val="008E3AA7"/>
    <w:rsid w:val="008E3AE0"/>
    <w:rsid w:val="008E4A56"/>
    <w:rsid w:val="008E5789"/>
    <w:rsid w:val="008E5A1D"/>
    <w:rsid w:val="008E5F52"/>
    <w:rsid w:val="008E6101"/>
    <w:rsid w:val="008E7555"/>
    <w:rsid w:val="008E782D"/>
    <w:rsid w:val="008E7D62"/>
    <w:rsid w:val="008E7E87"/>
    <w:rsid w:val="008F0C96"/>
    <w:rsid w:val="008F1725"/>
    <w:rsid w:val="008F1FEE"/>
    <w:rsid w:val="008F2011"/>
    <w:rsid w:val="008F2FC2"/>
    <w:rsid w:val="008F315F"/>
    <w:rsid w:val="008F40E9"/>
    <w:rsid w:val="008F410A"/>
    <w:rsid w:val="008F5354"/>
    <w:rsid w:val="008F5A64"/>
    <w:rsid w:val="008F607D"/>
    <w:rsid w:val="00900A26"/>
    <w:rsid w:val="0090149F"/>
    <w:rsid w:val="00902CCA"/>
    <w:rsid w:val="0090320A"/>
    <w:rsid w:val="00905561"/>
    <w:rsid w:val="0091010A"/>
    <w:rsid w:val="009101BB"/>
    <w:rsid w:val="009104FF"/>
    <w:rsid w:val="00910D52"/>
    <w:rsid w:val="0091294D"/>
    <w:rsid w:val="00912B1E"/>
    <w:rsid w:val="00912E65"/>
    <w:rsid w:val="00913161"/>
    <w:rsid w:val="0091341E"/>
    <w:rsid w:val="009145C3"/>
    <w:rsid w:val="009148F2"/>
    <w:rsid w:val="00916276"/>
    <w:rsid w:val="0091650A"/>
    <w:rsid w:val="0091688D"/>
    <w:rsid w:val="00916BFD"/>
    <w:rsid w:val="0091726E"/>
    <w:rsid w:val="00917BE8"/>
    <w:rsid w:val="00920D72"/>
    <w:rsid w:val="009212C4"/>
    <w:rsid w:val="009214D5"/>
    <w:rsid w:val="00922009"/>
    <w:rsid w:val="009220E0"/>
    <w:rsid w:val="009221C4"/>
    <w:rsid w:val="009228E0"/>
    <w:rsid w:val="00922F24"/>
    <w:rsid w:val="0092495A"/>
    <w:rsid w:val="00925295"/>
    <w:rsid w:val="0092587B"/>
    <w:rsid w:val="00925E31"/>
    <w:rsid w:val="009260FB"/>
    <w:rsid w:val="00926327"/>
    <w:rsid w:val="00926337"/>
    <w:rsid w:val="00926501"/>
    <w:rsid w:val="009276EF"/>
    <w:rsid w:val="00927C1C"/>
    <w:rsid w:val="00927E47"/>
    <w:rsid w:val="009311B4"/>
    <w:rsid w:val="00931849"/>
    <w:rsid w:val="009318FB"/>
    <w:rsid w:val="00932153"/>
    <w:rsid w:val="009324CF"/>
    <w:rsid w:val="00932662"/>
    <w:rsid w:val="009326DE"/>
    <w:rsid w:val="00934C01"/>
    <w:rsid w:val="00934DA2"/>
    <w:rsid w:val="00935021"/>
    <w:rsid w:val="00935FC8"/>
    <w:rsid w:val="009409DD"/>
    <w:rsid w:val="00940E61"/>
    <w:rsid w:val="00941991"/>
    <w:rsid w:val="00942EC8"/>
    <w:rsid w:val="00943274"/>
    <w:rsid w:val="009434C0"/>
    <w:rsid w:val="00944D79"/>
    <w:rsid w:val="00944EED"/>
    <w:rsid w:val="0094599D"/>
    <w:rsid w:val="00946873"/>
    <w:rsid w:val="0094748E"/>
    <w:rsid w:val="00947820"/>
    <w:rsid w:val="00951364"/>
    <w:rsid w:val="00953FC7"/>
    <w:rsid w:val="00956921"/>
    <w:rsid w:val="009569C2"/>
    <w:rsid w:val="00957552"/>
    <w:rsid w:val="0095789B"/>
    <w:rsid w:val="009609F0"/>
    <w:rsid w:val="0096147C"/>
    <w:rsid w:val="0096191C"/>
    <w:rsid w:val="00963AAD"/>
    <w:rsid w:val="00964431"/>
    <w:rsid w:val="00964778"/>
    <w:rsid w:val="009653F2"/>
    <w:rsid w:val="00965BFF"/>
    <w:rsid w:val="009662F4"/>
    <w:rsid w:val="00966631"/>
    <w:rsid w:val="00966F4E"/>
    <w:rsid w:val="009675BF"/>
    <w:rsid w:val="00967EEB"/>
    <w:rsid w:val="009711C3"/>
    <w:rsid w:val="009739C3"/>
    <w:rsid w:val="00974A46"/>
    <w:rsid w:val="00974CB4"/>
    <w:rsid w:val="009756A4"/>
    <w:rsid w:val="0097672B"/>
    <w:rsid w:val="00976E01"/>
    <w:rsid w:val="00977A34"/>
    <w:rsid w:val="00977A3C"/>
    <w:rsid w:val="00977FBE"/>
    <w:rsid w:val="0098014C"/>
    <w:rsid w:val="009802D3"/>
    <w:rsid w:val="009811C4"/>
    <w:rsid w:val="0098197F"/>
    <w:rsid w:val="009822B1"/>
    <w:rsid w:val="00982624"/>
    <w:rsid w:val="00983196"/>
    <w:rsid w:val="00983F1B"/>
    <w:rsid w:val="009846B3"/>
    <w:rsid w:val="00985579"/>
    <w:rsid w:val="0098587E"/>
    <w:rsid w:val="00985D4D"/>
    <w:rsid w:val="00987A7B"/>
    <w:rsid w:val="00987D1F"/>
    <w:rsid w:val="00990271"/>
    <w:rsid w:val="009902E1"/>
    <w:rsid w:val="00990A51"/>
    <w:rsid w:val="00991A00"/>
    <w:rsid w:val="00992136"/>
    <w:rsid w:val="009944FA"/>
    <w:rsid w:val="00994507"/>
    <w:rsid w:val="009945F3"/>
    <w:rsid w:val="00996A71"/>
    <w:rsid w:val="00997499"/>
    <w:rsid w:val="0099752E"/>
    <w:rsid w:val="00997605"/>
    <w:rsid w:val="009976C1"/>
    <w:rsid w:val="00997A98"/>
    <w:rsid w:val="00997C47"/>
    <w:rsid w:val="00997F8F"/>
    <w:rsid w:val="009A00F7"/>
    <w:rsid w:val="009A016C"/>
    <w:rsid w:val="009A17A7"/>
    <w:rsid w:val="009A2724"/>
    <w:rsid w:val="009A2EE7"/>
    <w:rsid w:val="009A333F"/>
    <w:rsid w:val="009A3595"/>
    <w:rsid w:val="009A3DDF"/>
    <w:rsid w:val="009A45FF"/>
    <w:rsid w:val="009A655A"/>
    <w:rsid w:val="009A6696"/>
    <w:rsid w:val="009A7909"/>
    <w:rsid w:val="009A7A1B"/>
    <w:rsid w:val="009B1016"/>
    <w:rsid w:val="009B168D"/>
    <w:rsid w:val="009B2B99"/>
    <w:rsid w:val="009B4488"/>
    <w:rsid w:val="009B4969"/>
    <w:rsid w:val="009B4BE8"/>
    <w:rsid w:val="009B4F1D"/>
    <w:rsid w:val="009B5F8D"/>
    <w:rsid w:val="009C0088"/>
    <w:rsid w:val="009C1A01"/>
    <w:rsid w:val="009C20D2"/>
    <w:rsid w:val="009C2656"/>
    <w:rsid w:val="009C33CC"/>
    <w:rsid w:val="009C3502"/>
    <w:rsid w:val="009C403B"/>
    <w:rsid w:val="009C44D3"/>
    <w:rsid w:val="009C4D2E"/>
    <w:rsid w:val="009C4F02"/>
    <w:rsid w:val="009C65FF"/>
    <w:rsid w:val="009C66D1"/>
    <w:rsid w:val="009C7826"/>
    <w:rsid w:val="009C7844"/>
    <w:rsid w:val="009D0D18"/>
    <w:rsid w:val="009D1190"/>
    <w:rsid w:val="009D2657"/>
    <w:rsid w:val="009D2F02"/>
    <w:rsid w:val="009D3217"/>
    <w:rsid w:val="009D34B1"/>
    <w:rsid w:val="009D4216"/>
    <w:rsid w:val="009D4A85"/>
    <w:rsid w:val="009D4C5F"/>
    <w:rsid w:val="009D5592"/>
    <w:rsid w:val="009D55D3"/>
    <w:rsid w:val="009D6D66"/>
    <w:rsid w:val="009E2073"/>
    <w:rsid w:val="009E22DE"/>
    <w:rsid w:val="009E3B6D"/>
    <w:rsid w:val="009E4592"/>
    <w:rsid w:val="009E4EBB"/>
    <w:rsid w:val="009E56A5"/>
    <w:rsid w:val="009E663F"/>
    <w:rsid w:val="009E75A9"/>
    <w:rsid w:val="009F060B"/>
    <w:rsid w:val="009F1976"/>
    <w:rsid w:val="009F1D67"/>
    <w:rsid w:val="009F1D7F"/>
    <w:rsid w:val="009F328D"/>
    <w:rsid w:val="009F36DC"/>
    <w:rsid w:val="009F4409"/>
    <w:rsid w:val="009F45BD"/>
    <w:rsid w:val="009F4798"/>
    <w:rsid w:val="009F4CF7"/>
    <w:rsid w:val="009F526E"/>
    <w:rsid w:val="009F58FD"/>
    <w:rsid w:val="009F6F73"/>
    <w:rsid w:val="00A002FB"/>
    <w:rsid w:val="00A016A8"/>
    <w:rsid w:val="00A0195B"/>
    <w:rsid w:val="00A032DD"/>
    <w:rsid w:val="00A0359A"/>
    <w:rsid w:val="00A0454F"/>
    <w:rsid w:val="00A05586"/>
    <w:rsid w:val="00A06392"/>
    <w:rsid w:val="00A06D66"/>
    <w:rsid w:val="00A0778F"/>
    <w:rsid w:val="00A07BEB"/>
    <w:rsid w:val="00A1011A"/>
    <w:rsid w:val="00A102D5"/>
    <w:rsid w:val="00A10557"/>
    <w:rsid w:val="00A10962"/>
    <w:rsid w:val="00A1115A"/>
    <w:rsid w:val="00A11E44"/>
    <w:rsid w:val="00A1266C"/>
    <w:rsid w:val="00A12C3E"/>
    <w:rsid w:val="00A1353C"/>
    <w:rsid w:val="00A14047"/>
    <w:rsid w:val="00A14051"/>
    <w:rsid w:val="00A1442C"/>
    <w:rsid w:val="00A148E0"/>
    <w:rsid w:val="00A1581B"/>
    <w:rsid w:val="00A1625A"/>
    <w:rsid w:val="00A16569"/>
    <w:rsid w:val="00A17572"/>
    <w:rsid w:val="00A2041C"/>
    <w:rsid w:val="00A20E93"/>
    <w:rsid w:val="00A21176"/>
    <w:rsid w:val="00A21242"/>
    <w:rsid w:val="00A22910"/>
    <w:rsid w:val="00A23AAC"/>
    <w:rsid w:val="00A2428F"/>
    <w:rsid w:val="00A25BD7"/>
    <w:rsid w:val="00A30E20"/>
    <w:rsid w:val="00A31BCC"/>
    <w:rsid w:val="00A32271"/>
    <w:rsid w:val="00A35F16"/>
    <w:rsid w:val="00A360B8"/>
    <w:rsid w:val="00A373FE"/>
    <w:rsid w:val="00A37CD5"/>
    <w:rsid w:val="00A37DA9"/>
    <w:rsid w:val="00A37F99"/>
    <w:rsid w:val="00A41161"/>
    <w:rsid w:val="00A415CF"/>
    <w:rsid w:val="00A41679"/>
    <w:rsid w:val="00A41AC3"/>
    <w:rsid w:val="00A429F7"/>
    <w:rsid w:val="00A42BCC"/>
    <w:rsid w:val="00A42BFE"/>
    <w:rsid w:val="00A42DE3"/>
    <w:rsid w:val="00A42E07"/>
    <w:rsid w:val="00A43132"/>
    <w:rsid w:val="00A43696"/>
    <w:rsid w:val="00A4382E"/>
    <w:rsid w:val="00A43905"/>
    <w:rsid w:val="00A45535"/>
    <w:rsid w:val="00A47C16"/>
    <w:rsid w:val="00A47F00"/>
    <w:rsid w:val="00A50492"/>
    <w:rsid w:val="00A517CA"/>
    <w:rsid w:val="00A5184A"/>
    <w:rsid w:val="00A51A05"/>
    <w:rsid w:val="00A52D55"/>
    <w:rsid w:val="00A534D4"/>
    <w:rsid w:val="00A537F1"/>
    <w:rsid w:val="00A540F5"/>
    <w:rsid w:val="00A54DD0"/>
    <w:rsid w:val="00A55726"/>
    <w:rsid w:val="00A56127"/>
    <w:rsid w:val="00A561B9"/>
    <w:rsid w:val="00A5644F"/>
    <w:rsid w:val="00A60F83"/>
    <w:rsid w:val="00A6155A"/>
    <w:rsid w:val="00A6188F"/>
    <w:rsid w:val="00A61F53"/>
    <w:rsid w:val="00A66894"/>
    <w:rsid w:val="00A66E77"/>
    <w:rsid w:val="00A712F7"/>
    <w:rsid w:val="00A71743"/>
    <w:rsid w:val="00A71B2F"/>
    <w:rsid w:val="00A7214B"/>
    <w:rsid w:val="00A730D6"/>
    <w:rsid w:val="00A733C8"/>
    <w:rsid w:val="00A73844"/>
    <w:rsid w:val="00A7498D"/>
    <w:rsid w:val="00A74E31"/>
    <w:rsid w:val="00A75018"/>
    <w:rsid w:val="00A75E60"/>
    <w:rsid w:val="00A76304"/>
    <w:rsid w:val="00A76621"/>
    <w:rsid w:val="00A7786F"/>
    <w:rsid w:val="00A801C6"/>
    <w:rsid w:val="00A80B9A"/>
    <w:rsid w:val="00A80BDA"/>
    <w:rsid w:val="00A80C9E"/>
    <w:rsid w:val="00A81CAC"/>
    <w:rsid w:val="00A8333A"/>
    <w:rsid w:val="00A847B1"/>
    <w:rsid w:val="00A857B0"/>
    <w:rsid w:val="00A860B5"/>
    <w:rsid w:val="00A862D0"/>
    <w:rsid w:val="00A87CD1"/>
    <w:rsid w:val="00A91228"/>
    <w:rsid w:val="00A92B97"/>
    <w:rsid w:val="00A937BC"/>
    <w:rsid w:val="00A94A2C"/>
    <w:rsid w:val="00A94AA5"/>
    <w:rsid w:val="00A957AA"/>
    <w:rsid w:val="00A962DF"/>
    <w:rsid w:val="00A97302"/>
    <w:rsid w:val="00A97723"/>
    <w:rsid w:val="00A9781B"/>
    <w:rsid w:val="00AA0435"/>
    <w:rsid w:val="00AA0B31"/>
    <w:rsid w:val="00AA0E96"/>
    <w:rsid w:val="00AA2128"/>
    <w:rsid w:val="00AA4218"/>
    <w:rsid w:val="00AA44FF"/>
    <w:rsid w:val="00AA4663"/>
    <w:rsid w:val="00AA4B8F"/>
    <w:rsid w:val="00AA5B00"/>
    <w:rsid w:val="00AA6307"/>
    <w:rsid w:val="00AA665A"/>
    <w:rsid w:val="00AA6C03"/>
    <w:rsid w:val="00AB15B9"/>
    <w:rsid w:val="00AB177D"/>
    <w:rsid w:val="00AB1DB5"/>
    <w:rsid w:val="00AB32F5"/>
    <w:rsid w:val="00AB337F"/>
    <w:rsid w:val="00AB407F"/>
    <w:rsid w:val="00AB43C7"/>
    <w:rsid w:val="00AB45F0"/>
    <w:rsid w:val="00AB4A0A"/>
    <w:rsid w:val="00AB5AFE"/>
    <w:rsid w:val="00AB79D0"/>
    <w:rsid w:val="00AC0949"/>
    <w:rsid w:val="00AC0E86"/>
    <w:rsid w:val="00AC121A"/>
    <w:rsid w:val="00AC140E"/>
    <w:rsid w:val="00AC1BEB"/>
    <w:rsid w:val="00AC2E2E"/>
    <w:rsid w:val="00AC47AE"/>
    <w:rsid w:val="00AC4A1E"/>
    <w:rsid w:val="00AC4CDF"/>
    <w:rsid w:val="00AC508B"/>
    <w:rsid w:val="00AC588D"/>
    <w:rsid w:val="00AC5955"/>
    <w:rsid w:val="00AC5A23"/>
    <w:rsid w:val="00AC72DB"/>
    <w:rsid w:val="00AC7BEC"/>
    <w:rsid w:val="00AD0C36"/>
    <w:rsid w:val="00AD1477"/>
    <w:rsid w:val="00AD181D"/>
    <w:rsid w:val="00AD28E1"/>
    <w:rsid w:val="00AD2B89"/>
    <w:rsid w:val="00AD4261"/>
    <w:rsid w:val="00AD42C1"/>
    <w:rsid w:val="00AD62CE"/>
    <w:rsid w:val="00AD63B8"/>
    <w:rsid w:val="00AD66D0"/>
    <w:rsid w:val="00AD67BD"/>
    <w:rsid w:val="00AD6B29"/>
    <w:rsid w:val="00AD7A28"/>
    <w:rsid w:val="00AD7DFB"/>
    <w:rsid w:val="00AE03AF"/>
    <w:rsid w:val="00AE18AB"/>
    <w:rsid w:val="00AE19A2"/>
    <w:rsid w:val="00AE2F46"/>
    <w:rsid w:val="00AE31AE"/>
    <w:rsid w:val="00AE395F"/>
    <w:rsid w:val="00AE3A23"/>
    <w:rsid w:val="00AE54D6"/>
    <w:rsid w:val="00AE5CFB"/>
    <w:rsid w:val="00AE610E"/>
    <w:rsid w:val="00AE74F4"/>
    <w:rsid w:val="00AE777C"/>
    <w:rsid w:val="00AE794B"/>
    <w:rsid w:val="00AE7C7B"/>
    <w:rsid w:val="00AF0373"/>
    <w:rsid w:val="00AF06E3"/>
    <w:rsid w:val="00AF1005"/>
    <w:rsid w:val="00AF184D"/>
    <w:rsid w:val="00AF276A"/>
    <w:rsid w:val="00AF2A7E"/>
    <w:rsid w:val="00AF2B86"/>
    <w:rsid w:val="00AF2E7C"/>
    <w:rsid w:val="00AF40DF"/>
    <w:rsid w:val="00AF512A"/>
    <w:rsid w:val="00AF5F00"/>
    <w:rsid w:val="00AF6412"/>
    <w:rsid w:val="00AF7837"/>
    <w:rsid w:val="00AF7AA2"/>
    <w:rsid w:val="00AF7ABE"/>
    <w:rsid w:val="00B00D43"/>
    <w:rsid w:val="00B00D45"/>
    <w:rsid w:val="00B00E6D"/>
    <w:rsid w:val="00B01A2F"/>
    <w:rsid w:val="00B02198"/>
    <w:rsid w:val="00B02BF0"/>
    <w:rsid w:val="00B03D3C"/>
    <w:rsid w:val="00B0476D"/>
    <w:rsid w:val="00B04981"/>
    <w:rsid w:val="00B05193"/>
    <w:rsid w:val="00B05478"/>
    <w:rsid w:val="00B0623E"/>
    <w:rsid w:val="00B06486"/>
    <w:rsid w:val="00B06A96"/>
    <w:rsid w:val="00B077A4"/>
    <w:rsid w:val="00B077C2"/>
    <w:rsid w:val="00B079A0"/>
    <w:rsid w:val="00B07D49"/>
    <w:rsid w:val="00B107E0"/>
    <w:rsid w:val="00B11E2F"/>
    <w:rsid w:val="00B127B4"/>
    <w:rsid w:val="00B12C95"/>
    <w:rsid w:val="00B136BA"/>
    <w:rsid w:val="00B14065"/>
    <w:rsid w:val="00B14C6F"/>
    <w:rsid w:val="00B15206"/>
    <w:rsid w:val="00B1566D"/>
    <w:rsid w:val="00B15D19"/>
    <w:rsid w:val="00B16115"/>
    <w:rsid w:val="00B16631"/>
    <w:rsid w:val="00B16A4B"/>
    <w:rsid w:val="00B17417"/>
    <w:rsid w:val="00B17D5D"/>
    <w:rsid w:val="00B20D00"/>
    <w:rsid w:val="00B21C98"/>
    <w:rsid w:val="00B22C9C"/>
    <w:rsid w:val="00B2414B"/>
    <w:rsid w:val="00B248F6"/>
    <w:rsid w:val="00B24A64"/>
    <w:rsid w:val="00B25380"/>
    <w:rsid w:val="00B25B93"/>
    <w:rsid w:val="00B275D6"/>
    <w:rsid w:val="00B27F95"/>
    <w:rsid w:val="00B32830"/>
    <w:rsid w:val="00B35273"/>
    <w:rsid w:val="00B355B4"/>
    <w:rsid w:val="00B35A53"/>
    <w:rsid w:val="00B402D2"/>
    <w:rsid w:val="00B40BC4"/>
    <w:rsid w:val="00B41D94"/>
    <w:rsid w:val="00B43FEA"/>
    <w:rsid w:val="00B44A56"/>
    <w:rsid w:val="00B452DF"/>
    <w:rsid w:val="00B45570"/>
    <w:rsid w:val="00B458D2"/>
    <w:rsid w:val="00B46812"/>
    <w:rsid w:val="00B468DA"/>
    <w:rsid w:val="00B5121B"/>
    <w:rsid w:val="00B51282"/>
    <w:rsid w:val="00B5137F"/>
    <w:rsid w:val="00B51FCE"/>
    <w:rsid w:val="00B52996"/>
    <w:rsid w:val="00B534FE"/>
    <w:rsid w:val="00B5441F"/>
    <w:rsid w:val="00B553A6"/>
    <w:rsid w:val="00B553DB"/>
    <w:rsid w:val="00B555B1"/>
    <w:rsid w:val="00B56718"/>
    <w:rsid w:val="00B56D9D"/>
    <w:rsid w:val="00B57842"/>
    <w:rsid w:val="00B60820"/>
    <w:rsid w:val="00B62D22"/>
    <w:rsid w:val="00B646F2"/>
    <w:rsid w:val="00B662E2"/>
    <w:rsid w:val="00B67E53"/>
    <w:rsid w:val="00B7199E"/>
    <w:rsid w:val="00B72487"/>
    <w:rsid w:val="00B72741"/>
    <w:rsid w:val="00B7283F"/>
    <w:rsid w:val="00B72A4F"/>
    <w:rsid w:val="00B7364E"/>
    <w:rsid w:val="00B748B1"/>
    <w:rsid w:val="00B74A66"/>
    <w:rsid w:val="00B750A4"/>
    <w:rsid w:val="00B7582D"/>
    <w:rsid w:val="00B769A6"/>
    <w:rsid w:val="00B77334"/>
    <w:rsid w:val="00B7737F"/>
    <w:rsid w:val="00B77CF2"/>
    <w:rsid w:val="00B8052F"/>
    <w:rsid w:val="00B807A8"/>
    <w:rsid w:val="00B80D88"/>
    <w:rsid w:val="00B82B8A"/>
    <w:rsid w:val="00B82DBC"/>
    <w:rsid w:val="00B8333B"/>
    <w:rsid w:val="00B83353"/>
    <w:rsid w:val="00B84165"/>
    <w:rsid w:val="00B84659"/>
    <w:rsid w:val="00B8664C"/>
    <w:rsid w:val="00B8678C"/>
    <w:rsid w:val="00B86B47"/>
    <w:rsid w:val="00B86C17"/>
    <w:rsid w:val="00B87C71"/>
    <w:rsid w:val="00B9088F"/>
    <w:rsid w:val="00B91D83"/>
    <w:rsid w:val="00B920C8"/>
    <w:rsid w:val="00B92544"/>
    <w:rsid w:val="00B94434"/>
    <w:rsid w:val="00B9487C"/>
    <w:rsid w:val="00B94BC4"/>
    <w:rsid w:val="00B961CE"/>
    <w:rsid w:val="00B96463"/>
    <w:rsid w:val="00B967CD"/>
    <w:rsid w:val="00B97A51"/>
    <w:rsid w:val="00B97CD5"/>
    <w:rsid w:val="00BA023E"/>
    <w:rsid w:val="00BA0452"/>
    <w:rsid w:val="00BA0665"/>
    <w:rsid w:val="00BA118D"/>
    <w:rsid w:val="00BA20A1"/>
    <w:rsid w:val="00BA2785"/>
    <w:rsid w:val="00BA27C3"/>
    <w:rsid w:val="00BA28DB"/>
    <w:rsid w:val="00BA644A"/>
    <w:rsid w:val="00BA6B39"/>
    <w:rsid w:val="00BA707E"/>
    <w:rsid w:val="00BA77D5"/>
    <w:rsid w:val="00BA7833"/>
    <w:rsid w:val="00BB0327"/>
    <w:rsid w:val="00BB0758"/>
    <w:rsid w:val="00BB0AE4"/>
    <w:rsid w:val="00BB11EC"/>
    <w:rsid w:val="00BB3227"/>
    <w:rsid w:val="00BB3661"/>
    <w:rsid w:val="00BB41DE"/>
    <w:rsid w:val="00BB42C8"/>
    <w:rsid w:val="00BB4711"/>
    <w:rsid w:val="00BB51DF"/>
    <w:rsid w:val="00BB7C96"/>
    <w:rsid w:val="00BC0640"/>
    <w:rsid w:val="00BC152C"/>
    <w:rsid w:val="00BC35CB"/>
    <w:rsid w:val="00BC3C5B"/>
    <w:rsid w:val="00BC3F3F"/>
    <w:rsid w:val="00BC4097"/>
    <w:rsid w:val="00BC4242"/>
    <w:rsid w:val="00BC5470"/>
    <w:rsid w:val="00BC7201"/>
    <w:rsid w:val="00BD07CF"/>
    <w:rsid w:val="00BD094D"/>
    <w:rsid w:val="00BD10FC"/>
    <w:rsid w:val="00BD182E"/>
    <w:rsid w:val="00BD198F"/>
    <w:rsid w:val="00BD1D09"/>
    <w:rsid w:val="00BD26BC"/>
    <w:rsid w:val="00BD34ED"/>
    <w:rsid w:val="00BD3F6A"/>
    <w:rsid w:val="00BD443D"/>
    <w:rsid w:val="00BD44A2"/>
    <w:rsid w:val="00BD458B"/>
    <w:rsid w:val="00BD5C35"/>
    <w:rsid w:val="00BD5F62"/>
    <w:rsid w:val="00BD7CC1"/>
    <w:rsid w:val="00BD7D76"/>
    <w:rsid w:val="00BD7F3B"/>
    <w:rsid w:val="00BE0832"/>
    <w:rsid w:val="00BE0953"/>
    <w:rsid w:val="00BE256C"/>
    <w:rsid w:val="00BE305C"/>
    <w:rsid w:val="00BE3940"/>
    <w:rsid w:val="00BE3D28"/>
    <w:rsid w:val="00BE40FE"/>
    <w:rsid w:val="00BE5207"/>
    <w:rsid w:val="00BE531C"/>
    <w:rsid w:val="00BE5324"/>
    <w:rsid w:val="00BE656F"/>
    <w:rsid w:val="00BE68D7"/>
    <w:rsid w:val="00BE781D"/>
    <w:rsid w:val="00BF0C69"/>
    <w:rsid w:val="00BF1216"/>
    <w:rsid w:val="00BF1574"/>
    <w:rsid w:val="00BF1637"/>
    <w:rsid w:val="00BF18B8"/>
    <w:rsid w:val="00BF1E58"/>
    <w:rsid w:val="00BF25F1"/>
    <w:rsid w:val="00BF3C95"/>
    <w:rsid w:val="00BF479B"/>
    <w:rsid w:val="00BF4D24"/>
    <w:rsid w:val="00BF5309"/>
    <w:rsid w:val="00BF645C"/>
    <w:rsid w:val="00BF6599"/>
    <w:rsid w:val="00BF6A60"/>
    <w:rsid w:val="00BF6EED"/>
    <w:rsid w:val="00BF7921"/>
    <w:rsid w:val="00BF7F0E"/>
    <w:rsid w:val="00C0127D"/>
    <w:rsid w:val="00C01375"/>
    <w:rsid w:val="00C060BF"/>
    <w:rsid w:val="00C06186"/>
    <w:rsid w:val="00C06B67"/>
    <w:rsid w:val="00C06F97"/>
    <w:rsid w:val="00C0744A"/>
    <w:rsid w:val="00C0745F"/>
    <w:rsid w:val="00C106E3"/>
    <w:rsid w:val="00C10717"/>
    <w:rsid w:val="00C10DE1"/>
    <w:rsid w:val="00C11408"/>
    <w:rsid w:val="00C11DE7"/>
    <w:rsid w:val="00C11F99"/>
    <w:rsid w:val="00C1573D"/>
    <w:rsid w:val="00C15840"/>
    <w:rsid w:val="00C16B15"/>
    <w:rsid w:val="00C21AE1"/>
    <w:rsid w:val="00C21F34"/>
    <w:rsid w:val="00C228F6"/>
    <w:rsid w:val="00C23500"/>
    <w:rsid w:val="00C24121"/>
    <w:rsid w:val="00C24256"/>
    <w:rsid w:val="00C25E73"/>
    <w:rsid w:val="00C260F9"/>
    <w:rsid w:val="00C26857"/>
    <w:rsid w:val="00C27397"/>
    <w:rsid w:val="00C27AB7"/>
    <w:rsid w:val="00C3093C"/>
    <w:rsid w:val="00C31CAF"/>
    <w:rsid w:val="00C3263F"/>
    <w:rsid w:val="00C337FB"/>
    <w:rsid w:val="00C33CE5"/>
    <w:rsid w:val="00C3407C"/>
    <w:rsid w:val="00C34CA8"/>
    <w:rsid w:val="00C34DA0"/>
    <w:rsid w:val="00C35D7A"/>
    <w:rsid w:val="00C368F2"/>
    <w:rsid w:val="00C36AC3"/>
    <w:rsid w:val="00C36C68"/>
    <w:rsid w:val="00C404E9"/>
    <w:rsid w:val="00C416EB"/>
    <w:rsid w:val="00C42F6A"/>
    <w:rsid w:val="00C43885"/>
    <w:rsid w:val="00C43E2C"/>
    <w:rsid w:val="00C43E52"/>
    <w:rsid w:val="00C4442B"/>
    <w:rsid w:val="00C44C18"/>
    <w:rsid w:val="00C4558B"/>
    <w:rsid w:val="00C457F8"/>
    <w:rsid w:val="00C46513"/>
    <w:rsid w:val="00C4671A"/>
    <w:rsid w:val="00C527E2"/>
    <w:rsid w:val="00C55813"/>
    <w:rsid w:val="00C55CF3"/>
    <w:rsid w:val="00C56379"/>
    <w:rsid w:val="00C6145A"/>
    <w:rsid w:val="00C614E6"/>
    <w:rsid w:val="00C61C5E"/>
    <w:rsid w:val="00C61F33"/>
    <w:rsid w:val="00C6219D"/>
    <w:rsid w:val="00C625A1"/>
    <w:rsid w:val="00C62C26"/>
    <w:rsid w:val="00C6305A"/>
    <w:rsid w:val="00C63517"/>
    <w:rsid w:val="00C64217"/>
    <w:rsid w:val="00C64247"/>
    <w:rsid w:val="00C64448"/>
    <w:rsid w:val="00C64787"/>
    <w:rsid w:val="00C649B1"/>
    <w:rsid w:val="00C6513E"/>
    <w:rsid w:val="00C666AD"/>
    <w:rsid w:val="00C66D28"/>
    <w:rsid w:val="00C7027D"/>
    <w:rsid w:val="00C71DE0"/>
    <w:rsid w:val="00C73F19"/>
    <w:rsid w:val="00C751D0"/>
    <w:rsid w:val="00C7626B"/>
    <w:rsid w:val="00C76F33"/>
    <w:rsid w:val="00C80BA7"/>
    <w:rsid w:val="00C80C79"/>
    <w:rsid w:val="00C81728"/>
    <w:rsid w:val="00C821AE"/>
    <w:rsid w:val="00C82683"/>
    <w:rsid w:val="00C82BD8"/>
    <w:rsid w:val="00C8467A"/>
    <w:rsid w:val="00C84AF3"/>
    <w:rsid w:val="00C84C91"/>
    <w:rsid w:val="00C84CC8"/>
    <w:rsid w:val="00C85FD9"/>
    <w:rsid w:val="00C863E1"/>
    <w:rsid w:val="00C86C9E"/>
    <w:rsid w:val="00C870F3"/>
    <w:rsid w:val="00C9005A"/>
    <w:rsid w:val="00C90062"/>
    <w:rsid w:val="00C90D6E"/>
    <w:rsid w:val="00C912B5"/>
    <w:rsid w:val="00C91C27"/>
    <w:rsid w:val="00C91E2E"/>
    <w:rsid w:val="00C9299C"/>
    <w:rsid w:val="00C92CC5"/>
    <w:rsid w:val="00C9341D"/>
    <w:rsid w:val="00C93782"/>
    <w:rsid w:val="00C93952"/>
    <w:rsid w:val="00C942CA"/>
    <w:rsid w:val="00C94F37"/>
    <w:rsid w:val="00C94F82"/>
    <w:rsid w:val="00C95066"/>
    <w:rsid w:val="00C95181"/>
    <w:rsid w:val="00C9602F"/>
    <w:rsid w:val="00C96815"/>
    <w:rsid w:val="00C97A93"/>
    <w:rsid w:val="00C97AE9"/>
    <w:rsid w:val="00CA0A58"/>
    <w:rsid w:val="00CA0B19"/>
    <w:rsid w:val="00CA166A"/>
    <w:rsid w:val="00CA335B"/>
    <w:rsid w:val="00CA452F"/>
    <w:rsid w:val="00CA4C2F"/>
    <w:rsid w:val="00CA501A"/>
    <w:rsid w:val="00CA5864"/>
    <w:rsid w:val="00CA6C98"/>
    <w:rsid w:val="00CA7769"/>
    <w:rsid w:val="00CA7790"/>
    <w:rsid w:val="00CA7BEB"/>
    <w:rsid w:val="00CB08CF"/>
    <w:rsid w:val="00CB13AF"/>
    <w:rsid w:val="00CB199D"/>
    <w:rsid w:val="00CB2FEE"/>
    <w:rsid w:val="00CB38BB"/>
    <w:rsid w:val="00CB4069"/>
    <w:rsid w:val="00CB4442"/>
    <w:rsid w:val="00CB4C6D"/>
    <w:rsid w:val="00CB55DC"/>
    <w:rsid w:val="00CB59E8"/>
    <w:rsid w:val="00CB61F3"/>
    <w:rsid w:val="00CB6D81"/>
    <w:rsid w:val="00CB6EEE"/>
    <w:rsid w:val="00CB7B7A"/>
    <w:rsid w:val="00CB7E22"/>
    <w:rsid w:val="00CC00E1"/>
    <w:rsid w:val="00CC042A"/>
    <w:rsid w:val="00CC14CD"/>
    <w:rsid w:val="00CC28D7"/>
    <w:rsid w:val="00CC2BCC"/>
    <w:rsid w:val="00CC30D9"/>
    <w:rsid w:val="00CC54EA"/>
    <w:rsid w:val="00CC5DDC"/>
    <w:rsid w:val="00CC6302"/>
    <w:rsid w:val="00CC6FC6"/>
    <w:rsid w:val="00CC7F4F"/>
    <w:rsid w:val="00CD0C52"/>
    <w:rsid w:val="00CD174E"/>
    <w:rsid w:val="00CD2B67"/>
    <w:rsid w:val="00CD3492"/>
    <w:rsid w:val="00CD34F3"/>
    <w:rsid w:val="00CD4C5A"/>
    <w:rsid w:val="00CD5B78"/>
    <w:rsid w:val="00CD64B3"/>
    <w:rsid w:val="00CD68E0"/>
    <w:rsid w:val="00CD712A"/>
    <w:rsid w:val="00CD7185"/>
    <w:rsid w:val="00CD76E2"/>
    <w:rsid w:val="00CE02F6"/>
    <w:rsid w:val="00CE0D26"/>
    <w:rsid w:val="00CE0E58"/>
    <w:rsid w:val="00CE21D5"/>
    <w:rsid w:val="00CE2D64"/>
    <w:rsid w:val="00CE2FE2"/>
    <w:rsid w:val="00CE3BA6"/>
    <w:rsid w:val="00CE3BEC"/>
    <w:rsid w:val="00CE42BF"/>
    <w:rsid w:val="00CE51CB"/>
    <w:rsid w:val="00CE5992"/>
    <w:rsid w:val="00CE6544"/>
    <w:rsid w:val="00CE687C"/>
    <w:rsid w:val="00CE77ED"/>
    <w:rsid w:val="00CE7EAA"/>
    <w:rsid w:val="00CF0331"/>
    <w:rsid w:val="00CF088B"/>
    <w:rsid w:val="00CF1F5A"/>
    <w:rsid w:val="00CF239F"/>
    <w:rsid w:val="00CF28E1"/>
    <w:rsid w:val="00CF2C4A"/>
    <w:rsid w:val="00CF302A"/>
    <w:rsid w:val="00CF3178"/>
    <w:rsid w:val="00CF340D"/>
    <w:rsid w:val="00CF3B8F"/>
    <w:rsid w:val="00CF462F"/>
    <w:rsid w:val="00CF4D47"/>
    <w:rsid w:val="00CF5284"/>
    <w:rsid w:val="00CF5E72"/>
    <w:rsid w:val="00CF606C"/>
    <w:rsid w:val="00CF6262"/>
    <w:rsid w:val="00CF6A9F"/>
    <w:rsid w:val="00CF6DCC"/>
    <w:rsid w:val="00CF6E10"/>
    <w:rsid w:val="00CF785E"/>
    <w:rsid w:val="00CF78B7"/>
    <w:rsid w:val="00D00EDE"/>
    <w:rsid w:val="00D0178C"/>
    <w:rsid w:val="00D02746"/>
    <w:rsid w:val="00D027FD"/>
    <w:rsid w:val="00D02D3F"/>
    <w:rsid w:val="00D033A3"/>
    <w:rsid w:val="00D03A48"/>
    <w:rsid w:val="00D03CCD"/>
    <w:rsid w:val="00D04743"/>
    <w:rsid w:val="00D05259"/>
    <w:rsid w:val="00D06357"/>
    <w:rsid w:val="00D067AB"/>
    <w:rsid w:val="00D070E3"/>
    <w:rsid w:val="00D07F78"/>
    <w:rsid w:val="00D10823"/>
    <w:rsid w:val="00D10A9D"/>
    <w:rsid w:val="00D11728"/>
    <w:rsid w:val="00D117D1"/>
    <w:rsid w:val="00D11AF3"/>
    <w:rsid w:val="00D12107"/>
    <w:rsid w:val="00D125E0"/>
    <w:rsid w:val="00D144EB"/>
    <w:rsid w:val="00D14E6C"/>
    <w:rsid w:val="00D15426"/>
    <w:rsid w:val="00D156F6"/>
    <w:rsid w:val="00D15CE1"/>
    <w:rsid w:val="00D160F5"/>
    <w:rsid w:val="00D17557"/>
    <w:rsid w:val="00D20C3A"/>
    <w:rsid w:val="00D21E26"/>
    <w:rsid w:val="00D21E27"/>
    <w:rsid w:val="00D22AF2"/>
    <w:rsid w:val="00D237E9"/>
    <w:rsid w:val="00D25F70"/>
    <w:rsid w:val="00D27001"/>
    <w:rsid w:val="00D27690"/>
    <w:rsid w:val="00D30177"/>
    <w:rsid w:val="00D31DC0"/>
    <w:rsid w:val="00D326DA"/>
    <w:rsid w:val="00D34188"/>
    <w:rsid w:val="00D347FC"/>
    <w:rsid w:val="00D3562F"/>
    <w:rsid w:val="00D36A4B"/>
    <w:rsid w:val="00D36E24"/>
    <w:rsid w:val="00D40F03"/>
    <w:rsid w:val="00D4127F"/>
    <w:rsid w:val="00D41DB0"/>
    <w:rsid w:val="00D4289C"/>
    <w:rsid w:val="00D44026"/>
    <w:rsid w:val="00D454FE"/>
    <w:rsid w:val="00D467AD"/>
    <w:rsid w:val="00D47B56"/>
    <w:rsid w:val="00D50A6A"/>
    <w:rsid w:val="00D51739"/>
    <w:rsid w:val="00D51E42"/>
    <w:rsid w:val="00D51F41"/>
    <w:rsid w:val="00D52497"/>
    <w:rsid w:val="00D52A2F"/>
    <w:rsid w:val="00D52BDC"/>
    <w:rsid w:val="00D536FB"/>
    <w:rsid w:val="00D53DDB"/>
    <w:rsid w:val="00D54437"/>
    <w:rsid w:val="00D546DE"/>
    <w:rsid w:val="00D54744"/>
    <w:rsid w:val="00D5552C"/>
    <w:rsid w:val="00D55ACE"/>
    <w:rsid w:val="00D56623"/>
    <w:rsid w:val="00D572A0"/>
    <w:rsid w:val="00D577E0"/>
    <w:rsid w:val="00D57C3F"/>
    <w:rsid w:val="00D57D83"/>
    <w:rsid w:val="00D60540"/>
    <w:rsid w:val="00D6159A"/>
    <w:rsid w:val="00D624D4"/>
    <w:rsid w:val="00D63AF2"/>
    <w:rsid w:val="00D63D2F"/>
    <w:rsid w:val="00D647A6"/>
    <w:rsid w:val="00D66BBB"/>
    <w:rsid w:val="00D66C26"/>
    <w:rsid w:val="00D67047"/>
    <w:rsid w:val="00D70F62"/>
    <w:rsid w:val="00D71D83"/>
    <w:rsid w:val="00D71F13"/>
    <w:rsid w:val="00D7253C"/>
    <w:rsid w:val="00D73E93"/>
    <w:rsid w:val="00D74484"/>
    <w:rsid w:val="00D756E3"/>
    <w:rsid w:val="00D75BCF"/>
    <w:rsid w:val="00D75EF9"/>
    <w:rsid w:val="00D76602"/>
    <w:rsid w:val="00D776BC"/>
    <w:rsid w:val="00D77FA6"/>
    <w:rsid w:val="00D80DF2"/>
    <w:rsid w:val="00D80E40"/>
    <w:rsid w:val="00D8156D"/>
    <w:rsid w:val="00D8201F"/>
    <w:rsid w:val="00D82C52"/>
    <w:rsid w:val="00D83281"/>
    <w:rsid w:val="00D839E5"/>
    <w:rsid w:val="00D84068"/>
    <w:rsid w:val="00D850C3"/>
    <w:rsid w:val="00D850D4"/>
    <w:rsid w:val="00D8538C"/>
    <w:rsid w:val="00D8591C"/>
    <w:rsid w:val="00D85ADB"/>
    <w:rsid w:val="00D860A4"/>
    <w:rsid w:val="00D863CB"/>
    <w:rsid w:val="00D87F71"/>
    <w:rsid w:val="00D902AC"/>
    <w:rsid w:val="00D917CF"/>
    <w:rsid w:val="00D92863"/>
    <w:rsid w:val="00D92F48"/>
    <w:rsid w:val="00D93C0D"/>
    <w:rsid w:val="00D94C7B"/>
    <w:rsid w:val="00D96135"/>
    <w:rsid w:val="00D965AA"/>
    <w:rsid w:val="00D96652"/>
    <w:rsid w:val="00D972F4"/>
    <w:rsid w:val="00DA0711"/>
    <w:rsid w:val="00DA0A3F"/>
    <w:rsid w:val="00DA1058"/>
    <w:rsid w:val="00DA2895"/>
    <w:rsid w:val="00DA3BB7"/>
    <w:rsid w:val="00DA3C97"/>
    <w:rsid w:val="00DA421E"/>
    <w:rsid w:val="00DA4B1E"/>
    <w:rsid w:val="00DA5571"/>
    <w:rsid w:val="00DA5897"/>
    <w:rsid w:val="00DA5DD5"/>
    <w:rsid w:val="00DA69D8"/>
    <w:rsid w:val="00DA7D02"/>
    <w:rsid w:val="00DA7FAF"/>
    <w:rsid w:val="00DB0B24"/>
    <w:rsid w:val="00DB1B52"/>
    <w:rsid w:val="00DB36FF"/>
    <w:rsid w:val="00DB45CD"/>
    <w:rsid w:val="00DB472E"/>
    <w:rsid w:val="00DB4770"/>
    <w:rsid w:val="00DB5E72"/>
    <w:rsid w:val="00DB7C00"/>
    <w:rsid w:val="00DC1BB8"/>
    <w:rsid w:val="00DC2698"/>
    <w:rsid w:val="00DC437E"/>
    <w:rsid w:val="00DC4531"/>
    <w:rsid w:val="00DC45CC"/>
    <w:rsid w:val="00DC468C"/>
    <w:rsid w:val="00DC6592"/>
    <w:rsid w:val="00DC68E3"/>
    <w:rsid w:val="00DC6DA9"/>
    <w:rsid w:val="00DC6EC5"/>
    <w:rsid w:val="00DC6F34"/>
    <w:rsid w:val="00DD035A"/>
    <w:rsid w:val="00DD0432"/>
    <w:rsid w:val="00DD1C46"/>
    <w:rsid w:val="00DD2089"/>
    <w:rsid w:val="00DD22F2"/>
    <w:rsid w:val="00DD3F75"/>
    <w:rsid w:val="00DD4310"/>
    <w:rsid w:val="00DD4F59"/>
    <w:rsid w:val="00DD565F"/>
    <w:rsid w:val="00DD7ADD"/>
    <w:rsid w:val="00DE000C"/>
    <w:rsid w:val="00DE081B"/>
    <w:rsid w:val="00DE11B5"/>
    <w:rsid w:val="00DE1606"/>
    <w:rsid w:val="00DE164C"/>
    <w:rsid w:val="00DE21B2"/>
    <w:rsid w:val="00DE24F9"/>
    <w:rsid w:val="00DE2CCF"/>
    <w:rsid w:val="00DE3C04"/>
    <w:rsid w:val="00DE3FCC"/>
    <w:rsid w:val="00DE4225"/>
    <w:rsid w:val="00DE49BD"/>
    <w:rsid w:val="00DE54BA"/>
    <w:rsid w:val="00DE55A0"/>
    <w:rsid w:val="00DE79EB"/>
    <w:rsid w:val="00DE7BA3"/>
    <w:rsid w:val="00DE7DA9"/>
    <w:rsid w:val="00DE7E02"/>
    <w:rsid w:val="00DE7F08"/>
    <w:rsid w:val="00DF016F"/>
    <w:rsid w:val="00DF068B"/>
    <w:rsid w:val="00DF0AE9"/>
    <w:rsid w:val="00DF2D2A"/>
    <w:rsid w:val="00DF3168"/>
    <w:rsid w:val="00DF5572"/>
    <w:rsid w:val="00DF55F6"/>
    <w:rsid w:val="00DF59E0"/>
    <w:rsid w:val="00DF6BB6"/>
    <w:rsid w:val="00DF705E"/>
    <w:rsid w:val="00DF748F"/>
    <w:rsid w:val="00E00E5F"/>
    <w:rsid w:val="00E0168E"/>
    <w:rsid w:val="00E019BE"/>
    <w:rsid w:val="00E025EE"/>
    <w:rsid w:val="00E02734"/>
    <w:rsid w:val="00E03115"/>
    <w:rsid w:val="00E03BAF"/>
    <w:rsid w:val="00E043DD"/>
    <w:rsid w:val="00E04437"/>
    <w:rsid w:val="00E04696"/>
    <w:rsid w:val="00E05189"/>
    <w:rsid w:val="00E05602"/>
    <w:rsid w:val="00E05C05"/>
    <w:rsid w:val="00E0648F"/>
    <w:rsid w:val="00E06C13"/>
    <w:rsid w:val="00E0746D"/>
    <w:rsid w:val="00E074B0"/>
    <w:rsid w:val="00E07A43"/>
    <w:rsid w:val="00E07A8F"/>
    <w:rsid w:val="00E07FFE"/>
    <w:rsid w:val="00E12280"/>
    <w:rsid w:val="00E14318"/>
    <w:rsid w:val="00E15C22"/>
    <w:rsid w:val="00E16064"/>
    <w:rsid w:val="00E1668A"/>
    <w:rsid w:val="00E16DDE"/>
    <w:rsid w:val="00E16DFE"/>
    <w:rsid w:val="00E175B3"/>
    <w:rsid w:val="00E17630"/>
    <w:rsid w:val="00E17DAF"/>
    <w:rsid w:val="00E20216"/>
    <w:rsid w:val="00E21389"/>
    <w:rsid w:val="00E22FAC"/>
    <w:rsid w:val="00E23416"/>
    <w:rsid w:val="00E238F2"/>
    <w:rsid w:val="00E25954"/>
    <w:rsid w:val="00E266B3"/>
    <w:rsid w:val="00E27288"/>
    <w:rsid w:val="00E30122"/>
    <w:rsid w:val="00E301F9"/>
    <w:rsid w:val="00E302DD"/>
    <w:rsid w:val="00E3034D"/>
    <w:rsid w:val="00E30938"/>
    <w:rsid w:val="00E30E97"/>
    <w:rsid w:val="00E31356"/>
    <w:rsid w:val="00E32288"/>
    <w:rsid w:val="00E330E5"/>
    <w:rsid w:val="00E341E0"/>
    <w:rsid w:val="00E36935"/>
    <w:rsid w:val="00E36D71"/>
    <w:rsid w:val="00E37073"/>
    <w:rsid w:val="00E37F0F"/>
    <w:rsid w:val="00E409CD"/>
    <w:rsid w:val="00E41ABF"/>
    <w:rsid w:val="00E41C1E"/>
    <w:rsid w:val="00E41D69"/>
    <w:rsid w:val="00E41E06"/>
    <w:rsid w:val="00E42E3D"/>
    <w:rsid w:val="00E4305C"/>
    <w:rsid w:val="00E4653D"/>
    <w:rsid w:val="00E46971"/>
    <w:rsid w:val="00E46AAE"/>
    <w:rsid w:val="00E46FBB"/>
    <w:rsid w:val="00E506EF"/>
    <w:rsid w:val="00E50E36"/>
    <w:rsid w:val="00E51DBD"/>
    <w:rsid w:val="00E525A4"/>
    <w:rsid w:val="00E52CD7"/>
    <w:rsid w:val="00E53478"/>
    <w:rsid w:val="00E535D2"/>
    <w:rsid w:val="00E53745"/>
    <w:rsid w:val="00E53CD6"/>
    <w:rsid w:val="00E53DAA"/>
    <w:rsid w:val="00E54218"/>
    <w:rsid w:val="00E545C2"/>
    <w:rsid w:val="00E56FEC"/>
    <w:rsid w:val="00E5702A"/>
    <w:rsid w:val="00E57128"/>
    <w:rsid w:val="00E57A64"/>
    <w:rsid w:val="00E57D9F"/>
    <w:rsid w:val="00E62096"/>
    <w:rsid w:val="00E6212A"/>
    <w:rsid w:val="00E62331"/>
    <w:rsid w:val="00E623E7"/>
    <w:rsid w:val="00E62479"/>
    <w:rsid w:val="00E62B87"/>
    <w:rsid w:val="00E62D8B"/>
    <w:rsid w:val="00E63AEA"/>
    <w:rsid w:val="00E63DC2"/>
    <w:rsid w:val="00E64059"/>
    <w:rsid w:val="00E64B78"/>
    <w:rsid w:val="00E64F01"/>
    <w:rsid w:val="00E65640"/>
    <w:rsid w:val="00E660BA"/>
    <w:rsid w:val="00E66931"/>
    <w:rsid w:val="00E66FE5"/>
    <w:rsid w:val="00E67640"/>
    <w:rsid w:val="00E67CD9"/>
    <w:rsid w:val="00E67F3E"/>
    <w:rsid w:val="00E67FCC"/>
    <w:rsid w:val="00E705C8"/>
    <w:rsid w:val="00E7092C"/>
    <w:rsid w:val="00E713E5"/>
    <w:rsid w:val="00E717B3"/>
    <w:rsid w:val="00E721AA"/>
    <w:rsid w:val="00E72904"/>
    <w:rsid w:val="00E72EB1"/>
    <w:rsid w:val="00E73238"/>
    <w:rsid w:val="00E73432"/>
    <w:rsid w:val="00E73C33"/>
    <w:rsid w:val="00E7607D"/>
    <w:rsid w:val="00E76760"/>
    <w:rsid w:val="00E80154"/>
    <w:rsid w:val="00E80407"/>
    <w:rsid w:val="00E81A4F"/>
    <w:rsid w:val="00E83D84"/>
    <w:rsid w:val="00E8519B"/>
    <w:rsid w:val="00E85436"/>
    <w:rsid w:val="00E85637"/>
    <w:rsid w:val="00E857EB"/>
    <w:rsid w:val="00E86E2F"/>
    <w:rsid w:val="00E90E15"/>
    <w:rsid w:val="00E91302"/>
    <w:rsid w:val="00E91E45"/>
    <w:rsid w:val="00E92280"/>
    <w:rsid w:val="00E9245E"/>
    <w:rsid w:val="00E924F7"/>
    <w:rsid w:val="00E929C1"/>
    <w:rsid w:val="00E92C29"/>
    <w:rsid w:val="00E93A91"/>
    <w:rsid w:val="00E940EC"/>
    <w:rsid w:val="00E96D9E"/>
    <w:rsid w:val="00EA0334"/>
    <w:rsid w:val="00EA1005"/>
    <w:rsid w:val="00EA2ACF"/>
    <w:rsid w:val="00EA4934"/>
    <w:rsid w:val="00EA4966"/>
    <w:rsid w:val="00EA4AAA"/>
    <w:rsid w:val="00EA4DEA"/>
    <w:rsid w:val="00EA5AAF"/>
    <w:rsid w:val="00EA5ACB"/>
    <w:rsid w:val="00EA5BCE"/>
    <w:rsid w:val="00EA5DFC"/>
    <w:rsid w:val="00EA7689"/>
    <w:rsid w:val="00EB128B"/>
    <w:rsid w:val="00EB2314"/>
    <w:rsid w:val="00EB25D2"/>
    <w:rsid w:val="00EB2C86"/>
    <w:rsid w:val="00EB31E4"/>
    <w:rsid w:val="00EB31EB"/>
    <w:rsid w:val="00EB3277"/>
    <w:rsid w:val="00EB439A"/>
    <w:rsid w:val="00EB4804"/>
    <w:rsid w:val="00EB4F26"/>
    <w:rsid w:val="00EB5988"/>
    <w:rsid w:val="00EB5FAA"/>
    <w:rsid w:val="00EB68C7"/>
    <w:rsid w:val="00EB6B00"/>
    <w:rsid w:val="00EC00A7"/>
    <w:rsid w:val="00EC23EE"/>
    <w:rsid w:val="00EC25CB"/>
    <w:rsid w:val="00EC303D"/>
    <w:rsid w:val="00EC3151"/>
    <w:rsid w:val="00EC535C"/>
    <w:rsid w:val="00EC7552"/>
    <w:rsid w:val="00EC77AF"/>
    <w:rsid w:val="00EC77DA"/>
    <w:rsid w:val="00EC7B43"/>
    <w:rsid w:val="00ED0100"/>
    <w:rsid w:val="00ED0B30"/>
    <w:rsid w:val="00ED0FEF"/>
    <w:rsid w:val="00ED2AD8"/>
    <w:rsid w:val="00ED3012"/>
    <w:rsid w:val="00ED335B"/>
    <w:rsid w:val="00ED3AD7"/>
    <w:rsid w:val="00ED52B0"/>
    <w:rsid w:val="00ED61F6"/>
    <w:rsid w:val="00ED7C86"/>
    <w:rsid w:val="00EE0338"/>
    <w:rsid w:val="00EE0726"/>
    <w:rsid w:val="00EE09AC"/>
    <w:rsid w:val="00EE18BC"/>
    <w:rsid w:val="00EE2B4E"/>
    <w:rsid w:val="00EE2DE2"/>
    <w:rsid w:val="00EE2E60"/>
    <w:rsid w:val="00EE33BF"/>
    <w:rsid w:val="00EE3961"/>
    <w:rsid w:val="00EE45A1"/>
    <w:rsid w:val="00EE45E8"/>
    <w:rsid w:val="00EE488C"/>
    <w:rsid w:val="00EE6183"/>
    <w:rsid w:val="00EF0647"/>
    <w:rsid w:val="00EF1722"/>
    <w:rsid w:val="00EF1DBD"/>
    <w:rsid w:val="00EF2C42"/>
    <w:rsid w:val="00EF2E7A"/>
    <w:rsid w:val="00EF388F"/>
    <w:rsid w:val="00EF4110"/>
    <w:rsid w:val="00EF41E1"/>
    <w:rsid w:val="00EF425C"/>
    <w:rsid w:val="00EF6BE6"/>
    <w:rsid w:val="00EF6EAE"/>
    <w:rsid w:val="00F00A37"/>
    <w:rsid w:val="00F011E2"/>
    <w:rsid w:val="00F01466"/>
    <w:rsid w:val="00F027B8"/>
    <w:rsid w:val="00F02EE0"/>
    <w:rsid w:val="00F06180"/>
    <w:rsid w:val="00F06C54"/>
    <w:rsid w:val="00F104A6"/>
    <w:rsid w:val="00F1051A"/>
    <w:rsid w:val="00F105E8"/>
    <w:rsid w:val="00F105EE"/>
    <w:rsid w:val="00F118CC"/>
    <w:rsid w:val="00F11B4A"/>
    <w:rsid w:val="00F1274A"/>
    <w:rsid w:val="00F13043"/>
    <w:rsid w:val="00F130E8"/>
    <w:rsid w:val="00F13132"/>
    <w:rsid w:val="00F14BD9"/>
    <w:rsid w:val="00F154B9"/>
    <w:rsid w:val="00F1670A"/>
    <w:rsid w:val="00F17177"/>
    <w:rsid w:val="00F174AB"/>
    <w:rsid w:val="00F17791"/>
    <w:rsid w:val="00F200F7"/>
    <w:rsid w:val="00F20519"/>
    <w:rsid w:val="00F20A11"/>
    <w:rsid w:val="00F20A50"/>
    <w:rsid w:val="00F22E01"/>
    <w:rsid w:val="00F241B7"/>
    <w:rsid w:val="00F2423C"/>
    <w:rsid w:val="00F24C08"/>
    <w:rsid w:val="00F251FD"/>
    <w:rsid w:val="00F2593A"/>
    <w:rsid w:val="00F25C41"/>
    <w:rsid w:val="00F277BB"/>
    <w:rsid w:val="00F27816"/>
    <w:rsid w:val="00F279AE"/>
    <w:rsid w:val="00F27DDD"/>
    <w:rsid w:val="00F30909"/>
    <w:rsid w:val="00F30916"/>
    <w:rsid w:val="00F30E01"/>
    <w:rsid w:val="00F317D8"/>
    <w:rsid w:val="00F31DF0"/>
    <w:rsid w:val="00F3457D"/>
    <w:rsid w:val="00F35191"/>
    <w:rsid w:val="00F35C48"/>
    <w:rsid w:val="00F36497"/>
    <w:rsid w:val="00F36DF3"/>
    <w:rsid w:val="00F4022E"/>
    <w:rsid w:val="00F4147A"/>
    <w:rsid w:val="00F42B90"/>
    <w:rsid w:val="00F42E80"/>
    <w:rsid w:val="00F444CE"/>
    <w:rsid w:val="00F45812"/>
    <w:rsid w:val="00F475F9"/>
    <w:rsid w:val="00F501C9"/>
    <w:rsid w:val="00F5078A"/>
    <w:rsid w:val="00F50B10"/>
    <w:rsid w:val="00F52354"/>
    <w:rsid w:val="00F53C12"/>
    <w:rsid w:val="00F543F6"/>
    <w:rsid w:val="00F547C6"/>
    <w:rsid w:val="00F549A0"/>
    <w:rsid w:val="00F57704"/>
    <w:rsid w:val="00F57CAA"/>
    <w:rsid w:val="00F60428"/>
    <w:rsid w:val="00F6042D"/>
    <w:rsid w:val="00F61F76"/>
    <w:rsid w:val="00F620C7"/>
    <w:rsid w:val="00F6277B"/>
    <w:rsid w:val="00F64F27"/>
    <w:rsid w:val="00F65A7F"/>
    <w:rsid w:val="00F6625F"/>
    <w:rsid w:val="00F66B75"/>
    <w:rsid w:val="00F67B92"/>
    <w:rsid w:val="00F702C1"/>
    <w:rsid w:val="00F70AF7"/>
    <w:rsid w:val="00F71AC5"/>
    <w:rsid w:val="00F71D42"/>
    <w:rsid w:val="00F72331"/>
    <w:rsid w:val="00F72369"/>
    <w:rsid w:val="00F729F3"/>
    <w:rsid w:val="00F72B44"/>
    <w:rsid w:val="00F7319C"/>
    <w:rsid w:val="00F73C96"/>
    <w:rsid w:val="00F74037"/>
    <w:rsid w:val="00F74855"/>
    <w:rsid w:val="00F74EE0"/>
    <w:rsid w:val="00F766F8"/>
    <w:rsid w:val="00F776AD"/>
    <w:rsid w:val="00F80C3E"/>
    <w:rsid w:val="00F80FDA"/>
    <w:rsid w:val="00F81024"/>
    <w:rsid w:val="00F815E2"/>
    <w:rsid w:val="00F82324"/>
    <w:rsid w:val="00F82917"/>
    <w:rsid w:val="00F87366"/>
    <w:rsid w:val="00F87763"/>
    <w:rsid w:val="00F87C88"/>
    <w:rsid w:val="00F9011C"/>
    <w:rsid w:val="00F92255"/>
    <w:rsid w:val="00F94CA0"/>
    <w:rsid w:val="00F94F4E"/>
    <w:rsid w:val="00F95CA5"/>
    <w:rsid w:val="00F9632B"/>
    <w:rsid w:val="00F97C6C"/>
    <w:rsid w:val="00FA0528"/>
    <w:rsid w:val="00FA1230"/>
    <w:rsid w:val="00FA1AC4"/>
    <w:rsid w:val="00FA1DE5"/>
    <w:rsid w:val="00FA245A"/>
    <w:rsid w:val="00FA3301"/>
    <w:rsid w:val="00FA3698"/>
    <w:rsid w:val="00FA40F6"/>
    <w:rsid w:val="00FA467F"/>
    <w:rsid w:val="00FA595D"/>
    <w:rsid w:val="00FA5B64"/>
    <w:rsid w:val="00FA60B0"/>
    <w:rsid w:val="00FA68BA"/>
    <w:rsid w:val="00FA6B22"/>
    <w:rsid w:val="00FA6F45"/>
    <w:rsid w:val="00FA6FD3"/>
    <w:rsid w:val="00FB0333"/>
    <w:rsid w:val="00FB0446"/>
    <w:rsid w:val="00FB059A"/>
    <w:rsid w:val="00FB11A9"/>
    <w:rsid w:val="00FB1E40"/>
    <w:rsid w:val="00FB1FA9"/>
    <w:rsid w:val="00FB2571"/>
    <w:rsid w:val="00FB2D47"/>
    <w:rsid w:val="00FB4BA1"/>
    <w:rsid w:val="00FB6BEE"/>
    <w:rsid w:val="00FB7021"/>
    <w:rsid w:val="00FC0038"/>
    <w:rsid w:val="00FC06CB"/>
    <w:rsid w:val="00FC122B"/>
    <w:rsid w:val="00FC15C9"/>
    <w:rsid w:val="00FC18A8"/>
    <w:rsid w:val="00FC3477"/>
    <w:rsid w:val="00FC41B8"/>
    <w:rsid w:val="00FC4549"/>
    <w:rsid w:val="00FC5429"/>
    <w:rsid w:val="00FC5F24"/>
    <w:rsid w:val="00FC6714"/>
    <w:rsid w:val="00FD0536"/>
    <w:rsid w:val="00FD09FA"/>
    <w:rsid w:val="00FD0FB6"/>
    <w:rsid w:val="00FD2FDC"/>
    <w:rsid w:val="00FD3C5A"/>
    <w:rsid w:val="00FD57F6"/>
    <w:rsid w:val="00FD5A27"/>
    <w:rsid w:val="00FD5F40"/>
    <w:rsid w:val="00FD6970"/>
    <w:rsid w:val="00FD6D6D"/>
    <w:rsid w:val="00FD72B7"/>
    <w:rsid w:val="00FD72C8"/>
    <w:rsid w:val="00FD73AD"/>
    <w:rsid w:val="00FD7462"/>
    <w:rsid w:val="00FD7986"/>
    <w:rsid w:val="00FD7CD9"/>
    <w:rsid w:val="00FE0551"/>
    <w:rsid w:val="00FE0C5C"/>
    <w:rsid w:val="00FE1057"/>
    <w:rsid w:val="00FE1E05"/>
    <w:rsid w:val="00FE1EBF"/>
    <w:rsid w:val="00FE2438"/>
    <w:rsid w:val="00FE24A0"/>
    <w:rsid w:val="00FE2679"/>
    <w:rsid w:val="00FE3555"/>
    <w:rsid w:val="00FE46E7"/>
    <w:rsid w:val="00FE67C1"/>
    <w:rsid w:val="00FE6A8E"/>
    <w:rsid w:val="00FE72A9"/>
    <w:rsid w:val="00FE7F60"/>
    <w:rsid w:val="00FF02C2"/>
    <w:rsid w:val="00FF1AC4"/>
    <w:rsid w:val="00FF1DDA"/>
    <w:rsid w:val="00FF2486"/>
    <w:rsid w:val="00FF2603"/>
    <w:rsid w:val="00FF4233"/>
    <w:rsid w:val="00FF4456"/>
    <w:rsid w:val="00FF5154"/>
    <w:rsid w:val="00FF644C"/>
    <w:rsid w:val="00FF7A58"/>
    <w:rsid w:val="011A6D15"/>
    <w:rsid w:val="01896811"/>
    <w:rsid w:val="018E1BB8"/>
    <w:rsid w:val="01FD609D"/>
    <w:rsid w:val="02221B40"/>
    <w:rsid w:val="025D3C6A"/>
    <w:rsid w:val="02605E16"/>
    <w:rsid w:val="026F57E6"/>
    <w:rsid w:val="028916DF"/>
    <w:rsid w:val="02B770BE"/>
    <w:rsid w:val="02B92B4B"/>
    <w:rsid w:val="02D758AA"/>
    <w:rsid w:val="031E0756"/>
    <w:rsid w:val="032503A7"/>
    <w:rsid w:val="035D2E7F"/>
    <w:rsid w:val="03777421"/>
    <w:rsid w:val="03891691"/>
    <w:rsid w:val="03A33962"/>
    <w:rsid w:val="03E56DE9"/>
    <w:rsid w:val="03F229A5"/>
    <w:rsid w:val="04025BED"/>
    <w:rsid w:val="042711AF"/>
    <w:rsid w:val="045439B3"/>
    <w:rsid w:val="04984ED9"/>
    <w:rsid w:val="04E40CC4"/>
    <w:rsid w:val="04F86779"/>
    <w:rsid w:val="05145A02"/>
    <w:rsid w:val="051A0570"/>
    <w:rsid w:val="0556761C"/>
    <w:rsid w:val="056401E1"/>
    <w:rsid w:val="058949C6"/>
    <w:rsid w:val="05B11573"/>
    <w:rsid w:val="05D924C7"/>
    <w:rsid w:val="05F43336"/>
    <w:rsid w:val="05FF0636"/>
    <w:rsid w:val="061C0382"/>
    <w:rsid w:val="064216C6"/>
    <w:rsid w:val="064D44EB"/>
    <w:rsid w:val="065663FB"/>
    <w:rsid w:val="06957AF9"/>
    <w:rsid w:val="06A82EB5"/>
    <w:rsid w:val="06AB51DF"/>
    <w:rsid w:val="06F834A4"/>
    <w:rsid w:val="071E7A58"/>
    <w:rsid w:val="07227412"/>
    <w:rsid w:val="074778FA"/>
    <w:rsid w:val="0754675F"/>
    <w:rsid w:val="079F4185"/>
    <w:rsid w:val="07B70A9C"/>
    <w:rsid w:val="07BA29FE"/>
    <w:rsid w:val="07E163D5"/>
    <w:rsid w:val="07EE1796"/>
    <w:rsid w:val="07FD28B5"/>
    <w:rsid w:val="080A5070"/>
    <w:rsid w:val="082F59C4"/>
    <w:rsid w:val="089C2349"/>
    <w:rsid w:val="089D08A9"/>
    <w:rsid w:val="08C57804"/>
    <w:rsid w:val="090E3278"/>
    <w:rsid w:val="091967B5"/>
    <w:rsid w:val="0923693C"/>
    <w:rsid w:val="092F7BB8"/>
    <w:rsid w:val="096761E7"/>
    <w:rsid w:val="09734E97"/>
    <w:rsid w:val="09C63218"/>
    <w:rsid w:val="09CD0A4B"/>
    <w:rsid w:val="0A053D41"/>
    <w:rsid w:val="0A117F5F"/>
    <w:rsid w:val="0A1348C9"/>
    <w:rsid w:val="0A284A31"/>
    <w:rsid w:val="0A4429FF"/>
    <w:rsid w:val="0A90639B"/>
    <w:rsid w:val="0AFA4183"/>
    <w:rsid w:val="0B0373BC"/>
    <w:rsid w:val="0B043FF8"/>
    <w:rsid w:val="0B4453CD"/>
    <w:rsid w:val="0B4E5282"/>
    <w:rsid w:val="0B4F3474"/>
    <w:rsid w:val="0B520957"/>
    <w:rsid w:val="0B770C6E"/>
    <w:rsid w:val="0BAC7643"/>
    <w:rsid w:val="0BC24FD0"/>
    <w:rsid w:val="0BDA1781"/>
    <w:rsid w:val="0BF5414F"/>
    <w:rsid w:val="0C0900F1"/>
    <w:rsid w:val="0C2A2E85"/>
    <w:rsid w:val="0C545B35"/>
    <w:rsid w:val="0C994AB9"/>
    <w:rsid w:val="0D95362E"/>
    <w:rsid w:val="0DAD5587"/>
    <w:rsid w:val="0DAD6BC9"/>
    <w:rsid w:val="0DB32F94"/>
    <w:rsid w:val="0DE70459"/>
    <w:rsid w:val="0DF04D08"/>
    <w:rsid w:val="0DFE574F"/>
    <w:rsid w:val="0E010CC3"/>
    <w:rsid w:val="0E0316E4"/>
    <w:rsid w:val="0E19600D"/>
    <w:rsid w:val="0E6B59A2"/>
    <w:rsid w:val="0E9658AF"/>
    <w:rsid w:val="0EAE0ACA"/>
    <w:rsid w:val="0ECA0E0D"/>
    <w:rsid w:val="0ED634F3"/>
    <w:rsid w:val="0EF90EF5"/>
    <w:rsid w:val="0F2271EE"/>
    <w:rsid w:val="0F342DCB"/>
    <w:rsid w:val="0F4D7BD8"/>
    <w:rsid w:val="0F735BF1"/>
    <w:rsid w:val="0FA110A7"/>
    <w:rsid w:val="0FC62D94"/>
    <w:rsid w:val="0FC84B93"/>
    <w:rsid w:val="0FD06E18"/>
    <w:rsid w:val="0FDA1240"/>
    <w:rsid w:val="10604C4D"/>
    <w:rsid w:val="1088668E"/>
    <w:rsid w:val="109D794B"/>
    <w:rsid w:val="10D81154"/>
    <w:rsid w:val="10E24DDC"/>
    <w:rsid w:val="112917DC"/>
    <w:rsid w:val="114A1F19"/>
    <w:rsid w:val="116C28F7"/>
    <w:rsid w:val="11A41EA7"/>
    <w:rsid w:val="11AA3420"/>
    <w:rsid w:val="11C014D4"/>
    <w:rsid w:val="11EE77B0"/>
    <w:rsid w:val="11F05959"/>
    <w:rsid w:val="11FF3F33"/>
    <w:rsid w:val="12156E6D"/>
    <w:rsid w:val="12374CB3"/>
    <w:rsid w:val="12DA6EE0"/>
    <w:rsid w:val="12E25392"/>
    <w:rsid w:val="12EB2C3B"/>
    <w:rsid w:val="13192BB3"/>
    <w:rsid w:val="131C0882"/>
    <w:rsid w:val="1324792E"/>
    <w:rsid w:val="1372481A"/>
    <w:rsid w:val="13C71572"/>
    <w:rsid w:val="14493277"/>
    <w:rsid w:val="1459378E"/>
    <w:rsid w:val="145B379E"/>
    <w:rsid w:val="1488724D"/>
    <w:rsid w:val="149172AB"/>
    <w:rsid w:val="14EA4EA0"/>
    <w:rsid w:val="150C68CB"/>
    <w:rsid w:val="15221F68"/>
    <w:rsid w:val="154A2F50"/>
    <w:rsid w:val="15535FC6"/>
    <w:rsid w:val="15DD24FA"/>
    <w:rsid w:val="16152D04"/>
    <w:rsid w:val="168460D8"/>
    <w:rsid w:val="16DD784B"/>
    <w:rsid w:val="16F07B71"/>
    <w:rsid w:val="17357800"/>
    <w:rsid w:val="173739A8"/>
    <w:rsid w:val="174637C6"/>
    <w:rsid w:val="174C1201"/>
    <w:rsid w:val="17686555"/>
    <w:rsid w:val="178D1100"/>
    <w:rsid w:val="179D7EE2"/>
    <w:rsid w:val="17DA152E"/>
    <w:rsid w:val="17EC16BD"/>
    <w:rsid w:val="17FE5912"/>
    <w:rsid w:val="18037914"/>
    <w:rsid w:val="180C273E"/>
    <w:rsid w:val="18147899"/>
    <w:rsid w:val="182547F2"/>
    <w:rsid w:val="1853327D"/>
    <w:rsid w:val="18575CB1"/>
    <w:rsid w:val="186662F2"/>
    <w:rsid w:val="18710E80"/>
    <w:rsid w:val="187C6833"/>
    <w:rsid w:val="18B65D97"/>
    <w:rsid w:val="18E02D2E"/>
    <w:rsid w:val="18F27B86"/>
    <w:rsid w:val="192963E5"/>
    <w:rsid w:val="192A3C11"/>
    <w:rsid w:val="193E0B05"/>
    <w:rsid w:val="19614D0C"/>
    <w:rsid w:val="19A20750"/>
    <w:rsid w:val="19A5109C"/>
    <w:rsid w:val="19A846E9"/>
    <w:rsid w:val="19B23C41"/>
    <w:rsid w:val="19B5137E"/>
    <w:rsid w:val="1A192A6F"/>
    <w:rsid w:val="1A8F42B1"/>
    <w:rsid w:val="1ACB68E1"/>
    <w:rsid w:val="1AF776D6"/>
    <w:rsid w:val="1B102545"/>
    <w:rsid w:val="1B210C25"/>
    <w:rsid w:val="1B3C004D"/>
    <w:rsid w:val="1B5E4551"/>
    <w:rsid w:val="1B705B17"/>
    <w:rsid w:val="1B833F1E"/>
    <w:rsid w:val="1BAE2B16"/>
    <w:rsid w:val="1BF71070"/>
    <w:rsid w:val="1C5C3322"/>
    <w:rsid w:val="1C840575"/>
    <w:rsid w:val="1C897E65"/>
    <w:rsid w:val="1CBD6643"/>
    <w:rsid w:val="1D0E026F"/>
    <w:rsid w:val="1D505CF0"/>
    <w:rsid w:val="1D636B59"/>
    <w:rsid w:val="1D6F487E"/>
    <w:rsid w:val="1D9C4564"/>
    <w:rsid w:val="1DB03826"/>
    <w:rsid w:val="1E054F96"/>
    <w:rsid w:val="1E1B2629"/>
    <w:rsid w:val="1E22392C"/>
    <w:rsid w:val="1E2A72DE"/>
    <w:rsid w:val="1E434781"/>
    <w:rsid w:val="1E761259"/>
    <w:rsid w:val="1E7B23CC"/>
    <w:rsid w:val="1E7D5652"/>
    <w:rsid w:val="1EAF268B"/>
    <w:rsid w:val="1EAF7A25"/>
    <w:rsid w:val="1F0B3750"/>
    <w:rsid w:val="1F1545CE"/>
    <w:rsid w:val="1F170346"/>
    <w:rsid w:val="1F424974"/>
    <w:rsid w:val="1F547801"/>
    <w:rsid w:val="1F721BB6"/>
    <w:rsid w:val="1F8F4478"/>
    <w:rsid w:val="1F901EA7"/>
    <w:rsid w:val="1FB1502C"/>
    <w:rsid w:val="1FCD30FB"/>
    <w:rsid w:val="1FE17F61"/>
    <w:rsid w:val="1FF70415"/>
    <w:rsid w:val="20014C4D"/>
    <w:rsid w:val="20071625"/>
    <w:rsid w:val="200F33B5"/>
    <w:rsid w:val="201A67B9"/>
    <w:rsid w:val="20870360"/>
    <w:rsid w:val="20A602F1"/>
    <w:rsid w:val="20EA1A41"/>
    <w:rsid w:val="2101281F"/>
    <w:rsid w:val="21093CBF"/>
    <w:rsid w:val="214F757C"/>
    <w:rsid w:val="21993306"/>
    <w:rsid w:val="21C443C4"/>
    <w:rsid w:val="21E14992"/>
    <w:rsid w:val="220F17A9"/>
    <w:rsid w:val="220F63C0"/>
    <w:rsid w:val="225B4C45"/>
    <w:rsid w:val="22635651"/>
    <w:rsid w:val="22714212"/>
    <w:rsid w:val="22934302"/>
    <w:rsid w:val="22E21A3B"/>
    <w:rsid w:val="22E907A2"/>
    <w:rsid w:val="22F653E9"/>
    <w:rsid w:val="23130C59"/>
    <w:rsid w:val="231B17A8"/>
    <w:rsid w:val="235A4636"/>
    <w:rsid w:val="23835A7E"/>
    <w:rsid w:val="23F92711"/>
    <w:rsid w:val="244224C6"/>
    <w:rsid w:val="24B76759"/>
    <w:rsid w:val="24D6035C"/>
    <w:rsid w:val="24DE6615"/>
    <w:rsid w:val="25126D74"/>
    <w:rsid w:val="25180974"/>
    <w:rsid w:val="254C15DE"/>
    <w:rsid w:val="25552F8C"/>
    <w:rsid w:val="258268E7"/>
    <w:rsid w:val="25826E47"/>
    <w:rsid w:val="25932D52"/>
    <w:rsid w:val="25CF703A"/>
    <w:rsid w:val="26123616"/>
    <w:rsid w:val="264F1E2D"/>
    <w:rsid w:val="265C790C"/>
    <w:rsid w:val="267918E7"/>
    <w:rsid w:val="26A5448A"/>
    <w:rsid w:val="26AC0E40"/>
    <w:rsid w:val="26AC3A6A"/>
    <w:rsid w:val="26C528F0"/>
    <w:rsid w:val="26E275C2"/>
    <w:rsid w:val="26EE12D9"/>
    <w:rsid w:val="27225ADA"/>
    <w:rsid w:val="273852FE"/>
    <w:rsid w:val="27392E24"/>
    <w:rsid w:val="277B51EB"/>
    <w:rsid w:val="277E0419"/>
    <w:rsid w:val="279D33B3"/>
    <w:rsid w:val="27C47FCA"/>
    <w:rsid w:val="27D4517B"/>
    <w:rsid w:val="280609E4"/>
    <w:rsid w:val="28117600"/>
    <w:rsid w:val="28326668"/>
    <w:rsid w:val="283946BB"/>
    <w:rsid w:val="286914E7"/>
    <w:rsid w:val="28804E01"/>
    <w:rsid w:val="28A902E6"/>
    <w:rsid w:val="28BA7A16"/>
    <w:rsid w:val="28DD58D0"/>
    <w:rsid w:val="28EC4763"/>
    <w:rsid w:val="28EE7CCC"/>
    <w:rsid w:val="28F20771"/>
    <w:rsid w:val="29233D9F"/>
    <w:rsid w:val="29862181"/>
    <w:rsid w:val="29E178AE"/>
    <w:rsid w:val="29FA0F90"/>
    <w:rsid w:val="2A3E7D2C"/>
    <w:rsid w:val="2A437712"/>
    <w:rsid w:val="2A65743E"/>
    <w:rsid w:val="2A666952"/>
    <w:rsid w:val="2AC450FA"/>
    <w:rsid w:val="2AF77367"/>
    <w:rsid w:val="2B0B2DFA"/>
    <w:rsid w:val="2B7B3A0B"/>
    <w:rsid w:val="2BA2426B"/>
    <w:rsid w:val="2BAB75E6"/>
    <w:rsid w:val="2BB502F7"/>
    <w:rsid w:val="2BD1187D"/>
    <w:rsid w:val="2BF8710F"/>
    <w:rsid w:val="2C0B57EF"/>
    <w:rsid w:val="2C22675B"/>
    <w:rsid w:val="2C5129BE"/>
    <w:rsid w:val="2C7965AC"/>
    <w:rsid w:val="2C8261EC"/>
    <w:rsid w:val="2C8D2B52"/>
    <w:rsid w:val="2CB25C57"/>
    <w:rsid w:val="2CB766D2"/>
    <w:rsid w:val="2D19172E"/>
    <w:rsid w:val="2D4349FC"/>
    <w:rsid w:val="2D627B0B"/>
    <w:rsid w:val="2D7E2124"/>
    <w:rsid w:val="2D954434"/>
    <w:rsid w:val="2E075A2A"/>
    <w:rsid w:val="2E9A0F75"/>
    <w:rsid w:val="2EBB7F5F"/>
    <w:rsid w:val="2EBC529A"/>
    <w:rsid w:val="2EC53A26"/>
    <w:rsid w:val="2ECE7A9F"/>
    <w:rsid w:val="2ED10075"/>
    <w:rsid w:val="2F8A06C1"/>
    <w:rsid w:val="30016F1B"/>
    <w:rsid w:val="30072566"/>
    <w:rsid w:val="301E09EC"/>
    <w:rsid w:val="301E15CC"/>
    <w:rsid w:val="30320B13"/>
    <w:rsid w:val="30466CDD"/>
    <w:rsid w:val="306C3DFF"/>
    <w:rsid w:val="30B67293"/>
    <w:rsid w:val="30E80EFA"/>
    <w:rsid w:val="30FA0A7D"/>
    <w:rsid w:val="31386448"/>
    <w:rsid w:val="314E2804"/>
    <w:rsid w:val="315747C3"/>
    <w:rsid w:val="316C30E7"/>
    <w:rsid w:val="319941E5"/>
    <w:rsid w:val="31B732C3"/>
    <w:rsid w:val="31C63D74"/>
    <w:rsid w:val="31C64474"/>
    <w:rsid w:val="31E3055C"/>
    <w:rsid w:val="31F167D5"/>
    <w:rsid w:val="31F712C5"/>
    <w:rsid w:val="320C697E"/>
    <w:rsid w:val="32334EBF"/>
    <w:rsid w:val="323D65DF"/>
    <w:rsid w:val="324148E2"/>
    <w:rsid w:val="32627A4B"/>
    <w:rsid w:val="327C5336"/>
    <w:rsid w:val="32803233"/>
    <w:rsid w:val="32AF07F2"/>
    <w:rsid w:val="32B141B6"/>
    <w:rsid w:val="32B84F32"/>
    <w:rsid w:val="32DA0D3B"/>
    <w:rsid w:val="32F114C4"/>
    <w:rsid w:val="32F55942"/>
    <w:rsid w:val="33263E15"/>
    <w:rsid w:val="333252F7"/>
    <w:rsid w:val="3344327C"/>
    <w:rsid w:val="33A30117"/>
    <w:rsid w:val="33DF006E"/>
    <w:rsid w:val="34027B43"/>
    <w:rsid w:val="341669C7"/>
    <w:rsid w:val="34476B80"/>
    <w:rsid w:val="344C3ABD"/>
    <w:rsid w:val="348953EB"/>
    <w:rsid w:val="348F0527"/>
    <w:rsid w:val="349249DB"/>
    <w:rsid w:val="34AE1D09"/>
    <w:rsid w:val="34EA39B0"/>
    <w:rsid w:val="35400528"/>
    <w:rsid w:val="354833FF"/>
    <w:rsid w:val="35633883"/>
    <w:rsid w:val="356419B4"/>
    <w:rsid w:val="35E459AD"/>
    <w:rsid w:val="360141E1"/>
    <w:rsid w:val="36184CDB"/>
    <w:rsid w:val="362F3D70"/>
    <w:rsid w:val="36636708"/>
    <w:rsid w:val="36735088"/>
    <w:rsid w:val="369739A9"/>
    <w:rsid w:val="36C20AD7"/>
    <w:rsid w:val="36C81662"/>
    <w:rsid w:val="370661C1"/>
    <w:rsid w:val="374369B6"/>
    <w:rsid w:val="37603725"/>
    <w:rsid w:val="37711C6B"/>
    <w:rsid w:val="37733277"/>
    <w:rsid w:val="377432D3"/>
    <w:rsid w:val="37812FA0"/>
    <w:rsid w:val="378402F8"/>
    <w:rsid w:val="37B52B0C"/>
    <w:rsid w:val="37EA3C72"/>
    <w:rsid w:val="37EC5DC8"/>
    <w:rsid w:val="37F80892"/>
    <w:rsid w:val="37FC2378"/>
    <w:rsid w:val="380D7900"/>
    <w:rsid w:val="382F7716"/>
    <w:rsid w:val="388866DE"/>
    <w:rsid w:val="388C50A2"/>
    <w:rsid w:val="38E4330E"/>
    <w:rsid w:val="38F75B2D"/>
    <w:rsid w:val="38F82780"/>
    <w:rsid w:val="39082ACF"/>
    <w:rsid w:val="393B2A2C"/>
    <w:rsid w:val="39553928"/>
    <w:rsid w:val="39711717"/>
    <w:rsid w:val="39797D07"/>
    <w:rsid w:val="397B0F78"/>
    <w:rsid w:val="39BF540B"/>
    <w:rsid w:val="39F71049"/>
    <w:rsid w:val="3A496FB2"/>
    <w:rsid w:val="3A7A6BFE"/>
    <w:rsid w:val="3A7B6D86"/>
    <w:rsid w:val="3A89130F"/>
    <w:rsid w:val="3A892117"/>
    <w:rsid w:val="3A8C3A36"/>
    <w:rsid w:val="3A995C5C"/>
    <w:rsid w:val="3AA72CEC"/>
    <w:rsid w:val="3AA840F1"/>
    <w:rsid w:val="3AC31ED1"/>
    <w:rsid w:val="3ADF293F"/>
    <w:rsid w:val="3AEA03A9"/>
    <w:rsid w:val="3B200C61"/>
    <w:rsid w:val="3B3C44E7"/>
    <w:rsid w:val="3B530501"/>
    <w:rsid w:val="3B6C15C2"/>
    <w:rsid w:val="3B801ADB"/>
    <w:rsid w:val="3B8373F1"/>
    <w:rsid w:val="3BB338ED"/>
    <w:rsid w:val="3BDD7D9B"/>
    <w:rsid w:val="3C1014B7"/>
    <w:rsid w:val="3C133476"/>
    <w:rsid w:val="3C3B0C4E"/>
    <w:rsid w:val="3C5B6745"/>
    <w:rsid w:val="3C7F76CC"/>
    <w:rsid w:val="3CE21B3C"/>
    <w:rsid w:val="3CEF07DA"/>
    <w:rsid w:val="3D3D3216"/>
    <w:rsid w:val="3D485717"/>
    <w:rsid w:val="3D580050"/>
    <w:rsid w:val="3DD83800"/>
    <w:rsid w:val="3DE41382"/>
    <w:rsid w:val="3DF2368E"/>
    <w:rsid w:val="3E275C99"/>
    <w:rsid w:val="3E2974E0"/>
    <w:rsid w:val="3E4E4FAF"/>
    <w:rsid w:val="3E6B3DB3"/>
    <w:rsid w:val="3E73290A"/>
    <w:rsid w:val="3E9055C8"/>
    <w:rsid w:val="3EC461C9"/>
    <w:rsid w:val="3F0F473E"/>
    <w:rsid w:val="3F596C28"/>
    <w:rsid w:val="3F9B4387"/>
    <w:rsid w:val="3FEF2636"/>
    <w:rsid w:val="3FFD0015"/>
    <w:rsid w:val="3FFD4EDF"/>
    <w:rsid w:val="4009460B"/>
    <w:rsid w:val="401D0C62"/>
    <w:rsid w:val="402A6DF4"/>
    <w:rsid w:val="40662F7F"/>
    <w:rsid w:val="40B97058"/>
    <w:rsid w:val="40E12FE8"/>
    <w:rsid w:val="40E13F83"/>
    <w:rsid w:val="40ED2526"/>
    <w:rsid w:val="414D2792"/>
    <w:rsid w:val="415320C2"/>
    <w:rsid w:val="4157061F"/>
    <w:rsid w:val="41643196"/>
    <w:rsid w:val="41660E4D"/>
    <w:rsid w:val="416D61F7"/>
    <w:rsid w:val="418E1BF4"/>
    <w:rsid w:val="41A039FB"/>
    <w:rsid w:val="41C377F4"/>
    <w:rsid w:val="42220B4A"/>
    <w:rsid w:val="423F1AF4"/>
    <w:rsid w:val="425D063C"/>
    <w:rsid w:val="429733C9"/>
    <w:rsid w:val="42A052C8"/>
    <w:rsid w:val="430E7688"/>
    <w:rsid w:val="433D2B35"/>
    <w:rsid w:val="43CC52F4"/>
    <w:rsid w:val="43D971B1"/>
    <w:rsid w:val="4413504E"/>
    <w:rsid w:val="44370AE5"/>
    <w:rsid w:val="44375AB3"/>
    <w:rsid w:val="44C20D8F"/>
    <w:rsid w:val="44D97CC8"/>
    <w:rsid w:val="45351F4C"/>
    <w:rsid w:val="454728B0"/>
    <w:rsid w:val="45735181"/>
    <w:rsid w:val="45B912E4"/>
    <w:rsid w:val="45F4468E"/>
    <w:rsid w:val="462F48EC"/>
    <w:rsid w:val="463902F3"/>
    <w:rsid w:val="46417AF5"/>
    <w:rsid w:val="46601A21"/>
    <w:rsid w:val="467B6B5D"/>
    <w:rsid w:val="46A95795"/>
    <w:rsid w:val="46B67B95"/>
    <w:rsid w:val="46C40504"/>
    <w:rsid w:val="46DC75FC"/>
    <w:rsid w:val="4748551F"/>
    <w:rsid w:val="47797541"/>
    <w:rsid w:val="47884FE9"/>
    <w:rsid w:val="479036E6"/>
    <w:rsid w:val="4793420A"/>
    <w:rsid w:val="479928B9"/>
    <w:rsid w:val="47AC6A05"/>
    <w:rsid w:val="47EA7AF7"/>
    <w:rsid w:val="47EF335F"/>
    <w:rsid w:val="47FD3CCE"/>
    <w:rsid w:val="48254C34"/>
    <w:rsid w:val="48274C8F"/>
    <w:rsid w:val="48627FD5"/>
    <w:rsid w:val="487C33A3"/>
    <w:rsid w:val="48923A9B"/>
    <w:rsid w:val="48A04F67"/>
    <w:rsid w:val="48A87371"/>
    <w:rsid w:val="48AD660B"/>
    <w:rsid w:val="48BE3EB0"/>
    <w:rsid w:val="48D80297"/>
    <w:rsid w:val="48F52BF7"/>
    <w:rsid w:val="48FA7DB5"/>
    <w:rsid w:val="49050C83"/>
    <w:rsid w:val="490918C0"/>
    <w:rsid w:val="49094ECF"/>
    <w:rsid w:val="493F07FE"/>
    <w:rsid w:val="49736FDA"/>
    <w:rsid w:val="49AA1C33"/>
    <w:rsid w:val="49B52CB3"/>
    <w:rsid w:val="49E57878"/>
    <w:rsid w:val="49EB1754"/>
    <w:rsid w:val="4A020B0E"/>
    <w:rsid w:val="4A0F187A"/>
    <w:rsid w:val="4A2512BA"/>
    <w:rsid w:val="4A6873F9"/>
    <w:rsid w:val="4A963F66"/>
    <w:rsid w:val="4BBD5166"/>
    <w:rsid w:val="4BCC4DB0"/>
    <w:rsid w:val="4C09031F"/>
    <w:rsid w:val="4C3561F1"/>
    <w:rsid w:val="4C5A7366"/>
    <w:rsid w:val="4C9D15DC"/>
    <w:rsid w:val="4CE30971"/>
    <w:rsid w:val="4CE840AC"/>
    <w:rsid w:val="4D03140D"/>
    <w:rsid w:val="4D085950"/>
    <w:rsid w:val="4D645E9F"/>
    <w:rsid w:val="4D7B0486"/>
    <w:rsid w:val="4D823F55"/>
    <w:rsid w:val="4DA644C0"/>
    <w:rsid w:val="4DB4773B"/>
    <w:rsid w:val="4DCB407C"/>
    <w:rsid w:val="4DF96BA8"/>
    <w:rsid w:val="4DFF10DC"/>
    <w:rsid w:val="4E055563"/>
    <w:rsid w:val="4E0B6A19"/>
    <w:rsid w:val="4E2C3168"/>
    <w:rsid w:val="4E775E5C"/>
    <w:rsid w:val="4E7D4D4D"/>
    <w:rsid w:val="4E8209FF"/>
    <w:rsid w:val="4EAF41AD"/>
    <w:rsid w:val="4EB30ADE"/>
    <w:rsid w:val="4ECC57C7"/>
    <w:rsid w:val="4ED214E4"/>
    <w:rsid w:val="4EEA7926"/>
    <w:rsid w:val="4EED14A0"/>
    <w:rsid w:val="4F1D07B2"/>
    <w:rsid w:val="4F1D57D3"/>
    <w:rsid w:val="4F335573"/>
    <w:rsid w:val="4F4A531F"/>
    <w:rsid w:val="4F4D178A"/>
    <w:rsid w:val="4F622684"/>
    <w:rsid w:val="4F6B59C1"/>
    <w:rsid w:val="4F82180A"/>
    <w:rsid w:val="4FB539A7"/>
    <w:rsid w:val="4FF40E8B"/>
    <w:rsid w:val="501518A9"/>
    <w:rsid w:val="502826FD"/>
    <w:rsid w:val="502C701E"/>
    <w:rsid w:val="50526B81"/>
    <w:rsid w:val="5060129E"/>
    <w:rsid w:val="5064466C"/>
    <w:rsid w:val="50873ECF"/>
    <w:rsid w:val="50954F20"/>
    <w:rsid w:val="509B4084"/>
    <w:rsid w:val="50B2258E"/>
    <w:rsid w:val="50F97DF7"/>
    <w:rsid w:val="50FF0540"/>
    <w:rsid w:val="515F7D14"/>
    <w:rsid w:val="51734888"/>
    <w:rsid w:val="51A13A13"/>
    <w:rsid w:val="52426689"/>
    <w:rsid w:val="52595776"/>
    <w:rsid w:val="526879ED"/>
    <w:rsid w:val="52B14033"/>
    <w:rsid w:val="52B46AED"/>
    <w:rsid w:val="52CF6267"/>
    <w:rsid w:val="52D448ED"/>
    <w:rsid w:val="52EF4B5B"/>
    <w:rsid w:val="52F8236A"/>
    <w:rsid w:val="536559C0"/>
    <w:rsid w:val="53924A31"/>
    <w:rsid w:val="53BA5265"/>
    <w:rsid w:val="53FF492A"/>
    <w:rsid w:val="5480697A"/>
    <w:rsid w:val="54984970"/>
    <w:rsid w:val="549A4E87"/>
    <w:rsid w:val="54AF768F"/>
    <w:rsid w:val="54DB206D"/>
    <w:rsid w:val="54E44C9D"/>
    <w:rsid w:val="552503C0"/>
    <w:rsid w:val="553046B3"/>
    <w:rsid w:val="55384597"/>
    <w:rsid w:val="55410BF9"/>
    <w:rsid w:val="55414C8F"/>
    <w:rsid w:val="55C23AE2"/>
    <w:rsid w:val="55FA72D0"/>
    <w:rsid w:val="56164708"/>
    <w:rsid w:val="562E2EF9"/>
    <w:rsid w:val="565C2507"/>
    <w:rsid w:val="566A0DF9"/>
    <w:rsid w:val="56705FB3"/>
    <w:rsid w:val="567F5ADC"/>
    <w:rsid w:val="568D33A9"/>
    <w:rsid w:val="572A4E1F"/>
    <w:rsid w:val="57655DBD"/>
    <w:rsid w:val="577F4923"/>
    <w:rsid w:val="57967CD6"/>
    <w:rsid w:val="57B52184"/>
    <w:rsid w:val="57F00527"/>
    <w:rsid w:val="57F30ED5"/>
    <w:rsid w:val="58311772"/>
    <w:rsid w:val="58507E4A"/>
    <w:rsid w:val="58622433"/>
    <w:rsid w:val="5865762E"/>
    <w:rsid w:val="58AD1A29"/>
    <w:rsid w:val="58CA76EA"/>
    <w:rsid w:val="58FE1654"/>
    <w:rsid w:val="591470C9"/>
    <w:rsid w:val="593212FE"/>
    <w:rsid w:val="599807F7"/>
    <w:rsid w:val="599F6880"/>
    <w:rsid w:val="59B71921"/>
    <w:rsid w:val="5A1A7371"/>
    <w:rsid w:val="5A1D093B"/>
    <w:rsid w:val="5A6B01A4"/>
    <w:rsid w:val="5AC60A34"/>
    <w:rsid w:val="5AE96334"/>
    <w:rsid w:val="5AEF235A"/>
    <w:rsid w:val="5AF504DC"/>
    <w:rsid w:val="5B1F11EF"/>
    <w:rsid w:val="5B577086"/>
    <w:rsid w:val="5B7F6091"/>
    <w:rsid w:val="5B8749F4"/>
    <w:rsid w:val="5BAA2A50"/>
    <w:rsid w:val="5BB8152D"/>
    <w:rsid w:val="5BE307D8"/>
    <w:rsid w:val="5C0C22DA"/>
    <w:rsid w:val="5C3B2232"/>
    <w:rsid w:val="5C3F26AF"/>
    <w:rsid w:val="5C933840"/>
    <w:rsid w:val="5C9B567D"/>
    <w:rsid w:val="5CBD35D4"/>
    <w:rsid w:val="5D270949"/>
    <w:rsid w:val="5D2F0E22"/>
    <w:rsid w:val="5D3A4CF9"/>
    <w:rsid w:val="5D467A6D"/>
    <w:rsid w:val="5D5A26FF"/>
    <w:rsid w:val="5D6254EB"/>
    <w:rsid w:val="5DFB2606"/>
    <w:rsid w:val="5E590A60"/>
    <w:rsid w:val="5E9D1D6D"/>
    <w:rsid w:val="5EDA20B8"/>
    <w:rsid w:val="5EEF62FD"/>
    <w:rsid w:val="5EF64B7B"/>
    <w:rsid w:val="5F1216B0"/>
    <w:rsid w:val="5F4175C1"/>
    <w:rsid w:val="5F452CCB"/>
    <w:rsid w:val="5F572E51"/>
    <w:rsid w:val="5F9279B2"/>
    <w:rsid w:val="6060660E"/>
    <w:rsid w:val="606C77EB"/>
    <w:rsid w:val="60EC092C"/>
    <w:rsid w:val="61162463"/>
    <w:rsid w:val="611D1740"/>
    <w:rsid w:val="614E210A"/>
    <w:rsid w:val="61563010"/>
    <w:rsid w:val="61BF13D0"/>
    <w:rsid w:val="61C64CD9"/>
    <w:rsid w:val="61DE5900"/>
    <w:rsid w:val="61F20919"/>
    <w:rsid w:val="61F47485"/>
    <w:rsid w:val="621E0F7E"/>
    <w:rsid w:val="62206ADF"/>
    <w:rsid w:val="62300AF6"/>
    <w:rsid w:val="623B15D2"/>
    <w:rsid w:val="6253318F"/>
    <w:rsid w:val="625C73EB"/>
    <w:rsid w:val="62696B86"/>
    <w:rsid w:val="626D272C"/>
    <w:rsid w:val="6277164E"/>
    <w:rsid w:val="62BF7D78"/>
    <w:rsid w:val="62FD2D82"/>
    <w:rsid w:val="636263E4"/>
    <w:rsid w:val="638E5F28"/>
    <w:rsid w:val="63913F53"/>
    <w:rsid w:val="6399176A"/>
    <w:rsid w:val="63A159FD"/>
    <w:rsid w:val="63BC2B22"/>
    <w:rsid w:val="64356146"/>
    <w:rsid w:val="643D1308"/>
    <w:rsid w:val="64666B37"/>
    <w:rsid w:val="64870CE6"/>
    <w:rsid w:val="649E14ED"/>
    <w:rsid w:val="64B1686B"/>
    <w:rsid w:val="64C432EC"/>
    <w:rsid w:val="64C5571C"/>
    <w:rsid w:val="64E67E3E"/>
    <w:rsid w:val="651C1188"/>
    <w:rsid w:val="652F6714"/>
    <w:rsid w:val="656E31E5"/>
    <w:rsid w:val="65851880"/>
    <w:rsid w:val="659C54C1"/>
    <w:rsid w:val="65B118F1"/>
    <w:rsid w:val="65D629B4"/>
    <w:rsid w:val="66081D64"/>
    <w:rsid w:val="66292CD9"/>
    <w:rsid w:val="662A5F7E"/>
    <w:rsid w:val="6643320F"/>
    <w:rsid w:val="66690B37"/>
    <w:rsid w:val="66A75A53"/>
    <w:rsid w:val="66AD4AEC"/>
    <w:rsid w:val="66C51A03"/>
    <w:rsid w:val="66E14904"/>
    <w:rsid w:val="66E42D65"/>
    <w:rsid w:val="67033415"/>
    <w:rsid w:val="67506BEB"/>
    <w:rsid w:val="675E48FC"/>
    <w:rsid w:val="678338A3"/>
    <w:rsid w:val="67B45394"/>
    <w:rsid w:val="67D03393"/>
    <w:rsid w:val="67E13745"/>
    <w:rsid w:val="681D03B1"/>
    <w:rsid w:val="685D03A5"/>
    <w:rsid w:val="68923B67"/>
    <w:rsid w:val="689B6EBF"/>
    <w:rsid w:val="68CC2497"/>
    <w:rsid w:val="68F84BDD"/>
    <w:rsid w:val="69487159"/>
    <w:rsid w:val="695418C6"/>
    <w:rsid w:val="69A21516"/>
    <w:rsid w:val="69F50851"/>
    <w:rsid w:val="69F628F4"/>
    <w:rsid w:val="6A464C09"/>
    <w:rsid w:val="6A4965A1"/>
    <w:rsid w:val="6A531DD1"/>
    <w:rsid w:val="6A5F2684"/>
    <w:rsid w:val="6A62486A"/>
    <w:rsid w:val="6AA83F04"/>
    <w:rsid w:val="6AB46793"/>
    <w:rsid w:val="6AD95DBE"/>
    <w:rsid w:val="6AEA5EDC"/>
    <w:rsid w:val="6B1B6095"/>
    <w:rsid w:val="6B3B4599"/>
    <w:rsid w:val="6B7B6B34"/>
    <w:rsid w:val="6B8C2AEF"/>
    <w:rsid w:val="6BB37AA8"/>
    <w:rsid w:val="6BFE3D94"/>
    <w:rsid w:val="6BFF530D"/>
    <w:rsid w:val="6BFF769B"/>
    <w:rsid w:val="6C0055D4"/>
    <w:rsid w:val="6C0452F0"/>
    <w:rsid w:val="6C076999"/>
    <w:rsid w:val="6C515AE7"/>
    <w:rsid w:val="6C7B5C9E"/>
    <w:rsid w:val="6CB8656E"/>
    <w:rsid w:val="6CD15B00"/>
    <w:rsid w:val="6CDA4B5F"/>
    <w:rsid w:val="6CDC7AA6"/>
    <w:rsid w:val="6D0A6B1E"/>
    <w:rsid w:val="6D83692E"/>
    <w:rsid w:val="6D945BD2"/>
    <w:rsid w:val="6D9D7236"/>
    <w:rsid w:val="6DE345CC"/>
    <w:rsid w:val="6E1E7639"/>
    <w:rsid w:val="6E236C5F"/>
    <w:rsid w:val="6EAC74C7"/>
    <w:rsid w:val="6EEE5E8C"/>
    <w:rsid w:val="6F0B0F46"/>
    <w:rsid w:val="6F22575E"/>
    <w:rsid w:val="6F715F30"/>
    <w:rsid w:val="6FB03FF6"/>
    <w:rsid w:val="6FF330B2"/>
    <w:rsid w:val="70215733"/>
    <w:rsid w:val="70631707"/>
    <w:rsid w:val="708D657F"/>
    <w:rsid w:val="70A011AB"/>
    <w:rsid w:val="70A369B7"/>
    <w:rsid w:val="70AE6124"/>
    <w:rsid w:val="70DC62C7"/>
    <w:rsid w:val="70E94540"/>
    <w:rsid w:val="711452F5"/>
    <w:rsid w:val="71422650"/>
    <w:rsid w:val="71837A31"/>
    <w:rsid w:val="71A26456"/>
    <w:rsid w:val="71F72C8D"/>
    <w:rsid w:val="72007D93"/>
    <w:rsid w:val="722B3491"/>
    <w:rsid w:val="72435ED2"/>
    <w:rsid w:val="72594BA8"/>
    <w:rsid w:val="725F37D1"/>
    <w:rsid w:val="72820EAE"/>
    <w:rsid w:val="72914998"/>
    <w:rsid w:val="729B7ABC"/>
    <w:rsid w:val="72C36CAA"/>
    <w:rsid w:val="72C84B4E"/>
    <w:rsid w:val="73024BE5"/>
    <w:rsid w:val="73106098"/>
    <w:rsid w:val="73307C13"/>
    <w:rsid w:val="733168E2"/>
    <w:rsid w:val="7342659B"/>
    <w:rsid w:val="735E35D4"/>
    <w:rsid w:val="737A3B75"/>
    <w:rsid w:val="73CA0460"/>
    <w:rsid w:val="73D30734"/>
    <w:rsid w:val="73D657E8"/>
    <w:rsid w:val="743F7D01"/>
    <w:rsid w:val="747E1443"/>
    <w:rsid w:val="74885F06"/>
    <w:rsid w:val="749E34E5"/>
    <w:rsid w:val="74AC4670"/>
    <w:rsid w:val="74E72067"/>
    <w:rsid w:val="75061AC9"/>
    <w:rsid w:val="751F3575"/>
    <w:rsid w:val="753E29C1"/>
    <w:rsid w:val="754D4D58"/>
    <w:rsid w:val="75863F12"/>
    <w:rsid w:val="758D0C35"/>
    <w:rsid w:val="758E11CE"/>
    <w:rsid w:val="759575E3"/>
    <w:rsid w:val="75A5099F"/>
    <w:rsid w:val="75BF14D2"/>
    <w:rsid w:val="75BF27F5"/>
    <w:rsid w:val="75E75B47"/>
    <w:rsid w:val="76365F8B"/>
    <w:rsid w:val="76472199"/>
    <w:rsid w:val="76892D27"/>
    <w:rsid w:val="76A92EA3"/>
    <w:rsid w:val="76CD04E1"/>
    <w:rsid w:val="76DB2B7D"/>
    <w:rsid w:val="76DE48C7"/>
    <w:rsid w:val="779B5BC9"/>
    <w:rsid w:val="77C17B3F"/>
    <w:rsid w:val="77C27899"/>
    <w:rsid w:val="782D19E6"/>
    <w:rsid w:val="7866291A"/>
    <w:rsid w:val="78704EAB"/>
    <w:rsid w:val="78886D34"/>
    <w:rsid w:val="78BD36C3"/>
    <w:rsid w:val="78F24E38"/>
    <w:rsid w:val="79255191"/>
    <w:rsid w:val="79516830"/>
    <w:rsid w:val="79690914"/>
    <w:rsid w:val="79A261BA"/>
    <w:rsid w:val="7A1E0F39"/>
    <w:rsid w:val="7A2769BC"/>
    <w:rsid w:val="7A5B370E"/>
    <w:rsid w:val="7AA240DD"/>
    <w:rsid w:val="7AAA2635"/>
    <w:rsid w:val="7AF13D30"/>
    <w:rsid w:val="7BAF4748"/>
    <w:rsid w:val="7BD62AB9"/>
    <w:rsid w:val="7C1C1C6D"/>
    <w:rsid w:val="7C62373C"/>
    <w:rsid w:val="7CB75E39"/>
    <w:rsid w:val="7D1961AD"/>
    <w:rsid w:val="7D20578D"/>
    <w:rsid w:val="7D3A5965"/>
    <w:rsid w:val="7D4832A6"/>
    <w:rsid w:val="7D5B16A9"/>
    <w:rsid w:val="7D641B1E"/>
    <w:rsid w:val="7D717D97"/>
    <w:rsid w:val="7D8A4E8A"/>
    <w:rsid w:val="7DC9082F"/>
    <w:rsid w:val="7DEB77F6"/>
    <w:rsid w:val="7E0F7090"/>
    <w:rsid w:val="7E1F3AB5"/>
    <w:rsid w:val="7E2779CC"/>
    <w:rsid w:val="7E406909"/>
    <w:rsid w:val="7E505BFE"/>
    <w:rsid w:val="7E730245"/>
    <w:rsid w:val="7EEA05E4"/>
    <w:rsid w:val="7EFF7C24"/>
    <w:rsid w:val="7F0A2F09"/>
    <w:rsid w:val="7F1774C8"/>
    <w:rsid w:val="7F22523B"/>
    <w:rsid w:val="7F3B2A7C"/>
    <w:rsid w:val="7F550DC7"/>
    <w:rsid w:val="7FA34120"/>
    <w:rsid w:val="7FA93818"/>
    <w:rsid w:val="7FBD539F"/>
    <w:rsid w:val="7FF302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53"/>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3">
    <w:name w:val="heading 2"/>
    <w:basedOn w:val="1"/>
    <w:next w:val="1"/>
    <w:link w:val="54"/>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4">
    <w:name w:val="heading 3"/>
    <w:basedOn w:val="1"/>
    <w:next w:val="1"/>
    <w:link w:val="55"/>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5">
    <w:name w:val="heading 4"/>
    <w:basedOn w:val="1"/>
    <w:next w:val="1"/>
    <w:link w:val="56"/>
    <w:qFormat/>
    <w:uiPriority w:val="99"/>
    <w:pPr>
      <w:keepNext/>
      <w:keepLines/>
      <w:numPr>
        <w:ilvl w:val="3"/>
        <w:numId w:val="1"/>
      </w:numPr>
      <w:ind w:firstLine="0" w:firstLineChars="0"/>
      <w:jc w:val="left"/>
      <w:outlineLvl w:val="3"/>
    </w:pPr>
    <w:rPr>
      <w:rFonts w:ascii="黑体" w:hAnsi="黑体" w:eastAsia="黑体"/>
      <w:szCs w:val="24"/>
      <w:lang w:val="zh-CN"/>
    </w:rPr>
  </w:style>
  <w:style w:type="paragraph" w:styleId="6">
    <w:name w:val="heading 5"/>
    <w:basedOn w:val="1"/>
    <w:next w:val="1"/>
    <w:link w:val="57"/>
    <w:qFormat/>
    <w:uiPriority w:val="0"/>
    <w:pPr>
      <w:keepNext/>
      <w:keepLines/>
      <w:numPr>
        <w:ilvl w:val="4"/>
        <w:numId w:val="1"/>
      </w:numPr>
      <w:ind w:firstLine="0" w:firstLineChars="0"/>
      <w:jc w:val="left"/>
      <w:outlineLvl w:val="4"/>
    </w:pPr>
    <w:rPr>
      <w:rFonts w:ascii="黑体" w:hAnsi="黑体" w:eastAsia="黑体"/>
      <w:szCs w:val="24"/>
      <w:lang w:val="zh-CN"/>
    </w:rPr>
  </w:style>
  <w:style w:type="paragraph" w:styleId="7">
    <w:name w:val="heading 6"/>
    <w:basedOn w:val="1"/>
    <w:next w:val="1"/>
    <w:link w:val="58"/>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8">
    <w:name w:val="heading 7"/>
    <w:basedOn w:val="1"/>
    <w:next w:val="1"/>
    <w:link w:val="59"/>
    <w:qFormat/>
    <w:uiPriority w:val="0"/>
    <w:pPr>
      <w:keepNext/>
      <w:keepLines/>
      <w:spacing w:before="240" w:after="64" w:line="320" w:lineRule="auto"/>
      <w:ind w:firstLine="0" w:firstLineChars="0"/>
      <w:outlineLvl w:val="6"/>
    </w:pPr>
    <w:rPr>
      <w:b/>
      <w:bCs/>
      <w:kern w:val="0"/>
      <w:szCs w:val="24"/>
    </w:rPr>
  </w:style>
  <w:style w:type="paragraph" w:styleId="9">
    <w:name w:val="heading 8"/>
    <w:basedOn w:val="1"/>
    <w:next w:val="1"/>
    <w:link w:val="60"/>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0">
    <w:name w:val="heading 9"/>
    <w:basedOn w:val="1"/>
    <w:next w:val="1"/>
    <w:link w:val="61"/>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index 8"/>
    <w:basedOn w:val="1"/>
    <w:next w:val="1"/>
    <w:qFormat/>
    <w:uiPriority w:val="0"/>
    <w:pPr>
      <w:spacing w:line="240" w:lineRule="auto"/>
      <w:ind w:left="2940" w:firstLine="0" w:firstLineChars="0"/>
    </w:pPr>
    <w:rPr>
      <w:sz w:val="21"/>
      <w:szCs w:val="24"/>
    </w:rPr>
  </w:style>
  <w:style w:type="paragraph" w:styleId="12">
    <w:name w:val="List Number"/>
    <w:basedOn w:val="1"/>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3">
    <w:name w:val="Normal Indent"/>
    <w:basedOn w:val="1"/>
    <w:next w:val="14"/>
    <w:link w:val="62"/>
    <w:qFormat/>
    <w:uiPriority w:val="0"/>
    <w:pPr>
      <w:spacing w:line="240" w:lineRule="auto"/>
      <w:ind w:firstLine="420" w:firstLineChars="0"/>
    </w:pPr>
    <w:rPr>
      <w:sz w:val="21"/>
      <w:szCs w:val="20"/>
    </w:rPr>
  </w:style>
  <w:style w:type="paragraph" w:styleId="14">
    <w:name w:val="Body Text Indent"/>
    <w:basedOn w:val="1"/>
    <w:next w:val="13"/>
    <w:link w:val="68"/>
    <w:unhideWhenUsed/>
    <w:qFormat/>
    <w:uiPriority w:val="0"/>
    <w:pPr>
      <w:spacing w:after="120" w:line="240" w:lineRule="auto"/>
      <w:ind w:left="420" w:leftChars="200" w:firstLine="0" w:firstLineChars="0"/>
    </w:pPr>
    <w:rPr>
      <w:sz w:val="21"/>
      <w:szCs w:val="24"/>
    </w:rPr>
  </w:style>
  <w:style w:type="paragraph" w:styleId="15">
    <w:name w:val="caption"/>
    <w:basedOn w:val="1"/>
    <w:next w:val="1"/>
    <w:qFormat/>
    <w:uiPriority w:val="0"/>
    <w:pPr>
      <w:ind w:firstLine="0" w:firstLineChars="0"/>
      <w:jc w:val="center"/>
    </w:pPr>
    <w:rPr>
      <w:rFonts w:ascii="Cambria" w:hAnsi="Cambria" w:eastAsia="黑体"/>
      <w:sz w:val="20"/>
      <w:szCs w:val="20"/>
    </w:rPr>
  </w:style>
  <w:style w:type="paragraph" w:styleId="16">
    <w:name w:val="Document Map"/>
    <w:basedOn w:val="1"/>
    <w:link w:val="63"/>
    <w:unhideWhenUsed/>
    <w:qFormat/>
    <w:uiPriority w:val="0"/>
    <w:pPr>
      <w:spacing w:line="240" w:lineRule="auto"/>
      <w:ind w:firstLine="0" w:firstLineChars="0"/>
    </w:pPr>
    <w:rPr>
      <w:rFonts w:ascii="宋体"/>
      <w:sz w:val="18"/>
      <w:szCs w:val="18"/>
    </w:rPr>
  </w:style>
  <w:style w:type="paragraph" w:styleId="17">
    <w:name w:val="annotation text"/>
    <w:basedOn w:val="1"/>
    <w:link w:val="64"/>
    <w:unhideWhenUsed/>
    <w:qFormat/>
    <w:uiPriority w:val="99"/>
    <w:pPr>
      <w:jc w:val="left"/>
    </w:pPr>
    <w:rPr>
      <w:kern w:val="0"/>
      <w:szCs w:val="20"/>
    </w:rPr>
  </w:style>
  <w:style w:type="paragraph" w:styleId="18">
    <w:name w:val="Body Text 3"/>
    <w:basedOn w:val="1"/>
    <w:link w:val="65"/>
    <w:qFormat/>
    <w:uiPriority w:val="0"/>
    <w:pPr>
      <w:spacing w:line="240" w:lineRule="exact"/>
      <w:ind w:firstLine="0" w:firstLineChars="0"/>
    </w:pPr>
    <w:rPr>
      <w:rFonts w:ascii="宋体" w:hAnsi="宋体"/>
      <w:color w:val="000000"/>
      <w:sz w:val="21"/>
      <w:szCs w:val="21"/>
    </w:rPr>
  </w:style>
  <w:style w:type="paragraph" w:styleId="19">
    <w:name w:val="Body Text"/>
    <w:basedOn w:val="1"/>
    <w:link w:val="66"/>
    <w:qFormat/>
    <w:uiPriority w:val="99"/>
    <w:pPr>
      <w:autoSpaceDE w:val="0"/>
      <w:autoSpaceDN w:val="0"/>
      <w:spacing w:line="240" w:lineRule="auto"/>
      <w:ind w:left="252" w:firstLine="0" w:firstLineChars="0"/>
      <w:jc w:val="left"/>
    </w:pPr>
    <w:rPr>
      <w:rFonts w:ascii="宋体" w:hAnsi="宋体" w:cs="宋体"/>
      <w:kern w:val="0"/>
      <w:sz w:val="20"/>
      <w:szCs w:val="21"/>
      <w:lang w:val="zh-CN" w:bidi="zh-CN"/>
    </w:rPr>
  </w:style>
  <w:style w:type="paragraph" w:styleId="20">
    <w:name w:val="List Number 3"/>
    <w:basedOn w:val="1"/>
    <w:qFormat/>
    <w:uiPriority w:val="0"/>
    <w:pPr>
      <w:tabs>
        <w:tab w:val="left" w:pos="1350"/>
      </w:tabs>
      <w:spacing w:line="240" w:lineRule="auto"/>
      <w:ind w:left="1350" w:hanging="720" w:firstLineChars="0"/>
    </w:pPr>
    <w:rPr>
      <w:sz w:val="21"/>
      <w:szCs w:val="24"/>
    </w:rPr>
  </w:style>
  <w:style w:type="paragraph" w:styleId="21">
    <w:name w:val="List 2"/>
    <w:basedOn w:val="1"/>
    <w:qFormat/>
    <w:uiPriority w:val="0"/>
    <w:pPr>
      <w:spacing w:line="240" w:lineRule="auto"/>
      <w:ind w:left="100" w:leftChars="200" w:hanging="200" w:hangingChars="200"/>
    </w:pPr>
    <w:rPr>
      <w:sz w:val="28"/>
      <w:szCs w:val="24"/>
    </w:rPr>
  </w:style>
  <w:style w:type="paragraph" w:styleId="22">
    <w:name w:val="Block Text"/>
    <w:basedOn w:val="1"/>
    <w:qFormat/>
    <w:uiPriority w:val="99"/>
    <w:pPr>
      <w:adjustRightInd w:val="0"/>
      <w:spacing w:line="240" w:lineRule="auto"/>
      <w:ind w:left="420" w:right="33" w:firstLine="0" w:firstLineChars="0"/>
      <w:jc w:val="left"/>
      <w:textAlignment w:val="baseline"/>
    </w:pPr>
    <w:rPr>
      <w:kern w:val="0"/>
      <w:szCs w:val="20"/>
    </w:rPr>
  </w:style>
  <w:style w:type="paragraph" w:styleId="23">
    <w:name w:val="toc 3"/>
    <w:basedOn w:val="1"/>
    <w:next w:val="1"/>
    <w:unhideWhenUsed/>
    <w:qFormat/>
    <w:uiPriority w:val="39"/>
    <w:pPr>
      <w:ind w:left="840" w:leftChars="400" w:firstLine="0" w:firstLineChars="0"/>
    </w:pPr>
    <w:rPr>
      <w:rFonts w:ascii="Calibri" w:hAnsi="Calibri"/>
    </w:rPr>
  </w:style>
  <w:style w:type="paragraph" w:styleId="24">
    <w:name w:val="Plain Text"/>
    <w:basedOn w:val="1"/>
    <w:next w:val="11"/>
    <w:link w:val="69"/>
    <w:qFormat/>
    <w:uiPriority w:val="99"/>
    <w:pPr>
      <w:spacing w:line="460" w:lineRule="exact"/>
      <w:ind w:firstLine="0" w:firstLineChars="0"/>
    </w:pPr>
    <w:rPr>
      <w:kern w:val="0"/>
      <w:szCs w:val="20"/>
      <w:lang w:val="en-GB"/>
    </w:rPr>
  </w:style>
  <w:style w:type="paragraph" w:styleId="25">
    <w:name w:val="Date"/>
    <w:basedOn w:val="1"/>
    <w:next w:val="1"/>
    <w:link w:val="70"/>
    <w:unhideWhenUsed/>
    <w:qFormat/>
    <w:uiPriority w:val="0"/>
    <w:pPr>
      <w:ind w:left="100" w:leftChars="2500"/>
    </w:pPr>
    <w:rPr>
      <w:kern w:val="0"/>
      <w:szCs w:val="20"/>
    </w:rPr>
  </w:style>
  <w:style w:type="paragraph" w:styleId="26">
    <w:name w:val="Body Text Indent 2"/>
    <w:basedOn w:val="1"/>
    <w:link w:val="71"/>
    <w:unhideWhenUsed/>
    <w:qFormat/>
    <w:uiPriority w:val="0"/>
    <w:pPr>
      <w:spacing w:after="120" w:line="480" w:lineRule="auto"/>
      <w:ind w:left="420" w:leftChars="200" w:firstLine="0" w:firstLineChars="0"/>
    </w:pPr>
    <w:rPr>
      <w:sz w:val="21"/>
      <w:szCs w:val="20"/>
    </w:rPr>
  </w:style>
  <w:style w:type="paragraph" w:styleId="27">
    <w:name w:val="Balloon Text"/>
    <w:basedOn w:val="1"/>
    <w:link w:val="72"/>
    <w:unhideWhenUsed/>
    <w:qFormat/>
    <w:uiPriority w:val="0"/>
    <w:pPr>
      <w:spacing w:line="240" w:lineRule="auto"/>
    </w:pPr>
    <w:rPr>
      <w:kern w:val="0"/>
      <w:sz w:val="18"/>
      <w:szCs w:val="18"/>
    </w:rPr>
  </w:style>
  <w:style w:type="paragraph" w:styleId="28">
    <w:name w:val="footer"/>
    <w:basedOn w:val="1"/>
    <w:link w:val="73"/>
    <w:unhideWhenUsed/>
    <w:qFormat/>
    <w:uiPriority w:val="99"/>
    <w:pPr>
      <w:tabs>
        <w:tab w:val="center" w:pos="4153"/>
        <w:tab w:val="right" w:pos="8306"/>
      </w:tabs>
      <w:snapToGrid w:val="0"/>
      <w:jc w:val="left"/>
    </w:pPr>
    <w:rPr>
      <w:kern w:val="0"/>
      <w:sz w:val="18"/>
      <w:szCs w:val="18"/>
    </w:rPr>
  </w:style>
  <w:style w:type="paragraph" w:styleId="29">
    <w:name w:val="header"/>
    <w:basedOn w:val="1"/>
    <w:link w:val="74"/>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ind w:firstLine="0" w:firstLineChars="0"/>
    </w:pPr>
    <w:rPr>
      <w:rFonts w:ascii="Calibri" w:hAnsi="Calibri"/>
      <w:b/>
    </w:rPr>
  </w:style>
  <w:style w:type="paragraph" w:styleId="31">
    <w:name w:val="toc 4"/>
    <w:basedOn w:val="1"/>
    <w:next w:val="1"/>
    <w:qFormat/>
    <w:uiPriority w:val="39"/>
    <w:pPr>
      <w:spacing w:line="240" w:lineRule="auto"/>
      <w:ind w:left="630" w:firstLine="0" w:firstLineChars="0"/>
      <w:jc w:val="left"/>
    </w:pPr>
    <w:rPr>
      <w:sz w:val="18"/>
      <w:szCs w:val="18"/>
    </w:rPr>
  </w:style>
  <w:style w:type="paragraph" w:styleId="32">
    <w:name w:val="List"/>
    <w:basedOn w:val="1"/>
    <w:qFormat/>
    <w:uiPriority w:val="0"/>
    <w:pPr>
      <w:spacing w:line="240" w:lineRule="auto"/>
      <w:ind w:left="200" w:hanging="200" w:hangingChars="200"/>
    </w:pPr>
    <w:rPr>
      <w:sz w:val="28"/>
      <w:szCs w:val="24"/>
    </w:rPr>
  </w:style>
  <w:style w:type="paragraph" w:styleId="33">
    <w:name w:val="List 5"/>
    <w:basedOn w:val="1"/>
    <w:qFormat/>
    <w:uiPriority w:val="0"/>
    <w:pPr>
      <w:spacing w:line="240" w:lineRule="auto"/>
      <w:ind w:left="2100" w:hanging="420" w:firstLineChars="0"/>
    </w:pPr>
    <w:rPr>
      <w:sz w:val="21"/>
      <w:szCs w:val="20"/>
    </w:rPr>
  </w:style>
  <w:style w:type="paragraph" w:styleId="34">
    <w:name w:val="Body Text Indent 3"/>
    <w:basedOn w:val="1"/>
    <w:link w:val="75"/>
    <w:unhideWhenUsed/>
    <w:qFormat/>
    <w:uiPriority w:val="0"/>
    <w:pPr>
      <w:spacing w:after="120" w:line="240" w:lineRule="auto"/>
      <w:ind w:left="420" w:leftChars="200" w:firstLine="0" w:firstLineChars="0"/>
    </w:pPr>
    <w:rPr>
      <w:sz w:val="16"/>
      <w:szCs w:val="16"/>
    </w:rPr>
  </w:style>
  <w:style w:type="paragraph" w:styleId="35">
    <w:name w:val="toc 2"/>
    <w:basedOn w:val="1"/>
    <w:next w:val="1"/>
    <w:unhideWhenUsed/>
    <w:qFormat/>
    <w:uiPriority w:val="39"/>
    <w:pPr>
      <w:ind w:left="420" w:leftChars="200" w:firstLine="0" w:firstLineChars="0"/>
    </w:pPr>
    <w:rPr>
      <w:rFonts w:ascii="Calibri" w:hAnsi="Calibri"/>
    </w:rPr>
  </w:style>
  <w:style w:type="paragraph" w:styleId="36">
    <w:name w:val="Body Text 2"/>
    <w:basedOn w:val="1"/>
    <w:link w:val="76"/>
    <w:qFormat/>
    <w:uiPriority w:val="0"/>
    <w:pPr>
      <w:spacing w:after="120" w:line="480" w:lineRule="auto"/>
      <w:ind w:firstLine="0" w:firstLineChars="0"/>
    </w:pPr>
    <w:rPr>
      <w:sz w:val="21"/>
      <w:szCs w:val="24"/>
    </w:rPr>
  </w:style>
  <w:style w:type="paragraph" w:styleId="37">
    <w:name w:val="HTML Preformatted"/>
    <w:basedOn w:val="1"/>
    <w:link w:val="7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38">
    <w:name w:val="Normal (Web)"/>
    <w:basedOn w:val="1"/>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9">
    <w:name w:val="index 1"/>
    <w:basedOn w:val="1"/>
    <w:next w:val="1"/>
    <w:semiHidden/>
    <w:qFormat/>
    <w:uiPriority w:val="0"/>
    <w:pPr>
      <w:spacing w:line="400" w:lineRule="exact"/>
      <w:ind w:firstLine="420"/>
    </w:pPr>
    <w:rPr>
      <w:rFonts w:ascii="宋体" w:hAnsi="Courier New"/>
      <w:b/>
      <w:sz w:val="21"/>
      <w:szCs w:val="20"/>
    </w:rPr>
  </w:style>
  <w:style w:type="paragraph" w:styleId="40">
    <w:name w:val="Title"/>
    <w:basedOn w:val="1"/>
    <w:next w:val="1"/>
    <w:link w:val="67"/>
    <w:qFormat/>
    <w:uiPriority w:val="0"/>
    <w:pPr>
      <w:spacing w:before="240" w:after="60" w:line="240" w:lineRule="auto"/>
      <w:ind w:firstLine="0" w:firstLineChars="0"/>
      <w:jc w:val="center"/>
      <w:outlineLvl w:val="0"/>
    </w:pPr>
    <w:rPr>
      <w:rFonts w:ascii="Cambria" w:hAnsi="Cambria"/>
      <w:b/>
      <w:bCs/>
      <w:sz w:val="32"/>
      <w:szCs w:val="32"/>
    </w:rPr>
  </w:style>
  <w:style w:type="paragraph" w:styleId="41">
    <w:name w:val="annotation subject"/>
    <w:basedOn w:val="17"/>
    <w:next w:val="17"/>
    <w:link w:val="78"/>
    <w:unhideWhenUsed/>
    <w:qFormat/>
    <w:uiPriority w:val="0"/>
    <w:rPr>
      <w:b/>
      <w:bCs/>
      <w:sz w:val="20"/>
    </w:rPr>
  </w:style>
  <w:style w:type="paragraph" w:styleId="42">
    <w:name w:val="Body Text First Indent 2"/>
    <w:basedOn w:val="14"/>
    <w:link w:val="79"/>
    <w:unhideWhenUsed/>
    <w:qFormat/>
    <w:uiPriority w:val="0"/>
    <w:pPr>
      <w:ind w:firstLine="420" w:firstLineChars="200"/>
    </w:pPr>
    <w:rPr>
      <w:kern w:val="0"/>
    </w:rPr>
  </w:style>
  <w:style w:type="table" w:styleId="44">
    <w:name w:val="Table Grid"/>
    <w:basedOn w:val="4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qFormat/>
    <w:uiPriority w:val="0"/>
  </w:style>
  <w:style w:type="character" w:styleId="48">
    <w:name w:val="FollowedHyperlink"/>
    <w:unhideWhenUsed/>
    <w:qFormat/>
    <w:uiPriority w:val="0"/>
    <w:rPr>
      <w:color w:val="800080"/>
      <w:u w:val="single"/>
    </w:rPr>
  </w:style>
  <w:style w:type="character" w:styleId="49">
    <w:name w:val="Emphasis"/>
    <w:qFormat/>
    <w:uiPriority w:val="0"/>
  </w:style>
  <w:style w:type="character" w:styleId="50">
    <w:name w:val="Hyperlink"/>
    <w:unhideWhenUsed/>
    <w:qFormat/>
    <w:uiPriority w:val="99"/>
    <w:rPr>
      <w:color w:val="0000FF"/>
      <w:u w:val="single"/>
    </w:rPr>
  </w:style>
  <w:style w:type="character" w:styleId="51">
    <w:name w:val="annotation reference"/>
    <w:unhideWhenUsed/>
    <w:qFormat/>
    <w:uiPriority w:val="99"/>
    <w:rPr>
      <w:sz w:val="21"/>
      <w:szCs w:val="21"/>
    </w:rPr>
  </w:style>
  <w:style w:type="character" w:styleId="52">
    <w:name w:val="HTML Cite"/>
    <w:basedOn w:val="45"/>
    <w:semiHidden/>
    <w:unhideWhenUsed/>
    <w:qFormat/>
    <w:uiPriority w:val="99"/>
    <w:rPr>
      <w:color w:val="008000"/>
    </w:rPr>
  </w:style>
  <w:style w:type="character" w:customStyle="1" w:styleId="53">
    <w:name w:val="标题 1 字符"/>
    <w:link w:val="2"/>
    <w:qFormat/>
    <w:uiPriority w:val="0"/>
    <w:rPr>
      <w:rFonts w:ascii="黑体" w:hAnsi="黑体" w:eastAsia="黑体"/>
      <w:b/>
      <w:bCs/>
      <w:kern w:val="44"/>
      <w:sz w:val="28"/>
      <w:szCs w:val="28"/>
      <w:lang w:val="zh-CN"/>
    </w:rPr>
  </w:style>
  <w:style w:type="character" w:customStyle="1" w:styleId="54">
    <w:name w:val="标题 2 字符"/>
    <w:link w:val="3"/>
    <w:qFormat/>
    <w:uiPriority w:val="0"/>
    <w:rPr>
      <w:rFonts w:ascii="黑体" w:hAnsi="黑体" w:eastAsia="黑体"/>
      <w:b/>
      <w:bCs/>
      <w:kern w:val="2"/>
      <w:sz w:val="24"/>
      <w:szCs w:val="24"/>
      <w:lang w:val="zh-CN"/>
    </w:rPr>
  </w:style>
  <w:style w:type="character" w:customStyle="1" w:styleId="55">
    <w:name w:val="标题 3 字符"/>
    <w:link w:val="4"/>
    <w:qFormat/>
    <w:uiPriority w:val="0"/>
    <w:rPr>
      <w:rFonts w:ascii="黑体" w:hAnsi="黑体" w:eastAsia="黑体"/>
      <w:b/>
      <w:bCs/>
      <w:kern w:val="2"/>
      <w:sz w:val="24"/>
      <w:szCs w:val="24"/>
      <w:lang w:val="zh-CN"/>
    </w:rPr>
  </w:style>
  <w:style w:type="character" w:customStyle="1" w:styleId="56">
    <w:name w:val="标题 4 字符"/>
    <w:link w:val="5"/>
    <w:qFormat/>
    <w:uiPriority w:val="99"/>
    <w:rPr>
      <w:rFonts w:ascii="黑体" w:hAnsi="黑体" w:eastAsia="黑体"/>
      <w:kern w:val="2"/>
      <w:sz w:val="24"/>
      <w:szCs w:val="24"/>
      <w:lang w:val="zh-CN"/>
    </w:rPr>
  </w:style>
  <w:style w:type="character" w:customStyle="1" w:styleId="57">
    <w:name w:val="标题 5 字符"/>
    <w:link w:val="6"/>
    <w:qFormat/>
    <w:uiPriority w:val="0"/>
    <w:rPr>
      <w:rFonts w:ascii="黑体" w:hAnsi="黑体" w:eastAsia="黑体"/>
      <w:kern w:val="2"/>
      <w:sz w:val="24"/>
      <w:szCs w:val="24"/>
      <w:lang w:val="zh-CN"/>
    </w:rPr>
  </w:style>
  <w:style w:type="character" w:customStyle="1" w:styleId="58">
    <w:name w:val="标题 6 字符"/>
    <w:link w:val="7"/>
    <w:qFormat/>
    <w:uiPriority w:val="0"/>
    <w:rPr>
      <w:rFonts w:ascii="黑体" w:hAnsi="黑体" w:eastAsia="黑体"/>
      <w:kern w:val="2"/>
      <w:sz w:val="24"/>
      <w:szCs w:val="24"/>
      <w:lang w:val="zh-CN"/>
    </w:rPr>
  </w:style>
  <w:style w:type="character" w:customStyle="1" w:styleId="59">
    <w:name w:val="标题 7 字符"/>
    <w:link w:val="8"/>
    <w:qFormat/>
    <w:uiPriority w:val="0"/>
    <w:rPr>
      <w:rFonts w:eastAsia="宋体"/>
      <w:b/>
      <w:bCs/>
      <w:sz w:val="24"/>
      <w:szCs w:val="24"/>
    </w:rPr>
  </w:style>
  <w:style w:type="character" w:customStyle="1" w:styleId="60">
    <w:name w:val="标题 8 字符"/>
    <w:link w:val="9"/>
    <w:qFormat/>
    <w:uiPriority w:val="9"/>
    <w:rPr>
      <w:rFonts w:ascii="Cambria" w:hAnsi="Cambria"/>
      <w:kern w:val="2"/>
      <w:sz w:val="24"/>
      <w:szCs w:val="24"/>
    </w:rPr>
  </w:style>
  <w:style w:type="character" w:customStyle="1" w:styleId="61">
    <w:name w:val="标题 9 字符"/>
    <w:link w:val="10"/>
    <w:qFormat/>
    <w:uiPriority w:val="0"/>
    <w:rPr>
      <w:rFonts w:ascii="Cambria" w:hAnsi="Cambria"/>
      <w:kern w:val="2"/>
      <w:sz w:val="21"/>
      <w:szCs w:val="21"/>
    </w:rPr>
  </w:style>
  <w:style w:type="character" w:customStyle="1" w:styleId="62">
    <w:name w:val="正文缩进 字符"/>
    <w:link w:val="13"/>
    <w:qFormat/>
    <w:locked/>
    <w:uiPriority w:val="0"/>
    <w:rPr>
      <w:rFonts w:ascii="Times New Roman" w:hAnsi="Times New Roman"/>
      <w:kern w:val="2"/>
      <w:sz w:val="21"/>
    </w:rPr>
  </w:style>
  <w:style w:type="character" w:customStyle="1" w:styleId="63">
    <w:name w:val="文档结构图 字符"/>
    <w:link w:val="16"/>
    <w:qFormat/>
    <w:uiPriority w:val="0"/>
    <w:rPr>
      <w:rFonts w:ascii="宋体" w:hAnsi="Times New Roman"/>
      <w:kern w:val="2"/>
      <w:sz w:val="18"/>
      <w:szCs w:val="18"/>
    </w:rPr>
  </w:style>
  <w:style w:type="character" w:customStyle="1" w:styleId="64">
    <w:name w:val="批注文字 字符1"/>
    <w:link w:val="17"/>
    <w:qFormat/>
    <w:uiPriority w:val="99"/>
    <w:rPr>
      <w:rFonts w:eastAsia="宋体"/>
      <w:sz w:val="24"/>
    </w:rPr>
  </w:style>
  <w:style w:type="character" w:customStyle="1" w:styleId="65">
    <w:name w:val="正文文本 3 字符"/>
    <w:link w:val="18"/>
    <w:qFormat/>
    <w:uiPriority w:val="0"/>
    <w:rPr>
      <w:rFonts w:ascii="宋体" w:hAnsi="宋体"/>
      <w:color w:val="000000"/>
      <w:kern w:val="2"/>
      <w:sz w:val="21"/>
      <w:szCs w:val="21"/>
    </w:rPr>
  </w:style>
  <w:style w:type="character" w:customStyle="1" w:styleId="66">
    <w:name w:val="正文文本 字符"/>
    <w:link w:val="19"/>
    <w:qFormat/>
    <w:uiPriority w:val="99"/>
    <w:rPr>
      <w:rFonts w:ascii="宋体" w:hAnsi="宋体" w:eastAsia="宋体" w:cs="宋体"/>
      <w:kern w:val="0"/>
      <w:szCs w:val="21"/>
      <w:lang w:val="zh-CN" w:bidi="zh-CN"/>
    </w:rPr>
  </w:style>
  <w:style w:type="character" w:customStyle="1" w:styleId="67">
    <w:name w:val="标题 字符"/>
    <w:link w:val="40"/>
    <w:qFormat/>
    <w:uiPriority w:val="0"/>
    <w:rPr>
      <w:rFonts w:ascii="Cambria" w:hAnsi="Cambria"/>
      <w:b/>
      <w:bCs/>
      <w:kern w:val="2"/>
      <w:sz w:val="32"/>
      <w:szCs w:val="32"/>
    </w:rPr>
  </w:style>
  <w:style w:type="character" w:customStyle="1" w:styleId="68">
    <w:name w:val="正文文本缩进 字符"/>
    <w:link w:val="14"/>
    <w:qFormat/>
    <w:uiPriority w:val="0"/>
    <w:rPr>
      <w:rFonts w:ascii="Times New Roman" w:hAnsi="Times New Roman"/>
      <w:kern w:val="2"/>
      <w:sz w:val="21"/>
      <w:szCs w:val="24"/>
    </w:rPr>
  </w:style>
  <w:style w:type="character" w:customStyle="1" w:styleId="69">
    <w:name w:val="纯文本 字符1"/>
    <w:link w:val="24"/>
    <w:qFormat/>
    <w:uiPriority w:val="99"/>
    <w:rPr>
      <w:rFonts w:eastAsia="宋体"/>
      <w:sz w:val="24"/>
      <w:lang w:val="en-GB"/>
    </w:rPr>
  </w:style>
  <w:style w:type="character" w:customStyle="1" w:styleId="70">
    <w:name w:val="日期 字符"/>
    <w:link w:val="25"/>
    <w:qFormat/>
    <w:uiPriority w:val="0"/>
    <w:rPr>
      <w:rFonts w:eastAsia="宋体"/>
      <w:sz w:val="24"/>
    </w:rPr>
  </w:style>
  <w:style w:type="character" w:customStyle="1" w:styleId="71">
    <w:name w:val="正文文本缩进 2 字符"/>
    <w:link w:val="26"/>
    <w:qFormat/>
    <w:uiPriority w:val="0"/>
    <w:rPr>
      <w:rFonts w:ascii="Times New Roman" w:hAnsi="Times New Roman"/>
      <w:kern w:val="2"/>
      <w:sz w:val="21"/>
    </w:rPr>
  </w:style>
  <w:style w:type="character" w:customStyle="1" w:styleId="72">
    <w:name w:val="批注框文本 字符"/>
    <w:link w:val="27"/>
    <w:qFormat/>
    <w:uiPriority w:val="0"/>
    <w:rPr>
      <w:rFonts w:eastAsia="宋体"/>
      <w:sz w:val="18"/>
      <w:szCs w:val="18"/>
    </w:rPr>
  </w:style>
  <w:style w:type="character" w:customStyle="1" w:styleId="73">
    <w:name w:val="页脚 字符"/>
    <w:link w:val="28"/>
    <w:qFormat/>
    <w:uiPriority w:val="99"/>
    <w:rPr>
      <w:sz w:val="18"/>
      <w:szCs w:val="18"/>
    </w:rPr>
  </w:style>
  <w:style w:type="character" w:customStyle="1" w:styleId="74">
    <w:name w:val="页眉 字符"/>
    <w:link w:val="29"/>
    <w:qFormat/>
    <w:uiPriority w:val="99"/>
    <w:rPr>
      <w:sz w:val="18"/>
      <w:szCs w:val="18"/>
    </w:rPr>
  </w:style>
  <w:style w:type="character" w:customStyle="1" w:styleId="75">
    <w:name w:val="正文文本缩进 3 字符1"/>
    <w:link w:val="34"/>
    <w:qFormat/>
    <w:uiPriority w:val="0"/>
    <w:rPr>
      <w:rFonts w:ascii="Times New Roman" w:hAnsi="Times New Roman"/>
      <w:kern w:val="2"/>
      <w:sz w:val="16"/>
      <w:szCs w:val="16"/>
    </w:rPr>
  </w:style>
  <w:style w:type="character" w:customStyle="1" w:styleId="76">
    <w:name w:val="正文文本 2 字符"/>
    <w:link w:val="36"/>
    <w:qFormat/>
    <w:uiPriority w:val="0"/>
    <w:rPr>
      <w:rFonts w:ascii="Times New Roman" w:hAnsi="Times New Roman"/>
      <w:kern w:val="2"/>
      <w:sz w:val="21"/>
      <w:szCs w:val="24"/>
    </w:rPr>
  </w:style>
  <w:style w:type="character" w:customStyle="1" w:styleId="77">
    <w:name w:val="HTML 预设格式 字符"/>
    <w:link w:val="37"/>
    <w:qFormat/>
    <w:uiPriority w:val="0"/>
    <w:rPr>
      <w:rFonts w:ascii="宋体" w:hAnsi="宋体"/>
      <w:sz w:val="24"/>
      <w:szCs w:val="24"/>
    </w:rPr>
  </w:style>
  <w:style w:type="character" w:customStyle="1" w:styleId="78">
    <w:name w:val="批注主题 字符"/>
    <w:link w:val="41"/>
    <w:qFormat/>
    <w:uiPriority w:val="0"/>
    <w:rPr>
      <w:b/>
      <w:bCs/>
    </w:rPr>
  </w:style>
  <w:style w:type="character" w:customStyle="1" w:styleId="79">
    <w:name w:val="正文文本首行缩进 2 字符"/>
    <w:link w:val="42"/>
    <w:qFormat/>
    <w:uiPriority w:val="0"/>
    <w:rPr>
      <w:rFonts w:ascii="Times New Roman" w:hAnsi="Times New Roman"/>
      <w:sz w:val="21"/>
      <w:szCs w:val="24"/>
    </w:rPr>
  </w:style>
  <w:style w:type="character" w:customStyle="1" w:styleId="80">
    <w:name w:val="正文文本缩进 Char"/>
    <w:link w:val="81"/>
    <w:qFormat/>
    <w:uiPriority w:val="0"/>
    <w:rPr>
      <w:kern w:val="2"/>
      <w:sz w:val="24"/>
      <w:szCs w:val="22"/>
    </w:rPr>
  </w:style>
  <w:style w:type="paragraph" w:customStyle="1" w:styleId="81">
    <w:name w:val="正文文本缩进1"/>
    <w:basedOn w:val="1"/>
    <w:next w:val="14"/>
    <w:link w:val="80"/>
    <w:qFormat/>
    <w:uiPriority w:val="0"/>
    <w:pPr>
      <w:spacing w:after="120" w:line="240" w:lineRule="auto"/>
      <w:ind w:left="420" w:leftChars="200" w:firstLine="0" w:firstLineChars="0"/>
    </w:pPr>
  </w:style>
  <w:style w:type="paragraph" w:styleId="82">
    <w:name w:val="List Paragraph"/>
    <w:basedOn w:val="1"/>
    <w:qFormat/>
    <w:uiPriority w:val="34"/>
    <w:pPr>
      <w:ind w:firstLine="420"/>
    </w:pPr>
  </w:style>
  <w:style w:type="paragraph" w:styleId="83">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84">
    <w:name w:val="表格标题"/>
    <w:basedOn w:val="85"/>
    <w:link w:val="87"/>
    <w:qFormat/>
    <w:uiPriority w:val="0"/>
    <w:pPr>
      <w:jc w:val="center"/>
    </w:pPr>
    <w:rPr>
      <w:b/>
    </w:rPr>
  </w:style>
  <w:style w:type="paragraph" w:customStyle="1" w:styleId="85">
    <w:name w:val="表格文本"/>
    <w:basedOn w:val="1"/>
    <w:link w:val="86"/>
    <w:qFormat/>
    <w:uiPriority w:val="0"/>
    <w:pPr>
      <w:spacing w:line="276" w:lineRule="auto"/>
      <w:ind w:firstLine="0" w:firstLineChars="0"/>
    </w:pPr>
    <w:rPr>
      <w:rFonts w:ascii="Calibri" w:hAnsi="Calibri"/>
      <w:kern w:val="0"/>
      <w:szCs w:val="20"/>
      <w:lang w:val="zh-CN"/>
    </w:rPr>
  </w:style>
  <w:style w:type="character" w:customStyle="1" w:styleId="86">
    <w:name w:val="表格文本 Char"/>
    <w:link w:val="85"/>
    <w:qFormat/>
    <w:uiPriority w:val="0"/>
    <w:rPr>
      <w:rFonts w:ascii="Calibri" w:hAnsi="Calibri" w:eastAsia="宋体" w:cs="Times New Roman"/>
      <w:sz w:val="24"/>
      <w:lang w:val="zh-CN"/>
    </w:rPr>
  </w:style>
  <w:style w:type="character" w:customStyle="1" w:styleId="87">
    <w:name w:val="表格标题 Char"/>
    <w:link w:val="84"/>
    <w:qFormat/>
    <w:uiPriority w:val="0"/>
    <w:rPr>
      <w:rFonts w:ascii="Calibri" w:hAnsi="Calibri" w:eastAsia="宋体" w:cs="Times New Roman"/>
      <w:b/>
      <w:sz w:val="24"/>
      <w:lang w:val="zh-CN"/>
    </w:rPr>
  </w:style>
  <w:style w:type="paragraph" w:customStyle="1" w:styleId="88">
    <w:name w:val="TOC 标题1"/>
    <w:basedOn w:val="2"/>
    <w:next w:val="1"/>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character" w:customStyle="1" w:styleId="89">
    <w:name w:val="页脚 Char1"/>
    <w:qFormat/>
    <w:uiPriority w:val="0"/>
    <w:rPr>
      <w:rFonts w:eastAsia="宋体"/>
      <w:kern w:val="2"/>
      <w:sz w:val="18"/>
      <w:szCs w:val="18"/>
    </w:rPr>
  </w:style>
  <w:style w:type="character" w:customStyle="1" w:styleId="90">
    <w:name w:val="纯文本 字符"/>
    <w:semiHidden/>
    <w:qFormat/>
    <w:uiPriority w:val="99"/>
    <w:rPr>
      <w:rFonts w:ascii="宋体" w:hAnsi="Courier New" w:cs="Courier New"/>
      <w:sz w:val="24"/>
    </w:rPr>
  </w:style>
  <w:style w:type="character" w:customStyle="1" w:styleId="91">
    <w:name w:val="文档结构图 Char"/>
    <w:link w:val="92"/>
    <w:qFormat/>
    <w:uiPriority w:val="0"/>
    <w:rPr>
      <w:rFonts w:ascii="宋体"/>
      <w:kern w:val="2"/>
      <w:sz w:val="18"/>
      <w:szCs w:val="18"/>
    </w:rPr>
  </w:style>
  <w:style w:type="paragraph" w:customStyle="1" w:styleId="92">
    <w:name w:val="文档结构图1"/>
    <w:basedOn w:val="1"/>
    <w:next w:val="16"/>
    <w:link w:val="91"/>
    <w:unhideWhenUsed/>
    <w:qFormat/>
    <w:uiPriority w:val="0"/>
    <w:pPr>
      <w:spacing w:line="240" w:lineRule="auto"/>
      <w:ind w:firstLine="0" w:firstLineChars="0"/>
    </w:pPr>
    <w:rPr>
      <w:rFonts w:ascii="宋体"/>
      <w:sz w:val="18"/>
      <w:szCs w:val="18"/>
    </w:rPr>
  </w:style>
  <w:style w:type="character" w:customStyle="1" w:styleId="93">
    <w:name w:val="Char Char1"/>
    <w:qFormat/>
    <w:uiPriority w:val="0"/>
    <w:rPr>
      <w:rFonts w:eastAsia="宋体"/>
      <w:kern w:val="2"/>
      <w:sz w:val="21"/>
      <w:szCs w:val="24"/>
      <w:lang w:val="en-US" w:eastAsia="zh-CN" w:bidi="ar-SA"/>
    </w:rPr>
  </w:style>
  <w:style w:type="character" w:customStyle="1" w:styleId="94">
    <w:name w:val="apple-converted-space"/>
    <w:qFormat/>
    <w:uiPriority w:val="0"/>
  </w:style>
  <w:style w:type="character" w:customStyle="1" w:styleId="95">
    <w:name w:val="正文文本 Char1"/>
    <w:semiHidden/>
    <w:qFormat/>
    <w:locked/>
    <w:uiPriority w:val="99"/>
    <w:rPr>
      <w:kern w:val="2"/>
      <w:sz w:val="21"/>
      <w:szCs w:val="24"/>
    </w:rPr>
  </w:style>
  <w:style w:type="character" w:customStyle="1" w:styleId="96">
    <w:name w:val="无间隔 Char"/>
    <w:link w:val="97"/>
    <w:qFormat/>
    <w:uiPriority w:val="1"/>
    <w:rPr>
      <w:kern w:val="2"/>
      <w:sz w:val="21"/>
      <w:szCs w:val="22"/>
      <w:lang w:val="en-US" w:eastAsia="zh-CN" w:bidi="ar-SA"/>
    </w:rPr>
  </w:style>
  <w:style w:type="paragraph" w:customStyle="1" w:styleId="97">
    <w:name w:val="无间隔1"/>
    <w:link w:val="96"/>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98">
    <w:name w:val="标题 9 Char1"/>
    <w:semiHidden/>
    <w:qFormat/>
    <w:uiPriority w:val="0"/>
    <w:rPr>
      <w:rFonts w:ascii="Cambria" w:hAnsi="Cambria" w:eastAsia="宋体" w:cs="Times New Roman"/>
      <w:kern w:val="2"/>
      <w:sz w:val="21"/>
      <w:szCs w:val="21"/>
    </w:rPr>
  </w:style>
  <w:style w:type="character" w:customStyle="1" w:styleId="99">
    <w:name w:val="Char Char10"/>
    <w:qFormat/>
    <w:uiPriority w:val="0"/>
    <w:rPr>
      <w:rFonts w:eastAsia="宋体"/>
      <w:kern w:val="2"/>
      <w:sz w:val="21"/>
      <w:szCs w:val="24"/>
      <w:lang w:val="en-US" w:eastAsia="zh-CN" w:bidi="ar-SA"/>
    </w:rPr>
  </w:style>
  <w:style w:type="character" w:customStyle="1" w:styleId="100">
    <w:name w:val="font41"/>
    <w:qFormat/>
    <w:uiPriority w:val="0"/>
    <w:rPr>
      <w:rFonts w:hint="eastAsia" w:ascii="宋体" w:hAnsi="宋体" w:eastAsia="宋体" w:cs="宋体"/>
      <w:color w:val="FF0000"/>
      <w:sz w:val="18"/>
      <w:szCs w:val="18"/>
      <w:u w:val="none"/>
    </w:rPr>
  </w:style>
  <w:style w:type="character" w:customStyle="1" w:styleId="101">
    <w:name w:val="副章标题 Char"/>
    <w:link w:val="102"/>
    <w:qFormat/>
    <w:uiPriority w:val="0"/>
    <w:rPr>
      <w:rFonts w:hAnsi="微软雅黑"/>
      <w:b/>
      <w:color w:val="000000"/>
      <w:sz w:val="36"/>
      <w:szCs w:val="36"/>
    </w:rPr>
  </w:style>
  <w:style w:type="paragraph" w:customStyle="1" w:styleId="102">
    <w:name w:val="副章标题"/>
    <w:basedOn w:val="1"/>
    <w:link w:val="101"/>
    <w:qFormat/>
    <w:uiPriority w:val="0"/>
    <w:pPr>
      <w:spacing w:line="240" w:lineRule="auto"/>
      <w:ind w:firstLine="0" w:firstLineChars="0"/>
      <w:outlineLvl w:val="1"/>
    </w:pPr>
    <w:rPr>
      <w:rFonts w:hAnsi="微软雅黑"/>
      <w:b/>
      <w:color w:val="000000"/>
      <w:kern w:val="0"/>
      <w:sz w:val="36"/>
      <w:szCs w:val="36"/>
    </w:rPr>
  </w:style>
  <w:style w:type="character" w:customStyle="1" w:styleId="103">
    <w:name w:val="标题 Char1"/>
    <w:qFormat/>
    <w:uiPriority w:val="0"/>
    <w:rPr>
      <w:rFonts w:ascii="Cambria" w:hAnsi="Cambria" w:cs="Times New Roman"/>
      <w:b/>
      <w:bCs/>
      <w:kern w:val="2"/>
      <w:sz w:val="32"/>
      <w:szCs w:val="32"/>
    </w:rPr>
  </w:style>
  <w:style w:type="character" w:customStyle="1" w:styleId="104">
    <w:name w:val="标准正文 Char"/>
    <w:link w:val="105"/>
    <w:qFormat/>
    <w:locked/>
    <w:uiPriority w:val="0"/>
    <w:rPr>
      <w:rFonts w:ascii="宋体" w:hAnsi="宋体"/>
      <w:kern w:val="2"/>
      <w:sz w:val="24"/>
      <w:szCs w:val="22"/>
    </w:rPr>
  </w:style>
  <w:style w:type="paragraph" w:customStyle="1" w:styleId="105">
    <w:name w:val="标准正文"/>
    <w:basedOn w:val="1"/>
    <w:link w:val="104"/>
    <w:qFormat/>
    <w:uiPriority w:val="0"/>
    <w:pPr>
      <w:ind w:firstLine="420"/>
    </w:pPr>
    <w:rPr>
      <w:rFonts w:ascii="宋体" w:hAnsi="宋体"/>
    </w:rPr>
  </w:style>
  <w:style w:type="character" w:customStyle="1" w:styleId="106">
    <w:name w:val="普通文字 Char Char3"/>
    <w:qFormat/>
    <w:uiPriority w:val="0"/>
    <w:rPr>
      <w:rFonts w:ascii="宋体" w:hAnsi="Courier New"/>
      <w:kern w:val="2"/>
      <w:sz w:val="21"/>
    </w:rPr>
  </w:style>
  <w:style w:type="character" w:customStyle="1" w:styleId="107">
    <w:name w:val="font71"/>
    <w:qFormat/>
    <w:uiPriority w:val="0"/>
    <w:rPr>
      <w:rFonts w:hint="eastAsia" w:ascii="宋体" w:hAnsi="宋体" w:eastAsia="宋体" w:cs="宋体"/>
      <w:color w:val="000000"/>
      <w:sz w:val="21"/>
      <w:szCs w:val="21"/>
      <w:u w:val="none"/>
    </w:rPr>
  </w:style>
  <w:style w:type="character" w:customStyle="1" w:styleId="108">
    <w:name w:val="apple-style-span"/>
    <w:qFormat/>
    <w:uiPriority w:val="0"/>
  </w:style>
  <w:style w:type="character" w:customStyle="1" w:styleId="109">
    <w:name w:val="fontstyle11"/>
    <w:qFormat/>
    <w:uiPriority w:val="0"/>
    <w:rPr>
      <w:rFonts w:hint="eastAsia" w:ascii="宋体" w:hAnsi="宋体" w:eastAsia="宋体"/>
      <w:color w:val="000000"/>
      <w:sz w:val="22"/>
      <w:szCs w:val="22"/>
    </w:rPr>
  </w:style>
  <w:style w:type="character" w:customStyle="1" w:styleId="110">
    <w:name w:val="普通文字 Char Char5"/>
    <w:qFormat/>
    <w:uiPriority w:val="0"/>
    <w:rPr>
      <w:rFonts w:ascii="宋体" w:hAnsi="Courier New" w:eastAsia="宋体"/>
      <w:szCs w:val="21"/>
      <w:lang w:bidi="ar-SA"/>
    </w:rPr>
  </w:style>
  <w:style w:type="character" w:customStyle="1" w:styleId="111">
    <w:name w:val="标题 8 Char1"/>
    <w:semiHidden/>
    <w:qFormat/>
    <w:uiPriority w:val="0"/>
    <w:rPr>
      <w:rFonts w:ascii="Cambria" w:hAnsi="Cambria" w:eastAsia="宋体" w:cs="Times New Roman"/>
      <w:kern w:val="2"/>
      <w:sz w:val="24"/>
      <w:szCs w:val="24"/>
    </w:rPr>
  </w:style>
  <w:style w:type="character" w:customStyle="1" w:styleId="112">
    <w:name w:val="正文文本缩进 字符1"/>
    <w:semiHidden/>
    <w:qFormat/>
    <w:uiPriority w:val="99"/>
  </w:style>
  <w:style w:type="character" w:customStyle="1" w:styleId="113">
    <w:name w:val="A正文小四 Char"/>
    <w:link w:val="114"/>
    <w:qFormat/>
    <w:uiPriority w:val="0"/>
    <w:rPr>
      <w:sz w:val="24"/>
      <w:szCs w:val="24"/>
    </w:rPr>
  </w:style>
  <w:style w:type="paragraph" w:customStyle="1" w:styleId="114">
    <w:name w:val="A正文小四"/>
    <w:basedOn w:val="1"/>
    <w:link w:val="113"/>
    <w:qFormat/>
    <w:uiPriority w:val="0"/>
    <w:rPr>
      <w:kern w:val="0"/>
      <w:szCs w:val="24"/>
    </w:rPr>
  </w:style>
  <w:style w:type="character" w:customStyle="1" w:styleId="115">
    <w:name w:val="1ji Char"/>
    <w:link w:val="116"/>
    <w:qFormat/>
    <w:uiPriority w:val="0"/>
    <w:rPr>
      <w:rFonts w:ascii="宋体" w:hAnsi="宋体"/>
      <w:b/>
      <w:bCs/>
      <w:kern w:val="44"/>
      <w:sz w:val="36"/>
      <w:szCs w:val="44"/>
    </w:rPr>
  </w:style>
  <w:style w:type="paragraph" w:customStyle="1" w:styleId="116">
    <w:name w:val="1ji"/>
    <w:basedOn w:val="2"/>
    <w:link w:val="115"/>
    <w:qFormat/>
    <w:uiPriority w:val="0"/>
    <w:pPr>
      <w:keepLines w:val="0"/>
      <w:numPr>
        <w:numId w:val="0"/>
      </w:numPr>
      <w:spacing w:line="240" w:lineRule="auto"/>
      <w:jc w:val="center"/>
    </w:pPr>
    <w:rPr>
      <w:rFonts w:ascii="宋体" w:hAnsi="宋体" w:eastAsia="宋体"/>
      <w:sz w:val="36"/>
      <w:szCs w:val="44"/>
    </w:rPr>
  </w:style>
  <w:style w:type="character" w:customStyle="1" w:styleId="117">
    <w:name w:val="A15"/>
    <w:qFormat/>
    <w:uiPriority w:val="0"/>
    <w:rPr>
      <w:rFonts w:ascii="Times New Roman" w:hAnsi="Times New Roman"/>
      <w:color w:val="000000"/>
      <w:sz w:val="14"/>
      <w:szCs w:val="14"/>
    </w:rPr>
  </w:style>
  <w:style w:type="character" w:customStyle="1" w:styleId="118">
    <w:name w:val="正文文本 (2)_"/>
    <w:link w:val="119"/>
    <w:qFormat/>
    <w:locked/>
    <w:uiPriority w:val="0"/>
    <w:rPr>
      <w:rFonts w:ascii="MingLiU" w:hAnsi="MingLiU" w:eastAsia="MingLiU" w:cs="MingLiU"/>
      <w:sz w:val="22"/>
      <w:shd w:val="clear" w:color="auto" w:fill="FFFFFF"/>
    </w:rPr>
  </w:style>
  <w:style w:type="paragraph" w:customStyle="1" w:styleId="119">
    <w:name w:val="正文文本 (2)5"/>
    <w:basedOn w:val="1"/>
    <w:link w:val="118"/>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20">
    <w:name w:val="*正文 Char"/>
    <w:link w:val="121"/>
    <w:qFormat/>
    <w:uiPriority w:val="0"/>
    <w:rPr>
      <w:rFonts w:ascii="仿宋_GB2312" w:eastAsia="仿宋_GB2312"/>
      <w:sz w:val="24"/>
      <w:szCs w:val="28"/>
    </w:rPr>
  </w:style>
  <w:style w:type="paragraph" w:customStyle="1" w:styleId="121">
    <w:name w:val="*正文"/>
    <w:basedOn w:val="1"/>
    <w:link w:val="120"/>
    <w:qFormat/>
    <w:uiPriority w:val="0"/>
    <w:pPr>
      <w:widowControl/>
      <w:spacing w:line="240" w:lineRule="auto"/>
      <w:jc w:val="left"/>
    </w:pPr>
    <w:rPr>
      <w:rFonts w:ascii="仿宋_GB2312" w:eastAsia="仿宋_GB2312"/>
      <w:kern w:val="0"/>
      <w:szCs w:val="28"/>
    </w:rPr>
  </w:style>
  <w:style w:type="character" w:customStyle="1" w:styleId="122">
    <w:name w:val="正文缩进 Char1"/>
    <w:qFormat/>
    <w:locked/>
    <w:uiPriority w:val="0"/>
    <w:rPr>
      <w:rFonts w:eastAsia="宋体"/>
      <w:kern w:val="2"/>
      <w:sz w:val="21"/>
      <w:lang w:val="en-US" w:eastAsia="zh-CN" w:bidi="ar-SA"/>
    </w:rPr>
  </w:style>
  <w:style w:type="character" w:customStyle="1" w:styleId="123">
    <w:name w:val="style291"/>
    <w:qFormat/>
    <w:uiPriority w:val="0"/>
    <w:rPr>
      <w:rFonts w:hint="eastAsia" w:ascii="仿宋_GB2312" w:eastAsia="仿宋_GB2312"/>
    </w:rPr>
  </w:style>
  <w:style w:type="character" w:customStyle="1" w:styleId="124">
    <w:name w:val="标题 4 Char1"/>
    <w:semiHidden/>
    <w:qFormat/>
    <w:uiPriority w:val="0"/>
    <w:rPr>
      <w:rFonts w:ascii="Cambria" w:hAnsi="Cambria" w:eastAsia="宋体" w:cs="Times New Roman"/>
      <w:b/>
      <w:bCs/>
      <w:kern w:val="2"/>
      <w:sz w:val="28"/>
      <w:szCs w:val="28"/>
    </w:rPr>
  </w:style>
  <w:style w:type="character" w:customStyle="1" w:styleId="125">
    <w:name w:val="纯文本 字符2"/>
    <w:qFormat/>
    <w:uiPriority w:val="0"/>
    <w:rPr>
      <w:rFonts w:ascii="宋体" w:hAnsi="Courier New" w:eastAsia="宋体" w:cs="Courier New"/>
      <w:kern w:val="2"/>
      <w:sz w:val="21"/>
      <w:szCs w:val="21"/>
      <w:lang w:val="en-US" w:eastAsia="zh-CN" w:bidi="ar-SA"/>
    </w:rPr>
  </w:style>
  <w:style w:type="character" w:customStyle="1" w:styleId="126">
    <w:name w:val="Char Char"/>
    <w:qFormat/>
    <w:locked/>
    <w:uiPriority w:val="0"/>
    <w:rPr>
      <w:rFonts w:ascii="宋体" w:hAnsi="宋体" w:eastAsia="宋体"/>
      <w:kern w:val="2"/>
      <w:sz w:val="21"/>
      <w:szCs w:val="24"/>
      <w:lang w:val="en-US" w:eastAsia="zh-CN" w:bidi="ar-SA"/>
    </w:rPr>
  </w:style>
  <w:style w:type="character" w:customStyle="1" w:styleId="127">
    <w:name w:val="Char Char3"/>
    <w:qFormat/>
    <w:uiPriority w:val="0"/>
    <w:rPr>
      <w:rFonts w:ascii="宋体" w:hAnsi="Courier New" w:eastAsia="宋体"/>
      <w:kern w:val="2"/>
      <w:sz w:val="21"/>
      <w:lang w:val="en-US" w:eastAsia="zh-CN" w:bidi="ar-SA"/>
    </w:rPr>
  </w:style>
  <w:style w:type="character" w:customStyle="1" w:styleId="128">
    <w:name w:val="标题 1 Char1"/>
    <w:qFormat/>
    <w:uiPriority w:val="0"/>
    <w:rPr>
      <w:b/>
      <w:bCs/>
      <w:kern w:val="44"/>
      <w:sz w:val="44"/>
      <w:szCs w:val="44"/>
    </w:rPr>
  </w:style>
  <w:style w:type="character" w:customStyle="1" w:styleId="129">
    <w:name w:val="t-14"/>
    <w:qFormat/>
    <w:uiPriority w:val="0"/>
  </w:style>
  <w:style w:type="character" w:customStyle="1" w:styleId="130">
    <w:name w:val="正文文本缩进 3 字符"/>
    <w:semiHidden/>
    <w:qFormat/>
    <w:uiPriority w:val="99"/>
    <w:rPr>
      <w:sz w:val="16"/>
      <w:szCs w:val="16"/>
    </w:rPr>
  </w:style>
  <w:style w:type="character" w:customStyle="1" w:styleId="131">
    <w:name w:val="普通文字 Char Char1 Char"/>
    <w:qFormat/>
    <w:locked/>
    <w:uiPriority w:val="0"/>
    <w:rPr>
      <w:rFonts w:ascii="宋体" w:hAnsi="Courier New" w:eastAsia="宋体" w:cs="宋体"/>
      <w:kern w:val="2"/>
      <w:sz w:val="21"/>
      <w:szCs w:val="21"/>
      <w:lang w:val="en-US" w:eastAsia="zh-CN"/>
    </w:rPr>
  </w:style>
  <w:style w:type="character" w:customStyle="1" w:styleId="132">
    <w:name w:val="普通文字 Char Char2"/>
    <w:qFormat/>
    <w:uiPriority w:val="0"/>
    <w:rPr>
      <w:rFonts w:ascii="宋体" w:hAnsi="Courier New" w:eastAsia="宋体" w:cs="Courier New"/>
      <w:szCs w:val="21"/>
    </w:rPr>
  </w:style>
  <w:style w:type="character" w:customStyle="1" w:styleId="133">
    <w:name w:val="font21"/>
    <w:qFormat/>
    <w:uiPriority w:val="0"/>
    <w:rPr>
      <w:rFonts w:hint="default" w:ascii="Times New Roman" w:hAnsi="Times New Roman" w:cs="Times New Roman"/>
      <w:color w:val="000000"/>
      <w:sz w:val="18"/>
      <w:szCs w:val="18"/>
      <w:u w:val="none"/>
    </w:rPr>
  </w:style>
  <w:style w:type="character" w:customStyle="1" w:styleId="134">
    <w:name w:val="062"/>
    <w:qFormat/>
    <w:uiPriority w:val="0"/>
    <w:rPr>
      <w:rFonts w:ascii="宋体" w:hAnsi="宋体"/>
      <w:b/>
      <w:bCs/>
      <w:sz w:val="32"/>
    </w:rPr>
  </w:style>
  <w:style w:type="character" w:customStyle="1" w:styleId="135">
    <w:name w:val="Char Char5"/>
    <w:qFormat/>
    <w:locked/>
    <w:uiPriority w:val="0"/>
    <w:rPr>
      <w:rFonts w:cs="Times New Roman"/>
      <w:sz w:val="21"/>
      <w:szCs w:val="21"/>
    </w:rPr>
  </w:style>
  <w:style w:type="character" w:customStyle="1" w:styleId="136">
    <w:name w:val="ca-142"/>
    <w:qFormat/>
    <w:uiPriority w:val="0"/>
  </w:style>
  <w:style w:type="character" w:customStyle="1" w:styleId="137">
    <w:name w:val="span_param1"/>
    <w:qFormat/>
    <w:uiPriority w:val="0"/>
  </w:style>
  <w:style w:type="character" w:customStyle="1" w:styleId="138">
    <w:name w:val="表格正文 Char"/>
    <w:link w:val="139"/>
    <w:qFormat/>
    <w:locked/>
    <w:uiPriority w:val="0"/>
    <w:rPr>
      <w:szCs w:val="24"/>
    </w:rPr>
  </w:style>
  <w:style w:type="paragraph" w:customStyle="1" w:styleId="139">
    <w:name w:val="表格正文"/>
    <w:basedOn w:val="1"/>
    <w:link w:val="138"/>
    <w:qFormat/>
    <w:uiPriority w:val="0"/>
    <w:pPr>
      <w:ind w:firstLine="0" w:firstLineChars="0"/>
    </w:pPr>
    <w:rPr>
      <w:kern w:val="0"/>
      <w:sz w:val="20"/>
      <w:szCs w:val="24"/>
    </w:rPr>
  </w:style>
  <w:style w:type="character" w:customStyle="1" w:styleId="140">
    <w:name w:val="A4"/>
    <w:qFormat/>
    <w:uiPriority w:val="0"/>
    <w:rPr>
      <w:rFonts w:ascii="新宋体" w:eastAsia="新宋体" w:cs="新宋体"/>
      <w:color w:val="000000"/>
      <w:lang w:bidi="ar-SA"/>
    </w:rPr>
  </w:style>
  <w:style w:type="character" w:customStyle="1" w:styleId="141">
    <w:name w:val="批注文字 Char1"/>
    <w:qFormat/>
    <w:uiPriority w:val="0"/>
    <w:rPr>
      <w:rFonts w:ascii="Times New Roman" w:hAnsi="Times New Roman"/>
      <w:kern w:val="2"/>
      <w:sz w:val="21"/>
      <w:szCs w:val="24"/>
    </w:rPr>
  </w:style>
  <w:style w:type="character" w:customStyle="1" w:styleId="142">
    <w:name w:val="列出段落 Char"/>
    <w:link w:val="143"/>
    <w:qFormat/>
    <w:locked/>
    <w:uiPriority w:val="0"/>
    <w:rPr>
      <w:kern w:val="2"/>
      <w:sz w:val="21"/>
      <w:szCs w:val="24"/>
    </w:rPr>
  </w:style>
  <w:style w:type="paragraph" w:customStyle="1" w:styleId="143">
    <w:name w:val="列出段落2"/>
    <w:basedOn w:val="1"/>
    <w:link w:val="142"/>
    <w:unhideWhenUsed/>
    <w:qFormat/>
    <w:uiPriority w:val="0"/>
    <w:pPr>
      <w:spacing w:line="240" w:lineRule="auto"/>
      <w:ind w:firstLine="420"/>
    </w:pPr>
    <w:rPr>
      <w:sz w:val="21"/>
      <w:szCs w:val="24"/>
    </w:rPr>
  </w:style>
  <w:style w:type="character" w:customStyle="1" w:styleId="144">
    <w:name w:val="纯文本 Char1"/>
    <w:qFormat/>
    <w:uiPriority w:val="0"/>
    <w:rPr>
      <w:rFonts w:ascii="宋体" w:hAnsi="Courier New"/>
      <w:kern w:val="2"/>
      <w:sz w:val="21"/>
    </w:rPr>
  </w:style>
  <w:style w:type="character" w:customStyle="1" w:styleId="145">
    <w:name w:val="font51"/>
    <w:qFormat/>
    <w:uiPriority w:val="0"/>
    <w:rPr>
      <w:rFonts w:hint="eastAsia" w:ascii="宋体" w:hAnsi="宋体" w:eastAsia="宋体" w:cs="宋体"/>
      <w:color w:val="000000"/>
      <w:sz w:val="18"/>
      <w:szCs w:val="18"/>
      <w:u w:val="none"/>
    </w:rPr>
  </w:style>
  <w:style w:type="character" w:customStyle="1" w:styleId="146">
    <w:name w:val="正文缩进2字符 Char"/>
    <w:link w:val="147"/>
    <w:qFormat/>
    <w:locked/>
    <w:uiPriority w:val="0"/>
    <w:rPr>
      <w:kern w:val="2"/>
      <w:sz w:val="24"/>
      <w:szCs w:val="24"/>
    </w:rPr>
  </w:style>
  <w:style w:type="paragraph" w:customStyle="1" w:styleId="147">
    <w:name w:val="正文缩进2字符"/>
    <w:basedOn w:val="1"/>
    <w:next w:val="1"/>
    <w:link w:val="146"/>
    <w:qFormat/>
    <w:uiPriority w:val="0"/>
    <w:pPr>
      <w:ind w:firstLine="480"/>
    </w:pPr>
    <w:rPr>
      <w:szCs w:val="24"/>
    </w:rPr>
  </w:style>
  <w:style w:type="character" w:customStyle="1" w:styleId="148">
    <w:name w:val="标书4级 Char"/>
    <w:link w:val="149"/>
    <w:qFormat/>
    <w:uiPriority w:val="0"/>
    <w:rPr>
      <w:rFonts w:ascii="宋体" w:hAnsi="宋体"/>
      <w:b/>
      <w:bCs/>
      <w:kern w:val="2"/>
      <w:sz w:val="28"/>
      <w:szCs w:val="28"/>
    </w:rPr>
  </w:style>
  <w:style w:type="paragraph" w:customStyle="1" w:styleId="149">
    <w:name w:val="标书4级"/>
    <w:basedOn w:val="5"/>
    <w:link w:val="148"/>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150">
    <w:name w:val="case31"/>
    <w:qFormat/>
    <w:uiPriority w:val="0"/>
    <w:rPr>
      <w:rFonts w:hint="default"/>
      <w:sz w:val="21"/>
      <w:szCs w:val="21"/>
    </w:rPr>
  </w:style>
  <w:style w:type="character" w:customStyle="1" w:styleId="151">
    <w:name w:val="纯文本 Char2"/>
    <w:qFormat/>
    <w:uiPriority w:val="0"/>
    <w:rPr>
      <w:rFonts w:ascii="宋体" w:hAnsi="Courier New" w:cs="Courier New"/>
      <w:kern w:val="2"/>
      <w:sz w:val="21"/>
      <w:szCs w:val="21"/>
    </w:rPr>
  </w:style>
  <w:style w:type="paragraph" w:customStyle="1" w:styleId="152">
    <w:name w:val="Table Paragraph"/>
    <w:basedOn w:val="1"/>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53">
    <w:name w:val="表格"/>
    <w:basedOn w:val="1"/>
    <w:qFormat/>
    <w:uiPriority w:val="0"/>
    <w:pPr>
      <w:spacing w:line="400" w:lineRule="exact"/>
      <w:ind w:firstLine="0" w:firstLineChars="0"/>
    </w:pPr>
    <w:rPr>
      <w:szCs w:val="24"/>
    </w:rPr>
  </w:style>
  <w:style w:type="paragraph" w:customStyle="1" w:styleId="154">
    <w:name w:val="样式 Verdana 首行缩进:  0.74 厘米"/>
    <w:basedOn w:val="1"/>
    <w:qFormat/>
    <w:uiPriority w:val="0"/>
    <w:pPr>
      <w:ind w:firstLine="420" w:firstLineChars="0"/>
    </w:pPr>
    <w:rPr>
      <w:rFonts w:ascii="Verdana" w:hAnsi="Verdana"/>
      <w:szCs w:val="20"/>
    </w:rPr>
  </w:style>
  <w:style w:type="paragraph" w:customStyle="1" w:styleId="155">
    <w:name w:val="_Style 29"/>
    <w:basedOn w:val="1"/>
    <w:qFormat/>
    <w:uiPriority w:val="0"/>
    <w:pPr>
      <w:spacing w:line="240" w:lineRule="auto"/>
      <w:ind w:firstLine="0" w:firstLineChars="0"/>
    </w:pPr>
    <w:rPr>
      <w:rFonts w:ascii="Tahoma" w:hAnsi="Tahoma"/>
      <w:szCs w:val="20"/>
    </w:rPr>
  </w:style>
  <w:style w:type="paragraph" w:customStyle="1" w:styleId="156">
    <w:name w:val="表内文字"/>
    <w:basedOn w:val="1"/>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57">
    <w:name w:val="目录 61"/>
    <w:basedOn w:val="1"/>
    <w:next w:val="1"/>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58">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9">
    <w:name w:val="Char Char8"/>
    <w:basedOn w:val="1"/>
    <w:qFormat/>
    <w:uiPriority w:val="0"/>
    <w:pPr>
      <w:spacing w:line="240" w:lineRule="auto"/>
      <w:ind w:firstLine="0" w:firstLineChars="0"/>
    </w:pPr>
    <w:rPr>
      <w:rFonts w:ascii="Tahoma" w:hAnsi="Tahoma" w:eastAsia="Times New Roman"/>
      <w:kern w:val="0"/>
      <w:szCs w:val="20"/>
    </w:rPr>
  </w:style>
  <w:style w:type="paragraph" w:customStyle="1" w:styleId="160">
    <w:name w:val="List Paragraph1"/>
    <w:basedOn w:val="1"/>
    <w:qFormat/>
    <w:uiPriority w:val="34"/>
    <w:pPr>
      <w:spacing w:line="240" w:lineRule="auto"/>
      <w:ind w:firstLine="420"/>
    </w:pPr>
    <w:rPr>
      <w:sz w:val="21"/>
    </w:rPr>
  </w:style>
  <w:style w:type="paragraph" w:customStyle="1" w:styleId="161">
    <w:name w:val="目录 91"/>
    <w:basedOn w:val="1"/>
    <w:next w:val="1"/>
    <w:unhideWhenUsed/>
    <w:qFormat/>
    <w:uiPriority w:val="39"/>
    <w:pPr>
      <w:spacing w:line="240" w:lineRule="auto"/>
      <w:ind w:left="1680" w:firstLine="0" w:firstLineChars="0"/>
      <w:jc w:val="left"/>
    </w:pPr>
    <w:rPr>
      <w:rFonts w:ascii="等线" w:hAnsi="等线" w:eastAsia="等线"/>
      <w:sz w:val="18"/>
      <w:szCs w:val="18"/>
    </w:rPr>
  </w:style>
  <w:style w:type="paragraph" w:customStyle="1" w:styleId="162">
    <w:name w:val="Char Char Char"/>
    <w:basedOn w:val="1"/>
    <w:qFormat/>
    <w:uiPriority w:val="0"/>
    <w:pPr>
      <w:spacing w:line="240" w:lineRule="auto"/>
      <w:ind w:firstLine="0" w:firstLineChars="0"/>
    </w:pPr>
    <w:rPr>
      <w:rFonts w:ascii="Tahoma" w:hAnsi="Tahoma"/>
      <w:szCs w:val="20"/>
    </w:rPr>
  </w:style>
  <w:style w:type="paragraph" w:customStyle="1" w:styleId="163">
    <w:name w:val="默认段落字体 Para Char 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164">
    <w:name w:val="_Style 52"/>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65">
    <w:name w:val="正文段"/>
    <w:basedOn w:val="1"/>
    <w:qFormat/>
    <w:uiPriority w:val="0"/>
    <w:pPr>
      <w:widowControl/>
      <w:snapToGrid w:val="0"/>
      <w:spacing w:afterLines="50" w:line="240" w:lineRule="auto"/>
    </w:pPr>
    <w:rPr>
      <w:kern w:val="0"/>
      <w:szCs w:val="20"/>
    </w:rPr>
  </w:style>
  <w:style w:type="paragraph" w:customStyle="1" w:styleId="166">
    <w:name w:val="修订1"/>
    <w:semiHidden/>
    <w:qFormat/>
    <w:uiPriority w:val="99"/>
    <w:rPr>
      <w:rFonts w:ascii="Times New Roman" w:hAnsi="Times New Roman" w:eastAsia="宋体" w:cs="Times New Roman"/>
      <w:kern w:val="2"/>
      <w:sz w:val="21"/>
      <w:lang w:val="en-US" w:eastAsia="zh-CN" w:bidi="ar-SA"/>
    </w:rPr>
  </w:style>
  <w:style w:type="paragraph" w:customStyle="1" w:styleId="167">
    <w:name w:val="Char1"/>
    <w:basedOn w:val="1"/>
    <w:qFormat/>
    <w:uiPriority w:val="0"/>
    <w:pPr>
      <w:spacing w:line="240" w:lineRule="auto"/>
      <w:ind w:firstLine="0" w:firstLineChars="0"/>
    </w:pPr>
    <w:rPr>
      <w:sz w:val="21"/>
      <w:szCs w:val="21"/>
    </w:rPr>
  </w:style>
  <w:style w:type="paragraph" w:customStyle="1" w:styleId="168">
    <w:name w:val="2ji"/>
    <w:basedOn w:val="3"/>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169">
    <w:name w:val="Char Char16 Char Char"/>
    <w:basedOn w:val="1"/>
    <w:qFormat/>
    <w:uiPriority w:val="0"/>
    <w:pPr>
      <w:adjustRightInd w:val="0"/>
      <w:ind w:firstLine="0" w:firstLineChars="0"/>
    </w:pPr>
    <w:rPr>
      <w:sz w:val="21"/>
      <w:szCs w:val="24"/>
    </w:rPr>
  </w:style>
  <w:style w:type="paragraph" w:customStyle="1" w:styleId="170">
    <w:name w:val="目录 21"/>
    <w:basedOn w:val="1"/>
    <w:next w:val="1"/>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71">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72">
    <w:name w:val="目录 31"/>
    <w:basedOn w:val="1"/>
    <w:next w:val="1"/>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73">
    <w:name w:val="样式 标题 2 + Times New Roman 四号 非加粗 段前: 5 磅 段后: 0 磅 行距: 固定值 20..."/>
    <w:basedOn w:val="3"/>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174">
    <w:name w:val="标题 41"/>
    <w:basedOn w:val="1"/>
    <w:next w:val="1"/>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175">
    <w:name w:val="标准正文 S"/>
    <w:basedOn w:val="1"/>
    <w:link w:val="176"/>
    <w:qFormat/>
    <w:uiPriority w:val="0"/>
    <w:pPr>
      <w:spacing w:beforeLines="50" w:afterLines="50"/>
      <w:ind w:firstLine="480" w:firstLineChars="0"/>
      <w:jc w:val="left"/>
    </w:pPr>
    <w:rPr>
      <w:szCs w:val="24"/>
    </w:rPr>
  </w:style>
  <w:style w:type="character" w:customStyle="1" w:styleId="176">
    <w:name w:val="标准正文 S字符"/>
    <w:link w:val="175"/>
    <w:qFormat/>
    <w:locked/>
    <w:uiPriority w:val="0"/>
    <w:rPr>
      <w:kern w:val="2"/>
      <w:sz w:val="24"/>
      <w:szCs w:val="24"/>
    </w:rPr>
  </w:style>
  <w:style w:type="paragraph" w:customStyle="1" w:styleId="177">
    <w:name w:val="标题 91"/>
    <w:basedOn w:val="1"/>
    <w:next w:val="1"/>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178">
    <w:name w:val="题注1"/>
    <w:basedOn w:val="1"/>
    <w:next w:val="1"/>
    <w:unhideWhenUsed/>
    <w:qFormat/>
    <w:uiPriority w:val="0"/>
    <w:pPr>
      <w:keepNext/>
      <w:ind w:firstLine="0" w:firstLineChars="0"/>
      <w:jc w:val="center"/>
    </w:pPr>
    <w:rPr>
      <w:rFonts w:ascii="Cambria" w:hAnsi="Cambria"/>
      <w:b/>
      <w:color w:val="000000"/>
      <w:sz w:val="21"/>
      <w:szCs w:val="20"/>
    </w:rPr>
  </w:style>
  <w:style w:type="paragraph" w:customStyle="1" w:styleId="179">
    <w:name w:val="_Style 36"/>
    <w:basedOn w:val="1"/>
    <w:qFormat/>
    <w:uiPriority w:val="0"/>
    <w:pPr>
      <w:spacing w:line="240" w:lineRule="auto"/>
      <w:ind w:firstLine="0" w:firstLineChars="0"/>
    </w:pPr>
    <w:rPr>
      <w:rFonts w:ascii="Tahoma" w:hAnsi="Tahoma"/>
      <w:szCs w:val="20"/>
    </w:rPr>
  </w:style>
  <w:style w:type="paragraph" w:customStyle="1" w:styleId="180">
    <w:name w:val="列表段落1"/>
    <w:basedOn w:val="1"/>
    <w:qFormat/>
    <w:uiPriority w:val="34"/>
    <w:pPr>
      <w:spacing w:beforeLines="50" w:afterLines="50" w:line="240" w:lineRule="auto"/>
      <w:ind w:firstLine="420"/>
    </w:pPr>
  </w:style>
  <w:style w:type="paragraph" w:customStyle="1" w:styleId="181">
    <w:name w:val="1"/>
    <w:basedOn w:val="1"/>
    <w:next w:val="24"/>
    <w:qFormat/>
    <w:uiPriority w:val="0"/>
    <w:pPr>
      <w:spacing w:line="240" w:lineRule="auto"/>
      <w:ind w:firstLine="0" w:firstLineChars="0"/>
    </w:pPr>
    <w:rPr>
      <w:rFonts w:ascii="宋体" w:hAnsi="Courier New"/>
      <w:sz w:val="21"/>
      <w:szCs w:val="20"/>
    </w:rPr>
  </w:style>
  <w:style w:type="paragraph" w:customStyle="1" w:styleId="182">
    <w:name w:val="目录 81"/>
    <w:basedOn w:val="1"/>
    <w:next w:val="1"/>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83">
    <w:name w:val="正文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4">
    <w:name w:val="目录 11"/>
    <w:basedOn w:val="1"/>
    <w:next w:val="1"/>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185">
    <w:name w:val="Default"/>
    <w:qFormat/>
    <w:uiPriority w:val="0"/>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86">
    <w:name w:val="font0"/>
    <w:basedOn w:val="1"/>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87">
    <w:name w:val="目录 51"/>
    <w:basedOn w:val="1"/>
    <w:next w:val="1"/>
    <w:unhideWhenUsed/>
    <w:qFormat/>
    <w:uiPriority w:val="39"/>
    <w:pPr>
      <w:spacing w:line="240" w:lineRule="auto"/>
      <w:ind w:left="840" w:firstLine="0" w:firstLineChars="0"/>
      <w:jc w:val="left"/>
    </w:pPr>
    <w:rPr>
      <w:rFonts w:ascii="等线" w:hAnsi="等线" w:eastAsia="等线"/>
      <w:sz w:val="18"/>
      <w:szCs w:val="18"/>
    </w:rPr>
  </w:style>
  <w:style w:type="paragraph" w:customStyle="1" w:styleId="188">
    <w:name w:val="444"/>
    <w:basedOn w:val="1"/>
    <w:qFormat/>
    <w:uiPriority w:val="0"/>
    <w:pPr>
      <w:adjustRightInd w:val="0"/>
      <w:spacing w:line="312" w:lineRule="atLeast"/>
      <w:ind w:firstLine="0" w:firstLineChars="0"/>
      <w:jc w:val="center"/>
      <w:textAlignment w:val="baseline"/>
    </w:pPr>
    <w:rPr>
      <w:b/>
      <w:kern w:val="0"/>
      <w:sz w:val="36"/>
      <w:szCs w:val="36"/>
    </w:rPr>
  </w:style>
  <w:style w:type="paragraph" w:customStyle="1" w:styleId="189">
    <w:name w:val="样式 首行缩进:  2 字符"/>
    <w:basedOn w:val="1"/>
    <w:qFormat/>
    <w:uiPriority w:val="0"/>
    <w:pPr>
      <w:spacing w:line="400" w:lineRule="exact"/>
    </w:pPr>
    <w:rPr>
      <w:rFonts w:cs="宋体"/>
      <w:szCs w:val="24"/>
    </w:rPr>
  </w:style>
  <w:style w:type="paragraph" w:customStyle="1" w:styleId="190">
    <w:name w:val="目录 71"/>
    <w:basedOn w:val="1"/>
    <w:next w:val="1"/>
    <w:unhideWhenUsed/>
    <w:qFormat/>
    <w:uiPriority w:val="39"/>
    <w:pPr>
      <w:spacing w:line="240" w:lineRule="auto"/>
      <w:ind w:left="1260" w:firstLine="0" w:firstLineChars="0"/>
      <w:jc w:val="left"/>
    </w:pPr>
    <w:rPr>
      <w:rFonts w:ascii="等线" w:hAnsi="等线" w:eastAsia="等线"/>
      <w:sz w:val="18"/>
      <w:szCs w:val="18"/>
    </w:rPr>
  </w:style>
  <w:style w:type="paragraph" w:customStyle="1" w:styleId="191">
    <w:name w:val="正文首行缩进两字符"/>
    <w:basedOn w:val="1"/>
    <w:qFormat/>
    <w:uiPriority w:val="0"/>
    <w:rPr>
      <w:sz w:val="21"/>
      <w:szCs w:val="24"/>
    </w:rPr>
  </w:style>
  <w:style w:type="paragraph" w:customStyle="1" w:styleId="192">
    <w:name w:val="标题 81"/>
    <w:basedOn w:val="1"/>
    <w:next w:val="1"/>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93">
    <w:name w:val="F2"/>
    <w:basedOn w:val="1"/>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194">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5">
    <w:name w:val="Char2"/>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196">
    <w:name w:val="msolistparagraph"/>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97">
    <w:name w:val="默认段落字体 Para Char Char Char Char Char Char Char Char Char1 Char Char Char Char"/>
    <w:basedOn w:val="1"/>
    <w:qFormat/>
    <w:uiPriority w:val="0"/>
    <w:pPr>
      <w:spacing w:line="240" w:lineRule="auto"/>
      <w:ind w:firstLine="0" w:firstLineChars="0"/>
    </w:pPr>
    <w:rPr>
      <w:rFonts w:ascii="Tahoma" w:hAnsi="Tahoma"/>
      <w:szCs w:val="20"/>
    </w:rPr>
  </w:style>
  <w:style w:type="paragraph" w:customStyle="1" w:styleId="19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99">
    <w:name w:val="ZW"/>
    <w:basedOn w:val="1"/>
    <w:qFormat/>
    <w:uiPriority w:val="0"/>
    <w:pPr>
      <w:spacing w:line="560" w:lineRule="exact"/>
      <w:ind w:firstLine="560"/>
    </w:pPr>
    <w:rPr>
      <w:rFonts w:hAnsi="宋体"/>
      <w:sz w:val="28"/>
      <w:szCs w:val="28"/>
    </w:rPr>
  </w:style>
  <w:style w:type="paragraph" w:customStyle="1" w:styleId="200">
    <w:name w:val="样式 标题 3 + (中文) 黑体 小四 非加粗 段前: 7.8 磅 段后: 0 磅 行距: 固定值 20 磅"/>
    <w:basedOn w:val="4"/>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01">
    <w:name w:val="p0"/>
    <w:basedOn w:val="1"/>
    <w:qFormat/>
    <w:uiPriority w:val="0"/>
    <w:pPr>
      <w:widowControl/>
      <w:spacing w:line="240" w:lineRule="auto"/>
      <w:ind w:firstLine="0" w:firstLineChars="0"/>
    </w:pPr>
    <w:rPr>
      <w:kern w:val="0"/>
      <w:sz w:val="21"/>
      <w:szCs w:val="21"/>
    </w:rPr>
  </w:style>
  <w:style w:type="paragraph" w:customStyle="1" w:styleId="202">
    <w:name w:val="目录 41"/>
    <w:basedOn w:val="1"/>
    <w:next w:val="1"/>
    <w:unhideWhenUsed/>
    <w:qFormat/>
    <w:uiPriority w:val="39"/>
    <w:pPr>
      <w:spacing w:line="240" w:lineRule="auto"/>
      <w:ind w:left="630" w:firstLine="0" w:firstLineChars="0"/>
      <w:jc w:val="left"/>
    </w:pPr>
    <w:rPr>
      <w:rFonts w:ascii="等线" w:hAnsi="等线" w:eastAsia="等线"/>
      <w:sz w:val="18"/>
      <w:szCs w:val="18"/>
    </w:rPr>
  </w:style>
  <w:style w:type="paragraph" w:customStyle="1" w:styleId="203">
    <w:name w:val="无间隔1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04">
    <w:name w:val="样式1"/>
    <w:basedOn w:val="1"/>
    <w:link w:val="205"/>
    <w:qFormat/>
    <w:uiPriority w:val="0"/>
    <w:pPr>
      <w:spacing w:before="120" w:after="120" w:line="300" w:lineRule="auto"/>
      <w:ind w:firstLine="0" w:firstLineChars="0"/>
    </w:pPr>
    <w:rPr>
      <w:rFonts w:ascii="宋体" w:hAnsi="宋体"/>
      <w:b/>
      <w:szCs w:val="20"/>
    </w:rPr>
  </w:style>
  <w:style w:type="character" w:customStyle="1" w:styleId="205">
    <w:name w:val="样式1 Char"/>
    <w:link w:val="204"/>
    <w:qFormat/>
    <w:uiPriority w:val="0"/>
    <w:rPr>
      <w:rFonts w:ascii="宋体" w:hAnsi="宋体"/>
      <w:b/>
      <w:kern w:val="2"/>
      <w:sz w:val="24"/>
    </w:rPr>
  </w:style>
  <w:style w:type="paragraph" w:customStyle="1" w:styleId="206">
    <w:name w:val="样式 小四正文 + 首行缩进:  2 字符 段前: 0.5 行"/>
    <w:basedOn w:val="1"/>
    <w:qFormat/>
    <w:uiPriority w:val="0"/>
    <w:pPr>
      <w:spacing w:beforeLines="50"/>
    </w:pPr>
    <w:rPr>
      <w:rFonts w:ascii="宋体" w:hAnsi="宋体"/>
      <w:szCs w:val="20"/>
    </w:rPr>
  </w:style>
  <w:style w:type="paragraph" w:customStyle="1" w:styleId="207">
    <w:name w:val="Char"/>
    <w:basedOn w:val="1"/>
    <w:qFormat/>
    <w:uiPriority w:val="0"/>
    <w:pPr>
      <w:spacing w:line="240" w:lineRule="auto"/>
      <w:ind w:firstLine="0" w:firstLineChars="0"/>
    </w:pPr>
    <w:rPr>
      <w:sz w:val="21"/>
      <w:szCs w:val="24"/>
    </w:rPr>
  </w:style>
  <w:style w:type="paragraph" w:customStyle="1" w:styleId="208">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9">
    <w:name w:val="列出段落1"/>
    <w:basedOn w:val="1"/>
    <w:qFormat/>
    <w:uiPriority w:val="34"/>
    <w:pPr>
      <w:spacing w:line="240" w:lineRule="auto"/>
      <w:ind w:firstLine="420"/>
    </w:pPr>
    <w:rPr>
      <w:sz w:val="21"/>
      <w:szCs w:val="24"/>
    </w:rPr>
  </w:style>
  <w:style w:type="paragraph" w:customStyle="1" w:styleId="210">
    <w:name w:val="Char3"/>
    <w:basedOn w:val="1"/>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customStyle="1" w:styleId="211">
    <w:name w:val="3 级标题"/>
    <w:basedOn w:val="4"/>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212">
    <w:name w:val="标题 11"/>
    <w:basedOn w:val="1"/>
    <w:next w:val="1"/>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213">
    <w:name w:val="列出段落11"/>
    <w:basedOn w:val="1"/>
    <w:qFormat/>
    <w:uiPriority w:val="0"/>
    <w:pPr>
      <w:spacing w:line="240" w:lineRule="auto"/>
      <w:ind w:firstLine="420"/>
    </w:pPr>
    <w:rPr>
      <w:sz w:val="21"/>
      <w:szCs w:val="24"/>
    </w:rPr>
  </w:style>
  <w:style w:type="paragraph" w:customStyle="1" w:styleId="214">
    <w:name w:val="列出段落3"/>
    <w:basedOn w:val="1"/>
    <w:unhideWhenUsed/>
    <w:qFormat/>
    <w:uiPriority w:val="99"/>
    <w:pPr>
      <w:spacing w:line="240" w:lineRule="auto"/>
      <w:ind w:firstLine="420"/>
    </w:pPr>
    <w:rPr>
      <w:sz w:val="21"/>
      <w:szCs w:val="24"/>
    </w:rPr>
  </w:style>
  <w:style w:type="table" w:customStyle="1" w:styleId="215">
    <w:name w:val="网格型2"/>
    <w:basedOn w:val="43"/>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
    <w:name w:val="网格型1"/>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7">
    <w:name w:val="纯文本 Char3"/>
    <w:qFormat/>
    <w:uiPriority w:val="0"/>
    <w:rPr>
      <w:rFonts w:ascii="宋体" w:hAnsi="Courier New"/>
      <w:szCs w:val="21"/>
    </w:rPr>
  </w:style>
  <w:style w:type="paragraph" w:customStyle="1" w:styleId="218">
    <w:name w:val="_Style 216"/>
    <w:basedOn w:val="2"/>
    <w:next w:val="1"/>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character" w:customStyle="1" w:styleId="219">
    <w:name w:val="font61"/>
    <w:qFormat/>
    <w:uiPriority w:val="0"/>
    <w:rPr>
      <w:rFonts w:hint="eastAsia" w:ascii="宋体" w:hAnsi="宋体" w:eastAsia="宋体" w:cs="宋体"/>
      <w:color w:val="000000"/>
      <w:sz w:val="18"/>
      <w:szCs w:val="18"/>
      <w:u w:val="none"/>
    </w:rPr>
  </w:style>
  <w:style w:type="character" w:customStyle="1" w:styleId="220">
    <w:name w:val="标题 Char2"/>
    <w:qFormat/>
    <w:uiPriority w:val="10"/>
    <w:rPr>
      <w:rFonts w:ascii="Cambria" w:hAnsi="Cambria" w:cs="Times New Roman"/>
      <w:b/>
      <w:bCs/>
      <w:kern w:val="2"/>
      <w:sz w:val="32"/>
      <w:szCs w:val="32"/>
    </w:rPr>
  </w:style>
  <w:style w:type="paragraph" w:customStyle="1" w:styleId="221">
    <w:name w:val="正文文本首行缩进1"/>
    <w:basedOn w:val="1"/>
    <w:qFormat/>
    <w:uiPriority w:val="0"/>
    <w:pPr>
      <w:spacing w:after="120" w:line="360" w:lineRule="exact"/>
      <w:ind w:left="400" w:leftChars="400" w:firstLine="420" w:firstLineChars="100"/>
    </w:pPr>
    <w:rPr>
      <w:rFonts w:eastAsia="楷体_GB2312"/>
      <w:sz w:val="21"/>
      <w:szCs w:val="24"/>
    </w:rPr>
  </w:style>
  <w:style w:type="paragraph" w:customStyle="1" w:styleId="222">
    <w:name w:val="_Style 220"/>
    <w:unhideWhenUsed/>
    <w:qFormat/>
    <w:uiPriority w:val="99"/>
    <w:rPr>
      <w:rFonts w:ascii="Times New Roman" w:hAnsi="Times New Roman" w:eastAsia="宋体" w:cs="Times New Roman"/>
      <w:kern w:val="2"/>
      <w:sz w:val="24"/>
      <w:szCs w:val="22"/>
      <w:lang w:val="en-US" w:eastAsia="zh-CN" w:bidi="ar-SA"/>
    </w:rPr>
  </w:style>
  <w:style w:type="character" w:customStyle="1" w:styleId="223">
    <w:name w:val="批注文字 字符"/>
    <w:qFormat/>
    <w:uiPriority w:val="99"/>
    <w:rPr>
      <w:sz w:val="24"/>
    </w:rPr>
  </w:style>
  <w:style w:type="character" w:customStyle="1" w:styleId="224">
    <w:name w:val="hover25"/>
    <w:basedOn w:val="45"/>
    <w:qFormat/>
    <w:uiPriority w:val="0"/>
    <w:rPr>
      <w:color w:val="335BFF"/>
    </w:rPr>
  </w:style>
  <w:style w:type="character" w:customStyle="1" w:styleId="225">
    <w:name w:val="hover26"/>
    <w:basedOn w:val="45"/>
    <w:qFormat/>
    <w:uiPriority w:val="0"/>
  </w:style>
  <w:style w:type="character" w:customStyle="1" w:styleId="226">
    <w:name w:val="hover27"/>
    <w:basedOn w:val="45"/>
    <w:qFormat/>
    <w:uiPriority w:val="0"/>
  </w:style>
  <w:style w:type="character" w:customStyle="1" w:styleId="227">
    <w:name w:val="hover28"/>
    <w:basedOn w:val="45"/>
    <w:qFormat/>
    <w:uiPriority w:val="0"/>
    <w:rPr>
      <w:color w:val="315EFB"/>
    </w:rPr>
  </w:style>
  <w:style w:type="character" w:customStyle="1" w:styleId="228">
    <w:name w:val="hover29"/>
    <w:basedOn w:val="45"/>
    <w:qFormat/>
    <w:uiPriority w:val="0"/>
    <w:rPr>
      <w:color w:val="315EFB"/>
    </w:rPr>
  </w:style>
  <w:style w:type="character" w:customStyle="1" w:styleId="229">
    <w:name w:val="c-icon"/>
    <w:basedOn w:val="45"/>
    <w:qFormat/>
    <w:uiPriority w:val="0"/>
  </w:style>
  <w:style w:type="character" w:customStyle="1" w:styleId="230">
    <w:name w:val="type_vwl1n"/>
    <w:basedOn w:val="45"/>
    <w:qFormat/>
    <w:uiPriority w:val="0"/>
    <w:rPr>
      <w:color w:val="999999"/>
    </w:rPr>
  </w:style>
  <w:style w:type="character" w:customStyle="1" w:styleId="231">
    <w:name w:val="first-child"/>
    <w:basedOn w:val="45"/>
    <w:qFormat/>
    <w:uiPriority w:val="0"/>
  </w:style>
  <w:style w:type="character" w:customStyle="1" w:styleId="232">
    <w:name w:val="first-child1"/>
    <w:basedOn w:val="45"/>
    <w:qFormat/>
    <w:uiPriority w:val="0"/>
  </w:style>
  <w:style w:type="character" w:customStyle="1" w:styleId="233">
    <w:name w:val="desc_jpnvt"/>
    <w:basedOn w:val="45"/>
    <w:qFormat/>
    <w:uiPriority w:val="0"/>
    <w:rPr>
      <w:color w:val="333333"/>
    </w:rPr>
  </w:style>
  <w:style w:type="paragraph" w:customStyle="1" w:styleId="234">
    <w:name w:val="首行缩进"/>
    <w:basedOn w:val="1"/>
    <w:qFormat/>
    <w:uiPriority w:val="0"/>
    <w:pPr>
      <w:ind w:firstLine="480"/>
    </w:pPr>
  </w:style>
  <w:style w:type="paragraph" w:customStyle="1" w:styleId="235">
    <w:name w:val="Body text|1"/>
    <w:basedOn w:val="1"/>
    <w:qFormat/>
    <w:uiPriority w:val="0"/>
    <w:pPr>
      <w:spacing w:line="350" w:lineRule="auto"/>
      <w:ind w:firstLine="400"/>
      <w:jc w:val="left"/>
    </w:pPr>
    <w:rPr>
      <w:rFonts w:ascii="宋体" w:hAnsi="宋体" w:cs="宋体"/>
      <w:kern w:val="0"/>
      <w:sz w:val="30"/>
      <w:szCs w:val="30"/>
    </w:rPr>
  </w:style>
  <w:style w:type="table" w:customStyle="1" w:styleId="236">
    <w:name w:val="Table Normal"/>
    <w:unhideWhenUsed/>
    <w:qFormat/>
    <w:uiPriority w:val="0"/>
    <w:tblPr>
      <w:tblCellMar>
        <w:top w:w="0" w:type="dxa"/>
        <w:left w:w="0" w:type="dxa"/>
        <w:bottom w:w="0" w:type="dxa"/>
        <w:right w:w="0" w:type="dxa"/>
      </w:tblCellMar>
    </w:tblPr>
  </w:style>
  <w:style w:type="character" w:customStyle="1" w:styleId="237">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3.png"/><Relationship Id="rId25" Type="http://schemas.openxmlformats.org/officeDocument/2006/relationships/image" Target="https://www.gov.cn/zhengce/content/202509/W020250930645245947614.png" TargetMode="External"/><Relationship Id="rId24" Type="http://schemas.openxmlformats.org/officeDocument/2006/relationships/image" Target="media/image2.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97</Pages>
  <Words>21227</Words>
  <Characters>22665</Characters>
  <Lines>294</Lines>
  <Paragraphs>82</Paragraphs>
  <TotalTime>2</TotalTime>
  <ScaleCrop>false</ScaleCrop>
  <LinksUpToDate>false</LinksUpToDate>
  <CharactersWithSpaces>25357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2022-01-05T07:33:00Z</dcterms:created>
  <dc:creator>Administrator</dc:creator>
  <cp:lastModifiedBy>哆啦A没有梦</cp:lastModifiedBy>
  <cp:lastPrinted>2026-06-22T10:48:00Z</cp:lastPrinted>
  <dcterms:modified xsi:type="dcterms:W3CDTF">2026-07-14T07:32:06Z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695AFE8180A34A0CAE7732DB18C46751_13</vt:lpwstr>
  </property>
  <property fmtid="{D5CDD505-2E9C-101B-9397-08002B2CF9AE}" pid="4" name="KSOTemplateDocerSaveRecord">
    <vt:lpwstr>eyJoZGlkIjoiZTc2MjQyYTJmYmM5NTgzZTk4ZWJkZDI2ZGM0YzQzYzIiLCJ1c2VySWQiOiIzNjY4NzE3NjcifQ==</vt:lpwstr>
  </property>
</Properties>
</file>