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pStyle w:val="20"/>
        <w:rPr>
          <w:color w:val="auto"/>
          <w:highlight w:val="none"/>
        </w:rPr>
      </w:pPr>
    </w:p>
    <w:p>
      <w:pPr>
        <w:spacing w:before="120" w:beforeLines="50"/>
        <w:jc w:val="center"/>
        <w:rPr>
          <w:rFonts w:ascii="华文新魏" w:hAnsi="宋体" w:eastAsia="华文新魏"/>
          <w:spacing w:val="-20"/>
          <w:sz w:val="52"/>
          <w:szCs w:val="52"/>
          <w:highlight w:val="none"/>
        </w:rPr>
      </w:pPr>
      <w:r>
        <w:rPr>
          <w:rFonts w:ascii="黑体" w:hAnsi="黑体" w:eastAsia="黑体"/>
          <w:spacing w:val="-20"/>
          <w:sz w:val="72"/>
          <w:szCs w:val="72"/>
          <w:highlight w:val="none"/>
        </w:rPr>
        <w:pict>
          <v:shape id="_x0000_i1025" o:spt="144" type="#_x0000_t144" style="height:36.3pt;width:441.2pt;" fillcolor="#000000" filled="t" coordsize="21600,21600">
            <v:path/>
            <v:fill on="t" focussize="0,0"/>
            <v:stroke/>
            <v:imagedata o:title=""/>
            <o:lock v:ext="edit"/>
            <v:textpath on="t" fitshape="t" fitpath="t" trim="t" xscale="f" string="广西泽丰工程咨询有限公司" style="font-family:黑体;font-size:36pt;font-weight:bold;v-text-align:center;"/>
            <w10:wrap type="none"/>
            <w10:anchorlock/>
          </v:shape>
        </w:pict>
      </w:r>
    </w:p>
    <w:p>
      <w:pPr>
        <w:pStyle w:val="36"/>
        <w:spacing w:line="2000" w:lineRule="exact"/>
        <w:jc w:val="center"/>
        <w:rPr>
          <w:rFonts w:hAnsi="宋体" w:cs="宋体"/>
          <w:spacing w:val="32"/>
          <w:sz w:val="72"/>
          <w:szCs w:val="72"/>
          <w:highlight w:val="none"/>
        </w:rPr>
      </w:pPr>
      <w:r>
        <w:rPr>
          <w:rFonts w:ascii="华文新魏" w:hAnsi="宋体" w:eastAsia="华文新魏"/>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11"/>
                    <a:stretch>
                      <a:fillRect/>
                    </a:stretch>
                  </pic:blipFill>
                  <pic:spPr>
                    <a:xfrm>
                      <a:off x="0" y="0"/>
                      <a:ext cx="741045" cy="723900"/>
                    </a:xfrm>
                    <a:prstGeom prst="rect">
                      <a:avLst/>
                    </a:prstGeom>
                    <a:noFill/>
                    <a:ln>
                      <a:noFill/>
                    </a:ln>
                  </pic:spPr>
                </pic:pic>
              </a:graphicData>
            </a:graphic>
          </wp:inline>
        </w:drawing>
      </w:r>
    </w:p>
    <w:p>
      <w:pPr>
        <w:spacing w:line="360" w:lineRule="auto"/>
        <w:jc w:val="center"/>
        <w:rPr>
          <w:rFonts w:cs="仿宋_GB2312" w:asciiTheme="minorEastAsia" w:hAnsiTheme="minorEastAsia" w:eastAsiaTheme="minorEastAsia"/>
          <w:b/>
          <w:sz w:val="24"/>
          <w:highlight w:val="none"/>
        </w:rPr>
      </w:pPr>
    </w:p>
    <w:p>
      <w:pPr>
        <w:adjustRightInd/>
        <w:spacing w:line="1600" w:lineRule="exact"/>
        <w:jc w:val="center"/>
        <w:rPr>
          <w:rFonts w:cs="仿宋_GB2312" w:asciiTheme="minorEastAsia" w:hAnsiTheme="minorEastAsia" w:eastAsiaTheme="minorEastAsia"/>
          <w:b/>
          <w:bCs/>
          <w:w w:val="95"/>
          <w:sz w:val="52"/>
          <w:szCs w:val="52"/>
          <w:highlight w:val="none"/>
        </w:rPr>
      </w:pPr>
      <w:r>
        <w:rPr>
          <w:rFonts w:hint="eastAsia" w:cs="仿宋_GB2312" w:asciiTheme="minorEastAsia" w:hAnsiTheme="minorEastAsia" w:eastAsiaTheme="minorEastAsia"/>
          <w:b/>
          <w:bCs/>
          <w:w w:val="95"/>
          <w:sz w:val="52"/>
          <w:szCs w:val="52"/>
          <w:highlight w:val="none"/>
        </w:rPr>
        <w:t>专用设备购置</w:t>
      </w:r>
    </w:p>
    <w:p>
      <w:pPr>
        <w:adjustRightInd/>
        <w:spacing w:line="1600" w:lineRule="exact"/>
        <w:jc w:val="center"/>
        <w:rPr>
          <w:rFonts w:cs="仿宋_GB2312" w:asciiTheme="minorEastAsia" w:hAnsiTheme="minorEastAsia" w:eastAsiaTheme="minorEastAsia"/>
          <w:b/>
          <w:sz w:val="72"/>
          <w:szCs w:val="72"/>
          <w:highlight w:val="none"/>
        </w:rPr>
      </w:pPr>
      <w:r>
        <w:rPr>
          <w:rFonts w:hint="eastAsia" w:cs="仿宋_GB2312" w:asciiTheme="minorEastAsia" w:hAnsiTheme="minorEastAsia" w:eastAsiaTheme="minorEastAsia"/>
          <w:b/>
          <w:bCs/>
          <w:w w:val="95"/>
          <w:sz w:val="84"/>
          <w:szCs w:val="84"/>
          <w:highlight w:val="none"/>
          <w:lang w:val="zh-CN"/>
        </w:rPr>
        <w:t>竞争性谈判文件</w:t>
      </w:r>
    </w:p>
    <w:p>
      <w:pPr>
        <w:adjustRightInd/>
        <w:spacing w:line="400" w:lineRule="exact"/>
        <w:jc w:val="center"/>
        <w:rPr>
          <w:rFonts w:cs="仿宋_GB2312" w:asciiTheme="minorEastAsia" w:hAnsiTheme="minorEastAsia" w:eastAsiaTheme="minorEastAsia"/>
          <w:b/>
          <w:sz w:val="44"/>
          <w:szCs w:val="44"/>
          <w:highlight w:val="none"/>
        </w:rPr>
      </w:pPr>
      <w:r>
        <w:rPr>
          <w:rFonts w:hint="eastAsia" w:cs="仿宋_GB2312" w:asciiTheme="minorEastAsia" w:hAnsiTheme="minorEastAsia" w:eastAsiaTheme="minorEastAsia"/>
          <w:b/>
          <w:sz w:val="32"/>
          <w:szCs w:val="32"/>
          <w:highlight w:val="none"/>
        </w:rPr>
        <w:t>（电子交易）</w:t>
      </w:r>
    </w:p>
    <w:p>
      <w:pPr>
        <w:snapToGrid w:val="0"/>
        <w:spacing w:line="360" w:lineRule="auto"/>
        <w:jc w:val="center"/>
        <w:rPr>
          <w:rFonts w:cs="仿宋_GB2312" w:asciiTheme="minorEastAsia" w:hAnsiTheme="minorEastAsia" w:eastAsiaTheme="minorEastAsia"/>
          <w:sz w:val="30"/>
          <w:szCs w:val="30"/>
          <w:highlight w:val="none"/>
        </w:rPr>
      </w:pPr>
    </w:p>
    <w:p>
      <w:pPr>
        <w:snapToGrid w:val="0"/>
        <w:spacing w:line="360" w:lineRule="auto"/>
        <w:ind w:firstLine="2400" w:firstLineChars="800"/>
        <w:rPr>
          <w:rFonts w:cs="仿宋_GB2312" w:asciiTheme="minorEastAsia" w:hAnsiTheme="minorEastAsia" w:eastAsiaTheme="minorEastAsia"/>
          <w:sz w:val="30"/>
          <w:szCs w:val="30"/>
          <w:highlight w:val="none"/>
        </w:rPr>
      </w:pPr>
    </w:p>
    <w:p>
      <w:pPr>
        <w:snapToGrid w:val="0"/>
        <w:spacing w:line="360" w:lineRule="auto"/>
        <w:ind w:firstLine="2400" w:firstLineChars="800"/>
        <w:rPr>
          <w:rFonts w:cs="仿宋_GB2312" w:asciiTheme="minorEastAsia" w:hAnsiTheme="minorEastAsia" w:eastAsiaTheme="minorEastAsia"/>
          <w:highlight w:val="none"/>
        </w:rPr>
      </w:pPr>
      <w:r>
        <w:rPr>
          <w:rFonts w:hint="eastAsia" w:cs="仿宋_GB2312" w:asciiTheme="minorEastAsia" w:hAnsiTheme="minorEastAsia" w:eastAsiaTheme="minorEastAsia"/>
          <w:sz w:val="30"/>
          <w:szCs w:val="30"/>
          <w:highlight w:val="none"/>
        </w:rPr>
        <w:t>项目编号:</w:t>
      </w:r>
      <w:r>
        <w:rPr>
          <w:rFonts w:hint="eastAsia" w:cs="仿宋_GB2312" w:asciiTheme="minorEastAsia" w:hAnsiTheme="minorEastAsia" w:eastAsiaTheme="minorEastAsia"/>
          <w:sz w:val="30"/>
          <w:szCs w:val="30"/>
          <w:highlight w:val="none"/>
          <w:u w:val="single"/>
        </w:rPr>
        <w:t xml:space="preserve"> </w:t>
      </w:r>
      <w:r>
        <w:rPr>
          <w:rFonts w:hint="eastAsia" w:cs="仿宋_GB2312" w:asciiTheme="minorEastAsia" w:hAnsiTheme="minorEastAsia" w:eastAsiaTheme="minorEastAsia"/>
          <w:sz w:val="30"/>
          <w:szCs w:val="30"/>
          <w:highlight w:val="none"/>
          <w:u w:val="single"/>
          <w:lang w:eastAsia="zh-CN"/>
        </w:rPr>
        <w:t>GXZC2026-J1-001935-GXZF</w:t>
      </w:r>
    </w:p>
    <w:p>
      <w:pPr>
        <w:spacing w:line="360" w:lineRule="auto"/>
        <w:rPr>
          <w:rFonts w:cs="仿宋_GB2312" w:asciiTheme="minorEastAsia" w:hAnsiTheme="minorEastAsia" w:eastAsiaTheme="minorEastAsia"/>
          <w:sz w:val="32"/>
          <w:szCs w:val="32"/>
          <w:highlight w:val="none"/>
        </w:rPr>
      </w:pPr>
      <w:r>
        <w:rPr>
          <w:rFonts w:hint="eastAsia" w:cs="仿宋_GB2312" w:asciiTheme="minorEastAsia" w:hAnsiTheme="minorEastAsia" w:eastAsiaTheme="minorEastAsia"/>
          <w:sz w:val="24"/>
          <w:highlight w:val="none"/>
        </w:rPr>
        <w:t xml:space="preserve">                                 </w:t>
      </w:r>
    </w:p>
    <w:p>
      <w:pPr>
        <w:pStyle w:val="2"/>
        <w:rPr>
          <w:rFonts w:ascii="宋体" w:hAnsi="宋体" w:cs="宋体"/>
          <w:sz w:val="32"/>
          <w:szCs w:val="32"/>
          <w:highlight w:val="none"/>
        </w:rPr>
      </w:pPr>
    </w:p>
    <w:p>
      <w:pPr>
        <w:rPr>
          <w:highlight w:val="none"/>
        </w:rPr>
      </w:pPr>
    </w:p>
    <w:p>
      <w:pPr>
        <w:snapToGrid w:val="0"/>
        <w:spacing w:line="480" w:lineRule="auto"/>
        <w:ind w:firstLine="1600" w:firstLineChars="500"/>
        <w:rPr>
          <w:rFonts w:cs="仿宋_GB2312" w:asciiTheme="minorEastAsia" w:hAnsiTheme="minorEastAsia"/>
          <w:sz w:val="32"/>
          <w:szCs w:val="32"/>
          <w:highlight w:val="none"/>
        </w:rPr>
      </w:pPr>
      <w:r>
        <w:rPr>
          <w:rFonts w:hint="eastAsia" w:ascii="宋体" w:hAnsi="宋体" w:cs="宋体"/>
          <w:sz w:val="32"/>
          <w:szCs w:val="32"/>
          <w:highlight w:val="none"/>
        </w:rPr>
        <w:t xml:space="preserve">采购人:广西壮族自治区海洋环境监测中心站 </w:t>
      </w:r>
    </w:p>
    <w:p>
      <w:pPr>
        <w:spacing w:line="480" w:lineRule="auto"/>
        <w:ind w:firstLine="1600" w:firstLineChars="500"/>
        <w:rPr>
          <w:rFonts w:cs="仿宋_GB2312" w:asciiTheme="minorEastAsia" w:hAnsiTheme="minorEastAsia"/>
          <w:bCs/>
          <w:sz w:val="32"/>
          <w:szCs w:val="32"/>
          <w:highlight w:val="none"/>
        </w:rPr>
      </w:pPr>
      <w:r>
        <w:rPr>
          <w:rFonts w:hint="eastAsia" w:ascii="宋体" w:hAnsi="宋体" w:cs="宋体"/>
          <w:bCs/>
          <w:sz w:val="32"/>
          <w:szCs w:val="32"/>
          <w:highlight w:val="none"/>
        </w:rPr>
        <w:t>采购代理机构:广西泽丰工程咨询有限公司</w:t>
      </w:r>
    </w:p>
    <w:p>
      <w:pPr>
        <w:snapToGrid w:val="0"/>
        <w:spacing w:line="480" w:lineRule="auto"/>
        <w:jc w:val="center"/>
        <w:rPr>
          <w:rFonts w:cs="仿宋_GB2312" w:asciiTheme="minorEastAsia" w:hAnsiTheme="minorEastAsia" w:eastAsiaTheme="minorEastAsia"/>
          <w:bCs/>
          <w:sz w:val="32"/>
          <w:szCs w:val="32"/>
          <w:highlight w:val="none"/>
        </w:rPr>
      </w:pPr>
      <w:r>
        <w:rPr>
          <w:rFonts w:hint="eastAsia" w:cs="仿宋_GB2312" w:asciiTheme="minorEastAsia" w:hAnsiTheme="minorEastAsia" w:eastAsiaTheme="minorEastAsia"/>
          <w:bCs/>
          <w:sz w:val="32"/>
          <w:szCs w:val="32"/>
          <w:highlight w:val="none"/>
        </w:rPr>
        <w:t>二</w:t>
      </w:r>
      <w:r>
        <w:rPr>
          <w:rFonts w:hint="eastAsia" w:cs="宋体" w:asciiTheme="minorEastAsia" w:hAnsiTheme="minorEastAsia" w:eastAsiaTheme="minorEastAsia"/>
          <w:bCs/>
          <w:sz w:val="32"/>
          <w:szCs w:val="32"/>
          <w:highlight w:val="none"/>
        </w:rPr>
        <w:t>〇</w:t>
      </w:r>
      <w:r>
        <w:rPr>
          <w:rFonts w:hint="eastAsia" w:cs="仿宋_GB2312" w:asciiTheme="minorEastAsia" w:hAnsiTheme="minorEastAsia" w:eastAsiaTheme="minorEastAsia"/>
          <w:bCs/>
          <w:sz w:val="32"/>
          <w:szCs w:val="32"/>
          <w:highlight w:val="none"/>
        </w:rPr>
        <w:t>二六年</w:t>
      </w:r>
      <w:r>
        <w:rPr>
          <w:rFonts w:hint="eastAsia" w:cs="仿宋_GB2312" w:asciiTheme="minorEastAsia" w:hAnsiTheme="minorEastAsia" w:eastAsiaTheme="minorEastAsia"/>
          <w:bCs/>
          <w:sz w:val="32"/>
          <w:szCs w:val="32"/>
          <w:highlight w:val="none"/>
          <w:lang w:eastAsia="zh-CN"/>
        </w:rPr>
        <w:t>六</w:t>
      </w:r>
      <w:r>
        <w:rPr>
          <w:rFonts w:hint="eastAsia" w:cs="仿宋_GB2312" w:asciiTheme="minorEastAsia" w:hAnsiTheme="minorEastAsia" w:eastAsiaTheme="minorEastAsia"/>
          <w:bCs/>
          <w:sz w:val="32"/>
          <w:szCs w:val="32"/>
          <w:highlight w:val="none"/>
        </w:rPr>
        <w:t>月</w:t>
      </w:r>
      <w:r>
        <w:rPr>
          <w:rFonts w:hint="eastAsia" w:cs="仿宋_GB2312" w:asciiTheme="minorEastAsia" w:hAnsiTheme="minorEastAsia" w:eastAsiaTheme="minorEastAsia"/>
          <w:bCs/>
          <w:sz w:val="32"/>
          <w:szCs w:val="32"/>
          <w:highlight w:val="none"/>
          <w:lang w:eastAsia="zh-CN"/>
        </w:rPr>
        <w:t>十八</w:t>
      </w:r>
      <w:r>
        <w:rPr>
          <w:rFonts w:hint="eastAsia" w:cs="仿宋_GB2312" w:asciiTheme="minorEastAsia" w:hAnsiTheme="minorEastAsia" w:eastAsiaTheme="minorEastAsia"/>
          <w:bCs/>
          <w:sz w:val="32"/>
          <w:szCs w:val="32"/>
          <w:highlight w:val="none"/>
        </w:rPr>
        <w:t>日</w:t>
      </w:r>
    </w:p>
    <w:p>
      <w:pPr>
        <w:spacing w:line="360" w:lineRule="auto"/>
        <w:jc w:val="center"/>
        <w:rPr>
          <w:rFonts w:cs="仿宋_GB2312" w:asciiTheme="minorEastAsia" w:hAnsiTheme="minorEastAsia" w:eastAsiaTheme="minorEastAsia"/>
          <w:sz w:val="24"/>
          <w:highlight w:val="none"/>
        </w:rPr>
      </w:pPr>
      <w:bookmarkStart w:id="0" w:name="_Hlt67893495"/>
      <w:bookmarkEnd w:id="0"/>
    </w:p>
    <w:p>
      <w:pPr>
        <w:tabs>
          <w:tab w:val="left" w:pos="2268"/>
        </w:tabs>
        <w:spacing w:line="360" w:lineRule="auto"/>
        <w:jc w:val="center"/>
        <w:rPr>
          <w:rFonts w:cs="仿宋_GB2312" w:asciiTheme="minorEastAsia" w:hAnsiTheme="minorEastAsia" w:eastAsiaTheme="minorEastAsia"/>
          <w:sz w:val="24"/>
          <w:highlight w:val="none"/>
        </w:rPr>
      </w:pPr>
    </w:p>
    <w:p>
      <w:pPr>
        <w:spacing w:line="360" w:lineRule="auto"/>
        <w:jc w:val="center"/>
        <w:rPr>
          <w:rFonts w:cs="仿宋_GB2312" w:asciiTheme="minorEastAsia" w:hAnsiTheme="minorEastAsia" w:eastAsiaTheme="minorEastAsia"/>
          <w:b/>
          <w:sz w:val="48"/>
          <w:szCs w:val="48"/>
          <w:highlight w:val="none"/>
        </w:rPr>
        <w:sectPr>
          <w:headerReference r:id="rId4" w:type="first"/>
          <w:headerReference r:id="rId3" w:type="default"/>
          <w:pgSz w:w="11906" w:h="16838"/>
          <w:pgMar w:top="777" w:right="1418" w:bottom="471" w:left="1418" w:header="851" w:footer="992" w:gutter="0"/>
          <w:cols w:space="0" w:num="1"/>
          <w:titlePg/>
          <w:docGrid w:linePitch="312" w:charSpace="0"/>
        </w:sectPr>
      </w:pPr>
    </w:p>
    <w:p>
      <w:pPr>
        <w:spacing w:line="360" w:lineRule="auto"/>
        <w:jc w:val="center"/>
        <w:rPr>
          <w:rFonts w:cs="仿宋_GB2312" w:asciiTheme="minorEastAsia" w:hAnsiTheme="minorEastAsia" w:eastAsiaTheme="minorEastAsia"/>
          <w:b/>
          <w:sz w:val="48"/>
          <w:szCs w:val="48"/>
          <w:highlight w:val="none"/>
        </w:rPr>
      </w:pPr>
    </w:p>
    <w:p>
      <w:pPr>
        <w:spacing w:line="360" w:lineRule="auto"/>
        <w:jc w:val="center"/>
        <w:rPr>
          <w:rFonts w:cs="仿宋_GB2312" w:asciiTheme="minorEastAsia" w:hAnsiTheme="minorEastAsia" w:eastAsiaTheme="minorEastAsia"/>
          <w:b/>
          <w:sz w:val="48"/>
          <w:szCs w:val="48"/>
          <w:highlight w:val="none"/>
        </w:rPr>
      </w:pPr>
      <w:r>
        <w:rPr>
          <w:rFonts w:hint="eastAsia" w:cs="仿宋_GB2312" w:asciiTheme="minorEastAsia" w:hAnsiTheme="minorEastAsia" w:eastAsiaTheme="minorEastAsia"/>
          <w:b/>
          <w:sz w:val="48"/>
          <w:szCs w:val="48"/>
          <w:highlight w:val="none"/>
        </w:rPr>
        <w:t>目  录</w:t>
      </w:r>
    </w:p>
    <w:p>
      <w:pPr>
        <w:spacing w:line="360" w:lineRule="auto"/>
        <w:rPr>
          <w:rFonts w:cs="仿宋_GB2312" w:asciiTheme="minorEastAsia" w:hAnsiTheme="minorEastAsia" w:eastAsiaTheme="minorEastAsia"/>
          <w:sz w:val="32"/>
          <w:szCs w:val="32"/>
          <w:highlight w:val="none"/>
        </w:rPr>
      </w:pPr>
    </w:p>
    <w:p>
      <w:pPr>
        <w:pStyle w:val="45"/>
        <w:tabs>
          <w:tab w:val="right" w:leader="dot" w:pos="9060"/>
        </w:tabs>
        <w:spacing w:line="360" w:lineRule="auto"/>
        <w:rPr>
          <w:rFonts w:ascii="Calibri" w:hAnsi="Calibri" w:cs="Calibri" w:eastAsiaTheme="minorEastAsia"/>
          <w:sz w:val="24"/>
          <w:highlight w:val="none"/>
        </w:rPr>
      </w:pPr>
      <w:bookmarkStart w:id="1" w:name="_Hlt91233176"/>
      <w:bookmarkEnd w:id="1"/>
      <w:bookmarkStart w:id="2" w:name="_Toc91899869"/>
      <w:r>
        <w:rPr>
          <w:rFonts w:cs="仿宋_GB2312" w:asciiTheme="minorEastAsia" w:hAnsiTheme="minorEastAsia" w:eastAsiaTheme="minorEastAsia"/>
          <w:sz w:val="32"/>
          <w:szCs w:val="32"/>
          <w:highlight w:val="none"/>
        </w:rPr>
        <w:fldChar w:fldCharType="begin"/>
      </w:r>
      <w:r>
        <w:rPr>
          <w:rFonts w:cs="仿宋_GB2312" w:asciiTheme="minorEastAsia" w:hAnsiTheme="minorEastAsia" w:eastAsiaTheme="minorEastAsia"/>
          <w:sz w:val="32"/>
          <w:szCs w:val="32"/>
          <w:highlight w:val="none"/>
        </w:rPr>
        <w:instrText xml:space="preserve"> </w:instrText>
      </w:r>
      <w:r>
        <w:rPr>
          <w:rFonts w:hint="eastAsia" w:cs="仿宋_GB2312" w:asciiTheme="minorEastAsia" w:hAnsiTheme="minorEastAsia" w:eastAsiaTheme="minorEastAsia"/>
          <w:sz w:val="32"/>
          <w:szCs w:val="32"/>
          <w:highlight w:val="none"/>
        </w:rPr>
        <w:instrText xml:space="preserve">TOC \o "1-1" \h \z \u</w:instrText>
      </w:r>
      <w:r>
        <w:rPr>
          <w:rFonts w:cs="仿宋_GB2312" w:asciiTheme="minorEastAsia" w:hAnsiTheme="minorEastAsia" w:eastAsiaTheme="minorEastAsia"/>
          <w:sz w:val="32"/>
          <w:szCs w:val="32"/>
          <w:highlight w:val="none"/>
        </w:rPr>
        <w:instrText xml:space="preserve"> </w:instrText>
      </w:r>
      <w:r>
        <w:rPr>
          <w:rFonts w:cs="仿宋_GB2312" w:asciiTheme="minorEastAsia" w:hAnsiTheme="minorEastAsia" w:eastAsiaTheme="minorEastAsia"/>
          <w:sz w:val="32"/>
          <w:szCs w:val="32"/>
          <w:highlight w:val="none"/>
        </w:rPr>
        <w:fldChar w:fldCharType="separate"/>
      </w:r>
      <w:r>
        <w:rPr>
          <w:highlight w:val="none"/>
        </w:rPr>
        <w:fldChar w:fldCharType="begin"/>
      </w:r>
      <w:r>
        <w:rPr>
          <w:highlight w:val="none"/>
        </w:rPr>
        <w:instrText xml:space="preserve"> HYPERLINK \l "_Toc181203094" </w:instrText>
      </w:r>
      <w:r>
        <w:rPr>
          <w:highlight w:val="none"/>
        </w:rPr>
        <w:fldChar w:fldCharType="separate"/>
      </w:r>
      <w:r>
        <w:rPr>
          <w:rStyle w:val="68"/>
          <w:rFonts w:ascii="Calibri" w:hAnsi="Calibri" w:cs="Calibri" w:eastAsiaTheme="minorEastAsia"/>
          <w:color w:val="auto"/>
          <w:sz w:val="24"/>
          <w:szCs w:val="24"/>
          <w:highlight w:val="none"/>
        </w:rPr>
        <w:t>第一部分  邀请供应商</w:t>
      </w:r>
      <w:r>
        <w:rPr>
          <w:rFonts w:ascii="Calibri" w:hAnsi="Calibri" w:cs="Calibri" w:eastAsiaTheme="minorEastAsia"/>
          <w:sz w:val="24"/>
          <w:highlight w:val="none"/>
        </w:rPr>
        <w:tab/>
      </w:r>
      <w:r>
        <w:rPr>
          <w:rFonts w:hint="eastAsia" w:ascii="Calibri" w:hAnsi="Calibri" w:cs="Calibri" w:eastAsiaTheme="minorEastAsia"/>
          <w:sz w:val="24"/>
          <w:highlight w:val="none"/>
        </w:rPr>
        <w:t>2</w:t>
      </w:r>
      <w:r>
        <w:rPr>
          <w:rFonts w:hint="eastAsia" w:ascii="Calibri" w:hAnsi="Calibri" w:cs="Calibri" w:eastAsiaTheme="minorEastAsia"/>
          <w:sz w:val="24"/>
          <w:highlight w:val="none"/>
        </w:rPr>
        <w:fldChar w:fldCharType="end"/>
      </w:r>
    </w:p>
    <w:p>
      <w:pPr>
        <w:pStyle w:val="45"/>
        <w:tabs>
          <w:tab w:val="right" w:leader="dot" w:pos="9060"/>
        </w:tabs>
        <w:spacing w:line="360" w:lineRule="auto"/>
        <w:rPr>
          <w:rFonts w:ascii="Calibri" w:hAnsi="Calibri" w:cs="Calibri" w:eastAsiaTheme="minorEastAsia"/>
          <w:sz w:val="24"/>
          <w:highlight w:val="none"/>
        </w:rPr>
      </w:pPr>
      <w:r>
        <w:rPr>
          <w:highlight w:val="none"/>
        </w:rPr>
        <w:fldChar w:fldCharType="begin"/>
      </w:r>
      <w:r>
        <w:rPr>
          <w:highlight w:val="none"/>
        </w:rPr>
        <w:instrText xml:space="preserve"> HYPERLINK \l "_Toc181203095" </w:instrText>
      </w:r>
      <w:r>
        <w:rPr>
          <w:highlight w:val="none"/>
        </w:rPr>
        <w:fldChar w:fldCharType="separate"/>
      </w:r>
      <w:r>
        <w:rPr>
          <w:rStyle w:val="68"/>
          <w:rFonts w:ascii="Calibri" w:hAnsi="Calibri" w:cs="Calibri" w:eastAsiaTheme="minorEastAsia"/>
          <w:color w:val="auto"/>
          <w:sz w:val="24"/>
          <w:szCs w:val="24"/>
          <w:highlight w:val="none"/>
        </w:rPr>
        <w:t xml:space="preserve">第二部分  </w:t>
      </w:r>
      <w:r>
        <w:rPr>
          <w:rStyle w:val="68"/>
          <w:rFonts w:hint="eastAsia" w:ascii="Calibri" w:hAnsi="Calibri" w:cs="Calibri" w:eastAsiaTheme="minorEastAsia"/>
          <w:color w:val="auto"/>
          <w:sz w:val="24"/>
          <w:szCs w:val="24"/>
          <w:highlight w:val="none"/>
        </w:rPr>
        <w:t>竞争性谈判</w:t>
      </w:r>
      <w:r>
        <w:rPr>
          <w:rStyle w:val="68"/>
          <w:rFonts w:ascii="Calibri" w:hAnsi="Calibri" w:cs="Calibri" w:eastAsiaTheme="minorEastAsia"/>
          <w:color w:val="auto"/>
          <w:sz w:val="24"/>
          <w:szCs w:val="24"/>
          <w:highlight w:val="none"/>
        </w:rPr>
        <w:t>流程</w:t>
      </w:r>
      <w:r>
        <w:rPr>
          <w:rFonts w:ascii="Calibri" w:hAnsi="Calibri" w:cs="Calibri" w:eastAsiaTheme="minorEastAsia"/>
          <w:sz w:val="24"/>
          <w:highlight w:val="none"/>
        </w:rPr>
        <w:tab/>
      </w:r>
      <w:r>
        <w:rPr>
          <w:rFonts w:ascii="Calibri" w:hAnsi="Calibri" w:cs="Calibri" w:eastAsiaTheme="minorEastAsia"/>
          <w:sz w:val="24"/>
          <w:highlight w:val="none"/>
        </w:rPr>
        <w:fldChar w:fldCharType="end"/>
      </w:r>
      <w:r>
        <w:rPr>
          <w:rFonts w:hint="eastAsia" w:ascii="Calibri" w:hAnsi="Calibri" w:cs="Calibri" w:eastAsiaTheme="minorEastAsia"/>
          <w:sz w:val="24"/>
          <w:highlight w:val="none"/>
        </w:rPr>
        <w:t>5</w:t>
      </w:r>
    </w:p>
    <w:p>
      <w:pPr>
        <w:pStyle w:val="45"/>
        <w:tabs>
          <w:tab w:val="right" w:leader="dot" w:pos="9060"/>
        </w:tabs>
        <w:spacing w:line="360" w:lineRule="auto"/>
        <w:rPr>
          <w:rFonts w:ascii="Calibri" w:hAnsi="Calibri" w:cs="Calibri" w:eastAsiaTheme="minorEastAsia"/>
          <w:sz w:val="24"/>
          <w:highlight w:val="none"/>
        </w:rPr>
      </w:pPr>
      <w:r>
        <w:rPr>
          <w:highlight w:val="none"/>
        </w:rPr>
        <w:fldChar w:fldCharType="begin"/>
      </w:r>
      <w:r>
        <w:rPr>
          <w:highlight w:val="none"/>
        </w:rPr>
        <w:instrText xml:space="preserve"> HYPERLINK \l "_Toc181203096" </w:instrText>
      </w:r>
      <w:r>
        <w:rPr>
          <w:highlight w:val="none"/>
        </w:rPr>
        <w:fldChar w:fldCharType="separate"/>
      </w:r>
      <w:r>
        <w:rPr>
          <w:rStyle w:val="68"/>
          <w:rFonts w:ascii="Calibri" w:hAnsi="Calibri" w:cs="Calibri" w:eastAsiaTheme="minorEastAsia"/>
          <w:color w:val="auto"/>
          <w:sz w:val="24"/>
          <w:szCs w:val="24"/>
          <w:highlight w:val="none"/>
        </w:rPr>
        <w:t>第三部分  供应商须知</w:t>
      </w:r>
      <w:r>
        <w:rPr>
          <w:rFonts w:ascii="Calibri" w:hAnsi="Calibri" w:cs="Calibri" w:eastAsiaTheme="minorEastAsia"/>
          <w:sz w:val="24"/>
          <w:highlight w:val="none"/>
        </w:rPr>
        <w:tab/>
      </w:r>
      <w:r>
        <w:rPr>
          <w:rFonts w:ascii="Calibri" w:hAnsi="Calibri" w:cs="Calibri" w:eastAsiaTheme="minorEastAsia"/>
          <w:sz w:val="24"/>
          <w:highlight w:val="none"/>
        </w:rPr>
        <w:fldChar w:fldCharType="end"/>
      </w:r>
      <w:r>
        <w:rPr>
          <w:rFonts w:hint="eastAsia" w:ascii="Calibri" w:hAnsi="Calibri" w:cs="Calibri" w:eastAsiaTheme="minorEastAsia"/>
          <w:sz w:val="24"/>
          <w:highlight w:val="none"/>
        </w:rPr>
        <w:t>7</w:t>
      </w:r>
    </w:p>
    <w:p>
      <w:pPr>
        <w:pStyle w:val="45"/>
        <w:tabs>
          <w:tab w:val="right" w:leader="dot" w:pos="9060"/>
        </w:tabs>
        <w:spacing w:line="360" w:lineRule="auto"/>
        <w:rPr>
          <w:rFonts w:ascii="Calibri" w:hAnsi="Calibri" w:cs="Calibri" w:eastAsiaTheme="minorEastAsia"/>
          <w:sz w:val="24"/>
          <w:highlight w:val="none"/>
        </w:rPr>
      </w:pPr>
      <w:r>
        <w:rPr>
          <w:highlight w:val="none"/>
        </w:rPr>
        <w:fldChar w:fldCharType="begin"/>
      </w:r>
      <w:r>
        <w:rPr>
          <w:highlight w:val="none"/>
        </w:rPr>
        <w:instrText xml:space="preserve"> HYPERLINK \l "_Toc181203097" </w:instrText>
      </w:r>
      <w:r>
        <w:rPr>
          <w:highlight w:val="none"/>
        </w:rPr>
        <w:fldChar w:fldCharType="separate"/>
      </w:r>
      <w:r>
        <w:rPr>
          <w:rStyle w:val="68"/>
          <w:rFonts w:ascii="Calibri" w:hAnsi="Calibri" w:cs="Calibri" w:eastAsiaTheme="minorEastAsia"/>
          <w:color w:val="auto"/>
          <w:sz w:val="24"/>
          <w:szCs w:val="24"/>
          <w:highlight w:val="none"/>
        </w:rPr>
        <w:t>第四部分  采购需求</w:t>
      </w:r>
      <w:r>
        <w:rPr>
          <w:rFonts w:ascii="Calibri" w:hAnsi="Calibri" w:cs="Calibri" w:eastAsiaTheme="minorEastAsia"/>
          <w:sz w:val="24"/>
          <w:highlight w:val="none"/>
        </w:rPr>
        <w:tab/>
      </w:r>
      <w:r>
        <w:rPr>
          <w:rFonts w:ascii="Calibri" w:hAnsi="Calibri" w:cs="Calibri" w:eastAsiaTheme="minorEastAsia"/>
          <w:sz w:val="24"/>
          <w:highlight w:val="none"/>
        </w:rPr>
        <w:fldChar w:fldCharType="end"/>
      </w:r>
      <w:r>
        <w:rPr>
          <w:rFonts w:hint="eastAsia" w:ascii="Calibri" w:hAnsi="Calibri" w:cs="Calibri" w:eastAsiaTheme="minorEastAsia"/>
          <w:sz w:val="24"/>
          <w:highlight w:val="none"/>
        </w:rPr>
        <w:t>19</w:t>
      </w:r>
    </w:p>
    <w:p>
      <w:pPr>
        <w:pStyle w:val="45"/>
        <w:tabs>
          <w:tab w:val="right" w:leader="dot" w:pos="9060"/>
        </w:tabs>
        <w:spacing w:line="360" w:lineRule="auto"/>
        <w:rPr>
          <w:rFonts w:hint="eastAsia" w:ascii="Calibri" w:hAnsi="Calibri" w:cs="Calibri" w:eastAsiaTheme="minorEastAsia"/>
          <w:sz w:val="24"/>
          <w:highlight w:val="none"/>
          <w:lang w:val="en-US" w:eastAsia="zh-CN"/>
        </w:rPr>
      </w:pPr>
      <w:r>
        <w:rPr>
          <w:highlight w:val="none"/>
        </w:rPr>
        <w:fldChar w:fldCharType="begin"/>
      </w:r>
      <w:r>
        <w:rPr>
          <w:highlight w:val="none"/>
        </w:rPr>
        <w:instrText xml:space="preserve"> HYPERLINK \l "_Toc181203098" </w:instrText>
      </w:r>
      <w:r>
        <w:rPr>
          <w:highlight w:val="none"/>
        </w:rPr>
        <w:fldChar w:fldCharType="separate"/>
      </w:r>
      <w:r>
        <w:rPr>
          <w:rStyle w:val="68"/>
          <w:rFonts w:ascii="Calibri" w:hAnsi="Calibri" w:cs="Calibri" w:eastAsiaTheme="minorEastAsia"/>
          <w:color w:val="auto"/>
          <w:sz w:val="24"/>
          <w:szCs w:val="24"/>
          <w:highlight w:val="none"/>
        </w:rPr>
        <w:t>第五部分  评定标准</w:t>
      </w:r>
      <w:r>
        <w:rPr>
          <w:rFonts w:ascii="Calibri" w:hAnsi="Calibri" w:cs="Calibri" w:eastAsiaTheme="minorEastAsia"/>
          <w:sz w:val="24"/>
          <w:highlight w:val="none"/>
        </w:rPr>
        <w:tab/>
      </w:r>
      <w:r>
        <w:rPr>
          <w:rFonts w:ascii="Calibri" w:hAnsi="Calibri" w:cs="Calibri" w:eastAsiaTheme="minorEastAsia"/>
          <w:sz w:val="24"/>
          <w:highlight w:val="none"/>
        </w:rPr>
        <w:fldChar w:fldCharType="end"/>
      </w:r>
      <w:r>
        <w:rPr>
          <w:rFonts w:hint="eastAsia" w:ascii="Calibri" w:hAnsi="Calibri" w:cs="Calibri" w:eastAsiaTheme="minorEastAsia"/>
          <w:sz w:val="24"/>
          <w:highlight w:val="none"/>
        </w:rPr>
        <w:t>3</w:t>
      </w:r>
      <w:r>
        <w:rPr>
          <w:rFonts w:hint="eastAsia" w:ascii="Calibri" w:hAnsi="Calibri" w:cs="Calibri" w:eastAsiaTheme="minorEastAsia"/>
          <w:sz w:val="24"/>
          <w:highlight w:val="none"/>
          <w:lang w:val="en-US" w:eastAsia="zh-CN"/>
        </w:rPr>
        <w:t>6</w:t>
      </w:r>
    </w:p>
    <w:p>
      <w:pPr>
        <w:pStyle w:val="45"/>
        <w:tabs>
          <w:tab w:val="right" w:leader="dot" w:pos="9060"/>
        </w:tabs>
        <w:spacing w:line="360" w:lineRule="auto"/>
        <w:rPr>
          <w:rFonts w:hint="eastAsia" w:ascii="Calibri" w:hAnsi="Calibri" w:cs="Calibri" w:eastAsiaTheme="minorEastAsia"/>
          <w:sz w:val="24"/>
          <w:highlight w:val="none"/>
          <w:lang w:val="en-US" w:eastAsia="zh-CN"/>
        </w:rPr>
      </w:pPr>
      <w:r>
        <w:rPr>
          <w:highlight w:val="none"/>
        </w:rPr>
        <w:fldChar w:fldCharType="begin"/>
      </w:r>
      <w:r>
        <w:rPr>
          <w:highlight w:val="none"/>
        </w:rPr>
        <w:instrText xml:space="preserve"> HYPERLINK \l "_Toc181203099" </w:instrText>
      </w:r>
      <w:r>
        <w:rPr>
          <w:highlight w:val="none"/>
        </w:rPr>
        <w:fldChar w:fldCharType="separate"/>
      </w:r>
      <w:r>
        <w:rPr>
          <w:rStyle w:val="68"/>
          <w:rFonts w:ascii="Calibri" w:hAnsi="Calibri" w:cs="Calibri" w:eastAsiaTheme="minorEastAsia"/>
          <w:color w:val="auto"/>
          <w:sz w:val="24"/>
          <w:szCs w:val="24"/>
          <w:highlight w:val="none"/>
        </w:rPr>
        <w:t>第六部分  拟签订的合同文本</w:t>
      </w:r>
      <w:r>
        <w:rPr>
          <w:rFonts w:ascii="Calibri" w:hAnsi="Calibri" w:cs="Calibri" w:eastAsiaTheme="minorEastAsia"/>
          <w:sz w:val="24"/>
          <w:highlight w:val="none"/>
        </w:rPr>
        <w:tab/>
      </w:r>
      <w:r>
        <w:rPr>
          <w:rFonts w:ascii="Calibri" w:hAnsi="Calibri" w:cs="Calibri" w:eastAsiaTheme="minorEastAsia"/>
          <w:sz w:val="24"/>
          <w:highlight w:val="none"/>
        </w:rPr>
        <w:fldChar w:fldCharType="end"/>
      </w:r>
      <w:r>
        <w:rPr>
          <w:rFonts w:hint="eastAsia" w:ascii="Calibri" w:hAnsi="Calibri" w:cs="Calibri" w:eastAsiaTheme="minorEastAsia"/>
          <w:sz w:val="24"/>
          <w:highlight w:val="none"/>
        </w:rPr>
        <w:t>4</w:t>
      </w:r>
      <w:r>
        <w:rPr>
          <w:rFonts w:hint="eastAsia" w:ascii="Calibri" w:hAnsi="Calibri" w:cs="Calibri" w:eastAsiaTheme="minorEastAsia"/>
          <w:sz w:val="24"/>
          <w:highlight w:val="none"/>
          <w:lang w:val="en-US" w:eastAsia="zh-CN"/>
        </w:rPr>
        <w:t>2</w:t>
      </w:r>
    </w:p>
    <w:p>
      <w:pPr>
        <w:pStyle w:val="45"/>
        <w:tabs>
          <w:tab w:val="right" w:leader="dot" w:pos="9060"/>
        </w:tabs>
        <w:spacing w:line="360" w:lineRule="auto"/>
        <w:rPr>
          <w:rStyle w:val="68"/>
          <w:rFonts w:hint="default" w:ascii="Calibri" w:hAnsi="Calibri" w:cs="Calibri" w:eastAsiaTheme="minorEastAsia"/>
          <w:color w:val="auto"/>
          <w:sz w:val="24"/>
          <w:szCs w:val="24"/>
          <w:highlight w:val="none"/>
          <w:lang w:val="en-US" w:eastAsia="zh-CN"/>
        </w:rPr>
      </w:pPr>
      <w:r>
        <w:rPr>
          <w:rStyle w:val="68"/>
          <w:rFonts w:hint="eastAsia" w:ascii="Calibri" w:hAnsi="Calibri" w:cs="Calibri" w:eastAsiaTheme="minorEastAsia"/>
          <w:color w:val="auto"/>
          <w:sz w:val="24"/>
          <w:szCs w:val="24"/>
          <w:highlight w:val="none"/>
        </w:rPr>
        <w:t xml:space="preserve">第七部分  应提交的有关格式范例 </w:t>
      </w:r>
      <w:r>
        <w:rPr>
          <w:rFonts w:ascii="Calibri" w:hAnsi="Calibri" w:cs="Calibri" w:eastAsiaTheme="minorEastAsia"/>
          <w:sz w:val="24"/>
          <w:highlight w:val="none"/>
        </w:rPr>
        <w:tab/>
      </w:r>
      <w:r>
        <w:rPr>
          <w:rStyle w:val="68"/>
          <w:rFonts w:hint="eastAsia" w:ascii="Calibri" w:hAnsi="Calibri" w:cs="Calibri" w:eastAsiaTheme="minorEastAsia"/>
          <w:color w:val="auto"/>
          <w:sz w:val="24"/>
          <w:szCs w:val="24"/>
          <w:highlight w:val="none"/>
          <w:lang w:val="en-US" w:eastAsia="zh-CN"/>
        </w:rPr>
        <w:t>50</w:t>
      </w:r>
    </w:p>
    <w:p>
      <w:pPr>
        <w:pStyle w:val="45"/>
        <w:tabs>
          <w:tab w:val="right" w:leader="dot" w:pos="9060"/>
        </w:tabs>
        <w:spacing w:line="360" w:lineRule="auto"/>
        <w:rPr>
          <w:rStyle w:val="68"/>
          <w:rFonts w:hint="default" w:ascii="Calibri" w:hAnsi="Calibri" w:cs="Calibri" w:eastAsiaTheme="minorEastAsia"/>
          <w:color w:val="auto"/>
          <w:sz w:val="24"/>
          <w:szCs w:val="24"/>
          <w:highlight w:val="none"/>
          <w:lang w:val="en-US" w:eastAsia="zh-CN"/>
        </w:rPr>
      </w:pPr>
      <w:r>
        <w:rPr>
          <w:highlight w:val="none"/>
        </w:rPr>
        <w:fldChar w:fldCharType="begin"/>
      </w:r>
      <w:r>
        <w:rPr>
          <w:highlight w:val="none"/>
        </w:rPr>
        <w:instrText xml:space="preserve"> HYPERLINK \l "_Toc181203101" </w:instrText>
      </w:r>
      <w:r>
        <w:rPr>
          <w:highlight w:val="none"/>
        </w:rPr>
        <w:fldChar w:fldCharType="separate"/>
      </w:r>
      <w:r>
        <w:rPr>
          <w:rStyle w:val="68"/>
          <w:rFonts w:ascii="Calibri" w:hAnsi="Calibri" w:cs="Calibri" w:eastAsiaTheme="minorEastAsia"/>
          <w:color w:val="auto"/>
          <w:sz w:val="24"/>
          <w:szCs w:val="24"/>
          <w:highlight w:val="none"/>
        </w:rPr>
        <w:t xml:space="preserve">第八部分  </w:t>
      </w:r>
      <w:r>
        <w:rPr>
          <w:rStyle w:val="68"/>
          <w:rFonts w:hint="eastAsia" w:ascii="Calibri" w:hAnsi="Calibri" w:cs="Calibri" w:eastAsiaTheme="minorEastAsia"/>
          <w:color w:val="auto"/>
          <w:sz w:val="24"/>
          <w:szCs w:val="24"/>
          <w:highlight w:val="none"/>
        </w:rPr>
        <w:t>附件</w:t>
      </w:r>
      <w:r>
        <w:rPr>
          <w:rStyle w:val="68"/>
          <w:rFonts w:ascii="Calibri" w:hAnsi="Calibri" w:cs="Calibri" w:eastAsiaTheme="minorEastAsia"/>
          <w:color w:val="auto"/>
          <w:sz w:val="24"/>
          <w:szCs w:val="24"/>
          <w:highlight w:val="none"/>
        </w:rPr>
        <w:tab/>
      </w:r>
      <w:r>
        <w:rPr>
          <w:rStyle w:val="68"/>
          <w:rFonts w:ascii="Calibri" w:hAnsi="Calibri" w:cs="Calibri" w:eastAsiaTheme="minorEastAsia"/>
          <w:color w:val="auto"/>
          <w:sz w:val="24"/>
          <w:szCs w:val="24"/>
          <w:highlight w:val="none"/>
        </w:rPr>
        <w:fldChar w:fldCharType="end"/>
      </w:r>
      <w:r>
        <w:rPr>
          <w:rStyle w:val="68"/>
          <w:rFonts w:hint="eastAsia" w:ascii="Calibri" w:hAnsi="Calibri" w:cs="Calibri" w:eastAsiaTheme="minorEastAsia"/>
          <w:color w:val="auto"/>
          <w:sz w:val="24"/>
          <w:szCs w:val="24"/>
          <w:highlight w:val="none"/>
        </w:rPr>
        <w:t>6</w:t>
      </w:r>
      <w:r>
        <w:rPr>
          <w:rStyle w:val="68"/>
          <w:rFonts w:hint="eastAsia" w:ascii="Calibri" w:hAnsi="Calibri" w:cs="Calibri" w:eastAsiaTheme="minorEastAsia"/>
          <w:color w:val="auto"/>
          <w:sz w:val="24"/>
          <w:szCs w:val="24"/>
          <w:highlight w:val="none"/>
          <w:lang w:val="en-US" w:eastAsia="zh-CN"/>
        </w:rPr>
        <w:t>5</w:t>
      </w:r>
    </w:p>
    <w:p>
      <w:pPr>
        <w:pStyle w:val="645"/>
        <w:keepNext w:val="0"/>
        <w:keepLines w:val="0"/>
        <w:widowControl w:val="0"/>
        <w:spacing w:line="600" w:lineRule="exact"/>
        <w:rPr>
          <w:rStyle w:val="68"/>
          <w:rFonts w:ascii="宋体" w:hAnsi="宋体" w:eastAsia="宋体" w:cs="宋体"/>
          <w:b/>
          <w:bCs/>
          <w:color w:val="auto"/>
          <w:sz w:val="24"/>
          <w:szCs w:val="24"/>
          <w:highlight w:val="none"/>
        </w:rPr>
      </w:pPr>
      <w:r>
        <w:rPr>
          <w:rFonts w:cs="仿宋_GB2312" w:asciiTheme="minorEastAsia" w:hAnsiTheme="minorEastAsia" w:eastAsiaTheme="minorEastAsia"/>
          <w:sz w:val="32"/>
          <w:szCs w:val="32"/>
          <w:highlight w:val="none"/>
        </w:rPr>
        <w:fldChar w:fldCharType="end"/>
      </w: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ind w:firstLine="549" w:firstLineChars="229"/>
        <w:rPr>
          <w:rFonts w:cs="仿宋_GB2312" w:asciiTheme="minorEastAsia" w:hAnsiTheme="minorEastAsia" w:eastAsiaTheme="minorEastAsia"/>
          <w:sz w:val="24"/>
          <w:highlight w:val="none"/>
        </w:rPr>
      </w:pPr>
    </w:p>
    <w:p>
      <w:pPr>
        <w:spacing w:line="360" w:lineRule="auto"/>
        <w:rPr>
          <w:rFonts w:cs="仿宋_GB2312" w:asciiTheme="minorEastAsia" w:hAnsiTheme="minorEastAsia" w:eastAsiaTheme="minorEastAsia"/>
          <w:sz w:val="24"/>
          <w:highlight w:val="none"/>
        </w:rPr>
      </w:pPr>
    </w:p>
    <w:p>
      <w:pPr>
        <w:adjustRightInd/>
        <w:spacing w:line="380" w:lineRule="exact"/>
        <w:jc w:val="center"/>
        <w:outlineLvl w:val="0"/>
        <w:rPr>
          <w:rFonts w:cs="仿宋_GB2312" w:asciiTheme="minorEastAsia" w:hAnsiTheme="minorEastAsia" w:eastAsiaTheme="minorEastAsia"/>
          <w:b/>
          <w:sz w:val="36"/>
          <w:szCs w:val="20"/>
          <w:highlight w:val="none"/>
        </w:rPr>
      </w:pPr>
      <w:bookmarkStart w:id="3" w:name="第一部分"/>
      <w:r>
        <w:rPr>
          <w:rFonts w:hint="eastAsia" w:cs="仿宋_GB2312" w:asciiTheme="minorEastAsia" w:hAnsiTheme="minorEastAsia" w:eastAsiaTheme="minorEastAsia"/>
          <w:b/>
          <w:sz w:val="36"/>
          <w:szCs w:val="36"/>
          <w:highlight w:val="none"/>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sz w:val="32"/>
          <w:szCs w:val="32"/>
          <w:highlight w:val="none"/>
        </w:rPr>
        <w:t>第一部分  邀请供应商</w:t>
      </w:r>
      <w:bookmarkEnd w:id="8"/>
    </w:p>
    <w:p>
      <w:pPr>
        <w:adjustRightInd/>
        <w:spacing w:line="380" w:lineRule="exact"/>
        <w:jc w:val="center"/>
        <w:rPr>
          <w:rFonts w:cs="仿宋_GB2312" w:asciiTheme="minorEastAsia" w:hAnsiTheme="minorEastAsia" w:eastAsiaTheme="minorEastAsia"/>
          <w:b/>
          <w:sz w:val="32"/>
          <w:szCs w:val="32"/>
          <w:highlight w:val="none"/>
        </w:rPr>
      </w:pPr>
      <w:bookmarkStart w:id="12" w:name="OLE_LINK18"/>
      <w:r>
        <w:rPr>
          <w:rFonts w:hint="eastAsia" w:cs="仿宋_GB2312" w:asciiTheme="minorEastAsia" w:hAnsiTheme="minorEastAsia" w:eastAsiaTheme="minorEastAsia"/>
          <w:b/>
          <w:sz w:val="32"/>
          <w:szCs w:val="32"/>
          <w:highlight w:val="none"/>
        </w:rPr>
        <w:t>专用设备购置（</w:t>
      </w:r>
      <w:r>
        <w:rPr>
          <w:rFonts w:hint="eastAsia" w:cs="仿宋_GB2312" w:asciiTheme="minorEastAsia" w:hAnsiTheme="minorEastAsia" w:eastAsiaTheme="minorEastAsia"/>
          <w:b/>
          <w:sz w:val="32"/>
          <w:szCs w:val="32"/>
          <w:highlight w:val="none"/>
          <w:lang w:eastAsia="zh-CN"/>
        </w:rPr>
        <w:t>GXZC2026-J1-001935-GXZF</w:t>
      </w:r>
      <w:r>
        <w:rPr>
          <w:rFonts w:hint="eastAsia" w:cs="仿宋_GB2312" w:asciiTheme="minorEastAsia" w:hAnsiTheme="minorEastAsia" w:eastAsiaTheme="minorEastAsia"/>
          <w:b/>
          <w:sz w:val="32"/>
          <w:szCs w:val="32"/>
          <w:highlight w:val="none"/>
        </w:rPr>
        <w:t>）竞争性谈判公告</w:t>
      </w:r>
    </w:p>
    <w:p>
      <w:pPr>
        <w:adjustRightInd/>
        <w:spacing w:line="380" w:lineRule="exact"/>
        <w:jc w:val="center"/>
        <w:rPr>
          <w:rFonts w:asciiTheme="minorEastAsia" w:hAnsiTheme="minorEastAsia" w:eastAsiaTheme="minorEastAsia"/>
          <w:szCs w:val="21"/>
          <w:highlight w:val="none"/>
        </w:rPr>
      </w:pPr>
      <w:r>
        <w:rPr>
          <w:rFonts w:hint="eastAsia" w:cs="仿宋_GB2312" w:asciiTheme="minorEastAsia" w:hAnsiTheme="minorEastAsia" w:eastAsiaTheme="minorEastAsia"/>
          <w:b/>
          <w:sz w:val="32"/>
          <w:szCs w:val="32"/>
          <w:highlight w:val="none"/>
        </w:rPr>
        <w:t>（远程异地评标）</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u w:val="single"/>
        </w:rPr>
        <w:t>专用设备购置</w:t>
      </w:r>
      <w:r>
        <w:rPr>
          <w:rFonts w:hint="eastAsia" w:asciiTheme="minorEastAsia" w:hAnsiTheme="minorEastAsia" w:eastAsiaTheme="minorEastAsia"/>
          <w:szCs w:val="21"/>
          <w:highlight w:val="none"/>
        </w:rPr>
        <w:t>采购项目的潜在供应商应在</w:t>
      </w:r>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asciiTheme="minorEastAsia" w:hAnsiTheme="minorEastAsia" w:eastAsiaTheme="minorEastAsia"/>
          <w:szCs w:val="21"/>
          <w:highlight w:val="none"/>
        </w:rPr>
        <w:t>获取采购文件，并于</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bCs/>
          <w:szCs w:val="21"/>
          <w:highlight w:val="none"/>
          <w:u w:val="single"/>
        </w:rPr>
        <w:t>年</w:t>
      </w:r>
      <w:r>
        <w:rPr>
          <w:rFonts w:hint="eastAsia" w:asciiTheme="minorEastAsia" w:hAnsiTheme="minorEastAsia" w:eastAsiaTheme="minorEastAsia"/>
          <w:bCs/>
          <w:szCs w:val="21"/>
          <w:highlight w:val="none"/>
          <w:u w:val="single"/>
          <w:lang w:val="en-US" w:eastAsia="zh-CN"/>
        </w:rPr>
        <w:t>6</w:t>
      </w:r>
      <w:r>
        <w:rPr>
          <w:rFonts w:hint="eastAsia" w:asciiTheme="minorEastAsia" w:hAnsiTheme="minorEastAsia" w:eastAsiaTheme="minorEastAsia"/>
          <w:bCs/>
          <w:szCs w:val="21"/>
          <w:highlight w:val="none"/>
          <w:u w:val="single"/>
        </w:rPr>
        <w:t xml:space="preserve"> 月</w:t>
      </w:r>
      <w:r>
        <w:rPr>
          <w:rFonts w:hint="eastAsia" w:asciiTheme="minorEastAsia" w:hAnsiTheme="minorEastAsia" w:eastAsiaTheme="minorEastAsia"/>
          <w:bCs/>
          <w:szCs w:val="21"/>
          <w:highlight w:val="none"/>
          <w:u w:val="single"/>
          <w:lang w:val="en-US" w:eastAsia="zh-CN"/>
        </w:rPr>
        <w:t>25</w:t>
      </w:r>
      <w:r>
        <w:rPr>
          <w:rFonts w:hint="eastAsia" w:asciiTheme="minorEastAsia" w:hAnsiTheme="minorEastAsia" w:eastAsiaTheme="minorEastAsia"/>
          <w:bCs/>
          <w:szCs w:val="21"/>
          <w:highlight w:val="none"/>
          <w:u w:val="single"/>
        </w:rPr>
        <w:t>日</w:t>
      </w:r>
      <w:r>
        <w:rPr>
          <w:rFonts w:hint="eastAsia" w:asciiTheme="minorEastAsia" w:hAnsiTheme="minorEastAsia" w:eastAsiaTheme="minorEastAsia"/>
          <w:bCs/>
          <w:szCs w:val="21"/>
          <w:highlight w:val="none"/>
          <w:u w:val="single"/>
          <w:lang w:val="en-US" w:eastAsia="zh-CN"/>
        </w:rPr>
        <w:t>15</w:t>
      </w:r>
      <w:r>
        <w:rPr>
          <w:rFonts w:hint="eastAsia" w:asciiTheme="minorEastAsia" w:hAnsiTheme="minorEastAsia" w:eastAsiaTheme="minorEastAsia"/>
          <w:bCs/>
          <w:szCs w:val="21"/>
          <w:highlight w:val="none"/>
          <w:u w:val="single"/>
        </w:rPr>
        <w:t>点00分00秒</w:t>
      </w:r>
      <w:r>
        <w:rPr>
          <w:rFonts w:hint="eastAsia" w:asciiTheme="minorEastAsia" w:hAnsiTheme="minorEastAsia" w:eastAsiaTheme="minorEastAsia"/>
          <w:bCs/>
          <w:szCs w:val="21"/>
          <w:highlight w:val="none"/>
        </w:rPr>
        <w:t>（北京时间）前提交响应文件</w:t>
      </w:r>
      <w:r>
        <w:rPr>
          <w:rFonts w:hint="eastAsia" w:asciiTheme="minorEastAsia" w:hAnsiTheme="minorEastAsia" w:eastAsiaTheme="minorEastAsia"/>
          <w:szCs w:val="21"/>
          <w:highlight w:val="none"/>
        </w:rPr>
        <w:t>。</w:t>
      </w:r>
    </w:p>
    <w:p>
      <w:pPr>
        <w:pStyle w:val="634"/>
        <w:spacing w:line="400" w:lineRule="exact"/>
        <w:ind w:firstLine="0"/>
        <w:rPr>
          <w:b/>
          <w:sz w:val="21"/>
          <w:szCs w:val="21"/>
          <w:highlight w:val="none"/>
        </w:rPr>
      </w:pPr>
      <w:bookmarkStart w:id="13" w:name="_Toc35393798"/>
      <w:bookmarkStart w:id="14" w:name="_Toc28359089"/>
      <w:bookmarkStart w:id="15" w:name="_Toc28359012"/>
      <w:bookmarkStart w:id="16" w:name="_Toc35393629"/>
      <w:r>
        <w:rPr>
          <w:rFonts w:hint="eastAsia"/>
          <w:b/>
          <w:sz w:val="21"/>
          <w:szCs w:val="21"/>
          <w:highlight w:val="none"/>
        </w:rPr>
        <w:t>一、项目基本情况</w:t>
      </w:r>
      <w:bookmarkEnd w:id="13"/>
      <w:bookmarkEnd w:id="14"/>
      <w:bookmarkEnd w:id="15"/>
      <w:bookmarkEnd w:id="16"/>
    </w:p>
    <w:p>
      <w:pPr>
        <w:spacing w:line="400" w:lineRule="exact"/>
        <w:ind w:firstLine="420" w:firstLineChars="2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项目编号：</w:t>
      </w:r>
      <w:r>
        <w:rPr>
          <w:rFonts w:hint="eastAsia" w:asciiTheme="minorEastAsia" w:hAnsiTheme="minorEastAsia" w:eastAsiaTheme="minorEastAsia"/>
          <w:szCs w:val="21"/>
          <w:highlight w:val="none"/>
          <w:lang w:eastAsia="zh-CN"/>
        </w:rPr>
        <w:t>GXZC2026-J1-001935-GXZF</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项目名称：专用设备购置</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采购方式：竞争性谈判</w:t>
      </w:r>
    </w:p>
    <w:p>
      <w:pPr>
        <w:keepNext/>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szCs w:val="21"/>
          <w:highlight w:val="none"/>
        </w:rPr>
        <w:t>预算</w:t>
      </w:r>
      <w:r>
        <w:rPr>
          <w:rFonts w:hint="eastAsia" w:asciiTheme="minorEastAsia" w:hAnsiTheme="minorEastAsia" w:eastAsiaTheme="minorEastAsia"/>
          <w:szCs w:val="21"/>
          <w:highlight w:val="none"/>
          <w:lang w:eastAsia="zh-CN"/>
        </w:rPr>
        <w:t>总</w:t>
      </w:r>
      <w:r>
        <w:rPr>
          <w:rFonts w:hint="eastAsia" w:asciiTheme="minorEastAsia" w:hAnsiTheme="minorEastAsia" w:eastAsiaTheme="minorEastAsia"/>
          <w:szCs w:val="21"/>
          <w:highlight w:val="none"/>
        </w:rPr>
        <w:t>金额（元）：人民币贰佰贰拾万元整（¥2200000.00)</w:t>
      </w:r>
      <w:r>
        <w:rPr>
          <w:rFonts w:asciiTheme="minorEastAsia" w:hAnsiTheme="minorEastAsia" w:eastAsiaTheme="minorEastAsia"/>
          <w:szCs w:val="21"/>
          <w:highlight w:val="none"/>
        </w:rPr>
        <w:t xml:space="preserve"> </w:t>
      </w:r>
      <w:r>
        <w:rPr>
          <w:rFonts w:hint="eastAsia" w:ascii="宋体" w:hAnsi="宋体" w:cs="宋体"/>
          <w:szCs w:val="21"/>
          <w:highlight w:val="none"/>
        </w:rPr>
        <w:t>。</w:t>
      </w:r>
      <w:r>
        <w:rPr>
          <w:rFonts w:hint="eastAsia" w:ascii="宋体" w:hAnsi="宋体" w:cs="宋体"/>
          <w:color w:val="auto"/>
          <w:szCs w:val="21"/>
          <w:highlight w:val="none"/>
          <w:lang w:eastAsia="zh-CN"/>
        </w:rPr>
        <w:t>其中预算单价：大体积高通量全自动固相萃取仪：¥</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便携式重金属测定仪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连续流动分析仪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99</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纯水/超纯水一体化机</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p>
    <w:p>
      <w:pPr>
        <w:keepNext/>
        <w:adjustRightInd/>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最高限价（元）：</w:t>
      </w:r>
      <w:r>
        <w:rPr>
          <w:rFonts w:hint="eastAsia" w:ascii="宋体" w:hAnsi="宋体" w:cs="宋体"/>
          <w:szCs w:val="21"/>
          <w:highlight w:val="none"/>
        </w:rPr>
        <w:t>本项目为解决政府采购异常低价问题试点项目。</w:t>
      </w:r>
      <w:r>
        <w:rPr>
          <w:rFonts w:hint="eastAsia" w:asciiTheme="minorEastAsia" w:hAnsiTheme="minorEastAsia" w:eastAsiaTheme="minorEastAsia"/>
          <w:szCs w:val="21"/>
          <w:highlight w:val="none"/>
        </w:rPr>
        <w:t>最高限价为人民币贰佰贰拾万元整（¥2200000.00)</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其中预算单价最高限价：大体积高通量全自动固相萃取仪：¥</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便携式重金属测定仪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连续流动分析仪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99</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纯水/超纯水一体化机</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需求：本项目为专用设备购置，具体采购内容为大体积高通量全自动固相萃取仪1台、便携式重金属测定仪1台、连续流动分析仪1台、纯水/超纯水一体化机1台，包括货物的采购与安装。如需进一步了解详细内容，详见本项目公告附件及竞争性谈判文件。</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合同履行期限：本项目交货期为自签订合同之日起</w:t>
      </w:r>
      <w:r>
        <w:rPr>
          <w:rFonts w:hint="eastAsia" w:asciiTheme="minorEastAsia" w:hAnsiTheme="minorEastAsia" w:eastAsiaTheme="minorEastAsia"/>
          <w:szCs w:val="21"/>
          <w:highlight w:val="none"/>
          <w:u w:val="single"/>
        </w:rPr>
        <w:t xml:space="preserve"> 90 </w:t>
      </w:r>
      <w:r>
        <w:rPr>
          <w:rFonts w:hint="eastAsia" w:asciiTheme="minorEastAsia" w:hAnsiTheme="minorEastAsia" w:eastAsiaTheme="minorEastAsia"/>
          <w:szCs w:val="21"/>
          <w:highlight w:val="none"/>
        </w:rPr>
        <w:t>天内完成货物采购、安装、调试，通过验收并交付使用。</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本项目是否接受联合体谈判：</w:t>
      </w:r>
      <w:sdt>
        <w:sdtPr>
          <w:rPr>
            <w:rFonts w:hint="eastAsia" w:asciiTheme="minorEastAsia" w:hAnsiTheme="minorEastAsia" w:eastAsiaTheme="minorEastAsia"/>
            <w:szCs w:val="21"/>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Cs w:val="21"/>
            <w:highlight w:val="none"/>
          </w:rPr>
        </w:sdtEndPr>
        <w:sdtContent>
          <w:r>
            <w:rPr>
              <w:rFonts w:hint="eastAsia" w:ascii="MS Gothic" w:hAnsi="MS Gothic" w:eastAsia="MS Gothic"/>
              <w:szCs w:val="21"/>
              <w:highlight w:val="none"/>
            </w:rPr>
            <w:t>☐</w:t>
          </w:r>
        </w:sdtContent>
      </w:sdt>
      <w:r>
        <w:rPr>
          <w:rFonts w:hint="eastAsia" w:asciiTheme="minorEastAsia" w:hAnsiTheme="minorEastAsia" w:eastAsiaTheme="minorEastAsia"/>
          <w:szCs w:val="21"/>
          <w:highlight w:val="none"/>
        </w:rPr>
        <w:t>是，</w:t>
      </w:r>
      <w:sdt>
        <w:sdtPr>
          <w:rPr>
            <w:rFonts w:hint="eastAsia" w:asciiTheme="minorEastAsia" w:hAnsiTheme="minorEastAsia" w:eastAsiaTheme="minorEastAsia"/>
            <w:szCs w:val="21"/>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Cs w:val="21"/>
            <w:highlight w:val="none"/>
          </w:rPr>
        </w:sdtEndPr>
        <w:sdtContent>
          <w:r>
            <w:rPr>
              <w:rFonts w:ascii="Wingdings" w:hAnsi="Wingdings" w:eastAsia="MS Mincho" w:cs="MS Mincho"/>
              <w:szCs w:val="21"/>
              <w:highlight w:val="none"/>
            </w:rPr>
            <w:t></w:t>
          </w:r>
        </w:sdtContent>
      </w:sdt>
      <w:r>
        <w:rPr>
          <w:rFonts w:hint="eastAsia" w:asciiTheme="minorEastAsia" w:hAnsiTheme="minorEastAsia" w:eastAsiaTheme="minorEastAsia"/>
          <w:szCs w:val="21"/>
          <w:highlight w:val="none"/>
        </w:rPr>
        <w:t>否。</w:t>
      </w:r>
    </w:p>
    <w:p>
      <w:pPr>
        <w:pStyle w:val="634"/>
        <w:spacing w:line="400" w:lineRule="exact"/>
        <w:ind w:firstLine="0"/>
        <w:rPr>
          <w:b/>
          <w:sz w:val="21"/>
          <w:szCs w:val="21"/>
          <w:highlight w:val="none"/>
        </w:rPr>
      </w:pPr>
      <w:bookmarkStart w:id="17" w:name="_Toc35393799"/>
      <w:bookmarkStart w:id="18" w:name="_Toc28359013"/>
      <w:bookmarkStart w:id="19" w:name="_Toc28359090"/>
      <w:bookmarkStart w:id="20" w:name="_Toc35393630"/>
      <w:r>
        <w:rPr>
          <w:rFonts w:hint="eastAsia"/>
          <w:b/>
          <w:sz w:val="21"/>
          <w:szCs w:val="21"/>
          <w:highlight w:val="none"/>
        </w:rPr>
        <w:t>二、申请人的资格要求：</w:t>
      </w:r>
      <w:bookmarkEnd w:id="17"/>
      <w:bookmarkEnd w:id="18"/>
      <w:bookmarkEnd w:id="19"/>
      <w:bookmarkEnd w:id="20"/>
    </w:p>
    <w:p>
      <w:pPr>
        <w:spacing w:line="400" w:lineRule="exact"/>
        <w:ind w:firstLine="420" w:firstLineChars="200"/>
        <w:rPr>
          <w:rFonts w:cs="宋体" w:asciiTheme="minorEastAsia" w:hAnsiTheme="minorEastAsia" w:eastAsiaTheme="minorEastAsia"/>
          <w:snapToGrid w:val="0"/>
          <w:kern w:val="28"/>
          <w:szCs w:val="21"/>
          <w:highlight w:val="none"/>
        </w:rPr>
      </w:pPr>
      <w:r>
        <w:rPr>
          <w:rFonts w:hint="eastAsia" w:cs="宋体" w:asciiTheme="minorEastAsia" w:hAnsiTheme="minorEastAsia" w:eastAsiaTheme="minorEastAsia"/>
          <w:snapToGrid w:val="0"/>
          <w:kern w:val="28"/>
          <w:szCs w:val="21"/>
          <w:highlight w:val="none"/>
        </w:rPr>
        <w:t>1. 满足《中华人民共和国政府采购法》第二十二条规定；</w:t>
      </w:r>
    </w:p>
    <w:p>
      <w:pPr>
        <w:spacing w:line="320" w:lineRule="exact"/>
        <w:ind w:firstLine="420" w:firstLineChars="200"/>
        <w:rPr>
          <w:rFonts w:ascii="宋体" w:hAnsi="宋体" w:cs="宋体" w:eastAsiaTheme="minorEastAsia"/>
          <w:szCs w:val="21"/>
          <w:highlight w:val="none"/>
        </w:rPr>
      </w:pPr>
      <w:r>
        <w:rPr>
          <w:rFonts w:cs="宋体" w:asciiTheme="minorEastAsia" w:hAnsiTheme="minorEastAsia" w:eastAsiaTheme="minorEastAsia"/>
          <w:snapToGrid w:val="0"/>
          <w:kern w:val="28"/>
          <w:szCs w:val="21"/>
          <w:highlight w:val="none"/>
        </w:rPr>
        <w:t>2</w:t>
      </w:r>
      <w:r>
        <w:rPr>
          <w:rFonts w:hint="eastAsia" w:cs="宋体" w:asciiTheme="minorEastAsia" w:hAnsiTheme="minorEastAsia" w:eastAsiaTheme="minorEastAsia"/>
          <w:snapToGrid w:val="0"/>
          <w:kern w:val="28"/>
          <w:szCs w:val="21"/>
          <w:highlight w:val="none"/>
        </w:rPr>
        <w:t>.落实政府采购政策需满足的资格要求：</w:t>
      </w:r>
      <w:bookmarkStart w:id="21" w:name="OLE_LINK7"/>
      <w:r>
        <w:rPr>
          <w:rFonts w:hint="eastAsia" w:cs="宋体" w:asciiTheme="minorEastAsia" w:hAnsiTheme="minorEastAsia" w:eastAsiaTheme="minorEastAsia"/>
          <w:snapToGrid w:val="0"/>
          <w:kern w:val="28"/>
          <w:szCs w:val="21"/>
          <w:highlight w:val="none"/>
        </w:rPr>
        <w:t>无</w:t>
      </w:r>
    </w:p>
    <w:bookmarkEnd w:id="21"/>
    <w:p>
      <w:pPr>
        <w:spacing w:line="40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3.本项目的特定资格要求：</w:t>
      </w:r>
      <w:r>
        <w:rPr>
          <w:rFonts w:hint="eastAsia" w:ascii="宋体" w:hAnsi="宋体" w:cs="宋体"/>
          <w:szCs w:val="21"/>
          <w:highlight w:val="none"/>
        </w:rPr>
        <w:t>无。</w:t>
      </w:r>
    </w:p>
    <w:p>
      <w:pPr>
        <w:snapToGrid w:val="0"/>
        <w:spacing w:line="40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634"/>
        <w:spacing w:line="400" w:lineRule="exact"/>
        <w:ind w:firstLine="0"/>
        <w:rPr>
          <w:b/>
          <w:sz w:val="21"/>
          <w:szCs w:val="21"/>
          <w:highlight w:val="none"/>
        </w:rPr>
      </w:pPr>
      <w:bookmarkStart w:id="22" w:name="_Toc28359091"/>
      <w:bookmarkStart w:id="23" w:name="_Toc35393631"/>
      <w:bookmarkStart w:id="24" w:name="_Toc28359014"/>
      <w:bookmarkStart w:id="25" w:name="_Toc35393800"/>
      <w:r>
        <w:rPr>
          <w:rFonts w:hint="eastAsia"/>
          <w:b/>
          <w:sz w:val="21"/>
          <w:szCs w:val="21"/>
          <w:highlight w:val="none"/>
        </w:rPr>
        <w:t>三、获取（下载）采购文件</w:t>
      </w:r>
      <w:bookmarkEnd w:id="22"/>
      <w:bookmarkEnd w:id="23"/>
      <w:bookmarkEnd w:id="24"/>
      <w:bookmarkEnd w:id="25"/>
    </w:p>
    <w:p>
      <w:pPr>
        <w:spacing w:line="400" w:lineRule="exact"/>
        <w:ind w:firstLine="54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时间：2026年</w:t>
      </w:r>
      <w:r>
        <w:rPr>
          <w:rFonts w:hint="eastAsia" w:cs="宋体" w:asciiTheme="minorEastAsia" w:hAnsiTheme="minorEastAsia" w:eastAsiaTheme="minorEastAsia"/>
          <w:szCs w:val="21"/>
          <w:highlight w:val="none"/>
          <w:lang w:val="en-US" w:eastAsia="zh-CN"/>
        </w:rPr>
        <w:t>6</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22</w:t>
      </w:r>
      <w:r>
        <w:rPr>
          <w:rFonts w:hint="eastAsia" w:cs="宋体" w:asciiTheme="minorEastAsia" w:hAnsiTheme="minorEastAsia" w:eastAsiaTheme="minorEastAsia"/>
          <w:szCs w:val="21"/>
          <w:highlight w:val="none"/>
        </w:rPr>
        <w:t>日至2026年</w:t>
      </w:r>
      <w:r>
        <w:rPr>
          <w:rFonts w:hint="eastAsia" w:cs="宋体" w:asciiTheme="minorEastAsia" w:hAnsiTheme="minorEastAsia" w:eastAsiaTheme="minorEastAsia"/>
          <w:szCs w:val="21"/>
          <w:highlight w:val="none"/>
          <w:lang w:val="en-US" w:eastAsia="zh-CN"/>
        </w:rPr>
        <w:t>6</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24</w:t>
      </w:r>
      <w:r>
        <w:rPr>
          <w:rFonts w:hint="eastAsia" w:cs="宋体" w:asciiTheme="minorEastAsia" w:hAnsiTheme="minorEastAsia" w:eastAsiaTheme="minorEastAsia"/>
          <w:szCs w:val="21"/>
          <w:highlight w:val="none"/>
        </w:rPr>
        <w:t>日，每天上午</w:t>
      </w:r>
      <w:r>
        <w:rPr>
          <w:rFonts w:hint="eastAsia" w:asciiTheme="minorEastAsia" w:hAnsiTheme="minorEastAsia" w:eastAsiaTheme="minorEastAsia"/>
          <w:szCs w:val="21"/>
          <w:highlight w:val="none"/>
        </w:rPr>
        <w:t>00:00至12:00 ，下午12:00至23:59</w:t>
      </w:r>
      <w:r>
        <w:rPr>
          <w:rFonts w:hint="eastAsia" w:cs="宋体" w:asciiTheme="minorEastAsia" w:hAnsiTheme="minorEastAsia" w:eastAsiaTheme="minorEastAsia"/>
          <w:szCs w:val="21"/>
          <w:highlight w:val="none"/>
        </w:rPr>
        <w:t>（北京时间，法定节假日除外）；</w:t>
      </w:r>
    </w:p>
    <w:p>
      <w:pPr>
        <w:spacing w:line="400" w:lineRule="exact"/>
        <w:ind w:firstLine="540"/>
        <w:rPr>
          <w:rFonts w:cs="宋体" w:asciiTheme="minorEastAsia" w:hAnsiTheme="minorEastAsia"/>
          <w:szCs w:val="21"/>
          <w:highlight w:val="none"/>
          <w:u w:val="single"/>
        </w:rPr>
      </w:pPr>
      <w:r>
        <w:rPr>
          <w:rFonts w:hint="eastAsia" w:cs="宋体" w:asciiTheme="minorEastAsia" w:hAnsiTheme="minorEastAsia" w:eastAsiaTheme="minorEastAsia"/>
          <w:szCs w:val="21"/>
          <w:highlight w:val="none"/>
        </w:rPr>
        <w:t>地点（网址）：</w:t>
      </w:r>
      <w:bookmarkStart w:id="26" w:name="OLE_LINK2"/>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p>
    <w:bookmarkEnd w:id="26"/>
    <w:p>
      <w:pPr>
        <w:spacing w:line="400" w:lineRule="exact"/>
        <w:ind w:firstLine="54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方式：</w:t>
      </w:r>
      <w:bookmarkStart w:id="27" w:name="OLE_LINK3"/>
      <w:r>
        <w:rPr>
          <w:rFonts w:hint="eastAsia" w:cs="宋体" w:asciiTheme="minorEastAsia" w:hAnsiTheme="minorEastAsia" w:eastAsiaTheme="minorEastAsia"/>
          <w:szCs w:val="21"/>
          <w:highlight w:val="none"/>
        </w:rPr>
        <w:t>供应商登录</w:t>
      </w:r>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cs="宋体" w:asciiTheme="minorEastAsia" w:hAnsiTheme="minorEastAsia" w:eastAsiaTheme="minorEastAsia"/>
          <w:szCs w:val="21"/>
          <w:highlight w:val="none"/>
        </w:rPr>
        <w:t>在线申请获取采购文件（进入“项目采购”应用，在获取采购文件菜单中选择项目，申请获取采购文件）。</w:t>
      </w:r>
    </w:p>
    <w:bookmarkEnd w:id="27"/>
    <w:p>
      <w:pPr>
        <w:spacing w:line="400" w:lineRule="exact"/>
        <w:ind w:firstLine="540"/>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售价：</w:t>
      </w:r>
      <w:r>
        <w:rPr>
          <w:rFonts w:hint="eastAsia" w:cs="仿宋_GB2312" w:asciiTheme="minorEastAsia" w:hAnsiTheme="minorEastAsia" w:eastAsiaTheme="minorEastAsia"/>
          <w:szCs w:val="21"/>
          <w:highlight w:val="none"/>
        </w:rPr>
        <w:t>0.00元。</w:t>
      </w:r>
    </w:p>
    <w:p>
      <w:pPr>
        <w:pStyle w:val="634"/>
        <w:spacing w:line="400" w:lineRule="exact"/>
        <w:ind w:firstLine="0"/>
        <w:rPr>
          <w:b/>
          <w:sz w:val="21"/>
          <w:szCs w:val="21"/>
          <w:highlight w:val="none"/>
        </w:rPr>
      </w:pPr>
      <w:bookmarkStart w:id="28" w:name="_Toc28359015"/>
      <w:bookmarkStart w:id="29" w:name="_Toc35393632"/>
      <w:bookmarkStart w:id="30" w:name="_Toc35393801"/>
      <w:bookmarkStart w:id="31" w:name="_Toc28359092"/>
      <w:r>
        <w:rPr>
          <w:rFonts w:hint="eastAsia"/>
          <w:b/>
          <w:sz w:val="21"/>
          <w:szCs w:val="21"/>
          <w:highlight w:val="none"/>
        </w:rPr>
        <w:t>四、响应文件提交</w:t>
      </w:r>
      <w:bookmarkEnd w:id="28"/>
      <w:bookmarkEnd w:id="29"/>
      <w:bookmarkEnd w:id="30"/>
      <w:bookmarkEnd w:id="31"/>
      <w:r>
        <w:rPr>
          <w:rFonts w:hint="eastAsia"/>
          <w:b/>
          <w:sz w:val="21"/>
          <w:szCs w:val="21"/>
          <w:highlight w:val="none"/>
        </w:rPr>
        <w:t>（上传）</w:t>
      </w:r>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截止时间：</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bCs/>
          <w:szCs w:val="21"/>
          <w:highlight w:val="none"/>
          <w:u w:val="single"/>
        </w:rPr>
        <w:t>年</w:t>
      </w:r>
      <w:r>
        <w:rPr>
          <w:rFonts w:hint="eastAsia" w:asciiTheme="minorEastAsia" w:hAnsiTheme="minorEastAsia" w:eastAsiaTheme="minorEastAsia"/>
          <w:bCs/>
          <w:szCs w:val="21"/>
          <w:highlight w:val="none"/>
          <w:u w:val="single"/>
          <w:lang w:val="en-US" w:eastAsia="zh-CN"/>
        </w:rPr>
        <w:t>6</w:t>
      </w:r>
      <w:r>
        <w:rPr>
          <w:rFonts w:hint="eastAsia" w:asciiTheme="minorEastAsia" w:hAnsiTheme="minorEastAsia" w:eastAsiaTheme="minorEastAsia"/>
          <w:bCs/>
          <w:szCs w:val="21"/>
          <w:highlight w:val="none"/>
          <w:u w:val="single"/>
        </w:rPr>
        <w:t xml:space="preserve"> 月</w:t>
      </w:r>
      <w:r>
        <w:rPr>
          <w:rFonts w:hint="eastAsia" w:asciiTheme="minorEastAsia" w:hAnsiTheme="minorEastAsia" w:eastAsiaTheme="minorEastAsia"/>
          <w:bCs/>
          <w:szCs w:val="21"/>
          <w:highlight w:val="none"/>
          <w:u w:val="single"/>
          <w:lang w:val="en-US" w:eastAsia="zh-CN"/>
        </w:rPr>
        <w:t>25</w:t>
      </w:r>
      <w:r>
        <w:rPr>
          <w:rFonts w:hint="eastAsia" w:asciiTheme="minorEastAsia" w:hAnsiTheme="minorEastAsia" w:eastAsiaTheme="minorEastAsia"/>
          <w:bCs/>
          <w:szCs w:val="21"/>
          <w:highlight w:val="none"/>
          <w:u w:val="single"/>
        </w:rPr>
        <w:t>日</w:t>
      </w:r>
      <w:r>
        <w:rPr>
          <w:rFonts w:hint="eastAsia" w:asciiTheme="minorEastAsia" w:hAnsiTheme="minorEastAsia" w:eastAsiaTheme="minorEastAsia"/>
          <w:bCs/>
          <w:szCs w:val="21"/>
          <w:highlight w:val="none"/>
          <w:u w:val="single"/>
          <w:lang w:val="en-US" w:eastAsia="zh-CN"/>
        </w:rPr>
        <w:t>15</w:t>
      </w:r>
      <w:r>
        <w:rPr>
          <w:rFonts w:hint="eastAsia" w:asciiTheme="minorEastAsia" w:hAnsiTheme="minorEastAsia" w:eastAsiaTheme="minorEastAsia"/>
          <w:bCs/>
          <w:szCs w:val="21"/>
          <w:highlight w:val="none"/>
          <w:u w:val="single"/>
        </w:rPr>
        <w:t>点00分00秒</w:t>
      </w:r>
      <w:r>
        <w:rPr>
          <w:rFonts w:hint="eastAsia" w:asciiTheme="minorEastAsia" w:hAnsiTheme="minorEastAsia" w:eastAsiaTheme="minorEastAsia"/>
          <w:bCs/>
          <w:szCs w:val="21"/>
          <w:highlight w:val="none"/>
        </w:rPr>
        <w:t>（北京时间）</w:t>
      </w:r>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地点：</w:t>
      </w:r>
      <w:bookmarkStart w:id="32" w:name="OLE_LINK4"/>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cs="仿宋_GB2312" w:asciiTheme="minorEastAsia" w:hAnsiTheme="minorEastAsia" w:eastAsiaTheme="minorEastAsia"/>
          <w:b/>
          <w:szCs w:val="21"/>
          <w:highlight w:val="none"/>
        </w:rPr>
        <w:t>。</w:t>
      </w:r>
      <w:bookmarkEnd w:id="32"/>
    </w:p>
    <w:p>
      <w:pPr>
        <w:pStyle w:val="634"/>
        <w:spacing w:line="400" w:lineRule="exact"/>
        <w:ind w:firstLine="0"/>
        <w:rPr>
          <w:b/>
          <w:sz w:val="21"/>
          <w:szCs w:val="21"/>
          <w:highlight w:val="none"/>
        </w:rPr>
      </w:pPr>
      <w:bookmarkStart w:id="33" w:name="_Toc28359016"/>
      <w:bookmarkStart w:id="34" w:name="_Toc35393802"/>
      <w:bookmarkStart w:id="35" w:name="_Toc28359093"/>
      <w:bookmarkStart w:id="36" w:name="_Toc35393633"/>
      <w:r>
        <w:rPr>
          <w:rFonts w:hint="eastAsia"/>
          <w:b/>
          <w:sz w:val="21"/>
          <w:szCs w:val="21"/>
          <w:highlight w:val="none"/>
        </w:rPr>
        <w:t>五、响应文件开启</w:t>
      </w:r>
      <w:bookmarkEnd w:id="33"/>
      <w:bookmarkEnd w:id="34"/>
      <w:bookmarkEnd w:id="35"/>
      <w:bookmarkEnd w:id="36"/>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bCs/>
          <w:szCs w:val="21"/>
          <w:highlight w:val="none"/>
          <w:u w:val="single"/>
        </w:rPr>
        <w:t>年</w:t>
      </w:r>
      <w:r>
        <w:rPr>
          <w:rFonts w:hint="eastAsia" w:asciiTheme="minorEastAsia" w:hAnsiTheme="minorEastAsia" w:eastAsiaTheme="minorEastAsia"/>
          <w:bCs/>
          <w:szCs w:val="21"/>
          <w:highlight w:val="none"/>
          <w:u w:val="single"/>
          <w:lang w:val="en-US" w:eastAsia="zh-CN"/>
        </w:rPr>
        <w:t>6</w:t>
      </w:r>
      <w:r>
        <w:rPr>
          <w:rFonts w:hint="eastAsia" w:asciiTheme="minorEastAsia" w:hAnsiTheme="minorEastAsia" w:eastAsiaTheme="minorEastAsia"/>
          <w:bCs/>
          <w:szCs w:val="21"/>
          <w:highlight w:val="none"/>
          <w:u w:val="single"/>
        </w:rPr>
        <w:t xml:space="preserve"> 月</w:t>
      </w:r>
      <w:r>
        <w:rPr>
          <w:rFonts w:hint="eastAsia" w:asciiTheme="minorEastAsia" w:hAnsiTheme="minorEastAsia" w:eastAsiaTheme="minorEastAsia"/>
          <w:bCs/>
          <w:szCs w:val="21"/>
          <w:highlight w:val="none"/>
          <w:u w:val="single"/>
          <w:lang w:val="en-US" w:eastAsia="zh-CN"/>
        </w:rPr>
        <w:t>25</w:t>
      </w:r>
      <w:r>
        <w:rPr>
          <w:rFonts w:hint="eastAsia" w:asciiTheme="minorEastAsia" w:hAnsiTheme="minorEastAsia" w:eastAsiaTheme="minorEastAsia"/>
          <w:bCs/>
          <w:szCs w:val="21"/>
          <w:highlight w:val="none"/>
          <w:u w:val="single"/>
        </w:rPr>
        <w:t>日</w:t>
      </w:r>
      <w:r>
        <w:rPr>
          <w:rFonts w:hint="eastAsia" w:asciiTheme="minorEastAsia" w:hAnsiTheme="minorEastAsia" w:eastAsiaTheme="minorEastAsia"/>
          <w:bCs/>
          <w:szCs w:val="21"/>
          <w:highlight w:val="none"/>
          <w:u w:val="single"/>
          <w:lang w:val="en-US" w:eastAsia="zh-CN"/>
        </w:rPr>
        <w:t>15</w:t>
      </w:r>
      <w:r>
        <w:rPr>
          <w:rFonts w:hint="eastAsia" w:asciiTheme="minorEastAsia" w:hAnsiTheme="minorEastAsia" w:eastAsiaTheme="minorEastAsia"/>
          <w:bCs/>
          <w:szCs w:val="21"/>
          <w:highlight w:val="none"/>
          <w:u w:val="single"/>
        </w:rPr>
        <w:t>点00分00秒</w:t>
      </w:r>
      <w:r>
        <w:rPr>
          <w:rFonts w:hint="eastAsia" w:asciiTheme="minorEastAsia" w:hAnsiTheme="minorEastAsia" w:eastAsiaTheme="minorEastAsia"/>
          <w:bCs/>
          <w:szCs w:val="21"/>
          <w:highlight w:val="none"/>
        </w:rPr>
        <w:t>（北京时间）</w:t>
      </w:r>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地点：</w:t>
      </w:r>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cs="宋体" w:asciiTheme="minorEastAsia" w:hAnsiTheme="minorEastAsia" w:eastAsiaTheme="minorEastAsia"/>
          <w:szCs w:val="21"/>
          <w:highlight w:val="none"/>
        </w:rPr>
        <w:t>。</w:t>
      </w:r>
    </w:p>
    <w:p>
      <w:pPr>
        <w:pStyle w:val="634"/>
        <w:spacing w:line="400" w:lineRule="exact"/>
        <w:ind w:firstLine="0"/>
        <w:rPr>
          <w:b/>
          <w:sz w:val="21"/>
          <w:szCs w:val="21"/>
          <w:highlight w:val="none"/>
        </w:rPr>
      </w:pPr>
      <w:bookmarkStart w:id="37" w:name="_Toc28359094"/>
      <w:bookmarkStart w:id="38" w:name="_Toc28359017"/>
      <w:bookmarkStart w:id="39" w:name="_Toc35393634"/>
      <w:bookmarkStart w:id="40" w:name="_Toc35393803"/>
      <w:r>
        <w:rPr>
          <w:rFonts w:hint="eastAsia"/>
          <w:b/>
          <w:sz w:val="21"/>
          <w:szCs w:val="21"/>
          <w:highlight w:val="none"/>
        </w:rPr>
        <w:t>六、公告期限</w:t>
      </w:r>
      <w:bookmarkEnd w:id="37"/>
      <w:bookmarkEnd w:id="38"/>
      <w:bookmarkEnd w:id="39"/>
      <w:bookmarkEnd w:id="40"/>
    </w:p>
    <w:p>
      <w:pPr>
        <w:spacing w:line="400" w:lineRule="exact"/>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自本公告发布之日起3个工作日。</w:t>
      </w:r>
    </w:p>
    <w:p>
      <w:pPr>
        <w:pStyle w:val="634"/>
        <w:spacing w:line="400" w:lineRule="exact"/>
        <w:ind w:firstLine="0"/>
        <w:rPr>
          <w:b/>
          <w:sz w:val="21"/>
          <w:szCs w:val="21"/>
          <w:highlight w:val="none"/>
        </w:rPr>
      </w:pPr>
      <w:bookmarkStart w:id="41" w:name="_Toc35393635"/>
      <w:bookmarkStart w:id="42" w:name="_Toc35393804"/>
      <w:r>
        <w:rPr>
          <w:rFonts w:hint="eastAsia"/>
          <w:b/>
          <w:sz w:val="21"/>
          <w:szCs w:val="21"/>
          <w:highlight w:val="none"/>
        </w:rPr>
        <w:t>七、其他补充事宜</w:t>
      </w:r>
      <w:bookmarkEnd w:id="41"/>
      <w:bookmarkEnd w:id="42"/>
    </w:p>
    <w:p>
      <w:pPr>
        <w:spacing w:line="300" w:lineRule="exact"/>
        <w:ind w:firstLine="420" w:firstLineChars="200"/>
        <w:rPr>
          <w:rFonts w:ascii="宋体" w:hAnsi="宋体" w:cs="宋体"/>
          <w:szCs w:val="21"/>
          <w:highlight w:val="none"/>
        </w:rPr>
      </w:pPr>
      <w:r>
        <w:rPr>
          <w:rFonts w:hint="eastAsia" w:ascii="宋体" w:hAnsi="宋体" w:cs="宋体"/>
          <w:szCs w:val="21"/>
          <w:highlight w:val="none"/>
        </w:rPr>
        <w:t>1.谈判保证金：</w:t>
      </w:r>
      <w:r>
        <w:rPr>
          <w:rFonts w:hint="eastAsia" w:ascii="Arial" w:hAnsi="Arial" w:cs="Arial"/>
          <w:szCs w:val="21"/>
          <w:highlight w:val="none"/>
        </w:rPr>
        <w:t>人民币</w:t>
      </w:r>
      <w:r>
        <w:rPr>
          <w:rFonts w:hint="eastAsia" w:ascii="Arial" w:hAnsi="Arial" w:cs="Arial"/>
          <w:szCs w:val="21"/>
          <w:highlight w:val="none"/>
          <w:lang w:eastAsia="zh-CN"/>
        </w:rPr>
        <w:t>贰万元整（</w:t>
      </w:r>
      <w:r>
        <w:rPr>
          <w:rFonts w:hint="eastAsia" w:ascii="宋体" w:hAnsi="宋体" w:eastAsia="宋体" w:cs="宋体"/>
          <w:szCs w:val="21"/>
          <w:highlight w:val="none"/>
          <w:lang w:eastAsia="zh-CN"/>
        </w:rPr>
        <w:t>¥</w:t>
      </w:r>
      <w:r>
        <w:rPr>
          <w:rFonts w:hint="eastAsia" w:ascii="宋体" w:hAnsi="宋体" w:cs="宋体"/>
          <w:szCs w:val="21"/>
          <w:highlight w:val="none"/>
        </w:rPr>
        <w:t>20000.00</w:t>
      </w:r>
      <w:r>
        <w:rPr>
          <w:rFonts w:hint="eastAsia" w:ascii="宋体" w:hAnsi="宋体" w:cs="宋体"/>
          <w:szCs w:val="21"/>
          <w:highlight w:val="none"/>
          <w:lang w:eastAsia="zh-CN"/>
        </w:rPr>
        <w:t>）</w:t>
      </w:r>
      <w:r>
        <w:rPr>
          <w:rFonts w:hint="eastAsia" w:ascii="宋体" w:hAnsi="宋体" w:cs="宋体"/>
          <w:szCs w:val="21"/>
          <w:highlight w:val="none"/>
        </w:rPr>
        <w:t>，须在响应文件上传截止时间前一次性足额提交，本项目不接受未提交谈判保证金的供应商参与谈判。</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谈判报价给予20%的扣除，用扣除后的价格参与评审。（4）支持监狱企业、残疾人福利性单位发展：监狱企业、残疾人福利性单位视同小型和微型企业。（5）支持创新发展：优先采购被认定为首台首套产品和“制造精品”的自主创新产品。（6）平等对待内外资企业和符合条件的破产重整企业。</w:t>
      </w:r>
    </w:p>
    <w:p>
      <w:pPr>
        <w:spacing w:line="400" w:lineRule="exact"/>
        <w:ind w:firstLine="420" w:firstLineChars="200"/>
        <w:rPr>
          <w:szCs w:val="21"/>
          <w:highlight w:val="none"/>
        </w:rPr>
      </w:pPr>
      <w:r>
        <w:rPr>
          <w:rFonts w:hint="eastAsia" w:ascii="宋体" w:hAnsi="宋体" w:cs="宋体"/>
          <w:snapToGrid w:val="0"/>
          <w:kern w:val="28"/>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4.网上公告媒体查询：中国政府采购网(www.ccgp.gov.cn)、广西政府采购网</w:t>
      </w:r>
      <w:bookmarkStart w:id="43" w:name="OLE_LINK14"/>
      <w:r>
        <w:rPr>
          <w:rFonts w:hint="eastAsia" w:ascii="宋体" w:hAnsi="宋体" w:cs="宋体"/>
          <w:szCs w:val="21"/>
          <w:highlight w:val="none"/>
        </w:rPr>
        <w:t>（http://zfcg.gxzf.gov.cn/）</w:t>
      </w:r>
      <w:bookmarkEnd w:id="43"/>
      <w:r>
        <w:rPr>
          <w:rFonts w:hint="eastAsia" w:ascii="宋体" w:hAnsi="宋体" w:cs="宋体"/>
          <w:szCs w:val="21"/>
          <w:highlight w:val="none"/>
        </w:rPr>
        <w:t>、广西泽丰工程咨询有限公司网（http://www.guangxizf.cn/）。</w:t>
      </w:r>
    </w:p>
    <w:p>
      <w:pPr>
        <w:wordWrap w:val="0"/>
        <w:topLinePunct/>
        <w:spacing w:line="400" w:lineRule="exact"/>
        <w:ind w:firstLine="420" w:firstLineChars="200"/>
        <w:rPr>
          <w:rFonts w:ascii="宋体" w:hAnsi="宋体" w:cs="宋体"/>
          <w:szCs w:val="21"/>
          <w:highlight w:val="none"/>
        </w:rPr>
      </w:pPr>
      <w:r>
        <w:rPr>
          <w:rFonts w:hint="eastAsia" w:ascii="宋体" w:hAnsi="宋体" w:cs="宋体"/>
          <w:szCs w:val="21"/>
          <w:highlight w:val="none"/>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wordWrap w:val="0"/>
        <w:topLinePunct/>
        <w:spacing w:line="400" w:lineRule="exact"/>
        <w:ind w:firstLine="420" w:firstLineChars="200"/>
        <w:rPr>
          <w:rFonts w:ascii="宋体" w:hAnsi="宋体" w:cs="宋体"/>
          <w:szCs w:val="21"/>
          <w:highlight w:val="none"/>
        </w:rPr>
      </w:pPr>
      <w:r>
        <w:rPr>
          <w:rFonts w:hint="eastAsia" w:ascii="宋体" w:hAnsi="宋体" w:cs="宋体"/>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wordWrap w:val="0"/>
        <w:topLinePunct/>
        <w:spacing w:line="400" w:lineRule="exact"/>
        <w:ind w:firstLine="420" w:firstLineChars="200"/>
        <w:rPr>
          <w:rFonts w:ascii="宋体" w:hAnsi="宋体" w:cs="宋体"/>
          <w:szCs w:val="21"/>
          <w:highlight w:val="none"/>
        </w:rPr>
      </w:pPr>
      <w:r>
        <w:rPr>
          <w:rFonts w:hint="eastAsia" w:ascii="宋体" w:hAnsi="宋体" w:cs="宋体"/>
          <w:szCs w:val="21"/>
          <w:highlight w:val="none"/>
        </w:rPr>
        <w:t>7.评标说明:本项目采用远程异地评标，全流程电子评标。【主会场地址：广西北海市北海大道158号北园星座-星晨座8楼A室， 联系电话：0779-3969099；副会场地址：崇左市花山路与城南八路交叉口东北角（崇左市万丰大厦B座416号）联系人：戴正旺 联系电话：0771-7982225】。</w:t>
      </w:r>
    </w:p>
    <w:p>
      <w:pPr>
        <w:wordWrap w:val="0"/>
        <w:topLinePunct/>
        <w:spacing w:line="400" w:lineRule="exact"/>
        <w:ind w:firstLine="420" w:firstLineChars="200"/>
        <w:rPr>
          <w:highlight w:val="none"/>
        </w:rPr>
      </w:pPr>
      <w:r>
        <w:rPr>
          <w:rFonts w:hint="eastAsia" w:ascii="宋体" w:hAnsi="宋体" w:cs="宋体"/>
          <w:szCs w:val="21"/>
          <w:highlight w:val="none"/>
        </w:rPr>
        <w:t>8.本项目为北海市推动解决政府采购异常低价试点项目。</w:t>
      </w:r>
    </w:p>
    <w:p>
      <w:pPr>
        <w:pStyle w:val="634"/>
        <w:spacing w:line="400" w:lineRule="exact"/>
        <w:ind w:firstLine="0"/>
        <w:rPr>
          <w:b/>
          <w:sz w:val="21"/>
          <w:szCs w:val="21"/>
          <w:highlight w:val="none"/>
        </w:rPr>
      </w:pPr>
      <w:bookmarkStart w:id="44" w:name="_Toc28359018"/>
      <w:bookmarkStart w:id="45" w:name="_Toc28359095"/>
      <w:bookmarkStart w:id="46" w:name="_Toc35393805"/>
      <w:bookmarkStart w:id="47" w:name="_Toc35393636"/>
      <w:r>
        <w:rPr>
          <w:rFonts w:hint="eastAsia"/>
          <w:b/>
          <w:sz w:val="21"/>
          <w:szCs w:val="21"/>
          <w:highlight w:val="none"/>
        </w:rPr>
        <w:t>八、凡对本次采购提出询问、质疑、投诉，请按以下方式联系</w:t>
      </w:r>
      <w:bookmarkEnd w:id="44"/>
      <w:bookmarkEnd w:id="45"/>
      <w:bookmarkEnd w:id="46"/>
      <w:bookmarkEnd w:id="47"/>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1.采购人信息</w:t>
      </w:r>
    </w:p>
    <w:p>
      <w:pPr>
        <w:adjustRightInd/>
        <w:spacing w:line="400" w:lineRule="exact"/>
        <w:ind w:firstLine="630" w:firstLineChars="300"/>
        <w:jc w:val="left"/>
        <w:rPr>
          <w:rFonts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 xml:space="preserve">广西壮族自治区海洋环境监测中心站 </w:t>
      </w:r>
    </w:p>
    <w:p>
      <w:pPr>
        <w:adjustRightInd/>
        <w:spacing w:line="400" w:lineRule="exact"/>
        <w:ind w:firstLine="630" w:firstLineChars="300"/>
        <w:jc w:val="left"/>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广西北海市海城区公园路49号</w:t>
      </w:r>
    </w:p>
    <w:p>
      <w:pPr>
        <w:spacing w:line="400" w:lineRule="exact"/>
        <w:ind w:firstLine="630" w:firstLineChars="300"/>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u w:val="single"/>
        </w:rPr>
        <w:t xml:space="preserve">徐工  </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 xml:space="preserve">      项目联系方式： </w:t>
      </w:r>
      <w:r>
        <w:rPr>
          <w:rFonts w:hint="eastAsia" w:ascii="宋体" w:hAnsi="宋体" w:cs="宋体"/>
          <w:szCs w:val="21"/>
          <w:highlight w:val="none"/>
          <w:u w:val="single"/>
        </w:rPr>
        <w:t>0779-6801868</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 xml:space="preserve">      2.采购代理机构信息            </w:t>
      </w:r>
    </w:p>
    <w:p>
      <w:pPr>
        <w:spacing w:line="400" w:lineRule="exact"/>
        <w:ind w:firstLine="630" w:firstLineChars="3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广西泽丰工程咨询有限公司</w:t>
      </w:r>
    </w:p>
    <w:p>
      <w:pPr>
        <w:spacing w:line="400" w:lineRule="exact"/>
        <w:ind w:firstLine="630" w:firstLineChars="300"/>
        <w:rPr>
          <w:rFonts w:ascii="宋体" w:hAnsi="宋体" w:cs="宋体"/>
          <w:szCs w:val="21"/>
          <w:highlight w:val="none"/>
        </w:rPr>
      </w:pPr>
      <w:r>
        <w:rPr>
          <w:rFonts w:hint="eastAsia" w:ascii="宋体" w:hAnsi="宋体" w:cs="宋体"/>
          <w:szCs w:val="21"/>
          <w:highlight w:val="none"/>
        </w:rPr>
        <w:t>地    址：</w:t>
      </w:r>
      <w:bookmarkStart w:id="48" w:name="OLE_LINK8"/>
      <w:r>
        <w:rPr>
          <w:rFonts w:hint="eastAsia" w:ascii="宋体" w:hAnsi="宋体" w:cs="宋体"/>
          <w:szCs w:val="21"/>
          <w:highlight w:val="none"/>
          <w:u w:val="single"/>
        </w:rPr>
        <w:t>广西北海市北海大道158号北园星座-星晨座7楼A室</w:t>
      </w:r>
      <w:bookmarkEnd w:id="48"/>
    </w:p>
    <w:p>
      <w:pPr>
        <w:spacing w:line="400" w:lineRule="exact"/>
        <w:rPr>
          <w:rFonts w:ascii="宋体" w:hAnsi="宋体" w:cs="宋体"/>
          <w:szCs w:val="21"/>
          <w:highlight w:val="none"/>
        </w:rPr>
      </w:pPr>
      <w:r>
        <w:rPr>
          <w:rFonts w:hint="eastAsia" w:ascii="宋体" w:hAnsi="宋体" w:cs="宋体"/>
          <w:szCs w:val="21"/>
          <w:highlight w:val="none"/>
        </w:rPr>
        <w:t xml:space="preserve">      项目联系人： </w:t>
      </w:r>
      <w:r>
        <w:rPr>
          <w:rFonts w:hint="eastAsia" w:ascii="宋体" w:hAnsi="宋体" w:cs="宋体"/>
          <w:szCs w:val="21"/>
          <w:highlight w:val="none"/>
          <w:u w:val="single"/>
        </w:rPr>
        <w:t>钟剑萍</w:t>
      </w:r>
    </w:p>
    <w:p>
      <w:pPr>
        <w:spacing w:line="400" w:lineRule="exact"/>
        <w:rPr>
          <w:rFonts w:ascii="宋体" w:hAnsi="宋体" w:cs="宋体"/>
          <w:szCs w:val="21"/>
          <w:highlight w:val="none"/>
        </w:rPr>
      </w:pPr>
      <w:r>
        <w:rPr>
          <w:rFonts w:hint="eastAsia" w:ascii="宋体" w:hAnsi="宋体" w:cs="宋体"/>
          <w:szCs w:val="21"/>
          <w:highlight w:val="none"/>
        </w:rPr>
        <w:t xml:space="preserve">      项目联系方式：</w:t>
      </w:r>
      <w:r>
        <w:rPr>
          <w:rFonts w:hint="eastAsia" w:ascii="宋体" w:hAnsi="宋体" w:cs="宋体"/>
          <w:szCs w:val="21"/>
          <w:highlight w:val="none"/>
          <w:u w:val="single"/>
        </w:rPr>
        <w:t>0779-3969099</w:t>
      </w:r>
    </w:p>
    <w:p>
      <w:pPr>
        <w:spacing w:line="400" w:lineRule="exact"/>
        <w:ind w:firstLine="420" w:firstLineChars="200"/>
        <w:rPr>
          <w:rFonts w:ascii="宋体" w:hAnsi="宋体" w:cs="宋体"/>
          <w:szCs w:val="21"/>
          <w:highlight w:val="none"/>
        </w:rPr>
      </w:pPr>
    </w:p>
    <w:p>
      <w:pPr>
        <w:pStyle w:val="36"/>
        <w:spacing w:line="400" w:lineRule="exact"/>
        <w:rPr>
          <w:rFonts w:cs="仿宋_GB2312" w:asciiTheme="minorEastAsia" w:hAnsiTheme="minorEastAsia" w:eastAsiaTheme="minorEastAsia"/>
          <w:szCs w:val="21"/>
          <w:highlight w:val="none"/>
        </w:rPr>
      </w:pPr>
    </w:p>
    <w:p>
      <w:pPr>
        <w:adjustRightInd/>
        <w:spacing w:line="400" w:lineRule="exact"/>
        <w:ind w:firstLine="5670" w:firstLineChars="2700"/>
        <w:rPr>
          <w:rFonts w:ascii="宋体" w:hAnsi="宋体"/>
          <w:kern w:val="0"/>
          <w:szCs w:val="21"/>
          <w:highlight w:val="none"/>
        </w:rPr>
      </w:pPr>
      <w:r>
        <w:rPr>
          <w:rFonts w:hint="eastAsia" w:ascii="宋体" w:hAnsi="宋体"/>
          <w:kern w:val="0"/>
          <w:szCs w:val="21"/>
          <w:highlight w:val="none"/>
        </w:rPr>
        <w:t xml:space="preserve">广西泽丰工程咨询有限公司      </w:t>
      </w:r>
    </w:p>
    <w:p>
      <w:pPr>
        <w:adjustRightInd/>
        <w:spacing w:line="400" w:lineRule="exact"/>
        <w:jc w:val="center"/>
        <w:rPr>
          <w:szCs w:val="21"/>
          <w:highlight w:val="none"/>
        </w:rPr>
      </w:pPr>
      <w:r>
        <w:rPr>
          <w:rFonts w:hint="eastAsia" w:ascii="宋体" w:hAnsi="宋体"/>
          <w:kern w:val="0"/>
          <w:szCs w:val="21"/>
          <w:highlight w:val="none"/>
        </w:rPr>
        <w:t xml:space="preserve">                                                     2026年</w:t>
      </w:r>
      <w:r>
        <w:rPr>
          <w:rFonts w:hint="eastAsia" w:ascii="宋体" w:hAnsi="宋体"/>
          <w:kern w:val="0"/>
          <w:szCs w:val="21"/>
          <w:highlight w:val="none"/>
          <w:lang w:val="en-US" w:eastAsia="zh-CN"/>
        </w:rPr>
        <w:t>6</w:t>
      </w:r>
      <w:r>
        <w:rPr>
          <w:rFonts w:hint="eastAsia" w:ascii="宋体" w:hAnsi="宋体"/>
          <w:kern w:val="0"/>
          <w:szCs w:val="21"/>
          <w:highlight w:val="none"/>
        </w:rPr>
        <w:t xml:space="preserve"> 月</w:t>
      </w:r>
      <w:r>
        <w:rPr>
          <w:rFonts w:hint="eastAsia" w:ascii="宋体" w:hAnsi="宋体"/>
          <w:kern w:val="0"/>
          <w:szCs w:val="21"/>
          <w:highlight w:val="none"/>
          <w:lang w:val="en-US" w:eastAsia="zh-CN"/>
        </w:rPr>
        <w:t>18</w:t>
      </w:r>
      <w:r>
        <w:rPr>
          <w:rFonts w:hint="eastAsia" w:ascii="宋体" w:hAnsi="宋体"/>
          <w:kern w:val="0"/>
          <w:szCs w:val="21"/>
          <w:highlight w:val="none"/>
        </w:rPr>
        <w:t>日</w:t>
      </w:r>
      <w:r>
        <w:rPr>
          <w:rFonts w:hint="eastAsia"/>
          <w:szCs w:val="21"/>
          <w:highlight w:val="none"/>
        </w:rPr>
        <w:t xml:space="preserve"> </w:t>
      </w:r>
    </w:p>
    <w:p>
      <w:pPr>
        <w:pStyle w:val="20"/>
        <w:rPr>
          <w:color w:val="auto"/>
          <w:highlight w:val="none"/>
        </w:rPr>
      </w:pPr>
    </w:p>
    <w:p>
      <w:pPr>
        <w:adjustRightInd/>
        <w:spacing w:line="400" w:lineRule="exact"/>
        <w:ind w:firstLine="420" w:firstLineChars="200"/>
        <w:rPr>
          <w:rFonts w:cs="仿宋_GB2312" w:asciiTheme="minorEastAsia" w:hAnsiTheme="minorEastAsia" w:eastAsiaTheme="minorEastAsia"/>
          <w:b/>
          <w:sz w:val="36"/>
          <w:szCs w:val="20"/>
          <w:highlight w:val="none"/>
        </w:rPr>
      </w:pPr>
      <w:r>
        <w:rPr>
          <w:rFonts w:hint="eastAsia" w:ascii="宋体" w:hAnsi="宋体" w:cs="宋体"/>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sz w:val="36"/>
          <w:szCs w:val="20"/>
          <w:highlight w:val="none"/>
        </w:rPr>
        <w:br w:type="page"/>
      </w:r>
    </w:p>
    <w:bookmarkEnd w:id="12"/>
    <w:p>
      <w:pPr>
        <w:adjustRightInd/>
        <w:spacing w:line="360" w:lineRule="auto"/>
        <w:jc w:val="center"/>
        <w:outlineLvl w:val="0"/>
        <w:rPr>
          <w:rFonts w:cs="仿宋_GB2312" w:asciiTheme="minorEastAsia" w:hAnsiTheme="minorEastAsia" w:eastAsiaTheme="minorEastAsia"/>
          <w:b/>
          <w:sz w:val="32"/>
          <w:szCs w:val="32"/>
          <w:highlight w:val="none"/>
        </w:rPr>
      </w:pPr>
      <w:bookmarkStart w:id="49" w:name="_Toc181203095"/>
      <w:r>
        <w:rPr>
          <w:rFonts w:hint="eastAsia" w:cs="仿宋_GB2312" w:asciiTheme="minorEastAsia" w:hAnsiTheme="minorEastAsia" w:eastAsiaTheme="minorEastAsia"/>
          <w:b/>
          <w:sz w:val="32"/>
          <w:szCs w:val="32"/>
          <w:highlight w:val="none"/>
        </w:rPr>
        <w:t>第二部分  竞争性谈判流程</w:t>
      </w:r>
      <w:bookmarkEnd w:id="49"/>
    </w:p>
    <w:p>
      <w:pPr>
        <w:pStyle w:val="396"/>
        <w:spacing w:before="0" w:line="340" w:lineRule="exact"/>
        <w:ind w:firstLine="0" w:firstLineChars="0"/>
        <w:rPr>
          <w:rFonts w:ascii="宋体" w:hAnsi="宋体" w:cs="宋体"/>
          <w:b/>
          <w:sz w:val="21"/>
          <w:szCs w:val="21"/>
          <w:highlight w:val="none"/>
        </w:rPr>
      </w:pPr>
      <w:r>
        <w:rPr>
          <w:rFonts w:hint="eastAsia" w:ascii="宋体" w:hAnsi="宋体" w:cs="宋体"/>
          <w:b/>
          <w:sz w:val="21"/>
          <w:szCs w:val="21"/>
          <w:highlight w:val="none"/>
        </w:rPr>
        <w:t>1.征集供应商</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1.1邀请供应商。</w:t>
      </w:r>
    </w:p>
    <w:p>
      <w:pPr>
        <w:pStyle w:val="396"/>
        <w:spacing w:before="0" w:line="340" w:lineRule="exact"/>
        <w:ind w:firstLine="420"/>
        <w:rPr>
          <w:rFonts w:ascii="宋体" w:hAnsi="宋体" w:cs="宋体"/>
          <w:sz w:val="21"/>
          <w:szCs w:val="21"/>
          <w:highlight w:val="none"/>
        </w:rPr>
      </w:pPr>
      <w:r>
        <w:rPr>
          <w:rFonts w:hint="eastAsia" w:ascii="宋体" w:hAnsi="宋体" w:cs="宋体"/>
          <w:kern w:val="0"/>
          <w:sz w:val="21"/>
          <w:szCs w:val="21"/>
          <w:highlight w:val="none"/>
        </w:rPr>
        <w:sym w:font="Wingdings" w:char="F0FE"/>
      </w:r>
      <w:r>
        <w:rPr>
          <w:rFonts w:hint="eastAsia" w:ascii="宋体" w:hAnsi="宋体" w:cs="宋体"/>
          <w:b/>
          <w:sz w:val="21"/>
          <w:szCs w:val="21"/>
          <w:highlight w:val="none"/>
        </w:rPr>
        <w:t>采用公告方式邀请供应商的，</w:t>
      </w:r>
      <w:r>
        <w:rPr>
          <w:rFonts w:hint="eastAsia" w:ascii="宋体" w:hAnsi="宋体" w:cs="宋体"/>
          <w:sz w:val="21"/>
          <w:szCs w:val="21"/>
          <w:highlight w:val="none"/>
        </w:rPr>
        <w:t>由采购人、采购代理机构在省级以上人民政府财政部门指定的政府采购信息发布媒体上发布谈判公告，邀请符合相应资格条件的供应商参与竞争性谈判采购活动。</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b/>
          <w:sz w:val="21"/>
          <w:szCs w:val="21"/>
          <w:highlight w:val="none"/>
        </w:rPr>
        <w:t>采用随机抽取方式邀请供应商的，</w:t>
      </w:r>
      <w:r>
        <w:rPr>
          <w:rFonts w:hint="eastAsia" w:ascii="宋体" w:hAnsi="宋体" w:cs="宋体"/>
          <w:sz w:val="21"/>
          <w:szCs w:val="21"/>
          <w:highlight w:val="none"/>
        </w:rPr>
        <w:t>由采购人、采购代理机构从省级以上财政部门建立的供应商库中随机抽取不少于3家符合相应资格条件的供应商参与竞争性谈判采购活动。</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b/>
          <w:sz w:val="21"/>
          <w:szCs w:val="21"/>
          <w:highlight w:val="none"/>
        </w:rPr>
        <w:t>采用书面推荐方式邀请供应商的，</w:t>
      </w:r>
      <w:r>
        <w:rPr>
          <w:rFonts w:hint="eastAsia" w:ascii="宋体" w:hAnsi="宋体" w:cs="宋体"/>
          <w:sz w:val="21"/>
          <w:szCs w:val="21"/>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格式见附件</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1.2供应商获取谈判文件。</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1.3组织现场考察或召开答疑会（如果有）。</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1.4发布更正（延期）公告，澄清或修改谈判文件（如果有）。</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1.5供应商按谈判文件要求编制响应文件。</w:t>
      </w:r>
    </w:p>
    <w:p>
      <w:pPr>
        <w:pStyle w:val="396"/>
        <w:spacing w:before="0" w:line="340" w:lineRule="exact"/>
        <w:ind w:firstLine="0" w:firstLineChars="0"/>
        <w:rPr>
          <w:rFonts w:ascii="宋体" w:hAnsi="宋体" w:cs="宋体"/>
          <w:b/>
          <w:sz w:val="21"/>
          <w:szCs w:val="21"/>
          <w:highlight w:val="none"/>
        </w:rPr>
      </w:pPr>
      <w:r>
        <w:rPr>
          <w:rFonts w:hint="eastAsia" w:ascii="宋体" w:hAnsi="宋体" w:cs="宋体"/>
          <w:b/>
          <w:sz w:val="21"/>
          <w:szCs w:val="21"/>
          <w:highlight w:val="none"/>
        </w:rPr>
        <w:t>2.响应文件开启与信用信息查询</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2.1供应商依据“提交响应文件的截止时间与地点”通过广西政府采购云平台在线提交响应文件。供应商在提交响应文件的截止时间前，可以补充、修改或撤回响应文件。</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2.2</w:t>
      </w:r>
      <w:r>
        <w:rPr>
          <w:rFonts w:hint="eastAsia" w:ascii="宋体" w:hAnsi="宋体" w:cs="宋体"/>
          <w:kern w:val="0"/>
          <w:sz w:val="21"/>
          <w:szCs w:val="21"/>
          <w:highlight w:val="none"/>
        </w:rPr>
        <w:t>采购人或者采购代理机构将通过“信用中国”网站(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cs="宋体"/>
          <w:kern w:val="0"/>
          <w:sz w:val="21"/>
          <w:szCs w:val="21"/>
          <w:highlight w:val="none"/>
        </w:rPr>
        <w:t>)和中国政府采购网(www.ccgp.gov.cn)渠道查询供应商响应截止时间当日的信用记录。</w:t>
      </w:r>
    </w:p>
    <w:p>
      <w:pPr>
        <w:pStyle w:val="396"/>
        <w:spacing w:before="0" w:line="340" w:lineRule="exact"/>
        <w:ind w:firstLine="0" w:firstLineChars="0"/>
        <w:rPr>
          <w:rFonts w:ascii="宋体" w:hAnsi="宋体" w:cs="宋体"/>
          <w:b/>
          <w:sz w:val="21"/>
          <w:szCs w:val="21"/>
          <w:highlight w:val="none"/>
        </w:rPr>
      </w:pPr>
      <w:r>
        <w:rPr>
          <w:rFonts w:hint="eastAsia" w:ascii="宋体" w:hAnsi="宋体" w:cs="宋体"/>
          <w:b/>
          <w:sz w:val="21"/>
          <w:szCs w:val="21"/>
          <w:highlight w:val="none"/>
        </w:rPr>
        <w:t>3.谈判与评审</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3.1谈判小组签到。</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3.2采购代理机构宣布有关纪律以及谈判、评审工作程序。</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3.3谈判小组审查确认谈判文件。谈判文件内容违反国家有关强制性规定的，谈判小组应当停止评审并向采购代理机构说明情况。</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3.4谈判小组对供应商的资格进行审查。</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3.5谈判小组审查响应文件。</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3.6对于未实质性响应谈判文件的响应文件由谈判小组认定响应无效，并告知该供应商。</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3.10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3.11谈判小组按照下列方式确定提交最后报价的供应商，有特殊规定的从其规定：</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谈判文件不能详细列明采购标的的技术、服务要求，需经谈判由供应商提供最终设计方案或解决方案的，谈判结束后，谈判小组应当按照少数服从多数的原则投票推荐3家及以上供应商的设计方案或者解决方案，并要求其在规定时间内在电子交易平台提交最后报价。</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3.12确定进入最后报价的供应商在规定时间内提交最后报价。</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3.13谈判小组应当从质量和服务均能满足采购文件实质性响应要求的供应商中，按照最后报价由低到高的顺序提出3名以上成交候选供应商，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供应商推荐资格；报价相同的，由采购人或者采购人委托谈判小组按照谈判文件规定的方式确定一个供应商获得成交供应商推荐资格，谈判文件未规定的采取随机抽取方式确定，其他同品牌供应商不作为成交候选供应商。</w:t>
      </w:r>
    </w:p>
    <w:p>
      <w:pPr>
        <w:pStyle w:val="396"/>
        <w:spacing w:before="0" w:line="340" w:lineRule="exact"/>
        <w:ind w:firstLine="0" w:firstLineChars="0"/>
        <w:rPr>
          <w:rFonts w:ascii="宋体" w:hAnsi="宋体" w:cs="宋体"/>
          <w:b/>
          <w:sz w:val="21"/>
          <w:szCs w:val="21"/>
          <w:highlight w:val="none"/>
        </w:rPr>
      </w:pPr>
      <w:r>
        <w:rPr>
          <w:rFonts w:hint="eastAsia" w:ascii="宋体" w:hAnsi="宋体" w:cs="宋体"/>
          <w:b/>
          <w:sz w:val="21"/>
          <w:szCs w:val="21"/>
          <w:highlight w:val="none"/>
        </w:rPr>
        <w:t>4. 成交</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4.1政府采购项目实行全流程电子化，评审报告送交、采购结果确定和结果公告均在线完成。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4.2采购代理机构在收到采购人对评审报告的确认意见和对成交供应商的确定结果后，应当在2个工作日内，在中国政府采购网、广西政府采购网、广西泽丰工程咨询有限公司网上发布公告成交结果，同时向成交供应商发出成交通知书，并将谈判文件随成交结果同时公告。</w:t>
      </w:r>
    </w:p>
    <w:p>
      <w:pPr>
        <w:pStyle w:val="396"/>
        <w:spacing w:before="0" w:line="340" w:lineRule="exact"/>
        <w:ind w:firstLine="0" w:firstLineChars="0"/>
        <w:rPr>
          <w:rFonts w:ascii="宋体" w:hAnsi="宋体" w:cs="宋体"/>
          <w:kern w:val="0"/>
          <w:sz w:val="21"/>
          <w:szCs w:val="21"/>
          <w:highlight w:val="none"/>
        </w:rPr>
      </w:pPr>
      <w:r>
        <w:rPr>
          <w:rFonts w:hint="eastAsia" w:ascii="宋体" w:hAnsi="宋体" w:cs="宋体"/>
          <w:b/>
          <w:sz w:val="21"/>
          <w:szCs w:val="21"/>
          <w:highlight w:val="none"/>
        </w:rPr>
        <w:t>5.合同及履约验收</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5.1采购人与成交供应商应当自成交通知书发出之日起25个日历日内，按照采购文件确定的事项签订政府采购合同。采购人因不可抗力原因延迟签订合同的，应当自不可抗力事由消除之日起5个工作日内完成合同签订事宜。鼓励采购人通过完善内部流程进一步缩短电子合同签订期限。</w:t>
      </w:r>
    </w:p>
    <w:p>
      <w:pPr>
        <w:tabs>
          <w:tab w:val="left" w:pos="0"/>
        </w:tabs>
        <w:spacing w:line="340" w:lineRule="exact"/>
        <w:ind w:firstLine="420" w:firstLineChars="200"/>
        <w:rPr>
          <w:rFonts w:ascii="宋体" w:hAnsi="宋体" w:cs="宋体"/>
          <w:szCs w:val="21"/>
          <w:highlight w:val="none"/>
        </w:rPr>
      </w:pPr>
      <w:r>
        <w:rPr>
          <w:rFonts w:hint="eastAsia" w:ascii="宋体" w:hAnsi="宋体" w:cs="宋体"/>
          <w:szCs w:val="21"/>
          <w:highlight w:val="none"/>
        </w:rPr>
        <w:t>5.2成交供应商按照政策要求及合同约定缴纳履约保证金（如有）。</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5.3合同履约。</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5.4采购人组织验收。</w:t>
      </w:r>
    </w:p>
    <w:p>
      <w:pPr>
        <w:widowControl/>
        <w:adjustRightInd/>
        <w:jc w:val="left"/>
        <w:rPr>
          <w:rFonts w:asciiTheme="minorEastAsia" w:hAnsiTheme="minorEastAsia" w:eastAsiaTheme="minorEastAsia"/>
          <w:b/>
          <w:sz w:val="24"/>
          <w:szCs w:val="20"/>
          <w:highlight w:val="none"/>
        </w:rPr>
      </w:pPr>
      <w:r>
        <w:rPr>
          <w:rFonts w:hint="eastAsia" w:asciiTheme="minorEastAsia" w:hAnsiTheme="minorEastAsia" w:eastAsiaTheme="minorEastAsia"/>
          <w:b/>
          <w:highlight w:val="none"/>
        </w:rPr>
        <w:br w:type="page"/>
      </w:r>
    </w:p>
    <w:p>
      <w:pPr>
        <w:adjustRightInd/>
        <w:spacing w:line="360" w:lineRule="auto"/>
        <w:jc w:val="center"/>
        <w:outlineLvl w:val="0"/>
        <w:rPr>
          <w:rFonts w:cs="仿宋_GB2312" w:asciiTheme="minorEastAsia" w:hAnsiTheme="minorEastAsia" w:eastAsiaTheme="minorEastAsia"/>
          <w:b/>
          <w:sz w:val="32"/>
          <w:szCs w:val="32"/>
          <w:highlight w:val="none"/>
        </w:rPr>
      </w:pPr>
      <w:bookmarkStart w:id="50" w:name="_Toc181203096"/>
      <w:r>
        <w:rPr>
          <w:rFonts w:hint="eastAsia" w:cs="仿宋_GB2312" w:asciiTheme="minorEastAsia" w:hAnsiTheme="minorEastAsia" w:eastAsiaTheme="minorEastAsia"/>
          <w:b/>
          <w:sz w:val="32"/>
          <w:szCs w:val="32"/>
          <w:highlight w:val="none"/>
        </w:rPr>
        <w:t>第三部分</w:t>
      </w:r>
      <w:bookmarkEnd w:id="9"/>
      <w:r>
        <w:rPr>
          <w:rFonts w:hint="eastAsia" w:cs="仿宋_GB2312" w:asciiTheme="minorEastAsia" w:hAnsiTheme="minorEastAsia" w:eastAsiaTheme="minorEastAsia"/>
          <w:b/>
          <w:sz w:val="32"/>
          <w:szCs w:val="32"/>
          <w:highlight w:val="none"/>
        </w:rPr>
        <w:t xml:space="preserve">  供应商须知</w:t>
      </w:r>
      <w:bookmarkEnd w:id="10"/>
      <w:bookmarkEnd w:id="50"/>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一、前附表</w:t>
      </w:r>
    </w:p>
    <w:tbl>
      <w:tblPr>
        <w:tblStyle w:val="71"/>
        <w:tblpPr w:leftFromText="180" w:rightFromText="180" w:vertAnchor="text" w:horzAnchor="page" w:tblpX="1626" w:tblpY="329"/>
        <w:tblOverlap w:val="never"/>
        <w:tblW w:w="87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39"/>
        <w:gridCol w:w="1536"/>
        <w:gridCol w:w="6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序号</w:t>
            </w:r>
          </w:p>
        </w:tc>
        <w:tc>
          <w:tcPr>
            <w:tcW w:w="1536"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事项</w:t>
            </w:r>
          </w:p>
        </w:tc>
        <w:tc>
          <w:tcPr>
            <w:tcW w:w="6544"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1</w:t>
            </w:r>
          </w:p>
        </w:tc>
        <w:tc>
          <w:tcPr>
            <w:tcW w:w="1536"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项目属性与核心产品</w:t>
            </w:r>
          </w:p>
        </w:tc>
        <w:tc>
          <w:tcPr>
            <w:tcW w:w="6544" w:type="dxa"/>
            <w:tcBorders>
              <w:top w:val="single" w:color="000000" w:sz="8" w:space="0"/>
              <w:left w:val="single" w:color="000000" w:sz="2" w:space="0"/>
              <w:bottom w:val="single" w:color="000000" w:sz="8" w:space="0"/>
              <w:right w:val="single" w:color="000000" w:sz="8" w:space="0"/>
            </w:tcBorders>
            <w:shd w:val="clear" w:color="auto" w:fill="auto"/>
            <w:vAlign w:val="center"/>
          </w:tcPr>
          <w:p>
            <w:pPr>
              <w:spacing w:line="240" w:lineRule="exact"/>
              <w:rPr>
                <w:rFonts w:ascii="宋体" w:hAnsi="宋体" w:cs="宋体"/>
                <w:bCs/>
                <w:szCs w:val="21"/>
                <w:highlight w:val="none"/>
              </w:rPr>
            </w:pPr>
            <w:r>
              <w:rPr>
                <w:rFonts w:hint="eastAsia" w:ascii="宋体" w:hAnsi="宋体" w:cs="宋体"/>
                <w:bCs/>
                <w:szCs w:val="21"/>
                <w:highlight w:val="none"/>
              </w:rPr>
              <w:t>货物类</w:t>
            </w:r>
            <w:r>
              <w:rPr>
                <w:rFonts w:hint="eastAsia" w:ascii="宋体" w:hAnsi="宋体" w:cs="宋体"/>
                <w:bCs/>
                <w:szCs w:val="21"/>
                <w:highlight w:val="none"/>
                <w:lang w:val="en-US" w:eastAsia="zh-CN"/>
              </w:rPr>
              <w:t>,</w:t>
            </w:r>
            <w:r>
              <w:rPr>
                <w:rFonts w:hint="eastAsia" w:ascii="宋体" w:hAnsi="宋体" w:cs="宋体"/>
                <w:bCs/>
                <w:kern w:val="0"/>
                <w:szCs w:val="21"/>
                <w:highlight w:val="none"/>
              </w:rPr>
              <w:t>核心产品为：</w:t>
            </w:r>
            <w:r>
              <w:rPr>
                <w:rFonts w:hint="eastAsia" w:asciiTheme="minorEastAsia" w:hAnsiTheme="minorEastAsia" w:eastAsiaTheme="minorEastAsia"/>
                <w:szCs w:val="21"/>
                <w:highlight w:val="none"/>
                <w:u w:val="single"/>
              </w:rPr>
              <w:t>连续流动分析仪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2</w:t>
            </w:r>
          </w:p>
        </w:tc>
        <w:tc>
          <w:tcPr>
            <w:tcW w:w="1536"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240" w:lineRule="exact"/>
              <w:rPr>
                <w:rFonts w:ascii="宋体" w:hAnsi="宋体" w:cs="宋体"/>
                <w:b/>
                <w:kern w:val="0"/>
                <w:szCs w:val="21"/>
                <w:highlight w:val="none"/>
              </w:rPr>
            </w:pPr>
            <w:r>
              <w:rPr>
                <w:rFonts w:hint="eastAsia" w:ascii="宋体" w:hAnsi="宋体" w:cs="宋体"/>
                <w:b/>
                <w:kern w:val="0"/>
                <w:szCs w:val="21"/>
                <w:highlight w:val="none"/>
              </w:rPr>
              <w:t>采购标的及其对应的中小企业划分标准所属行业</w:t>
            </w:r>
          </w:p>
        </w:tc>
        <w:tc>
          <w:tcPr>
            <w:tcW w:w="6544" w:type="dxa"/>
            <w:tcBorders>
              <w:top w:val="single" w:color="000000" w:sz="8" w:space="0"/>
              <w:left w:val="single" w:color="000000" w:sz="2" w:space="0"/>
              <w:bottom w:val="single" w:color="000000" w:sz="8" w:space="0"/>
              <w:right w:val="single" w:color="000000" w:sz="8" w:space="0"/>
            </w:tcBorders>
            <w:shd w:val="clear" w:color="auto" w:fill="auto"/>
            <w:vAlign w:val="center"/>
          </w:tcPr>
          <w:p>
            <w:pPr>
              <w:tabs>
                <w:tab w:val="left" w:pos="432"/>
              </w:tabs>
              <w:spacing w:before="260" w:after="260" w:line="240" w:lineRule="exact"/>
              <w:outlineLvl w:val="1"/>
              <w:rPr>
                <w:rFonts w:ascii="宋体" w:hAnsi="宋体" w:cs="宋体"/>
                <w:bCs/>
                <w:kern w:val="0"/>
                <w:szCs w:val="21"/>
                <w:highlight w:val="none"/>
              </w:rPr>
            </w:pPr>
            <w:r>
              <w:rPr>
                <w:rFonts w:hint="eastAsia" w:ascii="宋体" w:hAnsi="宋体" w:cs="宋体"/>
                <w:bCs/>
                <w:kern w:val="0"/>
                <w:szCs w:val="21"/>
                <w:highlight w:val="none"/>
              </w:rPr>
              <w:t>（1）标的：</w:t>
            </w:r>
            <w:r>
              <w:rPr>
                <w:rFonts w:hint="eastAsia" w:ascii="宋体" w:hAnsi="宋体" w:cs="宋体"/>
                <w:bCs/>
                <w:kern w:val="0"/>
                <w:szCs w:val="21"/>
                <w:highlight w:val="none"/>
                <w:u w:val="single"/>
              </w:rPr>
              <w:t>专用设备购置</w:t>
            </w:r>
            <w:r>
              <w:rPr>
                <w:rFonts w:hint="eastAsia" w:ascii="宋体" w:hAnsi="宋体" w:cs="宋体"/>
                <w:bCs/>
                <w:kern w:val="0"/>
                <w:szCs w:val="21"/>
                <w:highlight w:val="none"/>
              </w:rPr>
              <w:t>，属于</w:t>
            </w:r>
            <w:r>
              <w:rPr>
                <w:rFonts w:hint="eastAsia" w:ascii="宋体" w:hAnsi="宋体" w:cs="宋体"/>
                <w:bCs/>
                <w:kern w:val="0"/>
                <w:szCs w:val="21"/>
                <w:highlight w:val="none"/>
                <w:u w:val="single"/>
              </w:rPr>
              <w:t xml:space="preserve"> 工业 </w:t>
            </w:r>
            <w:r>
              <w:rPr>
                <w:rFonts w:hint="eastAsia" w:ascii="宋体" w:hAnsi="宋体" w:cs="宋体"/>
                <w:bCs/>
                <w:kern w:val="0"/>
                <w:szCs w:val="21"/>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3</w:t>
            </w:r>
          </w:p>
        </w:tc>
        <w:tc>
          <w:tcPr>
            <w:tcW w:w="1536" w:type="dxa"/>
            <w:tcBorders>
              <w:top w:val="single" w:color="000000" w:sz="8" w:space="0"/>
              <w:left w:val="single" w:color="auto" w:sz="4" w:space="0"/>
              <w:bottom w:val="single" w:color="000000" w:sz="8" w:space="0"/>
              <w:right w:val="single" w:color="000000" w:sz="8" w:space="0"/>
            </w:tcBorders>
            <w:shd w:val="clear" w:color="auto" w:fill="auto"/>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是否允许采购进口产品</w:t>
            </w:r>
          </w:p>
        </w:tc>
        <w:tc>
          <w:tcPr>
            <w:tcW w:w="6544" w:type="dxa"/>
            <w:tcBorders>
              <w:top w:val="single" w:color="000000" w:sz="8" w:space="0"/>
              <w:left w:val="single" w:color="000000" w:sz="2" w:space="0"/>
              <w:bottom w:val="single" w:color="000000" w:sz="8" w:space="0"/>
              <w:right w:val="single" w:color="000000" w:sz="8" w:space="0"/>
            </w:tcBorders>
            <w:shd w:val="clear" w:color="auto" w:fill="auto"/>
            <w:vAlign w:val="center"/>
          </w:tcPr>
          <w:p>
            <w:pPr>
              <w:spacing w:line="240" w:lineRule="exact"/>
              <w:rPr>
                <w:rFonts w:ascii="宋体" w:hAnsi="宋体" w:cs="宋体"/>
                <w:bCs/>
                <w:kern w:val="0"/>
                <w:szCs w:val="21"/>
                <w:highlight w:val="none"/>
              </w:rPr>
            </w:pPr>
            <w:r>
              <w:rPr>
                <w:rFonts w:hint="eastAsia" w:ascii="宋体" w:hAnsi="宋体" w:cs="宋体"/>
                <w:bCs/>
                <w:kern w:val="0"/>
                <w:szCs w:val="21"/>
                <w:highlight w:val="none"/>
              </w:rPr>
              <w:sym w:font="Wingdings" w:char="F0FE"/>
            </w:r>
            <w:r>
              <w:rPr>
                <w:rFonts w:hint="eastAsia" w:ascii="宋体" w:hAnsi="宋体" w:cs="宋体"/>
                <w:bCs/>
                <w:kern w:val="0"/>
                <w:szCs w:val="21"/>
                <w:highlight w:val="none"/>
              </w:rPr>
              <w:t xml:space="preserve"> 本项目不允许采购进口产品。</w:t>
            </w:r>
          </w:p>
          <w:p>
            <w:pPr>
              <w:spacing w:line="240" w:lineRule="exact"/>
              <w:rPr>
                <w:rFonts w:ascii="宋体" w:hAnsi="宋体" w:cs="宋体"/>
                <w:bCs/>
                <w:szCs w:val="21"/>
                <w:highlight w:val="none"/>
              </w:rPr>
            </w:pPr>
            <w:r>
              <w:rPr>
                <w:rFonts w:hint="eastAsia" w:ascii="宋体" w:hAnsi="宋体" w:cs="宋体"/>
                <w:bCs/>
                <w:kern w:val="0"/>
                <w:szCs w:val="21"/>
                <w:highlight w:val="none"/>
              </w:rPr>
              <w:t>☐ 可以就</w:t>
            </w:r>
            <w:r>
              <w:rPr>
                <w:rFonts w:hint="eastAsia" w:ascii="宋体" w:hAnsi="宋体" w:cs="宋体"/>
                <w:bCs/>
                <w:szCs w:val="21"/>
                <w:highlight w:val="none"/>
                <w:u w:val="single"/>
              </w:rPr>
              <w:t xml:space="preserve">    </w:t>
            </w:r>
            <w:r>
              <w:rPr>
                <w:rFonts w:hint="eastAsia" w:ascii="宋体" w:hAnsi="宋体" w:cs="宋体"/>
                <w:bCs/>
                <w:kern w:val="0"/>
                <w:szCs w:val="21"/>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4</w:t>
            </w:r>
          </w:p>
        </w:tc>
        <w:tc>
          <w:tcPr>
            <w:tcW w:w="1536"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分包</w:t>
            </w:r>
          </w:p>
        </w:tc>
        <w:tc>
          <w:tcPr>
            <w:tcW w:w="6544" w:type="dxa"/>
            <w:tcBorders>
              <w:top w:val="single" w:color="000000" w:sz="8" w:space="0"/>
              <w:left w:val="single" w:color="000000" w:sz="2" w:space="0"/>
              <w:bottom w:val="single" w:color="000000" w:sz="8" w:space="0"/>
              <w:right w:val="single" w:color="000000" w:sz="8" w:space="0"/>
            </w:tcBorders>
            <w:vAlign w:val="center"/>
          </w:tcPr>
          <w:p>
            <w:pPr>
              <w:spacing w:line="240" w:lineRule="exact"/>
              <w:jc w:val="left"/>
              <w:rPr>
                <w:rFonts w:ascii="宋体" w:hAnsi="宋体" w:cs="宋体"/>
                <w:szCs w:val="21"/>
                <w:highlight w:val="none"/>
              </w:rPr>
            </w:pPr>
            <w:sdt>
              <w:sdtPr>
                <w:rPr>
                  <w:rFonts w:hint="eastAsia" w:ascii="宋体" w:hAnsi="宋体" w:cs="宋体"/>
                  <w:kern w:val="0"/>
                  <w:szCs w:val="21"/>
                  <w:highlight w:val="none"/>
                </w:rPr>
                <w:id w:val="147468024"/>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MS Gothic" w:hAnsi="MS Gothic" w:cs="宋体"/>
                    <w:kern w:val="0"/>
                    <w:szCs w:val="21"/>
                    <w:highlight w:val="none"/>
                  </w:rPr>
                  <w:t>☐</w:t>
                </w:r>
              </w:sdtContent>
            </w:sdt>
            <w:r>
              <w:rPr>
                <w:rFonts w:hint="eastAsia" w:ascii="宋体" w:hAnsi="宋体" w:cs="宋体"/>
                <w:kern w:val="0"/>
                <w:szCs w:val="21"/>
                <w:highlight w:val="none"/>
              </w:rPr>
              <w:t xml:space="preserve"> A</w:t>
            </w:r>
            <w:r>
              <w:rPr>
                <w:rFonts w:hint="eastAsia" w:ascii="宋体" w:hAnsi="宋体" w:cs="宋体"/>
                <w:szCs w:val="21"/>
                <w:highlight w:val="none"/>
              </w:rPr>
              <w:t>同意将非主体、非关键性的</w:t>
            </w:r>
            <w:r>
              <w:rPr>
                <w:rFonts w:hint="eastAsia" w:ascii="宋体" w:hAnsi="宋体" w:cs="宋体"/>
                <w:szCs w:val="21"/>
                <w:highlight w:val="none"/>
                <w:u w:val="single"/>
              </w:rPr>
              <w:t xml:space="preserve">             </w:t>
            </w:r>
            <w:r>
              <w:rPr>
                <w:rFonts w:hint="eastAsia" w:ascii="宋体" w:hAnsi="宋体" w:cs="宋体"/>
                <w:szCs w:val="21"/>
                <w:highlight w:val="none"/>
              </w:rPr>
              <w:t xml:space="preserve">工作分包。          </w:t>
            </w:r>
            <w:sdt>
              <w:sdtPr>
                <w:rPr>
                  <w:rFonts w:hint="eastAsia" w:ascii="宋体" w:hAnsi="宋体" w:cs="宋体"/>
                  <w:kern w:val="0"/>
                  <w:szCs w:val="21"/>
                  <w:highlight w:val="none"/>
                </w:rPr>
                <w:id w:val="147455175"/>
                <w14:checkbox>
                  <w14:checked w14:val="1"/>
                  <w14:checkedState w14:val="00FE" w14:font="Wingdings"/>
                  <w14:uncheckedState w14:val="2610" w14:font="MS Gothic"/>
                </w14:checkbox>
              </w:sdtPr>
              <w:sdtEndPr>
                <w:rPr>
                  <w:rFonts w:hint="eastAsia" w:ascii="宋体" w:hAnsi="宋体" w:cs="宋体"/>
                  <w:kern w:val="0"/>
                  <w:szCs w:val="21"/>
                  <w:highlight w:val="none"/>
                </w:rPr>
              </w:sdtEndPr>
              <w:sdtContent>
                <w:r>
                  <w:rPr>
                    <w:rFonts w:ascii="Wingdings" w:hAnsi="Wingdings" w:cs="宋体"/>
                    <w:kern w:val="0"/>
                    <w:szCs w:val="21"/>
                    <w:highlight w:val="none"/>
                  </w:rPr>
                  <w:t></w:t>
                </w:r>
              </w:sdtContent>
            </w:sdt>
            <w:r>
              <w:rPr>
                <w:rFonts w:hint="eastAsia" w:ascii="宋体" w:hAnsi="宋体" w:cs="宋体"/>
                <w:kern w:val="0"/>
                <w:szCs w:val="21"/>
                <w:highlight w:val="none"/>
              </w:rPr>
              <w:t xml:space="preserve"> B</w:t>
            </w:r>
            <w:r>
              <w:rPr>
                <w:rFonts w:hint="eastAsia" w:ascii="宋体" w:hAnsi="宋体" w:cs="宋体"/>
                <w:szCs w:val="21"/>
                <w:highlight w:val="none"/>
              </w:rPr>
              <w:t>不同意分包。</w:t>
            </w:r>
          </w:p>
          <w:p>
            <w:pPr>
              <w:spacing w:line="240" w:lineRule="exact"/>
              <w:jc w:val="left"/>
              <w:rPr>
                <w:rFonts w:ascii="宋体" w:hAnsi="宋体" w:cs="宋体"/>
                <w:szCs w:val="21"/>
                <w:highlight w:val="none"/>
              </w:rPr>
            </w:pPr>
            <w:r>
              <w:rPr>
                <w:rFonts w:hint="eastAsia" w:ascii="宋体" w:hAnsi="宋体" w:cs="宋体"/>
                <w:szCs w:val="21"/>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5</w:t>
            </w:r>
          </w:p>
        </w:tc>
        <w:tc>
          <w:tcPr>
            <w:tcW w:w="1536"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开标前答疑会或现场考察</w:t>
            </w:r>
          </w:p>
        </w:tc>
        <w:tc>
          <w:tcPr>
            <w:tcW w:w="6544" w:type="dxa"/>
            <w:tcBorders>
              <w:top w:val="single" w:color="000000" w:sz="8" w:space="0"/>
              <w:left w:val="single" w:color="000000" w:sz="2" w:space="0"/>
              <w:bottom w:val="single" w:color="000000" w:sz="8" w:space="0"/>
              <w:right w:val="single" w:color="000000" w:sz="8" w:space="0"/>
            </w:tcBorders>
            <w:vAlign w:val="center"/>
          </w:tcPr>
          <w:p>
            <w:pPr>
              <w:spacing w:line="240" w:lineRule="exact"/>
              <w:rPr>
                <w:rFonts w:ascii="宋体" w:hAnsi="宋体" w:cs="宋体"/>
                <w:szCs w:val="21"/>
                <w:highlight w:val="none"/>
              </w:rPr>
            </w:pPr>
            <w:sdt>
              <w:sdtPr>
                <w:rPr>
                  <w:rFonts w:hint="eastAsia" w:ascii="宋体" w:hAnsi="宋体" w:cs="宋体"/>
                  <w:kern w:val="0"/>
                  <w:szCs w:val="21"/>
                  <w:highlight w:val="none"/>
                </w:rPr>
                <w:id w:val="147451955"/>
                <w14:checkbox>
                  <w14:checked w14:val="1"/>
                  <w14:checkedState w14:val="00FE" w14:font="Wingdings"/>
                  <w14:uncheckedState w14:val="2610" w14:font="MS Gothic"/>
                </w14:checkbox>
              </w:sdtPr>
              <w:sdtEndPr>
                <w:rPr>
                  <w:rFonts w:hint="eastAsia" w:ascii="宋体" w:hAnsi="宋体" w:cs="宋体"/>
                  <w:kern w:val="0"/>
                  <w:szCs w:val="21"/>
                  <w:highlight w:val="none"/>
                </w:rPr>
              </w:sdtEndPr>
              <w:sdtContent>
                <w:r>
                  <w:rPr>
                    <w:rFonts w:ascii="Wingdings" w:hAnsi="Wingdings" w:cs="宋体"/>
                    <w:kern w:val="0"/>
                    <w:szCs w:val="21"/>
                    <w:highlight w:val="none"/>
                  </w:rPr>
                  <w:t></w:t>
                </w:r>
              </w:sdtContent>
            </w:sdt>
            <w:r>
              <w:rPr>
                <w:rFonts w:hint="eastAsia" w:ascii="宋体" w:hAnsi="宋体" w:cs="宋体"/>
                <w:kern w:val="0"/>
                <w:szCs w:val="21"/>
                <w:highlight w:val="none"/>
              </w:rPr>
              <w:t xml:space="preserve"> A</w:t>
            </w:r>
            <w:r>
              <w:rPr>
                <w:rFonts w:hint="eastAsia" w:ascii="宋体" w:hAnsi="宋体" w:cs="宋体"/>
                <w:szCs w:val="21"/>
                <w:highlight w:val="none"/>
              </w:rPr>
              <w:t>不组织。</w:t>
            </w:r>
          </w:p>
          <w:p>
            <w:pPr>
              <w:spacing w:line="240" w:lineRule="exact"/>
              <w:rPr>
                <w:rFonts w:ascii="宋体" w:hAnsi="宋体" w:cs="宋体"/>
                <w:szCs w:val="21"/>
                <w:highlight w:val="none"/>
              </w:rPr>
            </w:pPr>
            <w:sdt>
              <w:sdtPr>
                <w:rPr>
                  <w:rFonts w:hint="eastAsia" w:ascii="宋体" w:hAnsi="宋体" w:cs="宋体"/>
                  <w:kern w:val="0"/>
                  <w:szCs w:val="21"/>
                  <w:highlight w:val="none"/>
                </w:rPr>
                <w:id w:val="147475065"/>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宋体" w:hAnsi="宋体" w:cs="宋体"/>
                    <w:kern w:val="0"/>
                    <w:szCs w:val="21"/>
                    <w:highlight w:val="none"/>
                  </w:rPr>
                  <w:t>☐</w:t>
                </w:r>
              </w:sdtContent>
            </w:sdt>
            <w:r>
              <w:rPr>
                <w:rFonts w:hint="eastAsia" w:ascii="宋体" w:hAnsi="宋体" w:cs="宋体"/>
                <w:kern w:val="0"/>
                <w:szCs w:val="21"/>
                <w:highlight w:val="none"/>
              </w:rPr>
              <w:t xml:space="preserve"> B组织，</w:t>
            </w:r>
            <w:r>
              <w:rPr>
                <w:rFonts w:hint="eastAsia" w:ascii="宋体" w:hAnsi="宋体" w:cs="宋体"/>
                <w:szCs w:val="21"/>
                <w:highlight w:val="none"/>
              </w:rPr>
              <w:t>时间：</w:t>
            </w:r>
            <w:r>
              <w:rPr>
                <w:rFonts w:hint="eastAsia" w:ascii="宋体" w:hAnsi="宋体" w:cs="宋体"/>
                <w:szCs w:val="21"/>
                <w:highlight w:val="none"/>
                <w:u w:val="single"/>
              </w:rPr>
              <w:t xml:space="preserve">      </w:t>
            </w:r>
            <w:r>
              <w:rPr>
                <w:rFonts w:hint="eastAsia" w:ascii="宋体" w:hAnsi="宋体" w:cs="宋体"/>
                <w:szCs w:val="21"/>
                <w:highlight w:val="none"/>
              </w:rPr>
              <w:t>,地点：</w:t>
            </w:r>
            <w:r>
              <w:rPr>
                <w:rFonts w:hint="eastAsia" w:ascii="宋体" w:hAnsi="宋体" w:cs="宋体"/>
                <w:szCs w:val="21"/>
                <w:highlight w:val="none"/>
                <w:u w:val="single"/>
              </w:rPr>
              <w:t xml:space="preserve">      </w:t>
            </w:r>
            <w:r>
              <w:rPr>
                <w:rFonts w:hint="eastAsia" w:ascii="宋体" w:hAnsi="宋体" w:cs="宋体"/>
                <w:szCs w:val="21"/>
                <w:highlight w:val="none"/>
              </w:rPr>
              <w:t>，联系人：</w:t>
            </w:r>
            <w:r>
              <w:rPr>
                <w:rFonts w:hint="eastAsia" w:ascii="宋体" w:hAnsi="宋体" w:cs="宋体"/>
                <w:szCs w:val="21"/>
                <w:highlight w:val="none"/>
                <w:u w:val="single"/>
              </w:rPr>
              <w:t xml:space="preserve">      </w:t>
            </w:r>
            <w:r>
              <w:rPr>
                <w:rFonts w:hint="eastAsia" w:ascii="宋体" w:hAnsi="宋体" w:cs="宋体"/>
                <w:szCs w:val="21"/>
                <w:highlight w:val="none"/>
              </w:rPr>
              <w:t>，联系方式：</w:t>
            </w:r>
            <w:r>
              <w:rPr>
                <w:rFonts w:hint="eastAsia" w:ascii="宋体" w:hAnsi="宋体" w:cs="宋体"/>
                <w:szCs w:val="21"/>
                <w:highlight w:val="none"/>
                <w:u w:val="single"/>
              </w:rPr>
              <w:t xml:space="preserve">      </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6</w:t>
            </w:r>
          </w:p>
        </w:tc>
        <w:tc>
          <w:tcPr>
            <w:tcW w:w="1536"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样品提供</w:t>
            </w:r>
          </w:p>
        </w:tc>
        <w:tc>
          <w:tcPr>
            <w:tcW w:w="6544" w:type="dxa"/>
            <w:tcBorders>
              <w:top w:val="single" w:color="000000" w:sz="8" w:space="0"/>
              <w:left w:val="single" w:color="000000" w:sz="2" w:space="0"/>
              <w:bottom w:val="single" w:color="000000" w:sz="8" w:space="0"/>
              <w:right w:val="single" w:color="000000" w:sz="8" w:space="0"/>
            </w:tcBorders>
            <w:vAlign w:val="center"/>
          </w:tcPr>
          <w:p>
            <w:pPr>
              <w:spacing w:line="240" w:lineRule="exact"/>
              <w:rPr>
                <w:rFonts w:ascii="宋体" w:hAnsi="宋体" w:cs="宋体"/>
                <w:szCs w:val="21"/>
                <w:highlight w:val="none"/>
              </w:rPr>
            </w:pPr>
            <w:sdt>
              <w:sdtPr>
                <w:rPr>
                  <w:rFonts w:hint="eastAsia" w:ascii="宋体" w:hAnsi="宋体" w:cs="宋体"/>
                  <w:kern w:val="0"/>
                  <w:szCs w:val="21"/>
                  <w:highlight w:val="none"/>
                </w:rPr>
                <w:id w:val="147455193"/>
                <w14:checkbox>
                  <w14:checked w14:val="1"/>
                  <w14:checkedState w14:val="00FE" w14:font="Wingdings"/>
                  <w14:uncheckedState w14:val="2610" w14:font="MS Gothic"/>
                </w14:checkbox>
              </w:sdtPr>
              <w:sdtEndPr>
                <w:rPr>
                  <w:rFonts w:hint="eastAsia" w:ascii="宋体" w:hAnsi="宋体" w:cs="宋体"/>
                  <w:kern w:val="0"/>
                  <w:szCs w:val="21"/>
                  <w:highlight w:val="none"/>
                </w:rPr>
              </w:sdtEndPr>
              <w:sdtContent>
                <w:r>
                  <w:rPr>
                    <w:rFonts w:ascii="Wingdings" w:hAnsi="Wingdings" w:cs="宋体"/>
                    <w:kern w:val="0"/>
                    <w:szCs w:val="21"/>
                    <w:highlight w:val="none"/>
                  </w:rPr>
                  <w:t></w:t>
                </w:r>
              </w:sdtContent>
            </w:sdt>
            <w:r>
              <w:rPr>
                <w:rFonts w:hint="eastAsia" w:ascii="宋体" w:hAnsi="宋体" w:cs="宋体"/>
                <w:kern w:val="0"/>
                <w:szCs w:val="21"/>
                <w:highlight w:val="none"/>
              </w:rPr>
              <w:t xml:space="preserve"> A</w:t>
            </w:r>
            <w:r>
              <w:rPr>
                <w:rFonts w:hint="eastAsia" w:ascii="宋体" w:hAnsi="宋体" w:cs="宋体"/>
                <w:szCs w:val="21"/>
                <w:highlight w:val="none"/>
              </w:rPr>
              <w:t>不要求提供。</w:t>
            </w:r>
          </w:p>
          <w:p>
            <w:pPr>
              <w:spacing w:line="240" w:lineRule="exact"/>
              <w:rPr>
                <w:rFonts w:ascii="宋体" w:hAnsi="宋体" w:cs="宋体"/>
                <w:b/>
                <w:szCs w:val="21"/>
                <w:highlight w:val="none"/>
              </w:rPr>
            </w:pPr>
            <w:sdt>
              <w:sdtPr>
                <w:rPr>
                  <w:rFonts w:hint="eastAsia" w:ascii="宋体" w:hAnsi="宋体" w:cs="宋体"/>
                  <w:kern w:val="0"/>
                  <w:szCs w:val="21"/>
                  <w:highlight w:val="none"/>
                </w:rPr>
                <w:id w:val="147473840"/>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宋体" w:hAnsi="宋体" w:cs="宋体"/>
                    <w:kern w:val="0"/>
                    <w:szCs w:val="21"/>
                    <w:highlight w:val="none"/>
                  </w:rPr>
                  <w:t>☐</w:t>
                </w:r>
              </w:sdtContent>
            </w:sdt>
            <w:r>
              <w:rPr>
                <w:rFonts w:hint="eastAsia" w:ascii="宋体" w:hAnsi="宋体" w:cs="宋体"/>
                <w:kern w:val="0"/>
                <w:szCs w:val="21"/>
                <w:highlight w:val="none"/>
              </w:rPr>
              <w:t xml:space="preserve"> 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7</w:t>
            </w:r>
          </w:p>
        </w:tc>
        <w:tc>
          <w:tcPr>
            <w:tcW w:w="1536"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exact"/>
              <w:jc w:val="center"/>
              <w:rPr>
                <w:rFonts w:ascii="宋体" w:hAnsi="宋体" w:cs="宋体"/>
                <w:bCs/>
                <w:szCs w:val="21"/>
                <w:highlight w:val="none"/>
              </w:rPr>
            </w:pPr>
            <w:r>
              <w:rPr>
                <w:rFonts w:hint="eastAsia" w:ascii="宋体" w:hAnsi="宋体" w:cs="宋体"/>
                <w:b/>
                <w:szCs w:val="21"/>
                <w:highlight w:val="none"/>
              </w:rPr>
              <w:t>方案讲解演示</w:t>
            </w:r>
          </w:p>
        </w:tc>
        <w:tc>
          <w:tcPr>
            <w:tcW w:w="6544" w:type="dxa"/>
            <w:tcBorders>
              <w:top w:val="single" w:color="000000" w:sz="8" w:space="0"/>
              <w:left w:val="single" w:color="000000" w:sz="2" w:space="0"/>
              <w:bottom w:val="single" w:color="000000" w:sz="8" w:space="0"/>
              <w:right w:val="single" w:color="000000" w:sz="8" w:space="0"/>
            </w:tcBorders>
            <w:vAlign w:val="center"/>
          </w:tcPr>
          <w:p>
            <w:pPr>
              <w:spacing w:line="240" w:lineRule="exact"/>
              <w:rPr>
                <w:rFonts w:ascii="宋体" w:hAnsi="宋体" w:cs="宋体"/>
                <w:szCs w:val="21"/>
                <w:highlight w:val="none"/>
              </w:rPr>
            </w:pPr>
            <w:sdt>
              <w:sdtPr>
                <w:rPr>
                  <w:rFonts w:hint="eastAsia" w:ascii="宋体" w:hAnsi="宋体" w:cs="宋体"/>
                  <w:kern w:val="0"/>
                  <w:szCs w:val="21"/>
                  <w:highlight w:val="none"/>
                </w:rPr>
                <w:id w:val="147464346"/>
                <w14:checkbox>
                  <w14:checked w14:val="1"/>
                  <w14:checkedState w14:val="00FE" w14:font="Wingdings"/>
                  <w14:uncheckedState w14:val="2610" w14:font="MS Gothic"/>
                </w14:checkbox>
              </w:sdtPr>
              <w:sdtEndPr>
                <w:rPr>
                  <w:rFonts w:hint="eastAsia" w:ascii="宋体" w:hAnsi="宋体" w:cs="宋体"/>
                  <w:kern w:val="0"/>
                  <w:szCs w:val="21"/>
                  <w:highlight w:val="none"/>
                </w:rPr>
              </w:sdtEndPr>
              <w:sdtContent>
                <w:r>
                  <w:rPr>
                    <w:rFonts w:ascii="Wingdings" w:hAnsi="Wingdings" w:cs="宋体"/>
                    <w:kern w:val="0"/>
                    <w:szCs w:val="21"/>
                    <w:highlight w:val="none"/>
                  </w:rPr>
                  <w:t></w:t>
                </w:r>
              </w:sdtContent>
            </w:sdt>
            <w:r>
              <w:rPr>
                <w:rFonts w:hint="eastAsia" w:ascii="宋体" w:hAnsi="宋体" w:cs="宋体"/>
                <w:kern w:val="0"/>
                <w:szCs w:val="21"/>
                <w:highlight w:val="none"/>
              </w:rPr>
              <w:t xml:space="preserve"> A</w:t>
            </w:r>
            <w:r>
              <w:rPr>
                <w:rFonts w:hint="eastAsia" w:ascii="宋体" w:hAnsi="宋体" w:cs="宋体"/>
                <w:szCs w:val="21"/>
                <w:highlight w:val="none"/>
              </w:rPr>
              <w:t>不组织。</w:t>
            </w:r>
          </w:p>
          <w:p>
            <w:pPr>
              <w:spacing w:line="240" w:lineRule="exact"/>
              <w:rPr>
                <w:rFonts w:ascii="宋体" w:hAnsi="宋体" w:cs="宋体"/>
                <w:b/>
                <w:kern w:val="0"/>
                <w:szCs w:val="21"/>
                <w:highlight w:val="none"/>
                <w:lang w:val="zh-CN"/>
              </w:rPr>
            </w:pPr>
            <w:sdt>
              <w:sdtPr>
                <w:rPr>
                  <w:rFonts w:hint="eastAsia" w:ascii="宋体" w:hAnsi="宋体" w:cs="宋体"/>
                  <w:kern w:val="0"/>
                  <w:szCs w:val="21"/>
                  <w:highlight w:val="none"/>
                </w:rPr>
                <w:id w:val="147468185"/>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宋体" w:hAnsi="宋体" w:cs="宋体"/>
                    <w:kern w:val="0"/>
                    <w:szCs w:val="21"/>
                    <w:highlight w:val="none"/>
                  </w:rPr>
                  <w:t>☐</w:t>
                </w:r>
              </w:sdtContent>
            </w:sdt>
            <w:r>
              <w:rPr>
                <w:rFonts w:hint="eastAsia" w:ascii="宋体" w:hAnsi="宋体" w:cs="宋体"/>
                <w:kern w:val="0"/>
                <w:szCs w:val="21"/>
                <w:highlight w:val="none"/>
              </w:rPr>
              <w:t xml:space="preserve"> B组织。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8</w:t>
            </w:r>
          </w:p>
        </w:tc>
        <w:tc>
          <w:tcPr>
            <w:tcW w:w="1536" w:type="dxa"/>
            <w:tcBorders>
              <w:top w:val="single" w:color="000000" w:sz="8" w:space="0"/>
              <w:left w:val="single" w:color="auto" w:sz="4"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供应商应当提供的资格、资信证明文件</w:t>
            </w:r>
          </w:p>
        </w:tc>
        <w:tc>
          <w:tcPr>
            <w:tcW w:w="6544" w:type="dxa"/>
            <w:tcBorders>
              <w:top w:val="single" w:color="000000" w:sz="8" w:space="0"/>
              <w:left w:val="single" w:color="000000" w:sz="2" w:space="0"/>
              <w:bottom w:val="single" w:color="000000" w:sz="8" w:space="0"/>
              <w:right w:val="single" w:color="000000" w:sz="8" w:space="0"/>
            </w:tcBorders>
            <w:vAlign w:val="center"/>
          </w:tcPr>
          <w:p>
            <w:pPr>
              <w:numPr>
                <w:ilvl w:val="0"/>
                <w:numId w:val="7"/>
              </w:numPr>
              <w:spacing w:line="240" w:lineRule="exact"/>
              <w:rPr>
                <w:rFonts w:ascii="宋体" w:hAnsi="宋体" w:cs="宋体"/>
                <w:szCs w:val="21"/>
                <w:highlight w:val="none"/>
              </w:rPr>
            </w:pPr>
            <w:r>
              <w:rPr>
                <w:rFonts w:hint="eastAsia" w:ascii="宋体" w:hAnsi="宋体" w:cs="宋体"/>
                <w:szCs w:val="21"/>
                <w:highlight w:val="none"/>
              </w:rPr>
              <w:t>资格证明文件：见谈判文件第三部分——响应文件的编制。</w:t>
            </w:r>
          </w:p>
          <w:p>
            <w:pPr>
              <w:spacing w:line="240" w:lineRule="exact"/>
              <w:rPr>
                <w:rFonts w:ascii="宋体" w:hAnsi="宋体" w:cs="宋体"/>
                <w:kern w:val="0"/>
                <w:szCs w:val="21"/>
                <w:highlight w:val="none"/>
                <w:lang w:val="zh-CN"/>
              </w:rPr>
            </w:pPr>
            <w:r>
              <w:rPr>
                <w:rFonts w:hint="eastAsia" w:ascii="宋体" w:hAnsi="宋体" w:cs="宋体"/>
                <w:kern w:val="0"/>
                <w:szCs w:val="21"/>
                <w:highlight w:val="none"/>
                <w:lang w:val="zh-CN"/>
              </w:rPr>
              <w:t>供应商未提供有效的资格证明文件的，视为供应商不具备谈判文件中规定的资格要求，响应无效。</w:t>
            </w:r>
          </w:p>
          <w:p>
            <w:pPr>
              <w:spacing w:line="240" w:lineRule="exact"/>
              <w:rPr>
                <w:rFonts w:ascii="宋体" w:hAnsi="宋体" w:cs="宋体"/>
                <w:szCs w:val="21"/>
                <w:highlight w:val="none"/>
              </w:rPr>
            </w:pPr>
            <w:r>
              <w:rPr>
                <w:rFonts w:hint="eastAsia" w:ascii="宋体" w:hAnsi="宋体" w:cs="宋体"/>
                <w:szCs w:val="21"/>
                <w:highlight w:val="none"/>
              </w:rPr>
              <w:t>（2）资信证明文件：根据谈判文件采购需求及评审标准的要求提供。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000000" w:sz="8" w:space="0"/>
              <w:bottom w:val="single" w:color="auto" w:sz="4" w:space="0"/>
              <w:right w:val="single" w:color="000000" w:sz="2"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9</w:t>
            </w:r>
          </w:p>
        </w:tc>
        <w:tc>
          <w:tcPr>
            <w:tcW w:w="1536"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节能产品、环境标志产品</w:t>
            </w:r>
          </w:p>
        </w:tc>
        <w:tc>
          <w:tcPr>
            <w:tcW w:w="6544"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exact"/>
              <w:rPr>
                <w:rFonts w:ascii="宋体" w:hAnsi="宋体" w:cs="宋体"/>
                <w:szCs w:val="21"/>
                <w:highlight w:val="none"/>
              </w:rPr>
            </w:pPr>
            <w:r>
              <w:rPr>
                <w:rFonts w:hint="eastAsia" w:ascii="宋体" w:hAnsi="宋体" w:cs="宋体"/>
                <w:kern w:val="0"/>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000000" w:sz="8" w:space="0"/>
              <w:bottom w:val="single" w:color="auto" w:sz="4" w:space="0"/>
              <w:right w:val="single" w:color="000000" w:sz="2"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10</w:t>
            </w:r>
          </w:p>
        </w:tc>
        <w:tc>
          <w:tcPr>
            <w:tcW w:w="1536"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报价要求</w:t>
            </w:r>
          </w:p>
        </w:tc>
        <w:tc>
          <w:tcPr>
            <w:tcW w:w="6544"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exact"/>
              <w:rPr>
                <w:rFonts w:ascii="宋体" w:hAnsi="宋体" w:cs="宋体"/>
                <w:b/>
                <w:bCs/>
                <w:kern w:val="0"/>
                <w:szCs w:val="21"/>
                <w:highlight w:val="none"/>
                <w:lang w:val="zh-CN"/>
              </w:rPr>
            </w:pPr>
            <w:r>
              <w:rPr>
                <w:rFonts w:hint="eastAsia" w:ascii="宋体" w:hAnsi="宋体" w:cs="宋体"/>
                <w:kern w:val="0"/>
                <w:szCs w:val="21"/>
                <w:highlight w:val="none"/>
                <w:lang w:val="zh-CN"/>
              </w:rPr>
              <w:t>有关本项目实施所需的所有费用（含税费）均计入最后报价。最后的报</w:t>
            </w:r>
            <w:r>
              <w:rPr>
                <w:rFonts w:hint="eastAsia" w:ascii="宋体" w:hAnsi="宋体" w:cs="宋体"/>
                <w:kern w:val="0"/>
                <w:szCs w:val="21"/>
                <w:highlight w:val="none"/>
              </w:rPr>
              <w:t>价表是最后报价的唯一载体</w:t>
            </w:r>
            <w:r>
              <w:rPr>
                <w:rFonts w:hint="eastAsia" w:ascii="宋体" w:hAnsi="宋体" w:cs="宋体"/>
                <w:kern w:val="0"/>
                <w:szCs w:val="21"/>
                <w:highlight w:val="none"/>
                <w:lang w:val="zh-CN"/>
              </w:rPr>
              <w:t>。谈判文件中价格全部采用人民币报价。谈判文件未列明，而供应商认为必需的费用也需列入报价。</w:t>
            </w:r>
          </w:p>
          <w:p>
            <w:pPr>
              <w:snapToGrid w:val="0"/>
              <w:spacing w:line="240" w:lineRule="exact"/>
              <w:ind w:firstLine="211" w:firstLineChars="100"/>
              <w:rPr>
                <w:rFonts w:ascii="宋体" w:hAnsi="宋体" w:cs="宋体"/>
                <w:b/>
                <w:bCs/>
                <w:kern w:val="0"/>
                <w:szCs w:val="21"/>
                <w:highlight w:val="none"/>
                <w:lang w:val="zh-CN"/>
              </w:rPr>
            </w:pPr>
            <w:r>
              <w:rPr>
                <w:rFonts w:hint="eastAsia" w:ascii="宋体" w:hAnsi="宋体" w:cs="宋体"/>
                <w:b/>
                <w:bCs/>
                <w:kern w:val="0"/>
                <w:szCs w:val="21"/>
                <w:highlight w:val="none"/>
                <w:lang w:val="zh-CN"/>
              </w:rPr>
              <w:t>最后报价出现下列情形的，响应无效：</w:t>
            </w:r>
          </w:p>
          <w:p>
            <w:pPr>
              <w:snapToGrid w:val="0"/>
              <w:spacing w:line="240" w:lineRule="exact"/>
              <w:ind w:firstLine="211" w:firstLineChars="100"/>
              <w:rPr>
                <w:rFonts w:ascii="宋体" w:hAnsi="宋体" w:cs="宋体"/>
                <w:b/>
                <w:bCs/>
                <w:kern w:val="0"/>
                <w:szCs w:val="21"/>
                <w:highlight w:val="none"/>
                <w:lang w:val="zh-CN"/>
              </w:rPr>
            </w:pPr>
            <w:r>
              <w:rPr>
                <w:rFonts w:hint="eastAsia" w:ascii="宋体" w:hAnsi="宋体" w:cs="宋体"/>
                <w:b/>
                <w:bCs/>
                <w:kern w:val="0"/>
                <w:szCs w:val="21"/>
                <w:highlight w:val="none"/>
                <w:lang w:val="zh-CN"/>
              </w:rPr>
              <w:t>响应文件出现不是唯一的、有选择性的最后报价的；</w:t>
            </w:r>
          </w:p>
          <w:p>
            <w:pPr>
              <w:snapToGrid w:val="0"/>
              <w:spacing w:line="240" w:lineRule="exact"/>
              <w:ind w:firstLine="211" w:firstLineChars="100"/>
              <w:rPr>
                <w:rFonts w:ascii="宋体" w:hAnsi="宋体" w:cs="宋体"/>
                <w:b/>
                <w:bCs/>
                <w:kern w:val="0"/>
                <w:szCs w:val="21"/>
                <w:highlight w:val="none"/>
                <w:lang w:val="zh-CN"/>
              </w:rPr>
            </w:pPr>
            <w:r>
              <w:rPr>
                <w:rFonts w:hint="eastAsia" w:ascii="宋体" w:hAnsi="宋体" w:cs="宋体"/>
                <w:b/>
                <w:bCs/>
                <w:kern w:val="0"/>
                <w:szCs w:val="21"/>
                <w:highlight w:val="none"/>
                <w:lang w:val="zh-CN"/>
              </w:rPr>
              <w:t>最后报价超过谈判文件中规定的预算金额或者最高限价的;</w:t>
            </w:r>
          </w:p>
          <w:p>
            <w:pPr>
              <w:spacing w:line="240" w:lineRule="exact"/>
              <w:ind w:firstLine="211" w:firstLineChars="100"/>
              <w:rPr>
                <w:rFonts w:ascii="宋体" w:hAnsi="宋体" w:cs="宋体"/>
                <w:szCs w:val="21"/>
                <w:highlight w:val="none"/>
              </w:rPr>
            </w:pPr>
            <w:r>
              <w:rPr>
                <w:rFonts w:hint="eastAsia" w:ascii="宋体" w:hAnsi="宋体" w:cs="宋体"/>
                <w:b/>
                <w:bCs/>
                <w:kern w:val="0"/>
                <w:szCs w:val="21"/>
                <w:highlight w:val="none"/>
              </w:rPr>
              <w:t>供应商对根据修正原则修正后的报价不确认的。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000000" w:sz="8" w:space="0"/>
              <w:right w:val="single" w:color="000000" w:sz="2"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11</w:t>
            </w:r>
          </w:p>
        </w:tc>
        <w:tc>
          <w:tcPr>
            <w:tcW w:w="1536" w:type="dxa"/>
            <w:tcBorders>
              <w:top w:val="single" w:color="000000" w:sz="8" w:space="0"/>
              <w:left w:val="single" w:color="000000" w:sz="2"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中小企业信用融资</w:t>
            </w:r>
          </w:p>
        </w:tc>
        <w:tc>
          <w:tcPr>
            <w:tcW w:w="6544" w:type="dxa"/>
            <w:tcBorders>
              <w:top w:val="single" w:color="000000" w:sz="8" w:space="0"/>
              <w:left w:val="single" w:color="000000" w:sz="2" w:space="0"/>
              <w:right w:val="single" w:color="000000" w:sz="8" w:space="0"/>
            </w:tcBorders>
            <w:vAlign w:val="center"/>
          </w:tcPr>
          <w:p>
            <w:pPr>
              <w:spacing w:line="240" w:lineRule="exact"/>
              <w:ind w:firstLine="420" w:firstLineChars="200"/>
              <w:rPr>
                <w:rFonts w:ascii="宋体" w:hAnsi="宋体" w:cs="宋体"/>
                <w:snapToGrid w:val="0"/>
                <w:kern w:val="28"/>
                <w:szCs w:val="21"/>
                <w:highlight w:val="none"/>
              </w:rPr>
            </w:pPr>
            <w:r>
              <w:rPr>
                <w:rFonts w:hint="eastAsia" w:ascii="宋体" w:hAnsi="宋体" w:cs="宋体"/>
                <w:snapToGrid w:val="0"/>
                <w:kern w:val="28"/>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240" w:lineRule="exact"/>
              <w:ind w:firstLine="420" w:firstLineChars="200"/>
              <w:rPr>
                <w:rFonts w:ascii="宋体" w:hAnsi="宋体" w:cs="宋体"/>
                <w:szCs w:val="21"/>
                <w:highlight w:val="none"/>
              </w:rPr>
            </w:pPr>
            <w:r>
              <w:rPr>
                <w:rFonts w:hint="eastAsia" w:ascii="宋体" w:hAnsi="宋体" w:cs="宋体"/>
                <w:snapToGrid w:val="0"/>
                <w:kern w:val="28"/>
                <w:szCs w:val="21"/>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000000" w:sz="8" w:space="0"/>
              <w:bottom w:val="single" w:color="auto" w:sz="4" w:space="0"/>
              <w:right w:val="single" w:color="000000" w:sz="2"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12</w:t>
            </w:r>
          </w:p>
        </w:tc>
        <w:tc>
          <w:tcPr>
            <w:tcW w:w="1536"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 xml:space="preserve">备份响应文件送达地点和签收人员 </w:t>
            </w:r>
          </w:p>
        </w:tc>
        <w:tc>
          <w:tcPr>
            <w:tcW w:w="6544" w:type="dxa"/>
            <w:tcBorders>
              <w:top w:val="single" w:color="000000" w:sz="8" w:space="0"/>
              <w:left w:val="single" w:color="000000" w:sz="2" w:space="0"/>
              <w:bottom w:val="single" w:color="000000" w:sz="8" w:space="0"/>
              <w:right w:val="single" w:color="000000" w:sz="8" w:space="0"/>
            </w:tcBorders>
            <w:vAlign w:val="center"/>
          </w:tcPr>
          <w:p>
            <w:pPr>
              <w:spacing w:line="240" w:lineRule="exact"/>
              <w:rPr>
                <w:rFonts w:ascii="宋体" w:hAnsi="宋体" w:cs="宋体"/>
                <w:szCs w:val="21"/>
                <w:highlight w:val="none"/>
              </w:rPr>
            </w:pPr>
            <w:sdt>
              <w:sdtPr>
                <w:rPr>
                  <w:rFonts w:hint="eastAsia" w:ascii="宋体" w:hAnsi="宋体" w:cs="宋体"/>
                  <w:kern w:val="0"/>
                  <w:szCs w:val="21"/>
                  <w:highlight w:val="none"/>
                </w:rPr>
                <w:id w:val="147465012"/>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MS Gothic" w:hAnsi="MS Gothic" w:cs="宋体"/>
                    <w:kern w:val="0"/>
                    <w:szCs w:val="21"/>
                    <w:highlight w:val="none"/>
                  </w:rPr>
                  <w:t>☐</w:t>
                </w:r>
              </w:sdtContent>
            </w:sdt>
            <w:r>
              <w:rPr>
                <w:rFonts w:hint="eastAsia" w:ascii="宋体" w:hAnsi="宋体" w:cs="宋体"/>
                <w:kern w:val="0"/>
                <w:szCs w:val="21"/>
                <w:highlight w:val="none"/>
              </w:rPr>
              <w:t xml:space="preserve"> A</w:t>
            </w:r>
            <w:r>
              <w:rPr>
                <w:rFonts w:hint="eastAsia" w:ascii="宋体" w:hAnsi="宋体" w:cs="宋体"/>
                <w:szCs w:val="21"/>
                <w:highlight w:val="none"/>
              </w:rPr>
              <w:t>不接受。</w:t>
            </w:r>
          </w:p>
          <w:p>
            <w:pPr>
              <w:pStyle w:val="36"/>
              <w:spacing w:line="240" w:lineRule="exact"/>
              <w:rPr>
                <w:rFonts w:hAnsi="宋体" w:cs="宋体"/>
                <w:kern w:val="28"/>
                <w:szCs w:val="21"/>
                <w:highlight w:val="none"/>
              </w:rPr>
            </w:pPr>
            <w:sdt>
              <w:sdtPr>
                <w:rPr>
                  <w:rFonts w:hint="eastAsia" w:hAnsi="宋体" w:cs="宋体"/>
                  <w:kern w:val="0"/>
                  <w:szCs w:val="21"/>
                  <w:highlight w:val="none"/>
                </w:rPr>
                <w:id w:val="147466032"/>
                <w14:checkbox>
                  <w14:checked w14:val="1"/>
                  <w14:checkedState w14:val="00FE" w14:font="Wingdings"/>
                  <w14:uncheckedState w14:val="2610" w14:font="MS Gothic"/>
                </w14:checkbox>
              </w:sdtPr>
              <w:sdtEndPr>
                <w:rPr>
                  <w:rFonts w:hint="eastAsia" w:hAnsi="宋体" w:cs="宋体"/>
                  <w:kern w:val="0"/>
                  <w:szCs w:val="21"/>
                  <w:highlight w:val="none"/>
                </w:rPr>
              </w:sdtEndPr>
              <w:sdtContent>
                <w:r>
                  <w:rPr>
                    <w:rFonts w:ascii="Wingdings" w:hAnsi="Wingdings" w:cs="宋体"/>
                    <w:kern w:val="0"/>
                    <w:szCs w:val="21"/>
                    <w:highlight w:val="none"/>
                  </w:rPr>
                  <w:t></w:t>
                </w:r>
              </w:sdtContent>
            </w:sdt>
            <w:r>
              <w:rPr>
                <w:rFonts w:hint="eastAsia" w:hAnsi="宋体" w:cs="宋体"/>
                <w:kern w:val="0"/>
                <w:szCs w:val="21"/>
                <w:highlight w:val="none"/>
              </w:rPr>
              <w:t xml:space="preserve"> B</w:t>
            </w:r>
            <w:r>
              <w:rPr>
                <w:rFonts w:hint="eastAsia" w:hAnsi="宋体" w:cs="宋体"/>
                <w:szCs w:val="21"/>
                <w:highlight w:val="none"/>
              </w:rPr>
              <w:t>接受</w:t>
            </w:r>
            <w:r>
              <w:rPr>
                <w:rFonts w:hint="eastAsia" w:hAnsi="宋体" w:cs="宋体"/>
                <w:kern w:val="0"/>
                <w:szCs w:val="21"/>
                <w:highlight w:val="none"/>
              </w:rPr>
              <w:t>：</w:t>
            </w:r>
            <w:r>
              <w:rPr>
                <w:rFonts w:hint="eastAsia" w:hAnsi="宋体" w:cs="宋体"/>
                <w:kern w:val="28"/>
                <w:szCs w:val="21"/>
                <w:highlight w:val="none"/>
              </w:rPr>
              <w:t>备份响应文件送达地点：</w:t>
            </w:r>
            <w:r>
              <w:rPr>
                <w:rFonts w:hint="eastAsia" w:hAnsi="宋体" w:cs="宋体"/>
                <w:highlight w:val="none"/>
                <w:u w:val="single"/>
              </w:rPr>
              <w:t>现场递交或</w:t>
            </w:r>
            <w:r>
              <w:rPr>
                <w:rFonts w:hint="eastAsia" w:hAnsi="宋体" w:cs="宋体"/>
                <w:szCs w:val="21"/>
                <w:highlight w:val="none"/>
                <w:u w:val="single"/>
              </w:rPr>
              <w:t>邮寄地址：广西北海市北海大道158号北园星座-星晨座7楼A室</w:t>
            </w:r>
            <w:r>
              <w:rPr>
                <w:rFonts w:hint="eastAsia" w:hAnsi="宋体" w:cs="宋体"/>
                <w:kern w:val="28"/>
                <w:szCs w:val="21"/>
                <w:highlight w:val="none"/>
              </w:rPr>
              <w:t xml:space="preserve">；备份响应文件签收人员联系电话：钟剑萍 </w:t>
            </w:r>
            <w:r>
              <w:rPr>
                <w:rFonts w:hint="eastAsia" w:hAnsi="宋体" w:cs="宋体"/>
                <w:szCs w:val="21"/>
                <w:highlight w:val="none"/>
                <w:u w:val="single"/>
              </w:rPr>
              <w:t>0779-3969099</w:t>
            </w:r>
            <w:r>
              <w:rPr>
                <w:rFonts w:hint="eastAsia" w:hAnsi="宋体" w:cs="宋体"/>
                <w:szCs w:val="21"/>
                <w:highlight w:val="none"/>
              </w:rPr>
              <w:t>。</w:t>
            </w:r>
            <w:r>
              <w:rPr>
                <w:rFonts w:hint="eastAsia" w:hAnsi="宋体" w:cs="宋体"/>
                <w:b/>
                <w:szCs w:val="21"/>
                <w:highlight w:val="none"/>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rHeight w:val="790" w:hRule="atLeast"/>
          <w:tblHeader/>
        </w:trPr>
        <w:tc>
          <w:tcPr>
            <w:tcW w:w="639" w:type="dxa"/>
            <w:vMerge w:val="restart"/>
            <w:tcBorders>
              <w:top w:val="single" w:color="auto" w:sz="4" w:space="0"/>
              <w:left w:val="single" w:color="000000" w:sz="8" w:space="0"/>
              <w:right w:val="single" w:color="000000" w:sz="2"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13</w:t>
            </w:r>
          </w:p>
        </w:tc>
        <w:tc>
          <w:tcPr>
            <w:tcW w:w="1536" w:type="dxa"/>
            <w:vMerge w:val="restart"/>
            <w:tcBorders>
              <w:top w:val="single" w:color="000000" w:sz="8" w:space="0"/>
              <w:left w:val="single" w:color="000000" w:sz="2" w:space="0"/>
              <w:right w:val="single" w:color="000000" w:sz="8" w:space="0"/>
            </w:tcBorders>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特别说明</w:t>
            </w:r>
          </w:p>
        </w:tc>
        <w:tc>
          <w:tcPr>
            <w:tcW w:w="6544" w:type="dxa"/>
            <w:tcBorders>
              <w:top w:val="single" w:color="000000" w:sz="8" w:space="0"/>
              <w:left w:val="single" w:color="000000" w:sz="2" w:space="0"/>
              <w:bottom w:val="single" w:color="000000" w:sz="8" w:space="0"/>
              <w:right w:val="single" w:color="000000" w:sz="8" w:space="0"/>
            </w:tcBorders>
            <w:vAlign w:val="center"/>
          </w:tcPr>
          <w:p>
            <w:pPr>
              <w:spacing w:line="240" w:lineRule="exact"/>
              <w:rPr>
                <w:rFonts w:ascii="宋体" w:hAnsi="宋体" w:cs="宋体"/>
                <w:snapToGrid w:val="0"/>
                <w:kern w:val="28"/>
                <w:szCs w:val="21"/>
                <w:highlight w:val="none"/>
              </w:rPr>
            </w:pPr>
            <w:sdt>
              <w:sdtPr>
                <w:rPr>
                  <w:rFonts w:hint="eastAsia" w:ascii="宋体" w:hAnsi="宋体" w:cs="宋体"/>
                  <w:kern w:val="0"/>
                  <w:szCs w:val="21"/>
                  <w:highlight w:val="none"/>
                </w:rPr>
                <w:id w:val="147459550"/>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MS Gothic" w:hAnsi="MS Gothic" w:cs="宋体"/>
                    <w:kern w:val="0"/>
                    <w:szCs w:val="21"/>
                    <w:highlight w:val="none"/>
                  </w:rPr>
                  <w:t>☐</w:t>
                </w:r>
              </w:sdtContent>
            </w:sdt>
            <w:r>
              <w:rPr>
                <w:rFonts w:hint="eastAsia" w:ascii="宋体" w:hAnsi="宋体" w:cs="宋体"/>
                <w:kern w:val="0"/>
                <w:szCs w:val="21"/>
                <w:highlight w:val="none"/>
              </w:rPr>
              <w:t xml:space="preserve"> </w:t>
            </w:r>
            <w:r>
              <w:rPr>
                <w:rFonts w:hint="eastAsia" w:ascii="宋体" w:hAnsi="宋体" w:cs="宋体"/>
                <w:snapToGrid w:val="0"/>
                <w:kern w:val="28"/>
                <w:szCs w:val="21"/>
                <w:highlight w:val="none"/>
              </w:rPr>
              <w:t>联合体响应的，联合体各方分别提供与联合体协议中规定的分工内容相应的业绩证明材料，业绩数量以提供材料较少的一方为准。</w:t>
            </w:r>
          </w:p>
          <w:p>
            <w:pPr>
              <w:spacing w:line="240" w:lineRule="exact"/>
              <w:rPr>
                <w:rFonts w:ascii="宋体" w:hAnsi="宋体" w:cs="宋体"/>
                <w:snapToGrid w:val="0"/>
                <w:kern w:val="28"/>
                <w:szCs w:val="21"/>
                <w:highlight w:val="none"/>
              </w:rPr>
            </w:pPr>
            <w:sdt>
              <w:sdtPr>
                <w:rPr>
                  <w:rFonts w:hint="eastAsia" w:ascii="宋体" w:hAnsi="宋体" w:cs="宋体"/>
                  <w:kern w:val="0"/>
                  <w:szCs w:val="21"/>
                  <w:highlight w:val="none"/>
                </w:rPr>
                <w:id w:val="147479973"/>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MS Gothic" w:hAnsi="MS Gothic" w:cs="宋体"/>
                    <w:kern w:val="0"/>
                    <w:szCs w:val="21"/>
                    <w:highlight w:val="none"/>
                  </w:rPr>
                  <w:t>☐</w:t>
                </w:r>
              </w:sdtContent>
            </w:sdt>
            <w:r>
              <w:rPr>
                <w:rFonts w:hint="eastAsia" w:ascii="宋体" w:hAnsi="宋体" w:cs="宋体"/>
                <w:kern w:val="0"/>
                <w:szCs w:val="21"/>
                <w:highlight w:val="none"/>
              </w:rPr>
              <w:t xml:space="preserve"> </w:t>
            </w:r>
            <w:r>
              <w:rPr>
                <w:rFonts w:hint="eastAsia" w:ascii="宋体" w:hAnsi="宋体" w:cs="宋体"/>
                <w:snapToGrid w:val="0"/>
                <w:kern w:val="28"/>
                <w:szCs w:val="21"/>
                <w:highlight w:val="none"/>
              </w:rPr>
              <w:t>联合体响应的，联合体各方均需按谈判文件第五部分评审标准要求提供资信证明文件，否则视为不符合相关要求。</w:t>
            </w:r>
          </w:p>
          <w:p>
            <w:pPr>
              <w:spacing w:line="240" w:lineRule="exact"/>
              <w:rPr>
                <w:highlight w:val="none"/>
              </w:rPr>
            </w:pPr>
            <w:sdt>
              <w:sdtPr>
                <w:rPr>
                  <w:rFonts w:hint="eastAsia" w:ascii="宋体" w:hAnsi="宋体" w:cs="宋体"/>
                  <w:kern w:val="0"/>
                  <w:szCs w:val="21"/>
                  <w:highlight w:val="none"/>
                </w:rPr>
                <w:id w:val="147453821"/>
                <w14:checkbox>
                  <w14:checked w14:val="0"/>
                  <w14:checkedState w14:val="00FE" w14:font="Wingdings"/>
                  <w14:uncheckedState w14:val="2610" w14:font="MS Gothic"/>
                </w14:checkbox>
              </w:sdtPr>
              <w:sdtEndPr>
                <w:rPr>
                  <w:rFonts w:hint="eastAsia" w:ascii="宋体" w:hAnsi="宋体" w:cs="宋体"/>
                  <w:kern w:val="0"/>
                  <w:szCs w:val="21"/>
                  <w:highlight w:val="none"/>
                </w:rPr>
              </w:sdtEndPr>
              <w:sdtContent>
                <w:r>
                  <w:rPr>
                    <w:rFonts w:hint="eastAsia" w:ascii="宋体" w:hAnsi="宋体" w:cs="宋体"/>
                    <w:kern w:val="0"/>
                    <w:szCs w:val="21"/>
                    <w:highlight w:val="none"/>
                  </w:rPr>
                  <w:t>☐</w:t>
                </w:r>
              </w:sdtContent>
            </w:sdt>
            <w:r>
              <w:rPr>
                <w:rFonts w:hint="eastAsia" w:ascii="宋体" w:hAnsi="宋体" w:cs="宋体"/>
                <w:kern w:val="0"/>
                <w:szCs w:val="21"/>
                <w:highlight w:val="none"/>
              </w:rPr>
              <w:t xml:space="preserve"> </w:t>
            </w:r>
            <w:r>
              <w:rPr>
                <w:rFonts w:hint="eastAsia" w:ascii="宋体" w:hAnsi="宋体" w:cs="宋体"/>
                <w:snapToGrid w:val="0"/>
                <w:kern w:val="28"/>
                <w:szCs w:val="21"/>
                <w:highlight w:val="none"/>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vMerge w:val="continue"/>
            <w:tcBorders>
              <w:left w:val="single" w:color="000000" w:sz="8" w:space="0"/>
              <w:bottom w:val="single" w:color="auto" w:sz="4" w:space="0"/>
              <w:right w:val="single" w:color="000000" w:sz="2" w:space="0"/>
            </w:tcBorders>
            <w:vAlign w:val="center"/>
          </w:tcPr>
          <w:p>
            <w:pPr>
              <w:snapToGrid w:val="0"/>
              <w:spacing w:line="240" w:lineRule="exact"/>
              <w:jc w:val="center"/>
              <w:rPr>
                <w:rFonts w:ascii="宋体" w:hAnsi="宋体" w:cs="宋体"/>
                <w:szCs w:val="21"/>
                <w:highlight w:val="none"/>
              </w:rPr>
            </w:pPr>
          </w:p>
        </w:tc>
        <w:tc>
          <w:tcPr>
            <w:tcW w:w="1536" w:type="dxa"/>
            <w:vMerge w:val="continue"/>
            <w:tcBorders>
              <w:left w:val="single" w:color="000000" w:sz="2" w:space="0"/>
              <w:bottom w:val="single" w:color="auto" w:sz="4" w:space="0"/>
              <w:right w:val="single" w:color="000000" w:sz="8" w:space="0"/>
            </w:tcBorders>
            <w:vAlign w:val="center"/>
          </w:tcPr>
          <w:p>
            <w:pPr>
              <w:snapToGrid w:val="0"/>
              <w:spacing w:line="240" w:lineRule="exact"/>
              <w:jc w:val="center"/>
              <w:rPr>
                <w:rFonts w:ascii="宋体" w:hAnsi="宋体" w:cs="宋体"/>
                <w:b/>
                <w:szCs w:val="21"/>
                <w:highlight w:val="none"/>
              </w:rPr>
            </w:pPr>
          </w:p>
        </w:tc>
        <w:tc>
          <w:tcPr>
            <w:tcW w:w="6544" w:type="dxa"/>
            <w:tcBorders>
              <w:top w:val="single" w:color="auto" w:sz="4" w:space="0"/>
              <w:left w:val="single" w:color="000000" w:sz="2" w:space="0"/>
              <w:bottom w:val="single" w:color="auto" w:sz="4" w:space="0"/>
              <w:right w:val="single" w:color="000000" w:sz="8" w:space="0"/>
            </w:tcBorders>
            <w:vAlign w:val="center"/>
          </w:tcPr>
          <w:p>
            <w:pPr>
              <w:pStyle w:val="36"/>
              <w:snapToGrid w:val="0"/>
              <w:spacing w:line="320" w:lineRule="exact"/>
              <w:ind w:left="210" w:hanging="210" w:hangingChars="100"/>
              <w:rPr>
                <w:rFonts w:hAnsi="宋体" w:cs="宋体"/>
                <w:bCs/>
                <w:szCs w:val="21"/>
                <w:highlight w:val="none"/>
              </w:rPr>
            </w:pPr>
            <w:r>
              <w:rPr>
                <w:rFonts w:hint="eastAsia" w:hAnsi="宋体" w:cs="宋体"/>
                <w:bCs/>
                <w:szCs w:val="21"/>
                <w:highlight w:val="none"/>
              </w:rPr>
              <w:t>谈判保证金（须足额缴纳）：</w:t>
            </w:r>
          </w:p>
          <w:p>
            <w:pPr>
              <w:pStyle w:val="36"/>
              <w:snapToGrid w:val="0"/>
              <w:spacing w:line="320" w:lineRule="exact"/>
              <w:ind w:left="210" w:hanging="210" w:hangingChars="100"/>
              <w:rPr>
                <w:rFonts w:hAnsi="宋体" w:cs="宋体"/>
                <w:bCs/>
                <w:szCs w:val="21"/>
                <w:highlight w:val="none"/>
              </w:rPr>
            </w:pPr>
            <w:r>
              <w:rPr>
                <w:rFonts w:hint="eastAsia" w:hAnsi="宋体" w:cs="宋体"/>
                <w:bCs/>
                <w:szCs w:val="21"/>
                <w:highlight w:val="none"/>
              </w:rPr>
              <w:t>1.缴纳金额：人民币贰万元整（¥20000.00）；</w:t>
            </w:r>
          </w:p>
          <w:p>
            <w:pPr>
              <w:pStyle w:val="36"/>
              <w:snapToGrid w:val="0"/>
              <w:spacing w:line="320" w:lineRule="exact"/>
              <w:ind w:left="210" w:hanging="210" w:hangingChars="100"/>
              <w:rPr>
                <w:rFonts w:hAnsi="宋体" w:cs="宋体"/>
                <w:bCs/>
                <w:szCs w:val="21"/>
                <w:highlight w:val="none"/>
              </w:rPr>
            </w:pPr>
            <w:r>
              <w:rPr>
                <w:rFonts w:hint="eastAsia" w:hAnsi="宋体" w:cs="宋体"/>
                <w:bCs/>
                <w:szCs w:val="21"/>
                <w:highlight w:val="none"/>
              </w:rPr>
              <w:t>2.谈判保证金在谈判有效期内保持有效。</w:t>
            </w:r>
          </w:p>
          <w:p>
            <w:pPr>
              <w:adjustRightInd/>
              <w:spacing w:line="340" w:lineRule="exact"/>
              <w:jc w:val="left"/>
              <w:outlineLvl w:val="1"/>
              <w:rPr>
                <w:rFonts w:ascii="宋体" w:hAnsi="宋体" w:cs="宋体"/>
                <w:kern w:val="0"/>
                <w:szCs w:val="21"/>
                <w:highlight w:val="none"/>
              </w:rPr>
            </w:pPr>
            <w:r>
              <w:rPr>
                <w:rFonts w:hint="eastAsia" w:ascii="宋体" w:hAnsi="宋体" w:cs="宋体"/>
                <w:bCs/>
                <w:szCs w:val="21"/>
                <w:highlight w:val="none"/>
              </w:rPr>
              <w:t>3.缴纳谈判保证金的账户和缴纳方式等见第三部分《供应商须知》“七、响应文件的提交和备份”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14</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44"/>
              <w:spacing w:line="320" w:lineRule="exact"/>
              <w:jc w:val="center"/>
              <w:rPr>
                <w:rFonts w:hAnsi="宋体" w:cs="宋体"/>
                <w:bCs/>
                <w:szCs w:val="21"/>
                <w:highlight w:val="none"/>
              </w:rPr>
            </w:pPr>
            <w:r>
              <w:rPr>
                <w:rFonts w:hint="eastAsia" w:hAnsi="宋体" w:cs="宋体"/>
                <w:b/>
                <w:szCs w:val="21"/>
                <w:highlight w:val="none"/>
              </w:rPr>
              <w:t>评定标准</w:t>
            </w:r>
          </w:p>
        </w:tc>
        <w:tc>
          <w:tcPr>
            <w:tcW w:w="65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44"/>
              <w:spacing w:line="320" w:lineRule="exact"/>
              <w:rPr>
                <w:rFonts w:hAnsi="宋体" w:cs="宋体"/>
                <w:bCs/>
                <w:szCs w:val="21"/>
                <w:highlight w:val="none"/>
              </w:rPr>
            </w:pPr>
            <w:r>
              <w:rPr>
                <w:rFonts w:hint="eastAsia" w:hAnsi="宋体" w:cs="宋体"/>
                <w:bCs/>
                <w:szCs w:val="21"/>
                <w:highlight w:val="none"/>
              </w:rPr>
              <w:t>最低评标价法（详细见第五部分）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cantSplit/>
          <w:tblHeader/>
        </w:trPr>
        <w:tc>
          <w:tcPr>
            <w:tcW w:w="639"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highlight w:val="none"/>
              </w:rPr>
            </w:pPr>
            <w:r>
              <w:rPr>
                <w:rFonts w:hint="eastAsia" w:ascii="宋体" w:hAnsi="宋体" w:cs="宋体"/>
                <w:szCs w:val="21"/>
                <w:highlight w:val="none"/>
              </w:rPr>
              <w:t>15</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cs="宋体"/>
                <w:b/>
                <w:szCs w:val="21"/>
                <w:highlight w:val="none"/>
              </w:rPr>
            </w:pPr>
            <w:r>
              <w:rPr>
                <w:rFonts w:hint="eastAsia" w:ascii="宋体" w:hAnsi="宋体" w:cs="宋体"/>
                <w:b/>
                <w:szCs w:val="21"/>
                <w:highlight w:val="none"/>
              </w:rPr>
              <w:t>解释权</w:t>
            </w:r>
          </w:p>
        </w:tc>
        <w:tc>
          <w:tcPr>
            <w:tcW w:w="6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cs="宋体"/>
                <w:kern w:val="0"/>
                <w:szCs w:val="21"/>
                <w:highlight w:val="none"/>
              </w:rPr>
            </w:pPr>
            <w:r>
              <w:rPr>
                <w:rFonts w:hint="eastAsia" w:ascii="宋体" w:hAnsi="宋体" w:cs="宋体"/>
                <w:kern w:val="0"/>
                <w:szCs w:val="21"/>
                <w:highlight w:val="none"/>
              </w:rPr>
              <w:t>本谈判文件解释权属采购人及代理机构。</w:t>
            </w:r>
          </w:p>
        </w:tc>
      </w:tr>
    </w:tbl>
    <w:p>
      <w:pPr>
        <w:adjustRightInd/>
        <w:spacing w:line="340" w:lineRule="exact"/>
        <w:jc w:val="center"/>
        <w:outlineLvl w:val="1"/>
        <w:rPr>
          <w:rFonts w:cs="仿宋_GB2312" w:asciiTheme="minorEastAsia" w:hAnsiTheme="minorEastAsia" w:eastAsiaTheme="minorEastAsia"/>
          <w:b/>
          <w:sz w:val="24"/>
          <w:highlight w:val="none"/>
        </w:rPr>
      </w:pPr>
    </w:p>
    <w:p>
      <w:pPr>
        <w:adjustRightInd/>
        <w:spacing w:line="340" w:lineRule="exact"/>
        <w:jc w:val="center"/>
        <w:outlineLvl w:val="1"/>
        <w:rPr>
          <w:rFonts w:cs="仿宋_GB2312" w:asciiTheme="minorEastAsia" w:hAnsiTheme="minorEastAsia" w:eastAsiaTheme="minorEastAsia"/>
          <w:b/>
          <w:sz w:val="28"/>
          <w:szCs w:val="28"/>
          <w:highlight w:val="none"/>
        </w:rPr>
      </w:pP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二、总则</w:t>
      </w:r>
    </w:p>
    <w:p>
      <w:pPr>
        <w:snapToGrid w:val="0"/>
        <w:spacing w:line="340" w:lineRule="exact"/>
        <w:jc w:val="left"/>
        <w:rPr>
          <w:rFonts w:ascii="宋体" w:hAnsi="宋体" w:cs="宋体"/>
          <w:b/>
          <w:szCs w:val="21"/>
          <w:highlight w:val="none"/>
        </w:rPr>
      </w:pPr>
      <w:r>
        <w:rPr>
          <w:rFonts w:hint="eastAsia" w:ascii="宋体" w:hAnsi="宋体" w:cs="宋体"/>
          <w:b/>
          <w:szCs w:val="21"/>
          <w:highlight w:val="none"/>
        </w:rPr>
        <w:t>1. 适用范围</w:t>
      </w:r>
    </w:p>
    <w:p>
      <w:pPr>
        <w:snapToGrid w:val="0"/>
        <w:spacing w:line="340" w:lineRule="exact"/>
        <w:ind w:firstLine="420" w:firstLineChars="200"/>
        <w:jc w:val="left"/>
        <w:rPr>
          <w:rFonts w:ascii="宋体" w:hAnsi="宋体" w:cs="宋体"/>
          <w:szCs w:val="21"/>
          <w:highlight w:val="none"/>
        </w:rPr>
      </w:pPr>
      <w:r>
        <w:rPr>
          <w:rFonts w:hint="eastAsia" w:ascii="宋体" w:hAnsi="宋体" w:cs="宋体"/>
          <w:szCs w:val="21"/>
          <w:highlight w:val="none"/>
        </w:rPr>
        <w:t>本谈判文件适用于该项目的邀请、响应、开启响应文件、信用信息查询、资格性审查、评审、成交、合同、验收等行为（法律、法规另有规定的，从其规定）。</w:t>
      </w:r>
    </w:p>
    <w:p>
      <w:pPr>
        <w:adjustRightInd/>
        <w:spacing w:line="340" w:lineRule="exact"/>
        <w:rPr>
          <w:rFonts w:ascii="宋体" w:hAnsi="宋体" w:cs="宋体"/>
          <w:b/>
          <w:szCs w:val="21"/>
          <w:highlight w:val="none"/>
        </w:rPr>
      </w:pPr>
      <w:r>
        <w:rPr>
          <w:rFonts w:hint="eastAsia" w:ascii="宋体" w:hAnsi="宋体" w:cs="宋体"/>
          <w:b/>
          <w:szCs w:val="21"/>
          <w:highlight w:val="none"/>
        </w:rPr>
        <w:t>2.定义</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2.1 “采购人”系指谈判邀请公告中载明的本项目的采购人。</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2.2 “采购代理机构”系指谈判邀请公告中载明的本项目的采购代理机构。</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2.3 “供应商”系指响应谈判、参加本次竞争的法人、其他组织或自然人。</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2.4 “法定代表人（负责人）”系指法人企业的法定负责人，或其他组织为法律、行政法规规定代表单位行使职权的主要负责人，或自然人本人。</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2.5 “成交供应商”系指经评审确定的成交供应商。</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2.6“响应文件”系指供应商提交的商务技术文件。供应商提交最后报价后，最后报价是供应商响应文件的有效组成部分。</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2.7“电子交易平台”系指本项目政府采购活动所依托的广西政府采购云平台（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详见本谈判文件第八部分）。</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2.9 “书面形式”包括数据电文形式与纸质形式。数据电文形式与纸质形式的采购活动具有同等法律效力。</w:t>
      </w:r>
    </w:p>
    <w:p>
      <w:pPr>
        <w:snapToGrid w:val="0"/>
        <w:spacing w:line="340" w:lineRule="exact"/>
        <w:ind w:firstLine="420" w:firstLineChars="200"/>
        <w:jc w:val="left"/>
        <w:rPr>
          <w:rFonts w:ascii="宋体" w:hAnsi="宋体" w:cs="宋体"/>
          <w:b/>
          <w:szCs w:val="21"/>
          <w:highlight w:val="none"/>
        </w:rPr>
      </w:pPr>
      <w:r>
        <w:rPr>
          <w:rFonts w:hint="eastAsia" w:ascii="宋体" w:hAnsi="宋体" w:cs="宋体"/>
          <w:szCs w:val="21"/>
          <w:highlight w:val="none"/>
        </w:rPr>
        <w:t xml:space="preserve">2.10 “▲” 系指实质性要求条款， “※”系指谈判过程中可能实质性变动的内容， </w:t>
      </w:r>
      <w:r>
        <w:rPr>
          <w:rFonts w:hint="eastAsia" w:ascii="宋体" w:hAnsi="宋体" w:cs="宋体"/>
          <w:kern w:val="0"/>
          <w:szCs w:val="21"/>
          <w:highlight w:val="none"/>
        </w:rPr>
        <w:t>“</w:t>
      </w:r>
      <w:r>
        <w:rPr>
          <w:rFonts w:hint="eastAsia" w:ascii="宋体" w:hAnsi="宋体" w:cs="宋体"/>
          <w:kern w:val="0"/>
          <w:szCs w:val="21"/>
          <w:highlight w:val="none"/>
        </w:rPr>
        <w:sym w:font="Wingdings" w:char="F0FE"/>
      </w:r>
      <w:r>
        <w:rPr>
          <w:rFonts w:hint="eastAsia" w:ascii="宋体" w:hAnsi="宋体" w:cs="宋体"/>
          <w:kern w:val="0"/>
          <w:szCs w:val="21"/>
          <w:highlight w:val="none"/>
        </w:rPr>
        <w:t>”</w:t>
      </w:r>
      <w:r>
        <w:rPr>
          <w:rFonts w:hint="eastAsia" w:ascii="宋体" w:hAnsi="宋体" w:cs="宋体"/>
          <w:szCs w:val="21"/>
          <w:highlight w:val="none"/>
        </w:rPr>
        <w:t>系指适用本项目的要求，“□”系指不适用本项目的要求。</w:t>
      </w:r>
    </w:p>
    <w:p>
      <w:pPr>
        <w:adjustRightInd/>
        <w:spacing w:line="340" w:lineRule="exact"/>
        <w:rPr>
          <w:rFonts w:ascii="宋体" w:hAnsi="宋体" w:cs="宋体"/>
          <w:b/>
          <w:szCs w:val="21"/>
          <w:highlight w:val="none"/>
        </w:rPr>
      </w:pPr>
      <w:r>
        <w:rPr>
          <w:rFonts w:hint="eastAsia" w:ascii="宋体" w:hAnsi="宋体" w:cs="宋体"/>
          <w:b/>
          <w:szCs w:val="21"/>
          <w:highlight w:val="none"/>
        </w:rPr>
        <w:t>3. 响应有效期</w:t>
      </w:r>
    </w:p>
    <w:p>
      <w:pPr>
        <w:spacing w:line="340" w:lineRule="exact"/>
        <w:ind w:firstLine="420" w:firstLineChars="200"/>
        <w:rPr>
          <w:rFonts w:ascii="宋体" w:hAnsi="宋体" w:cs="宋体"/>
          <w:b/>
          <w:szCs w:val="21"/>
          <w:highlight w:val="none"/>
        </w:rPr>
      </w:pPr>
      <w:r>
        <w:rPr>
          <w:rFonts w:hint="eastAsia" w:ascii="宋体" w:hAnsi="宋体" w:cs="宋体"/>
          <w:szCs w:val="21"/>
          <w:highlight w:val="none"/>
        </w:rPr>
        <w:t>▲3.1</w:t>
      </w:r>
      <w:r>
        <w:rPr>
          <w:rFonts w:hint="eastAsia" w:ascii="宋体" w:hAnsi="宋体" w:cs="宋体"/>
          <w:b/>
          <w:szCs w:val="21"/>
          <w:highlight w:val="none"/>
        </w:rPr>
        <w:t>响应有效期为从提交响应文件的截止之日起60天。供应商的响应文件中承诺的响应有效期少于谈判文件中载明的谈判有效期的，响应无效。</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3.2响应文件合格提交后，自响应截止日期起，在响应有效期内有效。</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3.3在原定响应有效期满之前，如果出现特殊情况，采购代理机构可以以书面形式通知供应商延长响应有效期。供应商同意延长的，不得要求或被允许修改其响应文件;供应商拒绝延长的，其响应无效。拒绝延长谈判有效期的供应商不得再参与该项目后续采购活动。</w:t>
      </w:r>
    </w:p>
    <w:p>
      <w:pPr>
        <w:tabs>
          <w:tab w:val="left" w:pos="3780"/>
        </w:tabs>
        <w:spacing w:line="340" w:lineRule="exact"/>
        <w:rPr>
          <w:rFonts w:ascii="宋体" w:hAnsi="宋体" w:cs="宋体"/>
          <w:b/>
          <w:szCs w:val="21"/>
          <w:highlight w:val="none"/>
        </w:rPr>
      </w:pPr>
      <w:r>
        <w:rPr>
          <w:rFonts w:hint="eastAsia" w:ascii="宋体" w:hAnsi="宋体" w:cs="宋体"/>
          <w:b/>
          <w:szCs w:val="21"/>
          <w:highlight w:val="none"/>
        </w:rPr>
        <w:t>4．响应费用</w:t>
      </w:r>
    </w:p>
    <w:p>
      <w:pPr>
        <w:pStyle w:val="36"/>
        <w:spacing w:line="340" w:lineRule="exact"/>
        <w:ind w:firstLine="420" w:firstLineChars="200"/>
        <w:rPr>
          <w:rFonts w:hAnsi="宋体" w:cs="宋体"/>
          <w:szCs w:val="21"/>
          <w:highlight w:val="none"/>
          <w:lang w:val="zh-CN"/>
        </w:rPr>
      </w:pPr>
      <w:r>
        <w:rPr>
          <w:rFonts w:hint="eastAsia" w:hAnsi="宋体" w:cs="宋体"/>
          <w:szCs w:val="21"/>
          <w:highlight w:val="none"/>
        </w:rPr>
        <w:t>供应商需自行承担涉及响应的一切费用</w:t>
      </w:r>
      <w:r>
        <w:rPr>
          <w:rFonts w:hint="eastAsia" w:hAnsi="宋体" w:cs="宋体"/>
          <w:szCs w:val="21"/>
          <w:highlight w:val="none"/>
          <w:lang w:val="zh-CN"/>
        </w:rPr>
        <w:t>。</w:t>
      </w:r>
    </w:p>
    <w:p>
      <w:pPr>
        <w:spacing w:line="340" w:lineRule="exact"/>
        <w:jc w:val="center"/>
        <w:rPr>
          <w:rFonts w:ascii="宋体" w:hAnsi="宋体" w:cs="宋体"/>
          <w:b/>
          <w:szCs w:val="21"/>
          <w:highlight w:val="none"/>
        </w:rPr>
      </w:pPr>
    </w:p>
    <w:p>
      <w:pPr>
        <w:adjustRightInd/>
        <w:spacing w:line="340" w:lineRule="exact"/>
        <w:jc w:val="center"/>
        <w:outlineLvl w:val="1"/>
        <w:rPr>
          <w:rFonts w:ascii="宋体" w:hAnsi="宋体" w:cs="宋体"/>
          <w:b/>
          <w:szCs w:val="21"/>
          <w:highlight w:val="none"/>
        </w:rPr>
      </w:pPr>
      <w:r>
        <w:rPr>
          <w:rFonts w:hint="eastAsia" w:cs="仿宋_GB2312" w:asciiTheme="minorEastAsia" w:hAnsiTheme="minorEastAsia" w:eastAsiaTheme="minorEastAsia"/>
          <w:b/>
          <w:sz w:val="24"/>
          <w:highlight w:val="none"/>
        </w:rPr>
        <w:t>三、需要落实的政府采购政策</w:t>
      </w:r>
    </w:p>
    <w:p>
      <w:pPr>
        <w:pStyle w:val="396"/>
        <w:spacing w:before="0" w:line="340" w:lineRule="exact"/>
        <w:ind w:firstLine="0" w:firstLineChars="0"/>
        <w:rPr>
          <w:rFonts w:ascii="宋体" w:hAnsi="宋体" w:cs="宋体"/>
          <w:b/>
          <w:sz w:val="21"/>
          <w:szCs w:val="21"/>
          <w:highlight w:val="none"/>
        </w:rPr>
      </w:pPr>
      <w:r>
        <w:rPr>
          <w:rFonts w:hint="eastAsia" w:ascii="宋体" w:hAnsi="宋体" w:cs="宋体"/>
          <w:b/>
          <w:sz w:val="21"/>
          <w:szCs w:val="21"/>
          <w:highlight w:val="none"/>
        </w:rPr>
        <w:t>1.是否允许采购进口产品要求</w:t>
      </w:r>
    </w:p>
    <w:p>
      <w:pPr>
        <w:pStyle w:val="36"/>
        <w:spacing w:line="340" w:lineRule="exact"/>
        <w:ind w:firstLine="420" w:firstLineChars="200"/>
        <w:rPr>
          <w:rFonts w:hAnsi="宋体" w:cs="宋体"/>
          <w:szCs w:val="21"/>
          <w:highlight w:val="none"/>
        </w:rPr>
      </w:pPr>
      <w:r>
        <w:rPr>
          <w:rFonts w:hint="eastAsia" w:asciiTheme="minorEastAsia" w:hAnsiTheme="minorEastAsia" w:eastAsiaTheme="minorEastAsia"/>
          <w:szCs w:val="21"/>
          <w:highlight w:val="none"/>
        </w:rPr>
        <w:t>本项目不允许采购进口产品。</w:t>
      </w:r>
    </w:p>
    <w:p>
      <w:pPr>
        <w:spacing w:line="340" w:lineRule="exact"/>
        <w:rPr>
          <w:rFonts w:ascii="宋体" w:hAnsi="宋体" w:cs="宋体"/>
          <w:b/>
          <w:szCs w:val="21"/>
          <w:highlight w:val="none"/>
        </w:rPr>
      </w:pPr>
      <w:r>
        <w:rPr>
          <w:rFonts w:hint="eastAsia" w:ascii="宋体" w:hAnsi="宋体" w:cs="宋体"/>
          <w:b/>
          <w:szCs w:val="21"/>
          <w:highlight w:val="none"/>
        </w:rPr>
        <w:t>2.支持绿色发展</w:t>
      </w:r>
    </w:p>
    <w:p>
      <w:pPr>
        <w:spacing w:line="340" w:lineRule="exact"/>
        <w:ind w:firstLine="420" w:firstLineChars="200"/>
        <w:rPr>
          <w:rFonts w:ascii="宋体" w:hAnsi="宋体" w:cs="宋体"/>
          <w:b/>
          <w:szCs w:val="21"/>
          <w:highlight w:val="none"/>
        </w:rPr>
      </w:pPr>
      <w:r>
        <w:rPr>
          <w:rFonts w:hint="eastAsia" w:ascii="宋体" w:hAnsi="宋体" w:cs="宋体"/>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szCs w:val="21"/>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2.2纳入政府采购管理的修缮、装修类项目采购建材的，鼓励采购人将绿色建材性能、指标等作为实质性条件纳入采购文件和合同，具体性能指标要求参考相关绿色建材政府采购需求标准。</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人优先采购秸秆环保板材等资源综合利用产品。鼓励采购人优先采购绿色物流配送服务、提供新能源交通工具的租赁服务。</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2.4 鼓励供应商在参加政府采购过程中开展绿色设计、选择绿色材料、打造绿色制造工艺、开展绿色运输、做好废弃产品回收处理，实现产品全周期的绿色环保。鼓励采购人对其提高预付款比例、免收履约保证金。</w:t>
      </w:r>
    </w:p>
    <w:p>
      <w:pPr>
        <w:pStyle w:val="36"/>
        <w:spacing w:line="340" w:lineRule="exact"/>
        <w:rPr>
          <w:rFonts w:hAnsi="宋体" w:cs="宋体"/>
          <w:b/>
          <w:szCs w:val="21"/>
          <w:highlight w:val="none"/>
        </w:rPr>
      </w:pPr>
      <w:r>
        <w:rPr>
          <w:rFonts w:hint="eastAsia" w:hAnsi="宋体" w:cs="宋体"/>
          <w:b/>
          <w:szCs w:val="21"/>
          <w:highlight w:val="none"/>
        </w:rPr>
        <w:t>3.支持中小企业发展。</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符合中小企业划分标准的个体工商户，在政府采购活动中视同中小企业。</w:t>
      </w:r>
    </w:p>
    <w:p>
      <w:pPr>
        <w:spacing w:line="340" w:lineRule="exact"/>
        <w:ind w:firstLine="420" w:firstLineChars="200"/>
        <w:rPr>
          <w:rFonts w:ascii="宋体" w:hAnsi="宋体" w:cs="宋体"/>
          <w:szCs w:val="21"/>
          <w:highlight w:val="none"/>
        </w:rPr>
      </w:pPr>
      <w:r>
        <w:rPr>
          <w:rFonts w:hint="eastAsia" w:ascii="宋体" w:hAnsi="宋体" w:cs="宋体"/>
          <w:bCs/>
          <w:szCs w:val="21"/>
          <w:highlight w:val="none"/>
        </w:rPr>
        <w:t>3.2</w:t>
      </w:r>
      <w:r>
        <w:rPr>
          <w:rFonts w:hint="eastAsia" w:ascii="宋体" w:hAnsi="宋体" w:cs="宋体"/>
          <w:szCs w:val="21"/>
          <w:highlight w:val="none"/>
        </w:rPr>
        <w:t>在政府采购活动中，供应商提供的货物符合下列情形的，享受中小企业扶持政策：在货物采购项目中，货物由中小企业制造，即货物由中小企业生产且使用该中小企业商号或者注册商标；在货物采购项目中，供应商提供的货物既有中小企业制造货物，也有大型企业制造货物的，不享受中小企业扶持政策。</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以联合体形式参加政府采购活动，联合体各方均为中小企业的，联合体视同中小企业。其中，联合体各方均为小微企业的，联合体视同小微企业。</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szCs w:val="21"/>
          <w:highlight w:val="none"/>
          <w:u w:val="single"/>
        </w:rPr>
        <w:t xml:space="preserve"> 30 </w:t>
      </w:r>
      <w:r>
        <w:rPr>
          <w:rFonts w:hint="eastAsia" w:ascii="宋体" w:hAnsi="宋体" w:cs="宋体"/>
          <w:szCs w:val="21"/>
          <w:highlight w:val="none"/>
        </w:rPr>
        <w:t>%以上的，对联合体或者大中型企业的最后报价给予</w:t>
      </w:r>
      <w:r>
        <w:rPr>
          <w:rFonts w:hint="eastAsia" w:ascii="宋体" w:hAnsi="宋体" w:cs="宋体"/>
          <w:szCs w:val="21"/>
          <w:highlight w:val="none"/>
          <w:u w:val="single"/>
        </w:rPr>
        <w:t xml:space="preserve"> 6 </w:t>
      </w:r>
      <w:r>
        <w:rPr>
          <w:rFonts w:hint="eastAsia" w:ascii="宋体" w:hAnsi="宋体" w:cs="宋体"/>
          <w:szCs w:val="21"/>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3.4符合《关于促进残疾人就业政府采购政策的通知》（财库〔2017〕141号）规定的条件并提供《残疾人福利性单位声明函》的残疾人福利性单位视同小型、微型企业；</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3.7中小企业享受扶持政策获得政府采购合同的，小微企业不得将合同分包给大中型企业，中型企业不得将合同分包给大型企业。</w:t>
      </w:r>
    </w:p>
    <w:p>
      <w:pPr>
        <w:spacing w:line="340" w:lineRule="exact"/>
        <w:rPr>
          <w:rFonts w:ascii="宋体" w:hAnsi="宋体" w:cs="宋体"/>
          <w:b/>
          <w:szCs w:val="21"/>
          <w:highlight w:val="none"/>
        </w:rPr>
      </w:pPr>
      <w:r>
        <w:rPr>
          <w:rFonts w:hint="eastAsia" w:ascii="宋体" w:hAnsi="宋体" w:cs="宋体"/>
          <w:b/>
          <w:szCs w:val="21"/>
          <w:highlight w:val="none"/>
        </w:rPr>
        <w:t>4.</w:t>
      </w:r>
      <w:r>
        <w:rPr>
          <w:rFonts w:hint="eastAsia" w:ascii="宋体" w:hAnsi="宋体" w:cs="宋体"/>
          <w:b/>
          <w:bCs/>
          <w:szCs w:val="21"/>
          <w:highlight w:val="none"/>
        </w:rPr>
        <w:t>支持创新发展</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4.1 采购人优先采购被认定为首台套产品和“制造精品”的自主创新产品。</w:t>
      </w:r>
    </w:p>
    <w:p>
      <w:pPr>
        <w:pStyle w:val="13"/>
        <w:rPr>
          <w:rFonts w:ascii="宋体" w:hAnsi="宋体" w:cs="宋体"/>
          <w:szCs w:val="21"/>
          <w:highlight w:val="none"/>
        </w:rPr>
      </w:pPr>
      <w:r>
        <w:rPr>
          <w:rFonts w:hint="eastAsia" w:ascii="宋体" w:hAnsi="宋体" w:cs="宋体"/>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w:t>
      </w:r>
      <w:r>
        <w:rPr>
          <w:rFonts w:hint="eastAsia"/>
          <w:highlight w:val="none"/>
        </w:rPr>
        <w:t>优先采购</w:t>
      </w:r>
      <w:r>
        <w:rPr>
          <w:rFonts w:hint="eastAsia" w:ascii="宋体" w:hAnsi="宋体" w:cs="宋体"/>
          <w:szCs w:val="21"/>
          <w:highlight w:val="none"/>
        </w:rPr>
        <w:t>。</w:t>
      </w:r>
    </w:p>
    <w:p>
      <w:pPr>
        <w:spacing w:line="340" w:lineRule="exact"/>
        <w:rPr>
          <w:rFonts w:ascii="宋体" w:hAnsi="宋体" w:cs="宋体"/>
          <w:b/>
          <w:szCs w:val="21"/>
          <w:highlight w:val="none"/>
        </w:rPr>
      </w:pPr>
      <w:r>
        <w:rPr>
          <w:rFonts w:hint="eastAsia" w:ascii="宋体" w:hAnsi="宋体" w:cs="宋体"/>
          <w:b/>
          <w:szCs w:val="21"/>
          <w:highlight w:val="none"/>
        </w:rPr>
        <w:t>5.平等对待内外资企业</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4"/>
        <w:spacing w:line="340" w:lineRule="exact"/>
        <w:ind w:firstLine="0"/>
        <w:rPr>
          <w:rFonts w:cs="宋体"/>
          <w:b/>
          <w:bCs/>
          <w:sz w:val="21"/>
          <w:szCs w:val="21"/>
          <w:highlight w:val="none"/>
        </w:rPr>
      </w:pPr>
      <w:r>
        <w:rPr>
          <w:rFonts w:hint="eastAsia" w:cs="宋体"/>
          <w:b/>
          <w:sz w:val="21"/>
          <w:szCs w:val="21"/>
          <w:highlight w:val="none"/>
        </w:rPr>
        <w:t>6.平等对待符合条件的破产重整企业</w:t>
      </w:r>
    </w:p>
    <w:p>
      <w:pPr>
        <w:pStyle w:val="634"/>
        <w:spacing w:line="340" w:lineRule="exact"/>
        <w:rPr>
          <w:rFonts w:cs="宋体"/>
          <w:sz w:val="21"/>
          <w:szCs w:val="21"/>
          <w:highlight w:val="none"/>
        </w:rPr>
      </w:pPr>
      <w:r>
        <w:rPr>
          <w:rFonts w:hint="eastAsia" w:cs="宋体"/>
          <w:sz w:val="21"/>
          <w:szCs w:val="21"/>
          <w:highlight w:val="none"/>
        </w:rPr>
        <w:t>平等对待符合条件的破产重整企业，切实保障企业公平竞争，平等维护企业的合法利益。</w:t>
      </w:r>
    </w:p>
    <w:p>
      <w:pPr>
        <w:spacing w:line="340" w:lineRule="exact"/>
        <w:ind w:firstLine="420" w:firstLineChars="200"/>
        <w:rPr>
          <w:rFonts w:ascii="宋体" w:hAnsi="宋体" w:cs="宋体"/>
          <w:szCs w:val="21"/>
          <w:highlight w:val="none"/>
        </w:rPr>
      </w:pP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四、询问、质疑与投诉</w:t>
      </w:r>
    </w:p>
    <w:p>
      <w:pPr>
        <w:pStyle w:val="36"/>
        <w:spacing w:line="340" w:lineRule="exact"/>
        <w:rPr>
          <w:rFonts w:hAnsi="宋体" w:cs="宋体"/>
          <w:b/>
          <w:szCs w:val="21"/>
          <w:highlight w:val="none"/>
        </w:rPr>
      </w:pPr>
      <w:r>
        <w:rPr>
          <w:rFonts w:hint="eastAsia" w:hAnsi="宋体" w:cs="宋体"/>
          <w:b/>
          <w:szCs w:val="21"/>
          <w:highlight w:val="none"/>
        </w:rPr>
        <w:t>1.在线询问、质疑、投诉</w:t>
      </w:r>
    </w:p>
    <w:p>
      <w:pPr>
        <w:spacing w:line="340" w:lineRule="exact"/>
        <w:ind w:firstLine="420" w:firstLineChars="200"/>
        <w:rPr>
          <w:rFonts w:ascii="宋体" w:hAnsi="宋体" w:cs="宋体"/>
          <w:szCs w:val="21"/>
          <w:highlight w:val="none"/>
          <w:lang w:val="zh-CN"/>
        </w:rPr>
      </w:pPr>
      <w:r>
        <w:rPr>
          <w:rFonts w:hint="eastAsia" w:ascii="宋体" w:hAnsi="宋体" w:cs="宋体"/>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4"/>
        <w:spacing w:line="340" w:lineRule="exact"/>
        <w:rPr>
          <w:rFonts w:cs="宋体"/>
          <w:sz w:val="21"/>
          <w:szCs w:val="21"/>
          <w:highlight w:val="none"/>
        </w:rPr>
      </w:pPr>
      <w:r>
        <w:rPr>
          <w:rFonts w:hint="eastAsia" w:cs="宋体"/>
          <w:sz w:val="21"/>
          <w:szCs w:val="21"/>
          <w:highlight w:val="none"/>
        </w:rPr>
        <w:t>询问联系部门及质疑联系部门：广西泽丰工程咨询有限公司；联系电话：0779-3969099，</w:t>
      </w:r>
    </w:p>
    <w:p>
      <w:pPr>
        <w:pStyle w:val="634"/>
        <w:spacing w:line="340" w:lineRule="exact"/>
        <w:rPr>
          <w:rFonts w:cs="宋体"/>
          <w:sz w:val="21"/>
          <w:szCs w:val="21"/>
          <w:highlight w:val="none"/>
        </w:rPr>
      </w:pPr>
      <w:r>
        <w:rPr>
          <w:rFonts w:hint="eastAsia" w:cs="宋体"/>
          <w:sz w:val="21"/>
          <w:szCs w:val="21"/>
          <w:highlight w:val="none"/>
        </w:rPr>
        <w:t xml:space="preserve">联系人：钟剑萍 </w:t>
      </w:r>
    </w:p>
    <w:p>
      <w:pPr>
        <w:pStyle w:val="634"/>
        <w:spacing w:line="340" w:lineRule="exact"/>
        <w:rPr>
          <w:rFonts w:cs="宋体"/>
          <w:sz w:val="21"/>
          <w:szCs w:val="21"/>
          <w:highlight w:val="none"/>
        </w:rPr>
      </w:pPr>
      <w:r>
        <w:rPr>
          <w:rFonts w:hint="eastAsia" w:cs="宋体"/>
          <w:sz w:val="21"/>
          <w:szCs w:val="21"/>
          <w:highlight w:val="none"/>
        </w:rPr>
        <w:t>投诉联系部门：广西区财政厅政府采购监督管理处    联系电话：0771-5331544</w:t>
      </w:r>
    </w:p>
    <w:p>
      <w:pPr>
        <w:spacing w:line="340" w:lineRule="exact"/>
        <w:rPr>
          <w:rFonts w:ascii="宋体" w:hAnsi="宋体" w:cs="宋体"/>
          <w:b/>
          <w:szCs w:val="21"/>
          <w:highlight w:val="none"/>
        </w:rPr>
      </w:pPr>
      <w:r>
        <w:rPr>
          <w:rFonts w:hint="eastAsia" w:ascii="宋体" w:hAnsi="宋体" w:cs="宋体"/>
          <w:b/>
          <w:szCs w:val="21"/>
          <w:highlight w:val="none"/>
        </w:rPr>
        <w:t>2. 供应商询问</w:t>
      </w:r>
    </w:p>
    <w:p>
      <w:pPr>
        <w:autoSpaceDE w:val="0"/>
        <w:autoSpaceDN w:val="0"/>
        <w:spacing w:line="34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40" w:lineRule="exact"/>
        <w:rPr>
          <w:rFonts w:ascii="宋体" w:hAnsi="宋体" w:cs="宋体"/>
          <w:b/>
          <w:szCs w:val="21"/>
          <w:highlight w:val="none"/>
        </w:rPr>
      </w:pPr>
      <w:r>
        <w:rPr>
          <w:rFonts w:hint="eastAsia" w:ascii="宋体" w:hAnsi="宋体" w:cs="宋体"/>
          <w:b/>
          <w:szCs w:val="21"/>
          <w:highlight w:val="none"/>
        </w:rPr>
        <w:t>3. 供应商质疑</w:t>
      </w:r>
    </w:p>
    <w:p>
      <w:pPr>
        <w:pStyle w:val="36"/>
        <w:spacing w:line="340" w:lineRule="exact"/>
        <w:ind w:firstLine="422" w:firstLineChars="200"/>
        <w:rPr>
          <w:rFonts w:hAnsi="宋体" w:cs="宋体"/>
          <w:b/>
          <w:szCs w:val="21"/>
          <w:highlight w:val="none"/>
        </w:rPr>
      </w:pPr>
      <w:r>
        <w:rPr>
          <w:rFonts w:hint="eastAsia" w:hAnsi="宋体" w:cs="宋体"/>
          <w:b/>
          <w:kern w:val="0"/>
          <w:szCs w:val="21"/>
          <w:highlight w:val="none"/>
          <w:lang w:val="zh-CN"/>
        </w:rPr>
        <w:t>3</w:t>
      </w:r>
      <w:r>
        <w:rPr>
          <w:rFonts w:hint="eastAsia" w:hAnsi="宋体" w:cs="宋体"/>
          <w:b/>
          <w:szCs w:val="21"/>
          <w:highlight w:val="none"/>
        </w:rPr>
        <w:t>.1质疑提出时效</w:t>
      </w:r>
    </w:p>
    <w:p>
      <w:pPr>
        <w:pStyle w:val="36"/>
        <w:spacing w:line="340" w:lineRule="exact"/>
        <w:ind w:firstLine="420" w:firstLineChars="200"/>
        <w:rPr>
          <w:rFonts w:hAnsi="宋体" w:cs="宋体"/>
          <w:szCs w:val="21"/>
          <w:highlight w:val="none"/>
        </w:rPr>
      </w:pPr>
      <w:r>
        <w:rPr>
          <w:rFonts w:hint="eastAsia" w:hAnsi="宋体" w:cs="宋体"/>
          <w:szCs w:val="21"/>
          <w:highlight w:val="none"/>
        </w:rPr>
        <w:t>3.1.1提出质疑的供应商应当是参与所质疑项目采购活动的供应商。潜在供应商已依法获取其可质疑的采购文件的，可以对该文件提出质疑。</w:t>
      </w:r>
    </w:p>
    <w:p>
      <w:pPr>
        <w:pStyle w:val="36"/>
        <w:spacing w:line="340" w:lineRule="exact"/>
        <w:ind w:firstLine="420" w:firstLineChars="200"/>
        <w:rPr>
          <w:rFonts w:hAnsi="宋体" w:cs="宋体"/>
          <w:szCs w:val="21"/>
          <w:highlight w:val="none"/>
        </w:rPr>
      </w:pPr>
      <w:r>
        <w:rPr>
          <w:rFonts w:hint="eastAsia" w:hAnsi="宋体" w:cs="宋体"/>
          <w:kern w:val="0"/>
          <w:szCs w:val="21"/>
          <w:highlight w:val="none"/>
          <w:lang w:val="zh-CN"/>
        </w:rPr>
        <w:t>3</w:t>
      </w:r>
      <w:r>
        <w:rPr>
          <w:rFonts w:hint="eastAsia" w:hAnsi="宋体" w:cs="宋体"/>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20"/>
        <w:spacing w:line="340" w:lineRule="exact"/>
        <w:ind w:firstLine="380" w:firstLineChars="181"/>
        <w:rPr>
          <w:rFonts w:hAnsi="宋体" w:cs="宋体"/>
          <w:snapToGrid/>
          <w:color w:val="auto"/>
          <w:kern w:val="2"/>
          <w:sz w:val="21"/>
          <w:szCs w:val="21"/>
          <w:highlight w:val="none"/>
        </w:rPr>
      </w:pPr>
      <w:r>
        <w:rPr>
          <w:rFonts w:hint="eastAsia" w:hAnsi="宋体" w:cs="宋体"/>
          <w:snapToGrid/>
          <w:color w:val="auto"/>
          <w:kern w:val="2"/>
          <w:sz w:val="21"/>
          <w:szCs w:val="21"/>
          <w:highlight w:val="none"/>
        </w:rPr>
        <w:t>3.1.2.1对采购文件提出质疑的，质疑期限为供应商获得采购文件之日或者采购文件公告期限届满之日起计算。</w:t>
      </w:r>
    </w:p>
    <w:p>
      <w:pPr>
        <w:pStyle w:val="36"/>
        <w:spacing w:line="340" w:lineRule="exact"/>
        <w:ind w:firstLine="420" w:firstLineChars="200"/>
        <w:rPr>
          <w:rFonts w:hAnsi="宋体" w:cs="宋体"/>
          <w:szCs w:val="21"/>
          <w:highlight w:val="none"/>
        </w:rPr>
      </w:pPr>
      <w:r>
        <w:rPr>
          <w:rFonts w:hint="eastAsia" w:hAnsi="宋体" w:cs="宋体"/>
          <w:szCs w:val="21"/>
          <w:highlight w:val="none"/>
        </w:rPr>
        <w:t>3.1.2.2对采购过程提出质疑的，质疑期限为各采购程序环节结束之日起计算。</w:t>
      </w:r>
    </w:p>
    <w:p>
      <w:pPr>
        <w:pStyle w:val="36"/>
        <w:spacing w:line="340" w:lineRule="exact"/>
        <w:ind w:firstLine="420" w:firstLineChars="200"/>
        <w:rPr>
          <w:rFonts w:hAnsi="宋体" w:cs="宋体"/>
          <w:szCs w:val="21"/>
          <w:highlight w:val="none"/>
        </w:rPr>
      </w:pPr>
      <w:r>
        <w:rPr>
          <w:rFonts w:hint="eastAsia" w:hAnsi="宋体" w:cs="宋体"/>
          <w:szCs w:val="21"/>
          <w:highlight w:val="none"/>
        </w:rPr>
        <w:t>3.1.2.3对采购结果提出质疑的，质疑期限自采购结果公告期限届满之日起计算。</w:t>
      </w:r>
    </w:p>
    <w:p>
      <w:pPr>
        <w:pStyle w:val="36"/>
        <w:spacing w:line="340" w:lineRule="exact"/>
        <w:ind w:firstLine="420" w:firstLineChars="200"/>
        <w:rPr>
          <w:rFonts w:hAnsi="宋体" w:cs="宋体"/>
          <w:szCs w:val="21"/>
          <w:highlight w:val="none"/>
        </w:rPr>
      </w:pPr>
      <w:r>
        <w:rPr>
          <w:rFonts w:hint="eastAsia" w:hAnsi="宋体" w:cs="宋体"/>
          <w:szCs w:val="21"/>
          <w:highlight w:val="none"/>
        </w:rPr>
        <w:t>3.1.2.4对同一采购程序环节的质疑，供应商须一次性提出。</w:t>
      </w:r>
    </w:p>
    <w:p>
      <w:pPr>
        <w:pStyle w:val="36"/>
        <w:spacing w:line="340" w:lineRule="exact"/>
        <w:ind w:firstLine="422" w:firstLineChars="200"/>
        <w:rPr>
          <w:rFonts w:hAnsi="宋体" w:cs="宋体"/>
          <w:szCs w:val="21"/>
          <w:highlight w:val="none"/>
        </w:rPr>
      </w:pPr>
      <w:r>
        <w:rPr>
          <w:rFonts w:hint="eastAsia" w:hAnsi="宋体" w:cs="宋体"/>
          <w:b/>
          <w:szCs w:val="21"/>
          <w:highlight w:val="none"/>
        </w:rPr>
        <w:t>3.2质疑答复</w:t>
      </w:r>
    </w:p>
    <w:p>
      <w:pPr>
        <w:pStyle w:val="36"/>
        <w:spacing w:line="340" w:lineRule="exact"/>
        <w:ind w:firstLine="420" w:firstLineChars="200"/>
        <w:rPr>
          <w:rFonts w:hAnsi="宋体" w:cs="宋体"/>
          <w:szCs w:val="21"/>
          <w:highlight w:val="none"/>
        </w:rPr>
      </w:pPr>
      <w:r>
        <w:rPr>
          <w:rFonts w:hint="eastAsia" w:hAnsi="宋体" w:cs="宋体"/>
          <w:szCs w:val="21"/>
          <w:highlight w:val="none"/>
        </w:rPr>
        <w:t>3.2.1根据采购人与采购代理机构签订采购委托协议的规定，质疑答复责任主体如下：</w:t>
      </w:r>
    </w:p>
    <w:p>
      <w:pPr>
        <w:widowControl/>
        <w:adjustRightInd/>
        <w:spacing w:line="340" w:lineRule="exact"/>
        <w:jc w:val="center"/>
        <w:rPr>
          <w:rFonts w:ascii="宋体" w:hAnsi="宋体" w:cs="宋体"/>
          <w:b/>
          <w:szCs w:val="21"/>
          <w:highlight w:val="none"/>
        </w:rPr>
      </w:pPr>
      <w:r>
        <w:rPr>
          <w:rFonts w:hint="eastAsia" w:ascii="宋体" w:hAnsi="宋体" w:cs="宋体"/>
          <w:b/>
          <w:szCs w:val="21"/>
          <w:highlight w:val="none"/>
        </w:rPr>
        <w:t>质疑答复责任主体一览表</w:t>
      </w:r>
    </w:p>
    <w:tbl>
      <w:tblPr>
        <w:tblStyle w:val="7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496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265" w:type="dxa"/>
            <w:gridSpan w:val="2"/>
            <w:vAlign w:val="center"/>
          </w:tcPr>
          <w:p>
            <w:pPr>
              <w:pStyle w:val="36"/>
              <w:spacing w:line="340" w:lineRule="exact"/>
              <w:jc w:val="center"/>
              <w:rPr>
                <w:rFonts w:hAnsi="宋体" w:cs="宋体"/>
                <w:szCs w:val="21"/>
                <w:highlight w:val="none"/>
              </w:rPr>
            </w:pPr>
            <w:r>
              <w:rPr>
                <w:rFonts w:hint="eastAsia" w:hAnsi="宋体" w:cs="宋体"/>
                <w:szCs w:val="21"/>
                <w:highlight w:val="none"/>
              </w:rPr>
              <w:t>质疑内容</w:t>
            </w:r>
          </w:p>
        </w:tc>
        <w:tc>
          <w:tcPr>
            <w:tcW w:w="2021" w:type="dxa"/>
            <w:vAlign w:val="center"/>
          </w:tcPr>
          <w:p>
            <w:pPr>
              <w:pStyle w:val="36"/>
              <w:spacing w:line="340" w:lineRule="exact"/>
              <w:jc w:val="center"/>
              <w:rPr>
                <w:rFonts w:hAnsi="宋体" w:cs="宋体"/>
                <w:szCs w:val="21"/>
                <w:highlight w:val="none"/>
              </w:rPr>
            </w:pPr>
            <w:r>
              <w:rPr>
                <w:rFonts w:hint="eastAsia" w:hAnsi="宋体" w:cs="宋体"/>
                <w:szCs w:val="21"/>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2303" w:type="dxa"/>
            <w:vMerge w:val="restart"/>
            <w:vAlign w:val="center"/>
          </w:tcPr>
          <w:p>
            <w:pPr>
              <w:pStyle w:val="36"/>
              <w:spacing w:line="340" w:lineRule="exact"/>
              <w:jc w:val="center"/>
              <w:rPr>
                <w:rFonts w:hAnsi="宋体" w:cs="宋体"/>
                <w:szCs w:val="21"/>
                <w:highlight w:val="none"/>
              </w:rPr>
            </w:pPr>
            <w:r>
              <w:rPr>
                <w:rFonts w:hint="eastAsia" w:hAnsi="宋体" w:cs="宋体"/>
                <w:szCs w:val="21"/>
                <w:highlight w:val="none"/>
              </w:rPr>
              <w:t>对采购文件提出质疑</w:t>
            </w:r>
          </w:p>
        </w:tc>
        <w:tc>
          <w:tcPr>
            <w:tcW w:w="4962" w:type="dxa"/>
            <w:vAlign w:val="center"/>
          </w:tcPr>
          <w:p>
            <w:pPr>
              <w:pStyle w:val="36"/>
              <w:spacing w:line="340" w:lineRule="exact"/>
              <w:jc w:val="left"/>
              <w:rPr>
                <w:rFonts w:hAnsi="宋体" w:cs="宋体"/>
                <w:szCs w:val="21"/>
                <w:highlight w:val="none"/>
              </w:rPr>
            </w:pPr>
            <w:r>
              <w:rPr>
                <w:rFonts w:hint="eastAsia" w:hAnsi="宋体" w:cs="宋体"/>
                <w:szCs w:val="21"/>
                <w:highlight w:val="none"/>
              </w:rPr>
              <w:t>对采购文件中特定资格条件、采购需求、评审办法、评审标准提出的质疑</w:t>
            </w:r>
          </w:p>
        </w:tc>
        <w:tc>
          <w:tcPr>
            <w:tcW w:w="2021" w:type="dxa"/>
            <w:vAlign w:val="center"/>
          </w:tcPr>
          <w:p>
            <w:pPr>
              <w:pStyle w:val="36"/>
              <w:spacing w:line="340" w:lineRule="exact"/>
              <w:jc w:val="center"/>
              <w:rPr>
                <w:rFonts w:hAnsi="宋体" w:cs="宋体"/>
                <w:szCs w:val="21"/>
                <w:highlight w:val="none"/>
              </w:rPr>
            </w:pPr>
            <w:r>
              <w:rPr>
                <w:rFonts w:hint="eastAsia" w:hAnsi="宋体" w:cs="宋体"/>
                <w:szCs w:val="21"/>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303" w:type="dxa"/>
            <w:vMerge w:val="continue"/>
            <w:vAlign w:val="center"/>
          </w:tcPr>
          <w:p>
            <w:pPr>
              <w:pStyle w:val="36"/>
              <w:spacing w:line="340" w:lineRule="exact"/>
              <w:jc w:val="center"/>
              <w:rPr>
                <w:rFonts w:hAnsi="宋体" w:cs="宋体"/>
                <w:szCs w:val="21"/>
                <w:highlight w:val="none"/>
              </w:rPr>
            </w:pPr>
          </w:p>
        </w:tc>
        <w:tc>
          <w:tcPr>
            <w:tcW w:w="4962" w:type="dxa"/>
            <w:vAlign w:val="center"/>
          </w:tcPr>
          <w:p>
            <w:pPr>
              <w:pStyle w:val="36"/>
              <w:spacing w:line="340" w:lineRule="exact"/>
              <w:jc w:val="left"/>
              <w:rPr>
                <w:rFonts w:hAnsi="宋体" w:cs="宋体"/>
                <w:szCs w:val="21"/>
                <w:highlight w:val="none"/>
              </w:rPr>
            </w:pPr>
            <w:r>
              <w:rPr>
                <w:rFonts w:hint="eastAsia" w:hAnsi="宋体" w:cs="宋体"/>
                <w:szCs w:val="21"/>
                <w:highlight w:val="none"/>
              </w:rPr>
              <w:t>对采购文件中其他内容提出的质疑</w:t>
            </w:r>
          </w:p>
        </w:tc>
        <w:tc>
          <w:tcPr>
            <w:tcW w:w="2021" w:type="dxa"/>
            <w:vAlign w:val="center"/>
          </w:tcPr>
          <w:p>
            <w:pPr>
              <w:pStyle w:val="36"/>
              <w:spacing w:line="340" w:lineRule="exact"/>
              <w:jc w:val="center"/>
              <w:rPr>
                <w:rFonts w:hAnsi="宋体" w:cs="宋体"/>
                <w:szCs w:val="21"/>
                <w:highlight w:val="none"/>
              </w:rPr>
            </w:pPr>
            <w:r>
              <w:rPr>
                <w:rFonts w:hint="eastAsia" w:hAnsi="宋体" w:cs="宋体"/>
                <w:szCs w:val="21"/>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303" w:type="dxa"/>
            <w:vMerge w:val="restart"/>
            <w:vAlign w:val="center"/>
          </w:tcPr>
          <w:p>
            <w:pPr>
              <w:pStyle w:val="36"/>
              <w:spacing w:line="340" w:lineRule="exact"/>
              <w:jc w:val="center"/>
              <w:rPr>
                <w:rFonts w:hAnsi="宋体" w:cs="宋体"/>
                <w:szCs w:val="21"/>
                <w:highlight w:val="none"/>
              </w:rPr>
            </w:pPr>
            <w:r>
              <w:rPr>
                <w:rFonts w:hint="eastAsia" w:hAnsi="宋体" w:cs="宋体"/>
                <w:szCs w:val="21"/>
                <w:highlight w:val="none"/>
              </w:rPr>
              <w:t>对采购过程提出质疑</w:t>
            </w:r>
          </w:p>
        </w:tc>
        <w:tc>
          <w:tcPr>
            <w:tcW w:w="4962" w:type="dxa"/>
            <w:vAlign w:val="center"/>
          </w:tcPr>
          <w:p>
            <w:pPr>
              <w:pStyle w:val="36"/>
              <w:spacing w:line="340" w:lineRule="exact"/>
              <w:jc w:val="left"/>
              <w:rPr>
                <w:rFonts w:hAnsi="宋体" w:cs="宋体"/>
                <w:szCs w:val="21"/>
                <w:highlight w:val="none"/>
              </w:rPr>
            </w:pPr>
            <w:r>
              <w:rPr>
                <w:rFonts w:hint="eastAsia" w:hAnsi="宋体" w:cs="宋体"/>
                <w:szCs w:val="21"/>
                <w:highlight w:val="none"/>
              </w:rPr>
              <w:t>有关现场考察或开启响应文件前答疑会事项提出的质疑</w:t>
            </w:r>
          </w:p>
        </w:tc>
        <w:tc>
          <w:tcPr>
            <w:tcW w:w="2021" w:type="dxa"/>
            <w:vAlign w:val="center"/>
          </w:tcPr>
          <w:p>
            <w:pPr>
              <w:pStyle w:val="36"/>
              <w:spacing w:line="340" w:lineRule="exact"/>
              <w:jc w:val="center"/>
              <w:rPr>
                <w:rFonts w:hAnsi="宋体" w:cs="宋体"/>
                <w:szCs w:val="21"/>
                <w:highlight w:val="none"/>
              </w:rPr>
            </w:pPr>
            <w:r>
              <w:rPr>
                <w:rFonts w:hint="eastAsia" w:hAnsi="宋体" w:cs="宋体"/>
                <w:szCs w:val="21"/>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303" w:type="dxa"/>
            <w:vMerge w:val="continue"/>
            <w:vAlign w:val="center"/>
          </w:tcPr>
          <w:p>
            <w:pPr>
              <w:pStyle w:val="36"/>
              <w:spacing w:line="340" w:lineRule="exact"/>
              <w:jc w:val="center"/>
              <w:rPr>
                <w:rFonts w:hAnsi="宋体" w:cs="宋体"/>
                <w:szCs w:val="21"/>
                <w:highlight w:val="none"/>
              </w:rPr>
            </w:pPr>
          </w:p>
        </w:tc>
        <w:tc>
          <w:tcPr>
            <w:tcW w:w="4962" w:type="dxa"/>
            <w:vAlign w:val="center"/>
          </w:tcPr>
          <w:p>
            <w:pPr>
              <w:pStyle w:val="36"/>
              <w:spacing w:line="340" w:lineRule="exact"/>
              <w:jc w:val="left"/>
              <w:rPr>
                <w:rFonts w:hAnsi="宋体" w:cs="宋体"/>
                <w:szCs w:val="21"/>
                <w:highlight w:val="none"/>
              </w:rPr>
            </w:pPr>
            <w:r>
              <w:rPr>
                <w:rFonts w:hint="eastAsia" w:hAnsi="宋体" w:cs="宋体"/>
                <w:szCs w:val="21"/>
                <w:highlight w:val="none"/>
              </w:rPr>
              <w:t>对采购过程中其它事项提出的质疑</w:t>
            </w:r>
          </w:p>
        </w:tc>
        <w:tc>
          <w:tcPr>
            <w:tcW w:w="2021" w:type="dxa"/>
            <w:vAlign w:val="center"/>
          </w:tcPr>
          <w:p>
            <w:pPr>
              <w:pStyle w:val="36"/>
              <w:spacing w:line="340" w:lineRule="exact"/>
              <w:jc w:val="center"/>
              <w:rPr>
                <w:rFonts w:hAnsi="宋体" w:cs="宋体"/>
                <w:szCs w:val="21"/>
                <w:highlight w:val="none"/>
              </w:rPr>
            </w:pPr>
            <w:r>
              <w:rPr>
                <w:rFonts w:hint="eastAsia" w:hAnsi="宋体" w:cs="宋体"/>
                <w:szCs w:val="21"/>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2303" w:type="dxa"/>
            <w:vAlign w:val="center"/>
          </w:tcPr>
          <w:p>
            <w:pPr>
              <w:pStyle w:val="36"/>
              <w:spacing w:line="340" w:lineRule="exact"/>
              <w:jc w:val="center"/>
              <w:rPr>
                <w:rFonts w:hAnsi="宋体" w:cs="宋体"/>
                <w:szCs w:val="21"/>
                <w:highlight w:val="none"/>
              </w:rPr>
            </w:pPr>
            <w:r>
              <w:rPr>
                <w:rFonts w:hint="eastAsia" w:hAnsi="宋体" w:cs="宋体"/>
                <w:szCs w:val="21"/>
                <w:highlight w:val="none"/>
              </w:rPr>
              <w:t>对采购结果提出质疑</w:t>
            </w:r>
          </w:p>
        </w:tc>
        <w:tc>
          <w:tcPr>
            <w:tcW w:w="4962" w:type="dxa"/>
            <w:vAlign w:val="center"/>
          </w:tcPr>
          <w:p>
            <w:pPr>
              <w:pStyle w:val="36"/>
              <w:spacing w:line="340" w:lineRule="exact"/>
              <w:jc w:val="left"/>
              <w:rPr>
                <w:rFonts w:hAnsi="宋体" w:cs="宋体"/>
                <w:szCs w:val="21"/>
                <w:highlight w:val="none"/>
              </w:rPr>
            </w:pPr>
            <w:r>
              <w:rPr>
                <w:rFonts w:hint="eastAsia" w:hAnsi="宋体" w:cs="宋体"/>
                <w:szCs w:val="21"/>
                <w:highlight w:val="none"/>
              </w:rPr>
              <w:t>对采购结果提出的质疑</w:t>
            </w:r>
          </w:p>
        </w:tc>
        <w:tc>
          <w:tcPr>
            <w:tcW w:w="2021" w:type="dxa"/>
            <w:vAlign w:val="center"/>
          </w:tcPr>
          <w:p>
            <w:pPr>
              <w:pStyle w:val="36"/>
              <w:spacing w:line="340" w:lineRule="exact"/>
              <w:jc w:val="center"/>
              <w:rPr>
                <w:rFonts w:hAnsi="宋体" w:cs="宋体"/>
                <w:szCs w:val="21"/>
                <w:highlight w:val="none"/>
              </w:rPr>
            </w:pPr>
            <w:r>
              <w:rPr>
                <w:rFonts w:hint="eastAsia" w:hAnsi="宋体" w:cs="宋体"/>
                <w:szCs w:val="21"/>
                <w:highlight w:val="none"/>
              </w:rPr>
              <w:t>采购代理机构</w:t>
            </w:r>
          </w:p>
        </w:tc>
      </w:tr>
    </w:tbl>
    <w:p>
      <w:pPr>
        <w:pStyle w:val="36"/>
        <w:spacing w:line="340" w:lineRule="exact"/>
        <w:ind w:firstLine="420" w:firstLineChars="200"/>
        <w:rPr>
          <w:rFonts w:hAnsi="宋体" w:cs="宋体"/>
          <w:szCs w:val="21"/>
          <w:highlight w:val="none"/>
        </w:rPr>
      </w:pPr>
      <w:r>
        <w:rPr>
          <w:rFonts w:hint="eastAsia" w:hAnsi="宋体" w:cs="宋体"/>
          <w:szCs w:val="21"/>
          <w:highlight w:val="none"/>
        </w:rPr>
        <w:t>注：采购人或代理机构应当协助质疑答复责任主体及时答复供应商的书面质疑。</w:t>
      </w:r>
    </w:p>
    <w:p>
      <w:pPr>
        <w:pStyle w:val="36"/>
        <w:spacing w:line="340" w:lineRule="exact"/>
        <w:ind w:firstLine="420" w:firstLineChars="200"/>
        <w:rPr>
          <w:rFonts w:hAnsi="宋体" w:cs="宋体"/>
          <w:szCs w:val="21"/>
          <w:highlight w:val="none"/>
        </w:rPr>
      </w:pPr>
      <w:r>
        <w:rPr>
          <w:rFonts w:hint="eastAsia" w:hAnsi="宋体" w:cs="宋体"/>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6"/>
        <w:spacing w:line="340" w:lineRule="exact"/>
        <w:ind w:firstLine="420" w:firstLineChars="200"/>
        <w:rPr>
          <w:rFonts w:hAnsi="宋体" w:cs="宋体"/>
          <w:szCs w:val="21"/>
          <w:highlight w:val="none"/>
        </w:rPr>
      </w:pPr>
      <w:r>
        <w:rPr>
          <w:rFonts w:hint="eastAsia" w:hAnsi="宋体" w:cs="宋体"/>
          <w:szCs w:val="21"/>
          <w:highlight w:val="none"/>
        </w:rPr>
        <w:t>3. 2.3询问或者质疑事项可能影响采购结果的，采购人应当暂停签订合同，已经签订合同的，应当中止履行合同。</w:t>
      </w:r>
    </w:p>
    <w:p>
      <w:pPr>
        <w:pStyle w:val="36"/>
        <w:spacing w:line="340" w:lineRule="exact"/>
        <w:ind w:firstLine="422" w:firstLineChars="200"/>
        <w:rPr>
          <w:rFonts w:hAnsi="宋体" w:cs="宋体"/>
          <w:szCs w:val="21"/>
          <w:highlight w:val="none"/>
        </w:rPr>
      </w:pPr>
      <w:r>
        <w:rPr>
          <w:rFonts w:hint="eastAsia" w:hAnsi="宋体" w:cs="宋体"/>
          <w:b/>
          <w:kern w:val="0"/>
          <w:szCs w:val="21"/>
          <w:highlight w:val="none"/>
          <w:lang w:val="zh-CN"/>
        </w:rPr>
        <w:t>3.3质疑函</w:t>
      </w:r>
    </w:p>
    <w:p>
      <w:pPr>
        <w:pStyle w:val="36"/>
        <w:spacing w:line="340" w:lineRule="exact"/>
        <w:ind w:firstLine="420" w:firstLineChars="200"/>
        <w:rPr>
          <w:rFonts w:hAnsi="宋体" w:cs="宋体"/>
          <w:szCs w:val="21"/>
          <w:highlight w:val="none"/>
        </w:rPr>
      </w:pPr>
      <w:r>
        <w:rPr>
          <w:rFonts w:hint="eastAsia" w:hAnsi="宋体" w:cs="宋体"/>
          <w:szCs w:val="21"/>
          <w:highlight w:val="none"/>
        </w:rPr>
        <w:t>3.3.1供应商提出质疑应当提交质疑函和必要的证明材料。质疑函应当包括下列内容：</w:t>
      </w:r>
    </w:p>
    <w:p>
      <w:pPr>
        <w:pStyle w:val="36"/>
        <w:tabs>
          <w:tab w:val="left" w:pos="426"/>
          <w:tab w:val="left" w:pos="840"/>
        </w:tabs>
        <w:spacing w:line="340" w:lineRule="exact"/>
        <w:ind w:firstLine="420" w:firstLineChars="200"/>
        <w:rPr>
          <w:rFonts w:hAnsi="宋体" w:cs="宋体"/>
          <w:szCs w:val="21"/>
          <w:highlight w:val="none"/>
        </w:rPr>
      </w:pPr>
      <w:r>
        <w:rPr>
          <w:rFonts w:hint="eastAsia" w:hAnsi="宋体" w:cs="宋体"/>
          <w:szCs w:val="21"/>
          <w:highlight w:val="none"/>
        </w:rPr>
        <w:t>3.3.1.1供应商的姓名或者名称、地址、邮编、联系人及联系电话；</w:t>
      </w:r>
    </w:p>
    <w:p>
      <w:pPr>
        <w:pStyle w:val="36"/>
        <w:tabs>
          <w:tab w:val="left" w:pos="426"/>
          <w:tab w:val="left" w:pos="840"/>
        </w:tabs>
        <w:spacing w:line="340" w:lineRule="exact"/>
        <w:ind w:firstLine="420" w:firstLineChars="200"/>
        <w:rPr>
          <w:rFonts w:hAnsi="宋体" w:cs="宋体"/>
          <w:szCs w:val="21"/>
          <w:highlight w:val="none"/>
        </w:rPr>
      </w:pPr>
      <w:r>
        <w:rPr>
          <w:rFonts w:hint="eastAsia" w:hAnsi="宋体" w:cs="宋体"/>
          <w:szCs w:val="21"/>
          <w:highlight w:val="none"/>
        </w:rPr>
        <w:t>3.3.1.2质疑项目的名称、编号；</w:t>
      </w:r>
    </w:p>
    <w:p>
      <w:pPr>
        <w:pStyle w:val="36"/>
        <w:tabs>
          <w:tab w:val="left" w:pos="426"/>
          <w:tab w:val="left" w:pos="840"/>
        </w:tabs>
        <w:spacing w:line="340" w:lineRule="exact"/>
        <w:ind w:firstLine="420" w:firstLineChars="200"/>
        <w:rPr>
          <w:rFonts w:hAnsi="宋体" w:cs="宋体"/>
          <w:szCs w:val="21"/>
          <w:highlight w:val="none"/>
        </w:rPr>
      </w:pPr>
      <w:r>
        <w:rPr>
          <w:rFonts w:hint="eastAsia" w:hAnsi="宋体" w:cs="宋体"/>
          <w:szCs w:val="21"/>
          <w:highlight w:val="none"/>
        </w:rPr>
        <w:t>3.3.1.3具体、明确的质疑事项和与质疑事项相关的请求；</w:t>
      </w:r>
    </w:p>
    <w:p>
      <w:pPr>
        <w:pStyle w:val="36"/>
        <w:tabs>
          <w:tab w:val="left" w:pos="426"/>
          <w:tab w:val="left" w:pos="840"/>
        </w:tabs>
        <w:spacing w:line="340" w:lineRule="exact"/>
        <w:ind w:firstLine="420" w:firstLineChars="200"/>
        <w:rPr>
          <w:rFonts w:hAnsi="宋体" w:cs="宋体"/>
          <w:szCs w:val="21"/>
          <w:highlight w:val="none"/>
        </w:rPr>
      </w:pPr>
      <w:r>
        <w:rPr>
          <w:rFonts w:hint="eastAsia" w:hAnsi="宋体" w:cs="宋体"/>
          <w:szCs w:val="21"/>
          <w:highlight w:val="none"/>
        </w:rPr>
        <w:t>3.3.1.4事实依据；</w:t>
      </w:r>
    </w:p>
    <w:p>
      <w:pPr>
        <w:pStyle w:val="36"/>
        <w:tabs>
          <w:tab w:val="left" w:pos="426"/>
          <w:tab w:val="left" w:pos="840"/>
        </w:tabs>
        <w:spacing w:line="340" w:lineRule="exact"/>
        <w:ind w:firstLine="420" w:firstLineChars="200"/>
        <w:rPr>
          <w:rFonts w:hAnsi="宋体" w:cs="宋体"/>
          <w:szCs w:val="21"/>
          <w:highlight w:val="none"/>
        </w:rPr>
      </w:pPr>
      <w:r>
        <w:rPr>
          <w:rFonts w:hint="eastAsia" w:hAnsi="宋体" w:cs="宋体"/>
          <w:szCs w:val="21"/>
          <w:highlight w:val="none"/>
        </w:rPr>
        <w:t>3.3.1.5必要的法律依据；</w:t>
      </w:r>
    </w:p>
    <w:p>
      <w:pPr>
        <w:pStyle w:val="36"/>
        <w:tabs>
          <w:tab w:val="left" w:pos="426"/>
          <w:tab w:val="left" w:pos="840"/>
        </w:tabs>
        <w:spacing w:line="340" w:lineRule="exact"/>
        <w:ind w:firstLine="420" w:firstLineChars="200"/>
        <w:rPr>
          <w:rFonts w:hAnsi="宋体" w:cs="宋体"/>
          <w:szCs w:val="21"/>
          <w:highlight w:val="none"/>
        </w:rPr>
      </w:pPr>
      <w:r>
        <w:rPr>
          <w:rFonts w:hint="eastAsia" w:hAnsi="宋体" w:cs="宋体"/>
          <w:szCs w:val="21"/>
          <w:highlight w:val="none"/>
        </w:rPr>
        <w:t>3.3.1.6提出质疑的日期。</w:t>
      </w:r>
    </w:p>
    <w:p>
      <w:pPr>
        <w:pStyle w:val="36"/>
        <w:spacing w:line="340" w:lineRule="exact"/>
        <w:ind w:firstLine="420" w:firstLineChars="200"/>
        <w:rPr>
          <w:rFonts w:hAnsi="宋体" w:cs="宋体"/>
          <w:szCs w:val="21"/>
          <w:highlight w:val="none"/>
        </w:rPr>
      </w:pPr>
      <w:r>
        <w:rPr>
          <w:rFonts w:hint="eastAsia" w:hAnsi="宋体" w:cs="宋体"/>
          <w:szCs w:val="21"/>
          <w:highlight w:val="none"/>
        </w:rPr>
        <w:t>3.3.2供应商提交的质疑函需一式三份。供应商为自然人的，应当由本人签字；供应商为法人或者其他组织的，应当由法定代表人、主要负责人，或者其授权代表签字或者盖章，并加盖公章。</w:t>
      </w:r>
    </w:p>
    <w:p>
      <w:pPr>
        <w:spacing w:line="340" w:lineRule="exact"/>
        <w:rPr>
          <w:rFonts w:ascii="宋体" w:hAnsi="宋体" w:cs="宋体"/>
          <w:b/>
          <w:szCs w:val="21"/>
          <w:highlight w:val="none"/>
        </w:rPr>
      </w:pPr>
      <w:r>
        <w:rPr>
          <w:rFonts w:hint="eastAsia" w:ascii="宋体" w:hAnsi="宋体" w:cs="宋体"/>
          <w:b/>
          <w:szCs w:val="21"/>
          <w:highlight w:val="none"/>
        </w:rPr>
        <w:t>4.供应商投诉</w:t>
      </w:r>
    </w:p>
    <w:p>
      <w:pPr>
        <w:pStyle w:val="36"/>
        <w:spacing w:line="340" w:lineRule="exact"/>
        <w:ind w:firstLine="420" w:firstLineChars="200"/>
        <w:rPr>
          <w:rFonts w:hAnsi="宋体" w:cs="宋体"/>
          <w:szCs w:val="21"/>
          <w:highlight w:val="none"/>
        </w:rPr>
      </w:pPr>
      <w:r>
        <w:rPr>
          <w:rFonts w:hint="eastAsia" w:hAnsi="宋体" w:cs="宋体"/>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pPr>
        <w:pStyle w:val="36"/>
        <w:spacing w:line="340" w:lineRule="exact"/>
        <w:ind w:firstLine="420" w:firstLineChars="200"/>
        <w:rPr>
          <w:rFonts w:hAnsi="宋体" w:cs="宋体"/>
          <w:szCs w:val="21"/>
          <w:highlight w:val="none"/>
        </w:rPr>
      </w:pPr>
      <w:r>
        <w:rPr>
          <w:rFonts w:hint="eastAsia" w:hAnsi="宋体" w:cs="宋体"/>
          <w:szCs w:val="21"/>
          <w:highlight w:val="none"/>
        </w:rPr>
        <w:t>4.2供应商投诉的事项不得超出已质疑事项的范围，基于质疑答复内容提出的投诉事项除外。</w:t>
      </w:r>
    </w:p>
    <w:p>
      <w:pPr>
        <w:pStyle w:val="36"/>
        <w:spacing w:line="340" w:lineRule="exact"/>
        <w:ind w:firstLine="420" w:firstLineChars="200"/>
        <w:rPr>
          <w:rFonts w:hAnsi="宋体" w:cs="宋体"/>
          <w:szCs w:val="21"/>
          <w:highlight w:val="none"/>
        </w:rPr>
      </w:pPr>
      <w:r>
        <w:rPr>
          <w:rFonts w:hint="eastAsia" w:hAnsi="宋体" w:cs="宋体"/>
          <w:szCs w:val="21"/>
          <w:highlight w:val="none"/>
        </w:rPr>
        <w:t>4.3供应商投诉应当有明确的请求和必要的证明材料。</w:t>
      </w:r>
    </w:p>
    <w:p>
      <w:pPr>
        <w:pStyle w:val="36"/>
        <w:spacing w:line="340" w:lineRule="exact"/>
        <w:ind w:firstLine="420" w:firstLineChars="200"/>
        <w:rPr>
          <w:rFonts w:hAnsi="宋体" w:cs="宋体"/>
          <w:szCs w:val="21"/>
          <w:highlight w:val="none"/>
        </w:rPr>
      </w:pPr>
      <w:r>
        <w:rPr>
          <w:rFonts w:hint="eastAsia" w:hAnsi="宋体" w:cs="宋体"/>
          <w:szCs w:val="21"/>
          <w:highlight w:val="none"/>
        </w:rPr>
        <w:t>4.4以联合体形式参加政府采购活动的，其投诉应当由组成联合体的所有供应商共同提出。</w:t>
      </w:r>
    </w:p>
    <w:p>
      <w:pPr>
        <w:adjustRightInd/>
        <w:spacing w:line="340" w:lineRule="exact"/>
        <w:rPr>
          <w:rFonts w:ascii="宋体" w:hAnsi="宋体" w:cs="宋体"/>
          <w:b/>
          <w:szCs w:val="21"/>
          <w:highlight w:val="none"/>
        </w:rPr>
      </w:pP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五、谈判文件构成、修改、解释</w:t>
      </w:r>
    </w:p>
    <w:p>
      <w:pPr>
        <w:autoSpaceDE w:val="0"/>
        <w:autoSpaceDN w:val="0"/>
        <w:spacing w:line="340" w:lineRule="exact"/>
        <w:rPr>
          <w:rFonts w:ascii="宋体" w:hAnsi="宋体" w:cs="宋体"/>
          <w:b/>
          <w:szCs w:val="21"/>
          <w:highlight w:val="none"/>
        </w:rPr>
      </w:pPr>
      <w:r>
        <w:rPr>
          <w:rFonts w:hint="eastAsia" w:ascii="宋体" w:hAnsi="宋体" w:cs="宋体"/>
          <w:b/>
          <w:szCs w:val="21"/>
          <w:highlight w:val="none"/>
        </w:rPr>
        <w:t>1．谈判文件的构成</w:t>
      </w:r>
    </w:p>
    <w:p>
      <w:pPr>
        <w:pStyle w:val="36"/>
        <w:spacing w:line="340" w:lineRule="exact"/>
        <w:ind w:firstLine="420" w:firstLineChars="200"/>
        <w:rPr>
          <w:rFonts w:hAnsi="宋体" w:cs="宋体"/>
          <w:szCs w:val="21"/>
          <w:highlight w:val="none"/>
        </w:rPr>
      </w:pPr>
      <w:r>
        <w:rPr>
          <w:rFonts w:hint="eastAsia" w:hAnsi="宋体" w:cs="宋体"/>
          <w:szCs w:val="21"/>
          <w:highlight w:val="none"/>
        </w:rPr>
        <w:t>1.1 谈判文件包括下列文件及附件</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第一部分  邀请供应商</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第二部分  竞争性谈判流程</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第三部分  供应商须知</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第四部分  采购需求</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第五部分  评定标准</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第六部分  拟签订的合同文本</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第七部分  应提交的有关格式范例</w:t>
      </w:r>
    </w:p>
    <w:p>
      <w:pPr>
        <w:pStyle w:val="36"/>
        <w:tabs>
          <w:tab w:val="left" w:pos="840"/>
        </w:tabs>
        <w:spacing w:line="340" w:lineRule="exact"/>
        <w:ind w:left="1319"/>
        <w:rPr>
          <w:rFonts w:hAnsi="宋体" w:cs="宋体"/>
          <w:szCs w:val="21"/>
          <w:highlight w:val="none"/>
        </w:rPr>
      </w:pPr>
      <w:r>
        <w:rPr>
          <w:rFonts w:hint="eastAsia" w:hAnsi="宋体" w:cs="宋体"/>
          <w:szCs w:val="21"/>
          <w:highlight w:val="none"/>
        </w:rPr>
        <w:t>第八部分  附件</w:t>
      </w:r>
    </w:p>
    <w:p>
      <w:pPr>
        <w:pStyle w:val="36"/>
        <w:spacing w:line="340" w:lineRule="exact"/>
        <w:ind w:firstLine="420" w:firstLineChars="200"/>
        <w:rPr>
          <w:rFonts w:hAnsi="宋体" w:cs="宋体"/>
          <w:szCs w:val="21"/>
          <w:highlight w:val="none"/>
        </w:rPr>
      </w:pPr>
      <w:r>
        <w:rPr>
          <w:rFonts w:hint="eastAsia" w:hAnsi="宋体" w:cs="宋体"/>
          <w:szCs w:val="21"/>
          <w:highlight w:val="none"/>
        </w:rPr>
        <w:t>1.2 与本项目有关的</w:t>
      </w:r>
      <w:r>
        <w:rPr>
          <w:rFonts w:hint="eastAsia" w:hAnsi="宋体" w:cs="宋体"/>
          <w:bCs/>
          <w:szCs w:val="21"/>
          <w:highlight w:val="none"/>
        </w:rPr>
        <w:t>澄清或者修改的内容为谈判文件的组成部分</w:t>
      </w:r>
      <w:r>
        <w:rPr>
          <w:rFonts w:hint="eastAsia" w:hAnsi="宋体" w:cs="宋体"/>
          <w:szCs w:val="21"/>
          <w:highlight w:val="none"/>
        </w:rPr>
        <w:t>。</w:t>
      </w:r>
    </w:p>
    <w:p>
      <w:pPr>
        <w:pStyle w:val="36"/>
        <w:spacing w:line="340" w:lineRule="exact"/>
        <w:rPr>
          <w:rFonts w:hAnsi="宋体" w:cs="宋体"/>
          <w:b/>
          <w:szCs w:val="21"/>
          <w:highlight w:val="none"/>
        </w:rPr>
      </w:pPr>
      <w:r>
        <w:rPr>
          <w:rFonts w:hint="eastAsia" w:hAnsi="宋体" w:cs="宋体"/>
          <w:b/>
          <w:szCs w:val="21"/>
          <w:highlight w:val="none"/>
        </w:rPr>
        <w:t>2. 谈判文件的澄清、修改</w:t>
      </w:r>
    </w:p>
    <w:p>
      <w:pPr>
        <w:pStyle w:val="396"/>
        <w:snapToGrid w:val="0"/>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2.1已获取谈判文件的潜在供应商，若有问题需要澄清，应于提交首次响应文件截止时间前，以书面形式向采购代理机构提出。</w:t>
      </w:r>
    </w:p>
    <w:p>
      <w:pPr>
        <w:pStyle w:val="396"/>
        <w:snapToGrid w:val="0"/>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pPr>
        <w:pStyle w:val="396"/>
        <w:snapToGrid w:val="0"/>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pPr>
        <w:pStyle w:val="396"/>
        <w:snapToGrid w:val="0"/>
        <w:spacing w:before="0" w:line="340" w:lineRule="exact"/>
        <w:ind w:firstLine="422"/>
        <w:rPr>
          <w:rFonts w:ascii="宋体" w:hAnsi="宋体" w:cs="宋体"/>
          <w:sz w:val="21"/>
          <w:szCs w:val="21"/>
          <w:highlight w:val="none"/>
        </w:rPr>
      </w:pPr>
      <w:r>
        <w:rPr>
          <w:rFonts w:hint="eastAsia" w:ascii="宋体" w:hAnsi="宋体" w:cs="宋体"/>
          <w:b/>
          <w:sz w:val="21"/>
          <w:szCs w:val="21"/>
          <w:highlight w:val="none"/>
        </w:rPr>
        <w:t>▲响应文件未按谈判文件的澄清、修改的内容编制，又不符合实质性要求的，响应无效。</w:t>
      </w:r>
    </w:p>
    <w:p>
      <w:pPr>
        <w:pStyle w:val="16"/>
        <w:spacing w:line="340" w:lineRule="exact"/>
        <w:rPr>
          <w:rFonts w:hAnsi="宋体" w:cs="宋体"/>
          <w:sz w:val="21"/>
          <w:highlight w:val="none"/>
          <w:lang w:val="en-US"/>
        </w:rPr>
      </w:pPr>
      <w:r>
        <w:rPr>
          <w:rFonts w:hint="eastAsia" w:hAnsi="宋体" w:cs="宋体"/>
          <w:sz w:val="21"/>
          <w:highlight w:val="none"/>
          <w:lang w:val="en-US"/>
        </w:rPr>
        <w:t xml:space="preserve">    </w:t>
      </w:r>
    </w:p>
    <w:p>
      <w:pPr>
        <w:adjustRightInd/>
        <w:spacing w:line="340" w:lineRule="exact"/>
        <w:jc w:val="center"/>
        <w:outlineLvl w:val="1"/>
        <w:rPr>
          <w:rFonts w:cs="仿宋_GB2312" w:asciiTheme="minorEastAsia" w:hAnsiTheme="minorEastAsia" w:eastAsiaTheme="minorEastAsia"/>
          <w:b/>
          <w:sz w:val="24"/>
          <w:highlight w:val="none"/>
        </w:rPr>
      </w:pP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六、响应文件的编制</w:t>
      </w:r>
    </w:p>
    <w:p>
      <w:pPr>
        <w:pStyle w:val="36"/>
        <w:spacing w:line="340" w:lineRule="exact"/>
        <w:rPr>
          <w:rFonts w:hAnsi="宋体" w:cs="宋体"/>
          <w:b/>
          <w:szCs w:val="21"/>
          <w:highlight w:val="none"/>
        </w:rPr>
      </w:pPr>
      <w:r>
        <w:rPr>
          <w:rFonts w:hint="eastAsia" w:hAnsi="宋体" w:cs="宋体"/>
          <w:b/>
          <w:szCs w:val="21"/>
          <w:highlight w:val="none"/>
        </w:rPr>
        <w:t>1. 响应文件的语言</w:t>
      </w:r>
    </w:p>
    <w:p>
      <w:pPr>
        <w:pStyle w:val="36"/>
        <w:spacing w:line="340" w:lineRule="exact"/>
        <w:ind w:firstLine="420" w:firstLineChars="200"/>
        <w:rPr>
          <w:rFonts w:hAnsi="宋体" w:cs="宋体"/>
          <w:b/>
          <w:szCs w:val="21"/>
          <w:highlight w:val="none"/>
        </w:rPr>
      </w:pPr>
      <w:r>
        <w:rPr>
          <w:rFonts w:hint="eastAsia" w:hAnsi="宋体" w:cs="宋体"/>
          <w:szCs w:val="21"/>
          <w:highlight w:val="none"/>
        </w:rPr>
        <w:t>响应文件及供应商与采购有关的来往通知、函件和文件均应使用中文。</w:t>
      </w:r>
    </w:p>
    <w:p>
      <w:pPr>
        <w:pStyle w:val="36"/>
        <w:spacing w:line="340" w:lineRule="exact"/>
        <w:rPr>
          <w:rFonts w:hAnsi="宋体" w:cs="宋体"/>
          <w:b/>
          <w:szCs w:val="21"/>
          <w:highlight w:val="none"/>
        </w:rPr>
      </w:pPr>
      <w:r>
        <w:rPr>
          <w:rFonts w:hint="eastAsia" w:hAnsi="宋体" w:cs="宋体"/>
          <w:b/>
          <w:szCs w:val="21"/>
          <w:highlight w:val="none"/>
        </w:rPr>
        <w:t>2. 响应文件的组成</w:t>
      </w:r>
    </w:p>
    <w:p>
      <w:pPr>
        <w:pStyle w:val="36"/>
        <w:spacing w:line="340" w:lineRule="exact"/>
        <w:ind w:firstLine="420" w:firstLineChars="200"/>
        <w:rPr>
          <w:rFonts w:hAnsi="宋体" w:cs="宋体"/>
          <w:b/>
          <w:szCs w:val="21"/>
          <w:highlight w:val="none"/>
        </w:rPr>
      </w:pPr>
      <w:r>
        <w:rPr>
          <w:rFonts w:hint="eastAsia" w:hAnsi="宋体" w:cs="宋体"/>
          <w:szCs w:val="21"/>
          <w:highlight w:val="none"/>
        </w:rPr>
        <w:t>响应文件应当包括以下主要内容：</w:t>
      </w:r>
    </w:p>
    <w:p>
      <w:pPr>
        <w:pStyle w:val="36"/>
        <w:spacing w:line="340" w:lineRule="exact"/>
        <w:ind w:firstLine="422" w:firstLineChars="200"/>
        <w:rPr>
          <w:rFonts w:hAnsi="宋体" w:cs="宋体"/>
          <w:szCs w:val="21"/>
          <w:highlight w:val="none"/>
        </w:rPr>
      </w:pPr>
      <w:r>
        <w:rPr>
          <w:rFonts w:hint="eastAsia" w:hAnsi="宋体" w:cs="宋体"/>
          <w:b/>
          <w:bCs/>
          <w:szCs w:val="21"/>
          <w:highlight w:val="none"/>
        </w:rPr>
        <w:t>2.1资格文件</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w:t>
      </w:r>
      <w:r>
        <w:rPr>
          <w:rFonts w:hint="eastAsia" w:hAnsi="宋体" w:cs="宋体"/>
          <w:szCs w:val="21"/>
          <w:highlight w:val="none"/>
        </w:rPr>
        <w:t>（1）</w:t>
      </w:r>
      <w:r>
        <w:rPr>
          <w:rFonts w:hint="eastAsia" w:hAnsi="宋体" w:cs="宋体"/>
          <w:b/>
          <w:bCs/>
          <w:szCs w:val="21"/>
          <w:highlight w:val="none"/>
          <w:lang w:val="zh-CN"/>
        </w:rPr>
        <w:t>授权委托书或法定代表人（单位负责人、自然人本人）身份证明</w:t>
      </w:r>
      <w:r>
        <w:rPr>
          <w:rFonts w:hint="eastAsia" w:hAnsi="宋体" w:cs="宋体"/>
          <w:b/>
          <w:bCs/>
          <w:szCs w:val="21"/>
          <w:highlight w:val="none"/>
        </w:rPr>
        <w:t>；（格式见本谈判文件第七部分，必须提供）</w:t>
      </w:r>
    </w:p>
    <w:p>
      <w:pPr>
        <w:pStyle w:val="36"/>
        <w:spacing w:line="340" w:lineRule="exact"/>
        <w:ind w:firstLine="422" w:firstLineChars="200"/>
        <w:rPr>
          <w:rFonts w:hAnsi="宋体" w:cs="宋体"/>
          <w:b/>
          <w:szCs w:val="21"/>
          <w:highlight w:val="none"/>
        </w:rPr>
      </w:pPr>
      <w:r>
        <w:rPr>
          <w:rFonts w:hint="eastAsia" w:hAnsi="宋体" w:cs="宋体"/>
          <w:b/>
          <w:bCs/>
          <w:szCs w:val="21"/>
          <w:highlight w:val="none"/>
        </w:rPr>
        <w:t>▲</w:t>
      </w:r>
      <w:r>
        <w:rPr>
          <w:rFonts w:hint="eastAsia" w:hAnsi="宋体" w:cs="宋体"/>
          <w:szCs w:val="21"/>
          <w:highlight w:val="none"/>
        </w:rPr>
        <w:t>（2）</w:t>
      </w:r>
      <w:bookmarkStart w:id="51" w:name="OLE_LINK9"/>
      <w:r>
        <w:rPr>
          <w:rFonts w:hint="eastAsia" w:hAnsi="宋体" w:cs="宋体"/>
          <w:b/>
          <w:bCs/>
          <w:szCs w:val="21"/>
          <w:highlight w:val="none"/>
        </w:rPr>
        <w:t>符合参加政府采购活动应当具备的一般条件的承诺函</w:t>
      </w:r>
      <w:bookmarkEnd w:id="51"/>
      <w:r>
        <w:rPr>
          <w:rFonts w:hint="eastAsia" w:hAnsi="宋体" w:cs="宋体"/>
          <w:szCs w:val="21"/>
          <w:highlight w:val="none"/>
        </w:rPr>
        <w:t>；</w:t>
      </w:r>
      <w:r>
        <w:rPr>
          <w:rFonts w:hint="eastAsia" w:hAnsi="宋体" w:cs="宋体"/>
          <w:b/>
          <w:bCs/>
          <w:szCs w:val="21"/>
          <w:highlight w:val="none"/>
        </w:rPr>
        <w:t>（格式见本谈判文件第七部分，必须提供）</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w:t>
      </w:r>
      <w:r>
        <w:rPr>
          <w:rFonts w:hint="eastAsia" w:hAnsi="宋体" w:cs="宋体"/>
          <w:szCs w:val="21"/>
          <w:highlight w:val="none"/>
        </w:rPr>
        <w:t>（3）</w:t>
      </w:r>
      <w:bookmarkStart w:id="52" w:name="OLE_LINK11"/>
      <w:r>
        <w:rPr>
          <w:rFonts w:hint="eastAsia" w:hAnsi="宋体" w:cs="宋体"/>
          <w:b/>
          <w:bCs/>
          <w:szCs w:val="21"/>
          <w:highlight w:val="none"/>
        </w:rPr>
        <w:t>供应商直接控股、管理关系信息表</w:t>
      </w:r>
      <w:bookmarkEnd w:id="52"/>
      <w:r>
        <w:rPr>
          <w:rFonts w:hint="eastAsia" w:hAnsi="宋体" w:cs="宋体"/>
          <w:b/>
          <w:bCs/>
          <w:szCs w:val="21"/>
          <w:highlight w:val="none"/>
        </w:rPr>
        <w:t>；(格式见本谈判文件第七部分，必须提供）</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w:t>
      </w:r>
      <w:r>
        <w:rPr>
          <w:rFonts w:hint="eastAsia" w:hAnsi="宋体" w:cs="宋体"/>
          <w:szCs w:val="21"/>
          <w:highlight w:val="none"/>
        </w:rPr>
        <w:t>（4）</w:t>
      </w:r>
      <w:bookmarkStart w:id="53" w:name="OLE_LINK12"/>
      <w:r>
        <w:rPr>
          <w:rFonts w:hint="eastAsia" w:hAnsi="宋体" w:cs="宋体"/>
          <w:b/>
          <w:bCs/>
          <w:szCs w:val="21"/>
          <w:highlight w:val="none"/>
        </w:rPr>
        <w:t>无串通竞标行为的承诺函</w:t>
      </w:r>
      <w:bookmarkEnd w:id="53"/>
      <w:r>
        <w:rPr>
          <w:rFonts w:hint="eastAsia" w:hAnsi="宋体" w:cs="宋体"/>
          <w:b/>
          <w:bCs/>
          <w:szCs w:val="21"/>
          <w:highlight w:val="none"/>
        </w:rPr>
        <w:t>；（格式见本谈判文件第七部分，必须提供）</w:t>
      </w:r>
    </w:p>
    <w:p>
      <w:pPr>
        <w:spacing w:line="340" w:lineRule="exact"/>
        <w:ind w:firstLine="422" w:firstLineChars="200"/>
        <w:rPr>
          <w:rFonts w:ascii="宋体" w:hAnsi="宋体" w:cs="宋体"/>
          <w:b/>
          <w:bCs/>
          <w:szCs w:val="21"/>
          <w:highlight w:val="none"/>
        </w:rPr>
      </w:pPr>
      <w:r>
        <w:rPr>
          <w:rFonts w:hint="eastAsia" w:ascii="宋体" w:hAnsi="宋体" w:cs="宋体"/>
          <w:b/>
          <w:bCs/>
          <w:szCs w:val="21"/>
          <w:highlight w:val="none"/>
        </w:rPr>
        <w:t>▲（5）谈判保证金缴纳证明；（必须提供）</w:t>
      </w:r>
    </w:p>
    <w:p>
      <w:pPr>
        <w:spacing w:line="340" w:lineRule="exact"/>
        <w:ind w:firstLine="632" w:firstLineChars="300"/>
        <w:rPr>
          <w:rFonts w:ascii="宋体" w:hAnsi="宋体" w:cs="宋体"/>
          <w:szCs w:val="21"/>
          <w:highlight w:val="none"/>
        </w:rPr>
      </w:pPr>
      <w:r>
        <w:rPr>
          <w:rFonts w:hint="eastAsia" w:ascii="宋体" w:hAnsi="宋体" w:cs="宋体"/>
          <w:b/>
          <w:bCs/>
          <w:szCs w:val="21"/>
          <w:highlight w:val="none"/>
        </w:rPr>
        <w:t>（6）以下各项由供应商根据自身情况自愿提交：</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 xml:space="preserve">① </w:t>
      </w:r>
      <w:r>
        <w:rPr>
          <w:rFonts w:hint="eastAsia" w:ascii="宋体" w:hAnsi="宋体" w:cs="宋体"/>
          <w:szCs w:val="21"/>
          <w:highlight w:val="none"/>
        </w:rPr>
        <w:t>谈判供应商有效的营业执照复印件；</w:t>
      </w:r>
    </w:p>
    <w:p>
      <w:pPr>
        <w:kinsoku w:val="0"/>
        <w:spacing w:line="340" w:lineRule="exact"/>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②</w:t>
      </w:r>
      <w:r>
        <w:rPr>
          <w:rFonts w:hint="eastAsia" w:ascii="宋体" w:hAnsi="宋体" w:eastAsia="微软雅黑" w:cs="宋体"/>
          <w:szCs w:val="21"/>
          <w:highlight w:val="none"/>
        </w:rPr>
        <w:t xml:space="preserve"> </w:t>
      </w:r>
      <w:r>
        <w:rPr>
          <w:rFonts w:hint="eastAsia" w:ascii="宋体" w:hAnsi="宋体" w:cs="宋体"/>
          <w:szCs w:val="21"/>
          <w:highlight w:val="none"/>
        </w:rPr>
        <w:t>供应商2025年年度财务报表，或2025年11月份以来连续三个月的财务报表；（新注册成立的企业按实提供）</w:t>
      </w:r>
    </w:p>
    <w:p>
      <w:pPr>
        <w:kinsoku w:val="0"/>
        <w:snapToGrid w:val="0"/>
        <w:spacing w:line="340" w:lineRule="exact"/>
        <w:ind w:firstLine="420" w:firstLineChars="200"/>
        <w:jc w:val="left"/>
        <w:rPr>
          <w:rFonts w:ascii="宋体" w:hAnsi="宋体" w:cs="宋体"/>
          <w:b/>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③</w:t>
      </w:r>
      <w:r>
        <w:rPr>
          <w:rFonts w:hint="eastAsia" w:ascii="宋体" w:hAnsi="宋体" w:eastAsia="微软雅黑" w:cs="宋体"/>
          <w:szCs w:val="21"/>
          <w:highlight w:val="none"/>
        </w:rPr>
        <w:t xml:space="preserve"> </w:t>
      </w:r>
      <w:r>
        <w:rPr>
          <w:rFonts w:hint="eastAsia" w:ascii="宋体" w:hAnsi="宋体" w:cs="宋体"/>
          <w:szCs w:val="21"/>
          <w:highlight w:val="none"/>
        </w:rPr>
        <w:t>本项目响应文件递交截止之日前半年内供应商连续三个月依法缴纳税费或依法免缴税费的证明</w:t>
      </w:r>
      <w:r>
        <w:rPr>
          <w:rFonts w:hint="eastAsia" w:ascii="宋体" w:hAnsi="宋体" w:cs="宋体"/>
          <w:b/>
          <w:szCs w:val="21"/>
          <w:highlight w:val="none"/>
        </w:rPr>
        <w:t>复印件</w:t>
      </w:r>
      <w:r>
        <w:rPr>
          <w:rFonts w:hint="eastAsia" w:ascii="宋体" w:hAnsi="宋体" w:cs="宋体"/>
          <w:bCs/>
          <w:szCs w:val="21"/>
          <w:highlight w:val="none"/>
        </w:rPr>
        <w:t>，</w:t>
      </w:r>
      <w:r>
        <w:rPr>
          <w:rFonts w:hint="eastAsia" w:ascii="宋体" w:hAnsi="宋体" w:cs="宋体"/>
          <w:szCs w:val="21"/>
          <w:highlight w:val="none"/>
        </w:rPr>
        <w:t>无纳税记录的，应提供由供应商所在地主管税务部门出具的《依法纳税或依法免税证明》</w:t>
      </w:r>
      <w:r>
        <w:rPr>
          <w:rFonts w:hint="eastAsia" w:ascii="宋体" w:hAnsi="宋体" w:cs="宋体"/>
          <w:bCs/>
          <w:highlight w:val="none"/>
        </w:rPr>
        <w:t>；</w:t>
      </w:r>
      <w:r>
        <w:rPr>
          <w:rFonts w:hint="eastAsia" w:ascii="宋体" w:hAnsi="宋体" w:cs="宋体"/>
          <w:szCs w:val="21"/>
          <w:highlight w:val="none"/>
        </w:rPr>
        <w:t>（新注册成立的单位按实提供）</w:t>
      </w:r>
    </w:p>
    <w:p>
      <w:pPr>
        <w:kinsoku w:val="0"/>
        <w:snapToGrid w:val="0"/>
        <w:spacing w:line="3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   ④</w:t>
      </w:r>
      <w:r>
        <w:rPr>
          <w:rFonts w:hint="eastAsia" w:ascii="宋体" w:hAnsi="宋体" w:cs="宋体"/>
          <w:bCs/>
          <w:szCs w:val="21"/>
          <w:highlight w:val="none"/>
        </w:rPr>
        <w:t xml:space="preserve"> </w:t>
      </w:r>
      <w:r>
        <w:rPr>
          <w:rFonts w:hint="eastAsia" w:ascii="宋体" w:hAnsi="宋体" w:cs="宋体"/>
          <w:szCs w:val="21"/>
          <w:highlight w:val="none"/>
        </w:rPr>
        <w:t>本项目响应文件递交截止之日前半年内供应商连续三个月</w:t>
      </w:r>
      <w:r>
        <w:rPr>
          <w:rFonts w:hint="eastAsia" w:ascii="宋体" w:hAnsi="宋体"/>
          <w:szCs w:val="21"/>
          <w:highlight w:val="none"/>
        </w:rPr>
        <w:t>依法缴纳社保费的缴费凭证复印件</w:t>
      </w:r>
      <w:r>
        <w:rPr>
          <w:rFonts w:hint="eastAsia" w:ascii="宋体" w:hAnsi="宋体" w:cs="宋体"/>
          <w:bCs/>
          <w:szCs w:val="21"/>
          <w:highlight w:val="none"/>
        </w:rPr>
        <w:t>，</w:t>
      </w:r>
      <w:r>
        <w:rPr>
          <w:rFonts w:hint="eastAsia" w:ascii="宋体" w:hAnsi="宋体" w:cs="宋体"/>
          <w:szCs w:val="21"/>
          <w:highlight w:val="none"/>
        </w:rPr>
        <w:t>无缴费记录的，应提供由供应商所在地社保部门出具的《依法缴纳或依法免缴社保费证明》</w:t>
      </w:r>
      <w:r>
        <w:rPr>
          <w:rFonts w:hint="eastAsia" w:ascii="宋体" w:hAnsi="宋体" w:cs="宋体"/>
          <w:bCs/>
          <w:highlight w:val="none"/>
        </w:rPr>
        <w:t>；</w:t>
      </w:r>
      <w:r>
        <w:rPr>
          <w:rFonts w:hint="eastAsia" w:ascii="宋体" w:hAnsi="宋体" w:cs="宋体"/>
          <w:szCs w:val="21"/>
          <w:highlight w:val="none"/>
        </w:rPr>
        <w:t>（新注册成立的单位按实提供）</w:t>
      </w:r>
    </w:p>
    <w:p>
      <w:pPr>
        <w:pStyle w:val="36"/>
        <w:spacing w:line="340" w:lineRule="exact"/>
        <w:ind w:firstLine="840" w:firstLineChars="400"/>
        <w:rPr>
          <w:rFonts w:hAnsi="宋体" w:cs="宋体"/>
          <w:szCs w:val="21"/>
          <w:highlight w:val="none"/>
        </w:rPr>
      </w:pPr>
      <w:r>
        <w:rPr>
          <w:rFonts w:hint="eastAsia" w:hAnsi="宋体" w:cs="宋体"/>
          <w:szCs w:val="21"/>
          <w:highlight w:val="none"/>
        </w:rPr>
        <w:t>⑤ 所有资信文件（如果有）；</w:t>
      </w:r>
    </w:p>
    <w:p>
      <w:pPr>
        <w:pStyle w:val="36"/>
        <w:spacing w:line="340" w:lineRule="exact"/>
        <w:ind w:firstLine="840" w:firstLineChars="400"/>
        <w:rPr>
          <w:rFonts w:hAnsi="宋体" w:cs="宋体"/>
          <w:szCs w:val="21"/>
          <w:highlight w:val="none"/>
        </w:rPr>
      </w:pPr>
      <w:r>
        <w:rPr>
          <w:rFonts w:hint="eastAsia" w:hAnsi="宋体" w:cs="宋体"/>
          <w:szCs w:val="21"/>
          <w:highlight w:val="none"/>
        </w:rPr>
        <w:t>⑥ 供应商认为需要提供的其它有关资料。</w:t>
      </w:r>
    </w:p>
    <w:p>
      <w:pPr>
        <w:pStyle w:val="36"/>
        <w:spacing w:line="340" w:lineRule="exact"/>
        <w:ind w:firstLine="422" w:firstLineChars="200"/>
        <w:rPr>
          <w:rFonts w:hAnsi="宋体" w:cs="宋体"/>
          <w:b/>
          <w:bCs/>
          <w:kern w:val="0"/>
          <w:szCs w:val="21"/>
          <w:highlight w:val="none"/>
        </w:rPr>
      </w:pPr>
      <w:r>
        <w:rPr>
          <w:rFonts w:hint="eastAsia" w:hAnsi="宋体" w:cs="宋体"/>
          <w:b/>
          <w:bCs/>
          <w:kern w:val="0"/>
          <w:szCs w:val="21"/>
          <w:highlight w:val="none"/>
        </w:rPr>
        <w:t>2.2商务技术</w:t>
      </w:r>
      <w:r>
        <w:rPr>
          <w:rFonts w:hint="eastAsia"/>
          <w:b/>
          <w:bCs/>
          <w:highlight w:val="none"/>
        </w:rPr>
        <w:t>文件</w:t>
      </w:r>
    </w:p>
    <w:p>
      <w:pPr>
        <w:pStyle w:val="36"/>
        <w:spacing w:line="340" w:lineRule="exact"/>
        <w:ind w:firstLine="422" w:firstLineChars="200"/>
        <w:rPr>
          <w:rFonts w:hAnsi="宋体" w:cs="宋体"/>
          <w:kern w:val="0"/>
          <w:szCs w:val="21"/>
          <w:highlight w:val="none"/>
        </w:rPr>
      </w:pPr>
      <w:r>
        <w:rPr>
          <w:rFonts w:hint="eastAsia" w:hAnsi="宋体" w:cs="宋体"/>
          <w:b/>
          <w:bCs/>
          <w:szCs w:val="21"/>
          <w:highlight w:val="none"/>
        </w:rPr>
        <w:t>▲</w:t>
      </w:r>
      <w:r>
        <w:rPr>
          <w:rFonts w:hint="eastAsia" w:hAnsi="宋体" w:cs="宋体"/>
          <w:kern w:val="0"/>
          <w:szCs w:val="21"/>
          <w:highlight w:val="none"/>
        </w:rPr>
        <w:t>（1）</w:t>
      </w:r>
      <w:r>
        <w:rPr>
          <w:rFonts w:hint="eastAsia" w:hAnsi="宋体" w:cs="宋体"/>
          <w:b/>
          <w:bCs/>
          <w:szCs w:val="21"/>
          <w:highlight w:val="none"/>
        </w:rPr>
        <w:t>响应函；（格式见本谈判文件第七部分，必须提供）</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w:t>
      </w:r>
      <w:r>
        <w:rPr>
          <w:rFonts w:hint="eastAsia" w:hAnsi="宋体" w:cs="宋体"/>
          <w:kern w:val="0"/>
          <w:szCs w:val="21"/>
          <w:highlight w:val="none"/>
        </w:rPr>
        <w:t>（2）</w:t>
      </w:r>
      <w:r>
        <w:rPr>
          <w:rFonts w:hint="eastAsia" w:hAnsi="宋体" w:cs="宋体"/>
          <w:b/>
          <w:bCs/>
          <w:szCs w:val="21"/>
          <w:highlight w:val="none"/>
        </w:rPr>
        <w:t>承诺函；（格式见本谈判文件第七部分，必须提供）</w:t>
      </w:r>
    </w:p>
    <w:p>
      <w:pPr>
        <w:pStyle w:val="36"/>
        <w:spacing w:line="340" w:lineRule="exact"/>
        <w:ind w:firstLine="422" w:firstLineChars="200"/>
        <w:rPr>
          <w:highlight w:val="none"/>
        </w:rPr>
      </w:pPr>
      <w:r>
        <w:rPr>
          <w:rFonts w:hint="eastAsia" w:hAnsi="宋体" w:cs="宋体"/>
          <w:b/>
          <w:bCs/>
          <w:szCs w:val="21"/>
          <w:highlight w:val="none"/>
        </w:rPr>
        <w:t>▲</w:t>
      </w:r>
      <w:r>
        <w:rPr>
          <w:rFonts w:hint="eastAsia" w:hAnsi="宋体" w:cs="宋体"/>
          <w:szCs w:val="21"/>
          <w:highlight w:val="none"/>
        </w:rPr>
        <w:t>（3）</w:t>
      </w:r>
      <w:r>
        <w:rPr>
          <w:rFonts w:hint="eastAsia" w:hAnsi="宋体" w:cs="宋体"/>
          <w:b/>
          <w:bCs/>
          <w:kern w:val="0"/>
          <w:szCs w:val="21"/>
          <w:highlight w:val="none"/>
          <w:lang w:val="zh-CN"/>
        </w:rPr>
        <w:t>政府采购供应商廉洁自律承诺书</w:t>
      </w:r>
      <w:r>
        <w:rPr>
          <w:rFonts w:hint="eastAsia" w:hAnsi="宋体" w:cs="宋体"/>
          <w:kern w:val="0"/>
          <w:szCs w:val="21"/>
          <w:highlight w:val="none"/>
          <w:lang w:val="zh-CN"/>
        </w:rPr>
        <w:t>；</w:t>
      </w:r>
      <w:r>
        <w:rPr>
          <w:rFonts w:hint="eastAsia" w:hAnsi="宋体" w:cs="宋体"/>
          <w:b/>
          <w:bCs/>
          <w:szCs w:val="21"/>
          <w:highlight w:val="none"/>
        </w:rPr>
        <w:t>（格式见本谈判文件第七部分，必须提供）</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w:t>
      </w:r>
      <w:r>
        <w:rPr>
          <w:rFonts w:hint="eastAsia" w:hAnsi="宋体" w:cs="宋体"/>
          <w:szCs w:val="21"/>
          <w:highlight w:val="none"/>
        </w:rPr>
        <w:t>（4）</w:t>
      </w:r>
      <w:r>
        <w:rPr>
          <w:rFonts w:hint="eastAsia" w:hAnsi="宋体" w:cs="宋体"/>
          <w:b/>
          <w:bCs/>
          <w:szCs w:val="21"/>
          <w:highlight w:val="none"/>
        </w:rPr>
        <w:t>商务</w:t>
      </w:r>
      <w:r>
        <w:rPr>
          <w:rFonts w:hint="eastAsia" w:hAnsi="宋体" w:cs="宋体"/>
          <w:b/>
          <w:bCs/>
          <w:szCs w:val="21"/>
          <w:highlight w:val="none"/>
          <w:lang w:eastAsia="zh-CN"/>
        </w:rPr>
        <w:t>、</w:t>
      </w:r>
      <w:r>
        <w:rPr>
          <w:rFonts w:hint="eastAsia" w:hAnsi="宋体" w:cs="宋体"/>
          <w:b/>
          <w:bCs/>
          <w:szCs w:val="21"/>
          <w:highlight w:val="none"/>
        </w:rPr>
        <w:t>技术响应偏离情况说明表</w:t>
      </w:r>
      <w:r>
        <w:rPr>
          <w:rFonts w:hint="eastAsia" w:hAnsi="宋体" w:cs="宋体"/>
          <w:szCs w:val="21"/>
          <w:highlight w:val="none"/>
        </w:rPr>
        <w:t>；</w:t>
      </w:r>
      <w:r>
        <w:rPr>
          <w:rFonts w:hint="eastAsia" w:hAnsi="宋体" w:cs="宋体"/>
          <w:b/>
          <w:bCs/>
          <w:szCs w:val="21"/>
          <w:highlight w:val="none"/>
        </w:rPr>
        <w:t>（</w:t>
      </w:r>
      <w:bookmarkStart w:id="54" w:name="OLE_LINK17"/>
      <w:r>
        <w:rPr>
          <w:rFonts w:hint="eastAsia" w:hAnsi="宋体" w:cs="宋体"/>
          <w:b/>
          <w:bCs/>
          <w:szCs w:val="21"/>
          <w:highlight w:val="none"/>
        </w:rPr>
        <w:t>格式见本谈判文件第七部分</w:t>
      </w:r>
      <w:bookmarkEnd w:id="54"/>
      <w:r>
        <w:rPr>
          <w:rFonts w:hint="eastAsia" w:hAnsi="宋体" w:cs="宋体"/>
          <w:b/>
          <w:bCs/>
          <w:szCs w:val="21"/>
          <w:highlight w:val="none"/>
        </w:rPr>
        <w:t>，必须提供）</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▲（5）质量保证措施；（格式自拟，必须提供）</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▲（6）产品质量保证书；（格式见本谈判文件第七部分，必须提供）</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▲（7）售后服务承诺书（应根据项目实际要求描述，至少包括：安装、调试、验收方法或方案；质量保证措施；技术服务、技术培训、售后服务的内容和措施等）；（格式自拟，必须提供）</w:t>
      </w:r>
    </w:p>
    <w:p>
      <w:pPr>
        <w:pStyle w:val="36"/>
        <w:spacing w:line="340" w:lineRule="exact"/>
        <w:ind w:firstLine="630" w:firstLineChars="300"/>
        <w:rPr>
          <w:rFonts w:hAnsi="宋体" w:cs="宋体"/>
          <w:highlight w:val="none"/>
        </w:rPr>
      </w:pPr>
      <w:r>
        <w:rPr>
          <w:rFonts w:hint="eastAsia" w:hAnsi="宋体" w:cs="宋体"/>
          <w:highlight w:val="none"/>
        </w:rPr>
        <w:t>（8）本谈判文件第四部分采购需求中要求提供的材料、文件、证明或证书等</w:t>
      </w:r>
      <w:r>
        <w:rPr>
          <w:rFonts w:hint="eastAsia" w:hAnsi="宋体" w:cs="宋体"/>
          <w:b/>
          <w:highlight w:val="none"/>
        </w:rPr>
        <w:t>（</w:t>
      </w:r>
      <w:r>
        <w:rPr>
          <w:rFonts w:hint="eastAsia" w:hAnsi="宋体" w:cs="宋体"/>
          <w:b/>
          <w:highlight w:val="none"/>
          <w:lang w:eastAsia="zh-CN"/>
        </w:rPr>
        <w:t>本谈判文件</w:t>
      </w:r>
      <w:r>
        <w:rPr>
          <w:rFonts w:hint="eastAsia" w:hAnsi="宋体" w:cs="宋体"/>
          <w:b/>
          <w:highlight w:val="none"/>
        </w:rPr>
        <w:t>第四部分中如有要求，则必须提供）</w:t>
      </w:r>
      <w:r>
        <w:rPr>
          <w:rFonts w:hint="eastAsia" w:hAnsi="宋体" w:cs="宋体"/>
          <w:bCs/>
          <w:highlight w:val="none"/>
        </w:rPr>
        <w:t>；</w:t>
      </w:r>
    </w:p>
    <w:p>
      <w:pPr>
        <w:spacing w:line="340" w:lineRule="exact"/>
        <w:ind w:firstLine="630" w:firstLineChars="300"/>
        <w:rPr>
          <w:rFonts w:ascii="宋体" w:hAnsi="宋体" w:cs="宋体"/>
          <w:b/>
          <w:bCs/>
          <w:szCs w:val="21"/>
          <w:highlight w:val="none"/>
        </w:rPr>
      </w:pPr>
      <w:r>
        <w:rPr>
          <w:rFonts w:hint="eastAsia" w:ascii="宋体" w:hAnsi="宋体" w:cs="宋体"/>
          <w:kern w:val="0"/>
          <w:szCs w:val="21"/>
          <w:highlight w:val="none"/>
        </w:rPr>
        <w:t>（9）</w:t>
      </w:r>
      <w:r>
        <w:rPr>
          <w:rFonts w:hint="eastAsia" w:ascii="宋体" w:hAnsi="宋体" w:cs="宋体"/>
          <w:szCs w:val="21"/>
          <w:highlight w:val="none"/>
        </w:rPr>
        <w:t>生产、销售许可证；</w:t>
      </w:r>
      <w:r>
        <w:rPr>
          <w:rFonts w:hint="eastAsia" w:ascii="宋体" w:hAnsi="宋体" w:cs="宋体"/>
          <w:b/>
          <w:szCs w:val="21"/>
          <w:highlight w:val="none"/>
        </w:rPr>
        <w:t>（如国家实行强制性要求的，则必须提供）</w:t>
      </w:r>
    </w:p>
    <w:p>
      <w:pPr>
        <w:spacing w:line="340" w:lineRule="exact"/>
        <w:ind w:firstLine="630" w:firstLineChars="300"/>
        <w:rPr>
          <w:rFonts w:ascii="宋体" w:hAnsi="宋体" w:cs="宋体"/>
          <w:b/>
          <w:bCs/>
          <w:szCs w:val="21"/>
          <w:highlight w:val="none"/>
        </w:rPr>
      </w:pPr>
      <w:r>
        <w:rPr>
          <w:rFonts w:hint="eastAsia" w:ascii="宋体" w:hAnsi="宋体" w:cs="宋体"/>
          <w:kern w:val="0"/>
          <w:szCs w:val="21"/>
          <w:highlight w:val="none"/>
        </w:rPr>
        <w:t>（10）</w:t>
      </w:r>
      <w:r>
        <w:rPr>
          <w:rFonts w:hint="eastAsia" w:ascii="宋体" w:hAnsi="宋体" w:cs="宋体"/>
          <w:szCs w:val="21"/>
          <w:highlight w:val="none"/>
        </w:rPr>
        <w:t>具备法律、行政法规规定的其他条件的证明材料；（如有规定,则必须提供）</w:t>
      </w:r>
    </w:p>
    <w:p>
      <w:pPr>
        <w:spacing w:line="340" w:lineRule="exact"/>
        <w:ind w:firstLine="632" w:firstLineChars="300"/>
        <w:rPr>
          <w:rFonts w:ascii="宋体" w:hAnsi="宋体" w:cs="宋体"/>
          <w:highlight w:val="none"/>
        </w:rPr>
      </w:pPr>
      <w:r>
        <w:rPr>
          <w:rFonts w:hint="eastAsia" w:ascii="宋体" w:hAnsi="宋体" w:cs="宋体"/>
          <w:b/>
          <w:bCs/>
          <w:szCs w:val="21"/>
          <w:highlight w:val="none"/>
        </w:rPr>
        <w:t>（11）以下各项由供应商根据自身情况自愿提交：</w:t>
      </w:r>
    </w:p>
    <w:p>
      <w:pPr>
        <w:spacing w:line="340" w:lineRule="exact"/>
        <w:ind w:firstLine="840" w:firstLineChars="400"/>
        <w:rPr>
          <w:rFonts w:ascii="宋体" w:hAnsi="宋体" w:cs="宋体"/>
          <w:highlight w:val="none"/>
        </w:rPr>
      </w:pPr>
      <w:r>
        <w:rPr>
          <w:rFonts w:hint="eastAsia" w:ascii="微软雅黑" w:hAnsi="微软雅黑" w:eastAsia="微软雅黑" w:cs="微软雅黑"/>
          <w:highlight w:val="none"/>
        </w:rPr>
        <w:t>①</w:t>
      </w:r>
      <w:r>
        <w:rPr>
          <w:rFonts w:hint="eastAsia" w:ascii="宋体" w:hAnsi="宋体" w:cs="宋体"/>
          <w:highlight w:val="none"/>
        </w:rPr>
        <w:t xml:space="preserve"> </w:t>
      </w:r>
      <w:r>
        <w:rPr>
          <w:rFonts w:hint="eastAsia" w:ascii="宋体" w:hAnsi="宋体" w:cs="宋体"/>
          <w:szCs w:val="21"/>
          <w:highlight w:val="none"/>
        </w:rPr>
        <w:t>中小企业声明函或残疾人福利性单位声明函或监狱企业的证明文件</w:t>
      </w:r>
      <w:r>
        <w:rPr>
          <w:rFonts w:hint="eastAsia" w:ascii="宋体" w:hAnsi="宋体" w:cs="宋体"/>
          <w:highlight w:val="none"/>
        </w:rPr>
        <w:t>；</w:t>
      </w:r>
      <w:r>
        <w:rPr>
          <w:rFonts w:hint="eastAsia" w:ascii="宋体" w:hAnsi="宋体" w:cs="宋体"/>
          <w:b/>
          <w:bCs/>
          <w:highlight w:val="none"/>
        </w:rPr>
        <w:t>（</w:t>
      </w:r>
      <w:r>
        <w:rPr>
          <w:rFonts w:hint="eastAsia" w:ascii="宋体" w:hAnsi="宋体" w:cs="宋体"/>
          <w:b/>
          <w:bCs/>
          <w:szCs w:val="21"/>
          <w:highlight w:val="none"/>
        </w:rPr>
        <w:t>符合条件的请提供，否则因此不能享受相关的优惠政策后果自负）(</w:t>
      </w:r>
      <w:r>
        <w:rPr>
          <w:rFonts w:hint="eastAsia" w:ascii="宋体" w:hAnsi="宋体" w:cs="宋体"/>
          <w:b/>
          <w:bCs/>
          <w:highlight w:val="none"/>
        </w:rPr>
        <w:t>格式见</w:t>
      </w:r>
      <w:r>
        <w:rPr>
          <w:rFonts w:hint="eastAsia" w:hAnsi="宋体" w:cs="宋体"/>
          <w:b/>
          <w:bCs/>
          <w:szCs w:val="21"/>
          <w:highlight w:val="none"/>
        </w:rPr>
        <w:t>第七部分</w:t>
      </w:r>
      <w:r>
        <w:rPr>
          <w:rFonts w:hint="eastAsia" w:ascii="宋体" w:hAnsi="宋体" w:cs="宋体"/>
          <w:b/>
          <w:bCs/>
          <w:highlight w:val="none"/>
        </w:rPr>
        <w:t>）</w:t>
      </w:r>
    </w:p>
    <w:p>
      <w:pPr>
        <w:pStyle w:val="36"/>
        <w:spacing w:line="340" w:lineRule="exact"/>
        <w:ind w:firstLine="840" w:firstLineChars="400"/>
        <w:rPr>
          <w:rFonts w:hAnsi="宋体" w:cs="宋体"/>
          <w:b/>
          <w:highlight w:val="none"/>
        </w:rPr>
      </w:pPr>
      <w:r>
        <w:rPr>
          <w:rFonts w:hint="eastAsia" w:ascii="微软雅黑" w:hAnsi="微软雅黑" w:eastAsia="微软雅黑" w:cs="微软雅黑"/>
          <w:kern w:val="0"/>
          <w:highlight w:val="none"/>
        </w:rPr>
        <w:t>②</w:t>
      </w:r>
      <w:r>
        <w:rPr>
          <w:rFonts w:hint="eastAsia" w:hAnsi="宋体" w:cs="宋体"/>
          <w:kern w:val="0"/>
          <w:highlight w:val="none"/>
        </w:rPr>
        <w:t xml:space="preserve"> </w:t>
      </w:r>
      <w:r>
        <w:rPr>
          <w:rFonts w:hint="eastAsia" w:hAnsi="宋体" w:cs="宋体"/>
          <w:highlight w:val="none"/>
        </w:rPr>
        <w:t>响应截止时间近三年以来供应商的主要业绩证明材料</w:t>
      </w:r>
      <w:r>
        <w:rPr>
          <w:rFonts w:hint="eastAsia" w:hAnsi="宋体" w:cs="宋体"/>
          <w:kern w:val="0"/>
          <w:highlight w:val="none"/>
          <w:lang w:val="zh-CN"/>
        </w:rPr>
        <w:t xml:space="preserve"> (如果有则提供)</w:t>
      </w:r>
      <w:r>
        <w:rPr>
          <w:rFonts w:hint="eastAsia" w:hAnsi="宋体" w:cs="宋体"/>
          <w:highlight w:val="none"/>
        </w:rPr>
        <w:t>；</w:t>
      </w:r>
    </w:p>
    <w:p>
      <w:pPr>
        <w:pStyle w:val="36"/>
        <w:spacing w:line="340" w:lineRule="exact"/>
        <w:ind w:firstLine="630" w:firstLineChars="300"/>
        <w:rPr>
          <w:rFonts w:hAnsi="宋体" w:cs="宋体"/>
          <w:szCs w:val="21"/>
          <w:highlight w:val="none"/>
        </w:rPr>
      </w:pPr>
      <w:r>
        <w:rPr>
          <w:rFonts w:hint="eastAsia" w:hAnsi="宋体" w:cs="宋体"/>
          <w:kern w:val="0"/>
          <w:highlight w:val="none"/>
        </w:rPr>
        <w:t xml:space="preserve">  </w:t>
      </w:r>
      <w:r>
        <w:rPr>
          <w:rFonts w:hint="eastAsia" w:ascii="微软雅黑" w:hAnsi="微软雅黑" w:eastAsia="微软雅黑" w:cs="微软雅黑"/>
          <w:kern w:val="0"/>
          <w:highlight w:val="none"/>
        </w:rPr>
        <w:t>③</w:t>
      </w:r>
      <w:r>
        <w:rPr>
          <w:rFonts w:hint="eastAsia" w:hAnsi="宋体" w:cs="宋体"/>
          <w:kern w:val="0"/>
          <w:highlight w:val="none"/>
        </w:rPr>
        <w:t xml:space="preserve"> </w:t>
      </w:r>
      <w:r>
        <w:rPr>
          <w:rFonts w:hint="eastAsia" w:hAnsi="宋体" w:cs="宋体"/>
          <w:highlight w:val="none"/>
        </w:rPr>
        <w:t>供应商</w:t>
      </w:r>
      <w:r>
        <w:rPr>
          <w:rFonts w:hint="eastAsia" w:hAnsi="宋体" w:cs="宋体"/>
          <w:kern w:val="0"/>
          <w:highlight w:val="none"/>
          <w:lang w:val="zh-CN"/>
        </w:rPr>
        <w:t>认为需要提供的其他商务技术文件或说明 (如果有则提供) ；</w:t>
      </w:r>
    </w:p>
    <w:p>
      <w:pPr>
        <w:pStyle w:val="640"/>
        <w:wordWrap w:val="0"/>
        <w:spacing w:line="340" w:lineRule="exact"/>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④</w:t>
      </w:r>
      <w:r>
        <w:rPr>
          <w:rFonts w:hint="eastAsia" w:ascii="宋体" w:hAnsi="宋体" w:cs="宋体"/>
          <w:szCs w:val="21"/>
          <w:highlight w:val="none"/>
        </w:rPr>
        <w:t xml:space="preserve"> 货物制造、检验、测试、验收执行的标准；</w:t>
      </w:r>
    </w:p>
    <w:p>
      <w:pPr>
        <w:pStyle w:val="640"/>
        <w:wordWrap w:val="0"/>
        <w:spacing w:line="340" w:lineRule="exact"/>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⑤</w:t>
      </w:r>
      <w:r>
        <w:rPr>
          <w:rFonts w:hint="eastAsia" w:ascii="宋体" w:hAnsi="宋体" w:cs="宋体"/>
          <w:szCs w:val="21"/>
          <w:highlight w:val="none"/>
        </w:rPr>
        <w:t xml:space="preserve"> 货物认证、检测报告、鉴定证书等；</w:t>
      </w:r>
    </w:p>
    <w:p>
      <w:pPr>
        <w:pStyle w:val="640"/>
        <w:wordWrap w:val="0"/>
        <w:spacing w:line="348" w:lineRule="exact"/>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⑥</w:t>
      </w:r>
      <w:r>
        <w:rPr>
          <w:rFonts w:hint="eastAsia" w:ascii="宋体" w:hAnsi="宋体" w:cs="宋体"/>
          <w:szCs w:val="21"/>
          <w:highlight w:val="none"/>
        </w:rPr>
        <w:t xml:space="preserve"> 产品获奖证书； </w:t>
      </w:r>
    </w:p>
    <w:p>
      <w:pPr>
        <w:pStyle w:val="640"/>
        <w:wordWrap w:val="0"/>
        <w:spacing w:line="348" w:lineRule="exact"/>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⑦</w:t>
      </w:r>
      <w:r>
        <w:rPr>
          <w:rFonts w:hint="eastAsia" w:ascii="宋体" w:hAnsi="宋体" w:cs="宋体"/>
          <w:szCs w:val="21"/>
          <w:highlight w:val="none"/>
        </w:rPr>
        <w:t xml:space="preserve"> 货物名称、型号、规格、数量、性能、内部配置、使用原材料，引进新技术、新工艺、新材料的等情况；</w:t>
      </w:r>
    </w:p>
    <w:p>
      <w:pPr>
        <w:pStyle w:val="640"/>
        <w:wordWrap w:val="0"/>
        <w:spacing w:line="348" w:lineRule="exact"/>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⑧</w:t>
      </w:r>
      <w:r>
        <w:rPr>
          <w:rFonts w:hint="eastAsia" w:ascii="宋体" w:hAnsi="宋体" w:cs="宋体"/>
          <w:szCs w:val="21"/>
          <w:highlight w:val="none"/>
        </w:rPr>
        <w:t xml:space="preserve"> 产品样本、使用保养说明书、图纸等技术资料；</w:t>
      </w:r>
    </w:p>
    <w:p>
      <w:pPr>
        <w:pStyle w:val="640"/>
        <w:wordWrap w:val="0"/>
        <w:spacing w:line="348" w:lineRule="exact"/>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⑨</w:t>
      </w:r>
      <w:r>
        <w:rPr>
          <w:rFonts w:hint="eastAsia" w:ascii="宋体" w:hAnsi="宋体" w:cs="宋体"/>
          <w:szCs w:val="21"/>
          <w:highlight w:val="none"/>
        </w:rPr>
        <w:t xml:space="preserve"> 安全生产许可证复印件、产品代理资格证明文件复印件；</w:t>
      </w:r>
    </w:p>
    <w:p>
      <w:pPr>
        <w:ind w:firstLine="630" w:firstLineChars="300"/>
        <w:rPr>
          <w:rFonts w:ascii="宋体" w:hAnsi="宋体" w:cs="宋体"/>
          <w:szCs w:val="21"/>
          <w:highlight w:val="none"/>
        </w:rPr>
      </w:pPr>
      <w:r>
        <w:rPr>
          <w:rFonts w:hint="eastAsia" w:ascii="宋体" w:hAnsi="宋体" w:cs="宋体"/>
          <w:szCs w:val="21"/>
          <w:highlight w:val="none"/>
        </w:rPr>
        <w:t xml:space="preserve">  </w:t>
      </w:r>
      <w:r>
        <w:rPr>
          <w:rFonts w:hint="eastAsia" w:ascii="微软雅黑" w:hAnsi="微软雅黑" w:eastAsia="微软雅黑" w:cs="微软雅黑"/>
          <w:szCs w:val="21"/>
          <w:highlight w:val="none"/>
        </w:rPr>
        <w:t>⑩</w:t>
      </w:r>
      <w:r>
        <w:rPr>
          <w:rFonts w:hint="eastAsia" w:ascii="宋体" w:hAnsi="宋体" w:cs="宋体"/>
          <w:szCs w:val="21"/>
          <w:highlight w:val="none"/>
        </w:rPr>
        <w:t xml:space="preserve"> 谈判供应商认为需要提供的有关资料。</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2.3报价文件</w:t>
      </w:r>
    </w:p>
    <w:p>
      <w:pPr>
        <w:pStyle w:val="36"/>
        <w:spacing w:line="340" w:lineRule="exact"/>
        <w:ind w:firstLine="422" w:firstLineChars="200"/>
        <w:rPr>
          <w:rFonts w:hAnsi="宋体" w:cs="宋体"/>
          <w:b/>
          <w:bCs/>
          <w:szCs w:val="21"/>
          <w:highlight w:val="none"/>
        </w:rPr>
      </w:pPr>
      <w:r>
        <w:rPr>
          <w:rFonts w:hint="eastAsia" w:hAnsi="宋体" w:cs="宋体"/>
          <w:b/>
          <w:bCs/>
          <w:szCs w:val="21"/>
          <w:highlight w:val="none"/>
        </w:rPr>
        <w:t>▲（1）报价表（格式见本谈判文件第七部分，必须提供）。</w:t>
      </w:r>
    </w:p>
    <w:p>
      <w:pPr>
        <w:pStyle w:val="36"/>
        <w:spacing w:line="340" w:lineRule="exact"/>
        <w:ind w:firstLine="632" w:firstLineChars="300"/>
        <w:rPr>
          <w:rFonts w:hint="default" w:hAnsi="宋体" w:eastAsia="宋体" w:cs="宋体"/>
          <w:b/>
          <w:szCs w:val="21"/>
          <w:highlight w:val="none"/>
          <w:lang w:val="en-US" w:eastAsia="zh-CN"/>
        </w:rPr>
      </w:pPr>
      <w:r>
        <w:rPr>
          <w:rFonts w:hint="eastAsia" w:hAnsi="宋体" w:cs="宋体"/>
          <w:b/>
          <w:szCs w:val="21"/>
          <w:highlight w:val="none"/>
          <w:lang w:eastAsia="zh-CN"/>
        </w:rPr>
        <w:t>（</w:t>
      </w:r>
      <w:r>
        <w:rPr>
          <w:rFonts w:hint="eastAsia" w:hAnsi="宋体" w:cs="宋体"/>
          <w:b/>
          <w:szCs w:val="21"/>
          <w:highlight w:val="none"/>
          <w:lang w:val="en-US" w:eastAsia="zh-CN"/>
        </w:rPr>
        <w:t>2）关于符合本国产品标准的声明函或财政部会同有关部门规定的有关证明文件(</w:t>
      </w:r>
      <w:r>
        <w:rPr>
          <w:rFonts w:hint="eastAsia" w:hAnsi="宋体" w:cs="宋体"/>
          <w:b/>
          <w:bCs/>
          <w:szCs w:val="21"/>
          <w:highlight w:val="none"/>
        </w:rPr>
        <w:t>格式见本谈判文件第七部分</w:t>
      </w:r>
      <w:r>
        <w:rPr>
          <w:rFonts w:hint="eastAsia" w:hAnsi="宋体" w:cs="宋体"/>
          <w:b/>
          <w:bCs/>
          <w:szCs w:val="21"/>
          <w:highlight w:val="none"/>
          <w:lang w:eastAsia="zh-CN"/>
        </w:rPr>
        <w:t>，</w:t>
      </w:r>
      <w:r>
        <w:rPr>
          <w:rFonts w:hint="eastAsia" w:hAnsi="宋体" w:cs="宋体"/>
          <w:b/>
          <w:szCs w:val="21"/>
          <w:highlight w:val="none"/>
          <w:lang w:val="en-US" w:eastAsia="zh-CN"/>
        </w:rPr>
        <w:t>如有请提供)</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特别说明：</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①电子响应文件中所须加盖公章部分均采用CA签章。若本谈判文件中有专门标注的某关联点，并要求供应商在电子投标系统中作出投标响应的，如供应商未对关联点进行响应或者在响应文件其它内容进行描述，造成电子评审不能查询的责任由供应商自行承担。</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②本谈判文件要求提供的的各种复印件，须加盖供应商CA签章，否则其谈判无效。</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③本谈判文件要求在响应文件中“必须提供”的证明等材料，供应商必须全部提供，缺一不可，否则按谈判无效处理。</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④本谈判文件要求法定代表人（负责人）或委托代理人签名的，可采用采购云平台系统中的CA签章，也可由本人签字后扫描或者拍照做成pdf等格式上传，无签字的视为参加谈判采购无效。</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3. 响应文件的编制和签署</w:t>
      </w:r>
    </w:p>
    <w:p>
      <w:pPr>
        <w:spacing w:line="340" w:lineRule="exact"/>
        <w:ind w:firstLine="420" w:firstLineChars="200"/>
        <w:rPr>
          <w:rFonts w:ascii="宋体" w:hAnsi="宋体" w:cs="宋体"/>
          <w:b/>
          <w:szCs w:val="21"/>
          <w:highlight w:val="none"/>
        </w:rPr>
      </w:pPr>
      <w:r>
        <w:rPr>
          <w:rFonts w:hint="eastAsia" w:ascii="宋体" w:hAnsi="宋体" w:cs="宋体"/>
          <w:kern w:val="0"/>
          <w:szCs w:val="21"/>
          <w:highlight w:val="none"/>
          <w:lang w:val="zh-CN"/>
        </w:rPr>
        <w:t>3.1各供应商在编制响应文件时请按照谈判文件第七部分规定的格式进行，混乱的编排导致响应文件被误读或谈判小组查找不到有效文件是供应商的风险。</w:t>
      </w:r>
    </w:p>
    <w:p>
      <w:pPr>
        <w:spacing w:line="340" w:lineRule="exact"/>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40" w:lineRule="exact"/>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3.3使用“广西政府采购云平台电子交易客户端”需要提前申领CA数字证书，申领流程请自行前往“</w:t>
      </w:r>
      <w:r>
        <w:rPr>
          <w:rFonts w:hint="eastAsia" w:ascii="宋体" w:hAnsi="宋体" w:cs="宋体"/>
          <w:szCs w:val="21"/>
          <w:highlight w:val="none"/>
        </w:rPr>
        <w:t>广西政府采购网（</w:t>
      </w:r>
      <w:bookmarkStart w:id="55" w:name="OLE_LINK15"/>
      <w:r>
        <w:rPr>
          <w:rFonts w:hint="eastAsia" w:ascii="宋体" w:hAnsi="宋体" w:cs="宋体"/>
          <w:szCs w:val="21"/>
          <w:highlight w:val="none"/>
        </w:rPr>
        <w:t>http://zfcg.gxzf.gov.cn/</w:t>
      </w:r>
      <w:bookmarkEnd w:id="55"/>
      <w:r>
        <w:rPr>
          <w:rFonts w:hint="eastAsia" w:ascii="宋体" w:hAnsi="宋体" w:cs="宋体"/>
          <w:szCs w:val="21"/>
          <w:highlight w:val="none"/>
        </w:rPr>
        <w:t>）—办事服务—下载专区</w:t>
      </w:r>
      <w:r>
        <w:rPr>
          <w:rFonts w:hint="eastAsia" w:ascii="宋体" w:hAnsi="宋体" w:cs="宋体"/>
          <w:kern w:val="0"/>
          <w:szCs w:val="21"/>
          <w:highlight w:val="none"/>
          <w:lang w:val="zh-CN"/>
        </w:rPr>
        <w:t>”进行查阅</w:t>
      </w:r>
    </w:p>
    <w:p>
      <w:pPr>
        <w:pStyle w:val="396"/>
        <w:snapToGrid w:val="0"/>
        <w:spacing w:before="0" w:line="340" w:lineRule="exact"/>
        <w:ind w:firstLine="420"/>
        <w:rPr>
          <w:rFonts w:ascii="宋体" w:hAnsi="宋体" w:cs="宋体"/>
          <w:b/>
          <w:sz w:val="21"/>
          <w:szCs w:val="21"/>
          <w:highlight w:val="none"/>
        </w:rPr>
      </w:pPr>
      <w:r>
        <w:rPr>
          <w:rFonts w:hint="eastAsia" w:ascii="宋体" w:hAnsi="宋体" w:cs="宋体"/>
          <w:sz w:val="21"/>
          <w:szCs w:val="21"/>
          <w:highlight w:val="none"/>
        </w:rPr>
        <w:t>3.4响应文件按照谈判文件第七部分格式要求进行签署、盖章。</w:t>
      </w:r>
      <w:r>
        <w:rPr>
          <w:rFonts w:hint="eastAsia" w:ascii="宋体" w:hAnsi="宋体" w:cs="宋体"/>
          <w:b/>
          <w:sz w:val="21"/>
          <w:szCs w:val="21"/>
          <w:highlight w:val="none"/>
        </w:rPr>
        <w:t>▲供应商的响应文件未按照谈判文件要求签署、盖章的，其响应无效</w:t>
      </w:r>
      <w:r>
        <w:rPr>
          <w:rFonts w:hint="eastAsia" w:ascii="宋体" w:hAnsi="宋体" w:cs="宋体"/>
          <w:sz w:val="21"/>
          <w:szCs w:val="21"/>
          <w:highlight w:val="none"/>
        </w:rPr>
        <w:t>。</w:t>
      </w:r>
    </w:p>
    <w:p>
      <w:pPr>
        <w:pStyle w:val="396"/>
        <w:snapToGrid w:val="0"/>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6"/>
        <w:snapToGrid w:val="0"/>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3.6谈判文件对响应文件签署、盖章的要求适用于电子签名、CA签章以及谈判文件明确允许的其他方式。</w:t>
      </w: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七、响应文件的提交和备份</w:t>
      </w:r>
    </w:p>
    <w:p>
      <w:pPr>
        <w:pStyle w:val="396"/>
        <w:spacing w:before="0" w:line="340" w:lineRule="exact"/>
        <w:ind w:firstLine="0" w:firstLineChars="0"/>
        <w:rPr>
          <w:rFonts w:ascii="宋体" w:hAnsi="宋体" w:cs="宋体"/>
          <w:b/>
          <w:sz w:val="21"/>
          <w:szCs w:val="21"/>
          <w:highlight w:val="none"/>
        </w:rPr>
      </w:pPr>
    </w:p>
    <w:p>
      <w:pPr>
        <w:pStyle w:val="396"/>
        <w:spacing w:before="0" w:line="340" w:lineRule="exact"/>
        <w:ind w:firstLine="0" w:firstLineChars="0"/>
        <w:rPr>
          <w:rFonts w:ascii="宋体" w:hAnsi="宋体" w:cs="宋体"/>
          <w:b/>
          <w:sz w:val="21"/>
          <w:szCs w:val="21"/>
          <w:highlight w:val="none"/>
        </w:rPr>
      </w:pPr>
      <w:r>
        <w:rPr>
          <w:rFonts w:hint="eastAsia" w:ascii="宋体" w:hAnsi="宋体" w:cs="宋体"/>
          <w:b/>
          <w:sz w:val="21"/>
          <w:szCs w:val="21"/>
          <w:highlight w:val="none"/>
        </w:rPr>
        <w:t>1.响应文件的提交、补充、修改、撤回</w:t>
      </w:r>
    </w:p>
    <w:p>
      <w:pPr>
        <w:pStyle w:val="396"/>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1.2 在响应截止时间以后，不能补充、修改响应文件。</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1.3 在提交“最后报价”后，供应商不能退出谈判。</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6"/>
        <w:spacing w:line="340" w:lineRule="exact"/>
        <w:rPr>
          <w:rFonts w:hAnsi="宋体" w:cs="宋体"/>
          <w:b/>
          <w:szCs w:val="21"/>
          <w:highlight w:val="none"/>
        </w:rPr>
      </w:pPr>
      <w:r>
        <w:rPr>
          <w:rFonts w:hint="eastAsia" w:hAnsi="宋体" w:cs="宋体"/>
          <w:b/>
          <w:szCs w:val="21"/>
          <w:highlight w:val="none"/>
        </w:rPr>
        <w:t>2.备份响应文件</w:t>
      </w:r>
    </w:p>
    <w:p>
      <w:pPr>
        <w:pStyle w:val="36"/>
        <w:spacing w:line="340" w:lineRule="exact"/>
        <w:ind w:firstLine="420" w:firstLineChars="200"/>
        <w:rPr>
          <w:rFonts w:hAnsi="宋体" w:cs="宋体"/>
          <w:b/>
          <w:szCs w:val="21"/>
          <w:highlight w:val="none"/>
        </w:rPr>
      </w:pPr>
      <w:r>
        <w:rPr>
          <w:rFonts w:hint="eastAsia" w:hAnsi="宋体" w:cs="宋体"/>
          <w:szCs w:val="21"/>
          <w:highlight w:val="none"/>
        </w:rPr>
        <w:t>2.1 供应商在电子交易平台传输提交响应文件后，还可以在响应截止时间前直接提交或者以邮政快递方式递交备份响应文件1份，</w:t>
      </w:r>
      <w:r>
        <w:rPr>
          <w:rFonts w:hint="eastAsia" w:hAnsi="宋体" w:cs="宋体"/>
          <w:b/>
          <w:szCs w:val="21"/>
          <w:highlight w:val="none"/>
        </w:rPr>
        <w:t>但采购人、采购代理机构不强制或变相强制供应商提交备份响应文件。</w:t>
      </w:r>
    </w:p>
    <w:p>
      <w:pPr>
        <w:pStyle w:val="36"/>
        <w:spacing w:line="340" w:lineRule="exact"/>
        <w:ind w:firstLine="420" w:firstLineChars="200"/>
        <w:rPr>
          <w:rFonts w:hAnsi="宋体" w:cs="宋体"/>
          <w:b/>
          <w:szCs w:val="21"/>
          <w:highlight w:val="none"/>
        </w:rPr>
      </w:pPr>
      <w:r>
        <w:rPr>
          <w:rFonts w:hint="eastAsia" w:hAnsi="宋体" w:cs="宋体"/>
          <w:szCs w:val="21"/>
          <w:highlight w:val="none"/>
        </w:rPr>
        <w:t>2.2 备份响应文件须在“广西政府采购云平台投标客户端”制作生成，并储存在不可修改的</w:t>
      </w:r>
      <w:r>
        <w:rPr>
          <w:rFonts w:hint="eastAsia" w:hAnsi="宋体" w:cs="宋体"/>
          <w:b/>
          <w:szCs w:val="21"/>
          <w:highlight w:val="none"/>
        </w:rPr>
        <w:t>电子U盘等存储介质</w:t>
      </w:r>
      <w:r>
        <w:rPr>
          <w:rFonts w:hint="eastAsia" w:hAnsi="宋体" w:cs="宋体"/>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hAnsi="宋体" w:cs="宋体"/>
          <w:b/>
          <w:szCs w:val="21"/>
          <w:highlight w:val="none"/>
        </w:rPr>
        <w:t>▲不符合上述制作、存储、密封规定的备份响应文件将被视为无效或者被拒绝接收。</w:t>
      </w:r>
    </w:p>
    <w:p>
      <w:pPr>
        <w:pStyle w:val="36"/>
        <w:spacing w:line="340" w:lineRule="exact"/>
        <w:ind w:firstLine="420" w:firstLineChars="200"/>
        <w:rPr>
          <w:rFonts w:hAnsi="宋体" w:cs="宋体"/>
          <w:szCs w:val="21"/>
          <w:highlight w:val="none"/>
        </w:rPr>
      </w:pPr>
      <w:r>
        <w:rPr>
          <w:rFonts w:hint="eastAsia" w:hAnsi="宋体" w:cs="宋体"/>
          <w:szCs w:val="21"/>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pPr>
        <w:pStyle w:val="36"/>
        <w:spacing w:line="340" w:lineRule="exact"/>
        <w:ind w:firstLine="420" w:firstLineChars="200"/>
        <w:rPr>
          <w:rFonts w:hAnsi="宋体" w:cs="宋体"/>
          <w:szCs w:val="21"/>
          <w:highlight w:val="none"/>
        </w:rPr>
      </w:pPr>
      <w:r>
        <w:rPr>
          <w:rFonts w:hint="eastAsia" w:hAnsi="宋体" w:cs="宋体"/>
          <w:szCs w:val="21"/>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2.5 ▲供应商仅提交备份响应文件，未在电子交易平台传输提交响应文件的，响应无效。</w:t>
      </w:r>
    </w:p>
    <w:p>
      <w:pPr>
        <w:spacing w:line="340" w:lineRule="exact"/>
        <w:rPr>
          <w:rFonts w:ascii="宋体" w:hAnsi="宋体" w:cs="宋体"/>
          <w:szCs w:val="21"/>
          <w:highlight w:val="none"/>
        </w:rPr>
      </w:pPr>
      <w:r>
        <w:rPr>
          <w:rFonts w:hint="eastAsia" w:ascii="宋体" w:hAnsi="宋体" w:cs="宋体"/>
          <w:b/>
          <w:szCs w:val="21"/>
          <w:highlight w:val="none"/>
        </w:rPr>
        <w:t>3.</w:t>
      </w:r>
      <w:r>
        <w:rPr>
          <w:rFonts w:hint="eastAsia" w:ascii="宋体" w:hAnsi="宋体" w:cs="宋体"/>
          <w:b/>
          <w:snapToGrid w:val="0"/>
          <w:kern w:val="28"/>
          <w:szCs w:val="21"/>
          <w:highlight w:val="none"/>
        </w:rPr>
        <w:t>谈判保证金:收取</w:t>
      </w:r>
      <w:r>
        <w:rPr>
          <w:rFonts w:hint="eastAsia" w:ascii="宋体" w:hAnsi="宋体" w:cs="宋体"/>
          <w:snapToGrid w:val="0"/>
          <w:kern w:val="28"/>
          <w:szCs w:val="21"/>
          <w:highlight w:val="none"/>
        </w:rPr>
        <w:t>。</w:t>
      </w:r>
    </w:p>
    <w:p>
      <w:pPr>
        <w:snapToGrid w:val="0"/>
        <w:spacing w:line="340" w:lineRule="exact"/>
        <w:ind w:firstLine="422" w:firstLineChars="200"/>
        <w:jc w:val="left"/>
        <w:rPr>
          <w:rFonts w:ascii="宋体" w:hAnsi="宋体" w:cs="宋体"/>
          <w:szCs w:val="21"/>
          <w:highlight w:val="none"/>
        </w:rPr>
      </w:pPr>
      <w:r>
        <w:rPr>
          <w:rFonts w:hint="eastAsia" w:ascii="宋体" w:hAnsi="宋体" w:cs="宋体"/>
          <w:b/>
          <w:bCs/>
          <w:szCs w:val="21"/>
          <w:highlight w:val="none"/>
        </w:rPr>
        <w:t>3.1谈判保证金金额为：</w:t>
      </w:r>
      <w:r>
        <w:rPr>
          <w:rFonts w:hint="eastAsia" w:ascii="宋体" w:hAnsi="宋体" w:cs="宋体"/>
          <w:bCs/>
          <w:szCs w:val="21"/>
          <w:highlight w:val="none"/>
        </w:rPr>
        <w:t>人民币贰万元整（¥20000.00）</w:t>
      </w:r>
      <w:r>
        <w:rPr>
          <w:rFonts w:hint="eastAsia" w:ascii="宋体" w:hAnsi="宋体" w:cs="宋体"/>
          <w:szCs w:val="21"/>
          <w:highlight w:val="none"/>
        </w:rPr>
        <w:t>。</w:t>
      </w:r>
    </w:p>
    <w:p>
      <w:pPr>
        <w:snapToGrid w:val="0"/>
        <w:spacing w:line="340" w:lineRule="exact"/>
        <w:ind w:firstLine="422" w:firstLineChars="200"/>
        <w:jc w:val="left"/>
        <w:rPr>
          <w:rFonts w:ascii="宋体" w:hAnsi="宋体" w:cs="宋体"/>
          <w:bCs/>
          <w:szCs w:val="21"/>
          <w:highlight w:val="none"/>
        </w:rPr>
      </w:pPr>
      <w:r>
        <w:rPr>
          <w:rFonts w:hint="eastAsia" w:ascii="宋体" w:hAnsi="宋体" w:cs="宋体"/>
          <w:b/>
          <w:bCs/>
          <w:szCs w:val="21"/>
          <w:highlight w:val="none"/>
        </w:rPr>
        <w:t>3.2谈判保证金提交方式：</w:t>
      </w:r>
      <w:r>
        <w:rPr>
          <w:rFonts w:hint="eastAsia" w:ascii="宋体" w:hAnsi="宋体" w:cs="宋体"/>
          <w:szCs w:val="21"/>
          <w:highlight w:val="none"/>
        </w:rPr>
        <w:t>应当</w:t>
      </w:r>
      <w:r>
        <w:rPr>
          <w:rFonts w:hint="eastAsia" w:ascii="宋体" w:hAnsi="宋体" w:cs="宋体"/>
          <w:bCs/>
          <w:szCs w:val="21"/>
          <w:highlight w:val="none"/>
        </w:rPr>
        <w:t>支票、汇票、本票、银行保函、电子保函、转账、电汇等非现金形式缴纳</w:t>
      </w:r>
      <w:r>
        <w:rPr>
          <w:rFonts w:hint="eastAsia" w:ascii="宋体" w:hAnsi="宋体" w:cs="宋体"/>
          <w:szCs w:val="21"/>
          <w:highlight w:val="none"/>
        </w:rPr>
        <w:t>形式提交。</w:t>
      </w:r>
      <w:r>
        <w:rPr>
          <w:rFonts w:hint="eastAsia" w:ascii="宋体" w:hAnsi="宋体" w:cs="宋体"/>
          <w:bCs/>
          <w:szCs w:val="21"/>
          <w:highlight w:val="none"/>
        </w:rPr>
        <w:t>不接受现金缴纳、不接受个人账户收付款。</w:t>
      </w:r>
    </w:p>
    <w:p>
      <w:pPr>
        <w:snapToGrid w:val="0"/>
        <w:spacing w:line="340" w:lineRule="exact"/>
        <w:ind w:firstLine="420" w:firstLineChars="200"/>
        <w:jc w:val="left"/>
        <w:rPr>
          <w:rFonts w:ascii="宋体" w:hAnsi="宋体" w:cs="宋体"/>
          <w:szCs w:val="21"/>
          <w:highlight w:val="none"/>
        </w:rPr>
      </w:pPr>
      <w:r>
        <w:rPr>
          <w:rFonts w:hint="eastAsia" w:ascii="宋体" w:hAnsi="宋体" w:cs="宋体"/>
          <w:szCs w:val="21"/>
          <w:highlight w:val="none"/>
        </w:rPr>
        <w:t>3.2.1</w:t>
      </w:r>
      <w:r>
        <w:rPr>
          <w:rFonts w:hint="eastAsia" w:ascii="宋体" w:hAnsi="宋体" w:cs="宋体"/>
          <w:b/>
          <w:bCs/>
          <w:szCs w:val="21"/>
          <w:highlight w:val="none"/>
        </w:rPr>
        <w:t>采用转账、电汇方式缴纳的，</w:t>
      </w:r>
      <w:r>
        <w:rPr>
          <w:rFonts w:hint="eastAsia" w:ascii="宋体" w:hAnsi="宋体" w:cs="宋体"/>
          <w:szCs w:val="21"/>
          <w:highlight w:val="none"/>
        </w:rPr>
        <w:t>在投标截止时间前交至指定账户并且到账：</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开户名称：广西泽丰工程咨询有限公司北海分公司</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开户银行：中国工商银行股份有限公司北海分行</w:t>
      </w:r>
    </w:p>
    <w:p>
      <w:pPr>
        <w:snapToGrid w:val="0"/>
        <w:spacing w:line="340" w:lineRule="exact"/>
        <w:ind w:firstLine="420" w:firstLineChars="200"/>
        <w:jc w:val="left"/>
        <w:rPr>
          <w:rFonts w:ascii="宋体" w:hAnsi="宋体" w:cs="宋体"/>
          <w:szCs w:val="21"/>
          <w:highlight w:val="none"/>
        </w:rPr>
      </w:pPr>
      <w:r>
        <w:rPr>
          <w:rFonts w:hint="eastAsia" w:ascii="宋体" w:hAnsi="宋体" w:cs="宋体"/>
          <w:bCs/>
          <w:szCs w:val="21"/>
          <w:highlight w:val="none"/>
        </w:rPr>
        <w:t>银行账号：2107500009300096127</w:t>
      </w:r>
    </w:p>
    <w:p>
      <w:pPr>
        <w:snapToGrid w:val="0"/>
        <w:spacing w:line="340" w:lineRule="exact"/>
        <w:ind w:firstLine="420" w:firstLineChars="200"/>
        <w:jc w:val="left"/>
        <w:rPr>
          <w:rFonts w:ascii="宋体" w:hAnsi="宋体" w:cs="宋体"/>
          <w:szCs w:val="21"/>
          <w:highlight w:val="none"/>
        </w:rPr>
      </w:pPr>
      <w:r>
        <w:rPr>
          <w:rFonts w:hint="eastAsia" w:ascii="宋体" w:hAnsi="宋体" w:cs="宋体"/>
          <w:szCs w:val="21"/>
          <w:highlight w:val="none"/>
        </w:rPr>
        <w:t>3.2.2</w:t>
      </w:r>
      <w:r>
        <w:rPr>
          <w:rFonts w:hint="eastAsia" w:ascii="宋体" w:hAnsi="宋体" w:cs="宋体"/>
          <w:b/>
          <w:bCs/>
          <w:szCs w:val="21"/>
          <w:highlight w:val="none"/>
        </w:rPr>
        <w:t>采用支票、汇票、本票或者保函等方式的</w:t>
      </w:r>
      <w:r>
        <w:rPr>
          <w:rFonts w:hint="eastAsia" w:ascii="宋体" w:hAnsi="宋体" w:cs="宋体"/>
          <w:szCs w:val="21"/>
          <w:highlight w:val="none"/>
        </w:rPr>
        <w:t>：</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szCs w:val="21"/>
          <w:highlight w:val="none"/>
        </w:rPr>
        <w:t>（1）在投标截止时间前，</w:t>
      </w:r>
      <w:r>
        <w:rPr>
          <w:rFonts w:hint="eastAsia" w:hAnsi="宋体" w:cs="宋体"/>
          <w:szCs w:val="21"/>
          <w:highlight w:val="none"/>
        </w:rPr>
        <w:t>供应商</w:t>
      </w:r>
      <w:r>
        <w:rPr>
          <w:rFonts w:hint="eastAsia" w:ascii="宋体" w:hAnsi="宋体" w:cs="宋体"/>
          <w:szCs w:val="21"/>
          <w:highlight w:val="none"/>
        </w:rPr>
        <w:t>必须递交支票、汇票、本票或者保函原件（采用电子保函方式交纳谈判保证金的，无需递交原件）。票据上</w:t>
      </w:r>
      <w:r>
        <w:rPr>
          <w:rFonts w:hint="eastAsia" w:ascii="宋体" w:hAnsi="宋体" w:cs="宋体"/>
          <w:bCs/>
          <w:szCs w:val="21"/>
          <w:highlight w:val="none"/>
        </w:rPr>
        <w:t>须清晰注明：（项目名称、项目编号）谈判保证金。因未备注、备注不清导致款项无法识别核对、保证金退还延误等相关后果，均由供应商自行承担。</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（2）收款人或保函受益人统一填写：广西泽丰工程咨询有限公司北海分公司；</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（3）远期支票、空头支票、字迹不清、信息涂改票据均视为无效缴纳；</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（4）支票、银行汇票、银行本票、保函须合法有效、不可撤销，保证在本项目谈判全过程有效；</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（5）采购活动结束后，供应商在采购全过程无违约情形的，可凭单位授权委托书及有效身份证明现场自取原件，邮寄的可原路返回。</w:t>
      </w:r>
    </w:p>
    <w:p>
      <w:pPr>
        <w:pStyle w:val="36"/>
        <w:spacing w:line="340" w:lineRule="exact"/>
        <w:ind w:firstLine="422" w:firstLineChars="200"/>
        <w:rPr>
          <w:rFonts w:hAnsi="宋体" w:cs="宋体"/>
          <w:bCs/>
          <w:szCs w:val="21"/>
          <w:highlight w:val="none"/>
        </w:rPr>
      </w:pPr>
      <w:r>
        <w:rPr>
          <w:rFonts w:hint="eastAsia" w:hAnsi="宋体" w:cs="宋体"/>
          <w:b/>
          <w:szCs w:val="21"/>
          <w:highlight w:val="none"/>
        </w:rPr>
        <w:t>3.3</w:t>
      </w:r>
      <w:r>
        <w:rPr>
          <w:rFonts w:hint="eastAsia" w:hAnsi="宋体" w:cs="宋体"/>
          <w:b/>
          <w:bCs/>
          <w:szCs w:val="21"/>
          <w:highlight w:val="none"/>
        </w:rPr>
        <w:t>谈判保证金退还：</w:t>
      </w:r>
    </w:p>
    <w:p>
      <w:pPr>
        <w:pStyle w:val="36"/>
        <w:spacing w:line="340" w:lineRule="exact"/>
        <w:ind w:firstLine="420" w:firstLineChars="200"/>
        <w:rPr>
          <w:rFonts w:hAnsi="宋体" w:cs="宋体"/>
          <w:bCs/>
          <w:szCs w:val="21"/>
          <w:highlight w:val="none"/>
        </w:rPr>
      </w:pPr>
      <w:r>
        <w:rPr>
          <w:rFonts w:hint="eastAsia" w:hAnsi="宋体" w:cs="宋体"/>
          <w:bCs/>
          <w:szCs w:val="21"/>
          <w:highlight w:val="none"/>
        </w:rPr>
        <w:t>3.3.1转账、电汇</w:t>
      </w:r>
      <w:r>
        <w:rPr>
          <w:rFonts w:hint="eastAsia" w:hAnsi="宋体" w:cs="宋体"/>
          <w:szCs w:val="21"/>
          <w:highlight w:val="none"/>
        </w:rPr>
        <w:t>方式</w:t>
      </w:r>
      <w:r>
        <w:rPr>
          <w:rFonts w:hint="eastAsia" w:hAnsi="宋体" w:cs="宋体"/>
          <w:bCs/>
          <w:szCs w:val="21"/>
          <w:highlight w:val="none"/>
        </w:rPr>
        <w:t>缴纳保证金退还：未成交供应商的谈判保证金，自成交通知书发出之日起5个工作日内无息原路对公退还；成交供应商的谈判保证金，自采购合同签订及备案完成之日起5个工作日内无息原路对公退还；退还时限均为工作日，法定节假日顺延。</w:t>
      </w:r>
    </w:p>
    <w:p>
      <w:pPr>
        <w:spacing w:line="340" w:lineRule="exact"/>
        <w:ind w:firstLine="420" w:firstLineChars="200"/>
        <w:rPr>
          <w:rFonts w:ascii="宋体" w:hAnsi="宋体" w:cs="宋体"/>
          <w:bCs/>
          <w:szCs w:val="21"/>
          <w:highlight w:val="none"/>
        </w:rPr>
      </w:pPr>
      <w:r>
        <w:rPr>
          <w:rFonts w:hint="eastAsia" w:ascii="宋体" w:hAnsi="宋体" w:cs="宋体"/>
          <w:bCs/>
          <w:szCs w:val="21"/>
          <w:highlight w:val="none"/>
        </w:rPr>
        <w:t>3.3.2</w:t>
      </w:r>
      <w:r>
        <w:rPr>
          <w:rFonts w:hint="eastAsia" w:ascii="宋体" w:hAnsi="宋体" w:cs="宋体"/>
          <w:szCs w:val="21"/>
          <w:highlight w:val="none"/>
        </w:rPr>
        <w:t>采用支票、汇票、本票方式</w:t>
      </w:r>
      <w:r>
        <w:rPr>
          <w:rFonts w:hint="eastAsia" w:ascii="宋体" w:hAnsi="宋体" w:cs="宋体"/>
          <w:bCs/>
          <w:szCs w:val="21"/>
          <w:highlight w:val="none"/>
        </w:rPr>
        <w:t>缴纳保证金退还：采购活动结束后，供应商在采购全过程无违约情形的，可凭单位授权委托书及有效身份证明现场自取原件，邮寄的可原路返回。</w:t>
      </w:r>
    </w:p>
    <w:p>
      <w:pPr>
        <w:pStyle w:val="36"/>
        <w:spacing w:line="340" w:lineRule="exact"/>
        <w:ind w:firstLine="420" w:firstLineChars="200"/>
        <w:rPr>
          <w:rFonts w:hAnsi="宋体" w:cs="宋体"/>
          <w:bCs/>
          <w:szCs w:val="21"/>
          <w:highlight w:val="none"/>
        </w:rPr>
      </w:pPr>
      <w:r>
        <w:rPr>
          <w:rFonts w:hint="eastAsia" w:hAnsi="宋体" w:cs="宋体"/>
          <w:bCs/>
          <w:szCs w:val="21"/>
          <w:highlight w:val="none"/>
        </w:rPr>
        <w:t>3.3.3</w:t>
      </w:r>
      <w:r>
        <w:rPr>
          <w:rFonts w:hint="eastAsia" w:hAnsi="宋体" w:cs="宋体"/>
          <w:szCs w:val="21"/>
          <w:highlight w:val="none"/>
        </w:rPr>
        <w:t>采用</w:t>
      </w:r>
      <w:r>
        <w:rPr>
          <w:rFonts w:hint="eastAsia" w:hAnsi="宋体" w:cs="宋体"/>
          <w:bCs/>
          <w:szCs w:val="21"/>
          <w:highlight w:val="none"/>
        </w:rPr>
        <w:t>银行保函、电子保函</w:t>
      </w:r>
      <w:r>
        <w:rPr>
          <w:rFonts w:hint="eastAsia" w:hAnsi="宋体" w:cs="宋体"/>
          <w:szCs w:val="21"/>
          <w:highlight w:val="none"/>
        </w:rPr>
        <w:t>方式</w:t>
      </w:r>
      <w:r>
        <w:rPr>
          <w:rFonts w:hint="eastAsia" w:hAnsi="宋体" w:cs="宋体"/>
          <w:bCs/>
          <w:szCs w:val="21"/>
          <w:highlight w:val="none"/>
        </w:rPr>
        <w:t>缴纳保证金退还：供应商在采购全过程无违约情形的，保函原件予以退还；保函后续解除、注销、止付等全部手续均由供应商自行向开立银行申请办理，采购代理机构无需协助且不承担相关责任。供应商出现与谈判文件约定不予退还保证金情形的，采购代理机构有权按照保函约定依法依规进行索赔。</w:t>
      </w:r>
    </w:p>
    <w:p>
      <w:pPr>
        <w:snapToGrid w:val="0"/>
        <w:spacing w:line="340" w:lineRule="exact"/>
        <w:ind w:firstLine="422" w:firstLineChars="200"/>
        <w:jc w:val="left"/>
        <w:rPr>
          <w:rFonts w:ascii="宋体" w:hAnsi="宋体" w:cs="宋体"/>
          <w:bCs/>
          <w:szCs w:val="21"/>
          <w:highlight w:val="none"/>
        </w:rPr>
      </w:pPr>
      <w:r>
        <w:rPr>
          <w:rFonts w:hint="eastAsia" w:ascii="宋体" w:hAnsi="宋体" w:cs="宋体"/>
          <w:b/>
          <w:szCs w:val="21"/>
          <w:highlight w:val="none"/>
        </w:rPr>
        <w:t>3.3.4出现下列情形之一的，谈判保证金不予退还：</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3.3.4.1响应文件提交截止时间届满后擅自撤销、撤回响应文件的；</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3.3.4.2响应文件存在弄虚作假、隐瞒真实资料等情形的；</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3.3.4.3成交后无正当理由拒绝或拖延签订政府采购合同的；</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3.3.4.4采购过程中存在恶意串通、围标串标等违法违规行为的；</w:t>
      </w:r>
    </w:p>
    <w:p>
      <w:pPr>
        <w:snapToGrid w:val="0"/>
        <w:spacing w:line="340" w:lineRule="exact"/>
        <w:ind w:firstLine="420" w:firstLineChars="200"/>
        <w:jc w:val="left"/>
        <w:rPr>
          <w:rFonts w:ascii="宋体" w:hAnsi="宋体" w:cs="宋体"/>
          <w:bCs/>
          <w:szCs w:val="21"/>
          <w:highlight w:val="none"/>
        </w:rPr>
      </w:pPr>
      <w:r>
        <w:rPr>
          <w:rFonts w:hint="eastAsia" w:ascii="宋体" w:hAnsi="宋体" w:cs="宋体"/>
          <w:bCs/>
          <w:szCs w:val="21"/>
          <w:highlight w:val="none"/>
        </w:rPr>
        <w:t>3.3.4.5法律法规、政府采购相关规章及本谈判文件另行约定不予退还保证金的其他情形。</w:t>
      </w:r>
    </w:p>
    <w:p>
      <w:pPr>
        <w:pStyle w:val="36"/>
        <w:spacing w:line="340" w:lineRule="exact"/>
        <w:ind w:firstLine="422" w:firstLineChars="200"/>
        <w:rPr>
          <w:rFonts w:hAnsi="宋体" w:cs="宋体"/>
          <w:szCs w:val="21"/>
          <w:highlight w:val="none"/>
        </w:rPr>
      </w:pPr>
      <w:r>
        <w:rPr>
          <w:rFonts w:hint="eastAsia" w:hAnsi="宋体" w:cs="宋体"/>
          <w:b/>
          <w:bCs/>
          <w:szCs w:val="21"/>
          <w:highlight w:val="none"/>
        </w:rPr>
        <w:t>3.5相关要求：</w:t>
      </w:r>
    </w:p>
    <w:p>
      <w:pPr>
        <w:pStyle w:val="36"/>
        <w:spacing w:line="340" w:lineRule="exact"/>
        <w:ind w:firstLine="420" w:firstLineChars="200"/>
        <w:rPr>
          <w:rFonts w:hAnsi="宋体" w:cs="宋体"/>
          <w:szCs w:val="21"/>
          <w:highlight w:val="none"/>
        </w:rPr>
      </w:pPr>
      <w:r>
        <w:rPr>
          <w:rFonts w:hint="eastAsia" w:hAnsi="宋体" w:cs="宋体"/>
          <w:szCs w:val="21"/>
          <w:highlight w:val="none"/>
        </w:rPr>
        <w:t>3.5.1谈判保证金采用银行转账、</w:t>
      </w:r>
      <w:r>
        <w:rPr>
          <w:rFonts w:hint="eastAsia" w:hAnsi="宋体" w:cs="宋体"/>
          <w:bCs/>
          <w:szCs w:val="21"/>
          <w:highlight w:val="none"/>
        </w:rPr>
        <w:t>电汇</w:t>
      </w:r>
      <w:r>
        <w:rPr>
          <w:rFonts w:hint="eastAsia" w:hAnsi="宋体" w:cs="宋体"/>
          <w:szCs w:val="21"/>
          <w:highlight w:val="none"/>
        </w:rPr>
        <w:t>交纳方式的，在投标截止时间前交至指定账户并且到账，供应商应将银行转账底单的复印件作为谈判保证金提交凭证，放置于响应文件中，否则投标无效。</w:t>
      </w:r>
    </w:p>
    <w:p>
      <w:pPr>
        <w:pStyle w:val="36"/>
        <w:spacing w:line="340" w:lineRule="exact"/>
        <w:ind w:firstLine="420" w:firstLineChars="200"/>
        <w:rPr>
          <w:rFonts w:hAnsi="宋体" w:cs="宋体"/>
          <w:szCs w:val="21"/>
          <w:highlight w:val="none"/>
        </w:rPr>
      </w:pPr>
      <w:r>
        <w:rPr>
          <w:rFonts w:hint="eastAsia" w:hAnsi="宋体" w:cs="宋体"/>
          <w:szCs w:val="21"/>
          <w:highlight w:val="none"/>
        </w:rPr>
        <w:t>3.5.2谈判保证金采用</w:t>
      </w:r>
      <w:r>
        <w:rPr>
          <w:rFonts w:hint="eastAsia" w:hAnsi="宋体" w:cs="宋体"/>
          <w:bCs/>
          <w:szCs w:val="21"/>
          <w:highlight w:val="none"/>
        </w:rPr>
        <w:t>支票、汇票、本票、银行保函、电子保函</w:t>
      </w:r>
      <w:r>
        <w:rPr>
          <w:rFonts w:hint="eastAsia" w:hAnsi="宋体" w:cs="宋体"/>
          <w:szCs w:val="21"/>
          <w:highlight w:val="none"/>
        </w:rPr>
        <w:t>交纳方式的，供应商应</w:t>
      </w:r>
      <w:r>
        <w:rPr>
          <w:rFonts w:hint="eastAsia" w:hAnsi="宋体" w:cs="宋体"/>
          <w:bCs/>
          <w:szCs w:val="21"/>
          <w:highlight w:val="none"/>
        </w:rPr>
        <w:t>支票、汇票、本票、银行保函、电子保函</w:t>
      </w:r>
      <w:r>
        <w:rPr>
          <w:rFonts w:hint="eastAsia" w:hAnsi="宋体" w:cs="宋体"/>
          <w:szCs w:val="21"/>
          <w:highlight w:val="none"/>
        </w:rPr>
        <w:t>的复印件作为谈判保证金提交凭证，放置于响应文件中，否则投标无效。供应商必须在投标截止时间前将</w:t>
      </w:r>
      <w:r>
        <w:rPr>
          <w:rFonts w:hint="eastAsia" w:hAnsi="宋体" w:cs="宋体"/>
          <w:bCs/>
          <w:szCs w:val="21"/>
          <w:highlight w:val="none"/>
        </w:rPr>
        <w:t>支票、汇票、本票、银行保函、电子保函的</w:t>
      </w:r>
      <w:r>
        <w:rPr>
          <w:rFonts w:hint="eastAsia" w:hAnsi="宋体" w:cs="宋体"/>
          <w:szCs w:val="21"/>
          <w:highlight w:val="none"/>
        </w:rPr>
        <w:t>原件提交给采购代理机构，由采购代理机构向供应商出具回执，并妥善保管。</w:t>
      </w:r>
    </w:p>
    <w:p>
      <w:pPr>
        <w:pStyle w:val="36"/>
        <w:spacing w:line="340" w:lineRule="exact"/>
        <w:ind w:firstLine="420" w:firstLineChars="200"/>
        <w:rPr>
          <w:rFonts w:hAnsi="宋体" w:cs="宋体"/>
          <w:szCs w:val="21"/>
          <w:highlight w:val="none"/>
        </w:rPr>
      </w:pPr>
      <w:r>
        <w:rPr>
          <w:rFonts w:hint="eastAsia" w:hAnsi="宋体" w:cs="宋体"/>
          <w:szCs w:val="21"/>
          <w:highlight w:val="none"/>
        </w:rPr>
        <w:t>3.5.3谈判供应商在响应文件提交截止时间前撤回已提交的响应文件的，采购人或者采购代理机构应当自收到谈判供应商书面撤回通知之日起5个工作日内，退还已收取的谈判保证金，但因谈判供应商自身原因导致无法及时退还的除外。</w:t>
      </w:r>
    </w:p>
    <w:p>
      <w:pPr>
        <w:spacing w:line="340" w:lineRule="exact"/>
        <w:ind w:firstLine="420" w:firstLineChars="200"/>
        <w:rPr>
          <w:szCs w:val="21"/>
          <w:highlight w:val="none"/>
        </w:rPr>
      </w:pPr>
      <w:r>
        <w:rPr>
          <w:rFonts w:hint="eastAsia" w:ascii="宋体" w:hAnsi="宋体" w:cs="宋体"/>
          <w:bCs/>
          <w:szCs w:val="21"/>
          <w:highlight w:val="none"/>
        </w:rPr>
        <w:t>3.5.4补充约定：保证金存放期间无利息。</w:t>
      </w: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八、开启响应文件与信用信息查询</w:t>
      </w:r>
    </w:p>
    <w:p>
      <w:pPr>
        <w:pStyle w:val="36"/>
        <w:spacing w:line="340" w:lineRule="exact"/>
        <w:rPr>
          <w:rFonts w:hAnsi="宋体" w:cs="宋体"/>
          <w:b/>
          <w:szCs w:val="21"/>
          <w:highlight w:val="none"/>
        </w:rPr>
      </w:pPr>
      <w:r>
        <w:rPr>
          <w:rFonts w:hint="eastAsia" w:hAnsi="宋体" w:cs="宋体"/>
          <w:b/>
          <w:szCs w:val="21"/>
          <w:highlight w:val="none"/>
        </w:rPr>
        <w:t>1. 开启响应文件</w:t>
      </w:r>
    </w:p>
    <w:p>
      <w:pPr>
        <w:pStyle w:val="36"/>
        <w:spacing w:line="340" w:lineRule="exact"/>
        <w:ind w:firstLine="420" w:firstLineChars="200"/>
        <w:rPr>
          <w:rFonts w:hAnsi="宋体" w:cs="宋体"/>
          <w:szCs w:val="21"/>
          <w:highlight w:val="none"/>
        </w:rPr>
      </w:pPr>
      <w:r>
        <w:rPr>
          <w:rFonts w:hint="eastAsia" w:hAnsi="宋体" w:cs="宋体"/>
          <w:szCs w:val="21"/>
          <w:highlight w:val="none"/>
        </w:rPr>
        <w:t>1.1 采购代理机构按照谈判文件规定的时间通过电子交易平台组织响应文件开启，所有供应商均应当准时在线参加。</w:t>
      </w:r>
      <w:r>
        <w:rPr>
          <w:rFonts w:hint="eastAsia" w:hAnsi="宋体" w:cs="宋体"/>
          <w:b/>
          <w:szCs w:val="21"/>
          <w:highlight w:val="none"/>
        </w:rPr>
        <w:t>供应商数量不符合规定的，不得开启响应文件。</w:t>
      </w:r>
    </w:p>
    <w:p>
      <w:pPr>
        <w:pStyle w:val="36"/>
        <w:spacing w:line="340" w:lineRule="exact"/>
        <w:ind w:firstLine="420" w:firstLineChars="200"/>
        <w:rPr>
          <w:rFonts w:hAnsi="宋体" w:cs="宋体"/>
          <w:szCs w:val="21"/>
          <w:highlight w:val="none"/>
        </w:rPr>
      </w:pPr>
      <w:r>
        <w:rPr>
          <w:rFonts w:hint="eastAsia" w:hAnsi="宋体" w:cs="宋体"/>
          <w:szCs w:val="21"/>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6"/>
        <w:spacing w:line="340" w:lineRule="exact"/>
        <w:ind w:firstLine="422" w:firstLineChars="200"/>
        <w:rPr>
          <w:rFonts w:hAnsi="宋体" w:cs="宋体"/>
          <w:b/>
          <w:szCs w:val="21"/>
          <w:highlight w:val="none"/>
        </w:rPr>
      </w:pPr>
      <w:r>
        <w:rPr>
          <w:rFonts w:hint="eastAsia" w:hAnsi="宋体" w:cs="宋体"/>
          <w:b/>
          <w:szCs w:val="21"/>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6"/>
        <w:spacing w:before="0" w:line="340" w:lineRule="exact"/>
        <w:ind w:firstLine="0" w:firstLineChars="0"/>
        <w:rPr>
          <w:rFonts w:ascii="宋体" w:hAnsi="宋体" w:cs="宋体"/>
          <w:b/>
          <w:sz w:val="21"/>
          <w:szCs w:val="21"/>
          <w:highlight w:val="none"/>
        </w:rPr>
      </w:pPr>
      <w:r>
        <w:rPr>
          <w:rFonts w:hint="eastAsia" w:ascii="宋体" w:hAnsi="宋体" w:cs="宋体"/>
          <w:b/>
          <w:sz w:val="21"/>
          <w:szCs w:val="21"/>
          <w:highlight w:val="none"/>
        </w:rPr>
        <w:t>2.信用信息查询</w:t>
      </w:r>
    </w:p>
    <w:p>
      <w:pPr>
        <w:pStyle w:val="396"/>
        <w:wordWrap w:val="0"/>
        <w:topLinePunct/>
        <w:spacing w:before="0" w:line="340" w:lineRule="exact"/>
        <w:ind w:firstLine="420"/>
        <w:rPr>
          <w:rFonts w:ascii="宋体" w:hAnsi="宋体" w:cs="宋体"/>
          <w:kern w:val="0"/>
          <w:sz w:val="21"/>
          <w:szCs w:val="21"/>
          <w:highlight w:val="none"/>
        </w:rPr>
      </w:pPr>
      <w:r>
        <w:rPr>
          <w:rFonts w:hint="eastAsia" w:ascii="宋体" w:hAnsi="宋体" w:cs="宋体"/>
          <w:kern w:val="0"/>
          <w:sz w:val="21"/>
          <w:szCs w:val="21"/>
          <w:highlight w:val="none"/>
        </w:rPr>
        <w:t>2.1信用信息查询渠道及截止时间：采购人或采购代理机构将通过“信用中国”网站(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cs="宋体"/>
          <w:kern w:val="0"/>
          <w:sz w:val="21"/>
          <w:szCs w:val="21"/>
          <w:highlight w:val="none"/>
        </w:rPr>
        <w:t>)、中国政府采购网(www.ccgp.gov.cn)渠道查询供应商响应截止时间前的信用记录。</w:t>
      </w:r>
    </w:p>
    <w:p>
      <w:pPr>
        <w:pStyle w:val="396"/>
        <w:wordWrap w:val="0"/>
        <w:topLinePunct/>
        <w:spacing w:before="0" w:line="340" w:lineRule="exact"/>
        <w:ind w:firstLine="420"/>
        <w:rPr>
          <w:rFonts w:ascii="宋体" w:hAnsi="宋体" w:cs="宋体"/>
          <w:kern w:val="0"/>
          <w:sz w:val="21"/>
          <w:szCs w:val="21"/>
          <w:highlight w:val="none"/>
        </w:rPr>
      </w:pPr>
      <w:r>
        <w:rPr>
          <w:rFonts w:hint="eastAsia" w:ascii="宋体" w:hAnsi="宋体" w:cs="宋体"/>
          <w:kern w:val="0"/>
          <w:sz w:val="21"/>
          <w:szCs w:val="21"/>
          <w:highlight w:val="none"/>
        </w:rPr>
        <w:t>2.2信用信息查询记录和证据留存的具体方式：现场查询的供应商的信用记录、查询结果经确认后存档。</w:t>
      </w:r>
    </w:p>
    <w:p>
      <w:pPr>
        <w:pStyle w:val="396"/>
        <w:wordWrap w:val="0"/>
        <w:topLinePunct/>
        <w:spacing w:before="0" w:line="340" w:lineRule="exact"/>
        <w:ind w:firstLine="420"/>
        <w:rPr>
          <w:rFonts w:ascii="宋体" w:hAnsi="宋体" w:cs="宋体"/>
          <w:kern w:val="0"/>
          <w:sz w:val="21"/>
          <w:szCs w:val="21"/>
          <w:highlight w:val="none"/>
        </w:rPr>
      </w:pPr>
      <w:r>
        <w:rPr>
          <w:rFonts w:hint="eastAsia" w:ascii="宋体" w:hAnsi="宋体" w:cs="宋体"/>
          <w:kern w:val="0"/>
          <w:sz w:val="21"/>
          <w:szCs w:val="21"/>
          <w:highlight w:val="none"/>
        </w:rPr>
        <w:t>2.3信用信息的使用规则：经查询列入失信被执行人、重大税收违法失信主体名单、严重失信主体名单、政府采购严重违法失信行为记录名单的供应商将被拒绝参与政府采购活动。</w:t>
      </w:r>
    </w:p>
    <w:p>
      <w:pPr>
        <w:pStyle w:val="396"/>
        <w:spacing w:before="0" w:line="340" w:lineRule="exact"/>
        <w:ind w:firstLine="420"/>
        <w:rPr>
          <w:rFonts w:ascii="宋体" w:hAnsi="宋体" w:cs="宋体"/>
          <w:kern w:val="0"/>
          <w:sz w:val="21"/>
          <w:szCs w:val="21"/>
          <w:highlight w:val="none"/>
        </w:rPr>
      </w:pPr>
      <w:r>
        <w:rPr>
          <w:rFonts w:hint="eastAsia" w:ascii="宋体" w:hAnsi="宋体" w:cs="宋体"/>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九、提交最后报价</w:t>
      </w:r>
    </w:p>
    <w:p>
      <w:pPr>
        <w:pStyle w:val="396"/>
        <w:spacing w:before="0" w:line="340" w:lineRule="exact"/>
        <w:ind w:firstLine="0" w:firstLineChars="0"/>
        <w:rPr>
          <w:rFonts w:ascii="宋体" w:hAnsi="宋体" w:cs="宋体"/>
          <w:kern w:val="0"/>
          <w:sz w:val="21"/>
          <w:szCs w:val="21"/>
          <w:highlight w:val="none"/>
          <w:lang w:val="zh-CN"/>
        </w:rPr>
      </w:pPr>
      <w:r>
        <w:rPr>
          <w:rFonts w:hint="eastAsia" w:ascii="宋体" w:hAnsi="宋体" w:cs="宋体"/>
          <w:b/>
          <w:sz w:val="21"/>
          <w:szCs w:val="21"/>
          <w:highlight w:val="none"/>
        </w:rPr>
        <w:t>1.</w:t>
      </w:r>
      <w:r>
        <w:rPr>
          <w:rFonts w:hint="eastAsia" w:ascii="宋体" w:hAnsi="宋体" w:cs="宋体"/>
          <w:kern w:val="0"/>
          <w:sz w:val="21"/>
          <w:szCs w:val="21"/>
          <w:highlight w:val="none"/>
        </w:rPr>
        <w:t>供应商的</w:t>
      </w:r>
      <w:r>
        <w:rPr>
          <w:rFonts w:hint="eastAsia" w:ascii="宋体" w:hAnsi="宋体" w:cs="宋体"/>
          <w:b/>
          <w:bCs/>
          <w:kern w:val="0"/>
          <w:sz w:val="21"/>
          <w:szCs w:val="21"/>
          <w:highlight w:val="none"/>
        </w:rPr>
        <w:t>最后报价文件</w:t>
      </w:r>
      <w:r>
        <w:rPr>
          <w:rFonts w:hint="eastAsia" w:ascii="宋体" w:hAnsi="宋体" w:cs="宋体"/>
          <w:kern w:val="0"/>
          <w:sz w:val="21"/>
          <w:szCs w:val="21"/>
          <w:highlight w:val="none"/>
        </w:rPr>
        <w:t>应包括以下内容：</w:t>
      </w:r>
    </w:p>
    <w:p>
      <w:pPr>
        <w:pStyle w:val="396"/>
        <w:spacing w:before="0" w:line="340" w:lineRule="exact"/>
        <w:ind w:firstLine="420"/>
        <w:rPr>
          <w:rFonts w:cs="仿宋_GB2312" w:asciiTheme="minorEastAsia" w:hAnsiTheme="minorEastAsia" w:eastAsiaTheme="minorEastAsia"/>
          <w:szCs w:val="24"/>
          <w:highlight w:val="none"/>
        </w:rPr>
      </w:pPr>
      <w:r>
        <w:rPr>
          <w:rFonts w:hint="eastAsia" w:ascii="宋体" w:hAnsi="宋体" w:cs="宋体"/>
          <w:kern w:val="0"/>
          <w:sz w:val="21"/>
          <w:szCs w:val="21"/>
          <w:highlight w:val="none"/>
        </w:rPr>
        <w:t>1.1最后报价表；</w:t>
      </w:r>
    </w:p>
    <w:p>
      <w:pPr>
        <w:adjustRightInd/>
        <w:spacing w:line="340" w:lineRule="exact"/>
        <w:jc w:val="center"/>
        <w:outlineLvl w:val="1"/>
        <w:rPr>
          <w:rFonts w:ascii="宋体" w:hAnsi="宋体" w:cs="宋体"/>
          <w:b/>
          <w:szCs w:val="21"/>
          <w:highlight w:val="none"/>
        </w:rPr>
      </w:pPr>
      <w:r>
        <w:rPr>
          <w:rFonts w:hint="eastAsia" w:cs="仿宋_GB2312" w:asciiTheme="minorEastAsia" w:hAnsiTheme="minorEastAsia" w:eastAsiaTheme="minorEastAsia"/>
          <w:b/>
          <w:sz w:val="24"/>
          <w:highlight w:val="none"/>
        </w:rPr>
        <w:t>十、评审</w:t>
      </w:r>
    </w:p>
    <w:p>
      <w:pPr>
        <w:pStyle w:val="396"/>
        <w:spacing w:before="0" w:line="340" w:lineRule="exact"/>
        <w:ind w:firstLine="0" w:firstLineChars="0"/>
        <w:rPr>
          <w:rFonts w:ascii="宋体" w:hAnsi="宋体" w:cs="宋体"/>
          <w:sz w:val="21"/>
          <w:szCs w:val="21"/>
          <w:highlight w:val="none"/>
        </w:rPr>
      </w:pPr>
      <w:r>
        <w:rPr>
          <w:rFonts w:hint="eastAsia" w:ascii="宋体" w:hAnsi="宋体" w:cs="宋体"/>
          <w:b/>
          <w:sz w:val="21"/>
          <w:szCs w:val="21"/>
          <w:highlight w:val="none"/>
        </w:rPr>
        <w:t>1.  评审要求：</w:t>
      </w:r>
      <w:r>
        <w:rPr>
          <w:rFonts w:hint="eastAsia" w:ascii="宋体" w:hAnsi="宋体" w:cs="宋体"/>
          <w:sz w:val="21"/>
          <w:szCs w:val="21"/>
          <w:highlight w:val="none"/>
        </w:rPr>
        <w:t>详见谈判文件第五部分“评定标准”。</w:t>
      </w:r>
    </w:p>
    <w:p>
      <w:pPr>
        <w:adjustRightInd/>
        <w:spacing w:line="340" w:lineRule="exact"/>
        <w:jc w:val="center"/>
        <w:outlineLvl w:val="1"/>
        <w:rPr>
          <w:rFonts w:ascii="宋体" w:hAnsi="宋体" w:cs="宋体"/>
          <w:b/>
          <w:szCs w:val="21"/>
          <w:highlight w:val="none"/>
        </w:rPr>
      </w:pPr>
      <w:r>
        <w:rPr>
          <w:rFonts w:hint="eastAsia" w:cs="仿宋_GB2312" w:asciiTheme="minorEastAsia" w:hAnsiTheme="minorEastAsia" w:eastAsiaTheme="minorEastAsia"/>
          <w:b/>
          <w:sz w:val="24"/>
          <w:highlight w:val="none"/>
        </w:rPr>
        <w:t>十一、成交</w:t>
      </w:r>
    </w:p>
    <w:p>
      <w:pPr>
        <w:pStyle w:val="36"/>
        <w:spacing w:line="340" w:lineRule="exact"/>
        <w:rPr>
          <w:rFonts w:hAnsi="宋体" w:cs="宋体"/>
          <w:b/>
          <w:szCs w:val="21"/>
          <w:highlight w:val="none"/>
        </w:rPr>
      </w:pPr>
      <w:r>
        <w:rPr>
          <w:rFonts w:hint="eastAsia" w:hAnsi="宋体" w:cs="宋体"/>
          <w:b/>
          <w:szCs w:val="21"/>
          <w:highlight w:val="none"/>
        </w:rPr>
        <w:t>1. 推荐成交候选供应商</w:t>
      </w:r>
    </w:p>
    <w:p>
      <w:pPr>
        <w:pStyle w:val="36"/>
        <w:spacing w:line="340" w:lineRule="exact"/>
        <w:ind w:firstLine="420" w:firstLineChars="200"/>
        <w:rPr>
          <w:rFonts w:hAnsi="宋体" w:cs="宋体"/>
          <w:szCs w:val="21"/>
          <w:highlight w:val="none"/>
        </w:rPr>
      </w:pPr>
      <w:r>
        <w:rPr>
          <w:rFonts w:hint="eastAsia" w:hAnsi="宋体" w:cs="宋体"/>
          <w:szCs w:val="21"/>
          <w:highlight w:val="none"/>
        </w:rPr>
        <w:t>谈判小组应当从质量和服务均能满足采购文件实质性响应要求的供应商中，按照最后报价由低到高的顺序提出3名以上成交候选供应商，并编写评审报告。最后报价均相同时，由谈判小组按照响应文件技术要求响应、商务要求响应优劣情况集体讨论确定排序，并按确定排序由优到劣的原则推荐成交候选供应商。</w:t>
      </w:r>
    </w:p>
    <w:p>
      <w:pPr>
        <w:pStyle w:val="36"/>
        <w:spacing w:line="340" w:lineRule="exact"/>
        <w:rPr>
          <w:rFonts w:hAnsi="宋体" w:cs="宋体"/>
          <w:b/>
          <w:szCs w:val="21"/>
          <w:highlight w:val="none"/>
        </w:rPr>
      </w:pPr>
      <w:r>
        <w:rPr>
          <w:rFonts w:hint="eastAsia" w:hAnsi="宋体" w:cs="宋体"/>
          <w:b/>
          <w:szCs w:val="21"/>
          <w:highlight w:val="none"/>
        </w:rPr>
        <w:t>2. 确定成交供应商</w:t>
      </w:r>
    </w:p>
    <w:p>
      <w:pPr>
        <w:tabs>
          <w:tab w:val="left" w:pos="0"/>
        </w:tabs>
        <w:spacing w:line="340" w:lineRule="exact"/>
        <w:ind w:firstLine="420" w:firstLineChars="200"/>
        <w:rPr>
          <w:rFonts w:ascii="宋体" w:hAnsi="宋体" w:cs="宋体"/>
          <w:szCs w:val="21"/>
          <w:highlight w:val="none"/>
        </w:rPr>
      </w:pPr>
      <w:r>
        <w:rPr>
          <w:rFonts w:hint="eastAsia" w:ascii="宋体" w:hAnsi="宋体" w:cs="宋体"/>
          <w:szCs w:val="21"/>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40" w:lineRule="exact"/>
        <w:rPr>
          <w:rFonts w:ascii="宋体" w:hAnsi="宋体" w:cs="宋体"/>
          <w:kern w:val="0"/>
          <w:szCs w:val="21"/>
          <w:highlight w:val="none"/>
        </w:rPr>
      </w:pPr>
      <w:r>
        <w:rPr>
          <w:rFonts w:hint="eastAsia" w:ascii="宋体" w:hAnsi="宋体" w:cs="宋体"/>
          <w:b/>
          <w:szCs w:val="21"/>
          <w:highlight w:val="none"/>
        </w:rPr>
        <w:t>3．成交通知及成交结果公告</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3.1自成交供应商确定之日起2个工作日内，采购代理机构向成交供应商发出成交通知书，同时编制发布采购成交结果公告。</w:t>
      </w:r>
    </w:p>
    <w:p>
      <w:pPr>
        <w:spacing w:line="340" w:lineRule="exact"/>
        <w:ind w:firstLine="420" w:firstLineChars="200"/>
        <w:rPr>
          <w:rFonts w:ascii="宋体" w:hAnsi="宋体" w:cs="宋体"/>
          <w:szCs w:val="21"/>
          <w:highlight w:val="none"/>
        </w:rPr>
      </w:pPr>
      <w:r>
        <w:rPr>
          <w:rFonts w:hint="eastAsia" w:ascii="宋体" w:hAnsi="宋体" w:cs="宋体"/>
          <w:szCs w:val="21"/>
          <w:highlight w:val="none"/>
        </w:rPr>
        <w:t>3.2成交结果公告内容包括采购人及其委托的采购代理机构的名称、地址、联系方式，项目名称和项目编号，成交供应商名称、地址和成交金额，主要成交标的的名称、规格型号、数量、单价、服务要求，成交公告期限以及评审专家名单、成交供应商评审总得分及排名。</w:t>
      </w:r>
    </w:p>
    <w:p>
      <w:pPr>
        <w:spacing w:line="340" w:lineRule="exact"/>
        <w:ind w:firstLine="420" w:firstLineChars="200"/>
        <w:rPr>
          <w:rFonts w:ascii="宋体" w:hAnsi="宋体" w:cs="宋体"/>
          <w:b/>
          <w:szCs w:val="21"/>
          <w:highlight w:val="none"/>
        </w:rPr>
      </w:pPr>
      <w:r>
        <w:rPr>
          <w:rFonts w:hint="eastAsia" w:ascii="宋体" w:hAnsi="宋体" w:cs="宋体"/>
          <w:szCs w:val="21"/>
          <w:highlight w:val="none"/>
        </w:rPr>
        <w:t>3.3公告期限为1个工作日。</w:t>
      </w: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十二、合同</w:t>
      </w:r>
    </w:p>
    <w:p>
      <w:pPr>
        <w:tabs>
          <w:tab w:val="left" w:pos="0"/>
        </w:tabs>
        <w:spacing w:line="340" w:lineRule="exact"/>
        <w:rPr>
          <w:rFonts w:ascii="宋体" w:hAnsi="宋体" w:cs="宋体"/>
          <w:b/>
          <w:szCs w:val="21"/>
          <w:highlight w:val="none"/>
        </w:rPr>
      </w:pPr>
      <w:r>
        <w:rPr>
          <w:rFonts w:hint="eastAsia" w:ascii="宋体" w:hAnsi="宋体" w:cs="宋体"/>
          <w:b/>
          <w:szCs w:val="21"/>
          <w:highlight w:val="none"/>
        </w:rPr>
        <w:t>1.合同主要条款：</w:t>
      </w:r>
      <w:r>
        <w:rPr>
          <w:rFonts w:hint="eastAsia" w:ascii="宋体" w:hAnsi="宋体" w:cs="宋体"/>
          <w:szCs w:val="21"/>
          <w:highlight w:val="none"/>
        </w:rPr>
        <w:t>详见“第六部分拟签订的合同文本”。</w:t>
      </w:r>
    </w:p>
    <w:p>
      <w:pPr>
        <w:tabs>
          <w:tab w:val="left" w:pos="0"/>
        </w:tabs>
        <w:spacing w:line="340" w:lineRule="exact"/>
        <w:rPr>
          <w:rFonts w:ascii="宋体" w:hAnsi="宋体" w:cs="宋体"/>
          <w:b/>
          <w:szCs w:val="21"/>
          <w:highlight w:val="none"/>
        </w:rPr>
      </w:pPr>
      <w:r>
        <w:rPr>
          <w:rFonts w:hint="eastAsia" w:ascii="宋体" w:hAnsi="宋体" w:cs="宋体"/>
          <w:b/>
          <w:szCs w:val="21"/>
          <w:highlight w:val="none"/>
        </w:rPr>
        <w:t>2.合同的签订</w:t>
      </w:r>
    </w:p>
    <w:p>
      <w:pPr>
        <w:widowControl/>
        <w:shd w:val="clear" w:color="auto" w:fill="FFFFFF"/>
        <w:spacing w:line="340" w:lineRule="exact"/>
        <w:ind w:firstLine="480"/>
        <w:jc w:val="left"/>
        <w:rPr>
          <w:rFonts w:ascii="宋体" w:hAnsi="宋体" w:cs="宋体"/>
          <w:kern w:val="0"/>
          <w:szCs w:val="21"/>
          <w:highlight w:val="none"/>
        </w:rPr>
      </w:pPr>
      <w:r>
        <w:rPr>
          <w:rFonts w:hint="eastAsia" w:ascii="宋体" w:hAnsi="宋体" w:cs="宋体"/>
          <w:szCs w:val="21"/>
          <w:highlight w:val="none"/>
        </w:rPr>
        <w:t>2.1</w:t>
      </w:r>
      <w:r>
        <w:rPr>
          <w:rFonts w:hint="eastAsia" w:ascii="宋体" w:hAnsi="宋体" w:cs="宋体"/>
          <w:kern w:val="0"/>
          <w:szCs w:val="21"/>
          <w:highlight w:val="none"/>
        </w:rPr>
        <w:t>采购人与成交供应商应当自成交通知书发出之日起</w:t>
      </w:r>
      <w:r>
        <w:rPr>
          <w:rFonts w:hint="eastAsia" w:ascii="宋体" w:hAnsi="宋体" w:cs="宋体"/>
          <w:kern w:val="0"/>
          <w:szCs w:val="21"/>
          <w:highlight w:val="none"/>
          <w:u w:val="single"/>
        </w:rPr>
        <w:t>25</w:t>
      </w:r>
      <w:r>
        <w:rPr>
          <w:rFonts w:hint="eastAsia" w:ascii="宋体" w:hAnsi="宋体" w:cs="宋体"/>
          <w:kern w:val="0"/>
          <w:szCs w:val="21"/>
          <w:highlight w:val="none"/>
        </w:rPr>
        <w:t>个</w:t>
      </w:r>
      <w:r>
        <w:rPr>
          <w:rFonts w:hint="eastAsia" w:ascii="宋体" w:hAnsi="宋体" w:cs="宋体"/>
          <w:kern w:val="0"/>
          <w:szCs w:val="21"/>
          <w:highlight w:val="none"/>
          <w:lang w:val="en-US" w:eastAsia="zh-CN"/>
        </w:rPr>
        <w:t>日历</w:t>
      </w:r>
      <w:r>
        <w:rPr>
          <w:rFonts w:hint="eastAsia" w:ascii="宋体" w:hAnsi="宋体" w:cs="宋体"/>
          <w:kern w:val="0"/>
          <w:szCs w:val="21"/>
          <w:highlight w:val="none"/>
        </w:rPr>
        <w:t>日内，按照谈判文件确定的事项签订政府采购合同，采购人因不可抗力原因延迟签订合同的，应当自不可抗力事由消除之日起</w:t>
      </w:r>
      <w:r>
        <w:rPr>
          <w:rFonts w:hint="eastAsia" w:ascii="宋体" w:hAnsi="宋体" w:cs="宋体"/>
          <w:kern w:val="0"/>
          <w:szCs w:val="21"/>
          <w:highlight w:val="none"/>
          <w:u w:val="single"/>
        </w:rPr>
        <w:t xml:space="preserve"> 5 </w:t>
      </w:r>
      <w:r>
        <w:rPr>
          <w:rFonts w:hint="eastAsia" w:ascii="宋体" w:hAnsi="宋体" w:cs="宋体"/>
          <w:kern w:val="0"/>
          <w:szCs w:val="21"/>
          <w:highlight w:val="none"/>
        </w:rPr>
        <w:t>个工作日内完成合同签订事宜。鼓励采购人通过完善内部流程进一步缩短合同签订期限。</w:t>
      </w:r>
    </w:p>
    <w:p>
      <w:pPr>
        <w:pStyle w:val="396"/>
        <w:snapToGrid w:val="0"/>
        <w:spacing w:before="0" w:line="340" w:lineRule="exact"/>
        <w:ind w:firstLine="420"/>
        <w:rPr>
          <w:rFonts w:ascii="宋体" w:hAnsi="宋体" w:cs="宋体"/>
          <w:kern w:val="0"/>
          <w:sz w:val="21"/>
          <w:szCs w:val="21"/>
          <w:highlight w:val="none"/>
        </w:rPr>
      </w:pPr>
      <w:r>
        <w:rPr>
          <w:rFonts w:hint="eastAsia" w:ascii="宋体" w:hAnsi="宋体" w:cs="宋体"/>
          <w:kern w:val="0"/>
          <w:sz w:val="21"/>
          <w:szCs w:val="21"/>
          <w:highlight w:val="none"/>
          <w:lang w:val="zh-CN"/>
        </w:rPr>
        <w:t>2.2成交供应商按规定的日期、时间、地点，由法定代表人或其授权代表与采购人代表签订合同。如成交供应商为联合体的，由联合体成员各方法定代表人或其授权代表与采购人代表签订合同。</w:t>
      </w:r>
    </w:p>
    <w:p>
      <w:pPr>
        <w:spacing w:line="340" w:lineRule="exact"/>
        <w:ind w:firstLine="407" w:firstLineChars="194"/>
        <w:rPr>
          <w:rFonts w:ascii="宋体" w:hAnsi="宋体" w:cs="宋体"/>
          <w:szCs w:val="21"/>
          <w:highlight w:val="none"/>
        </w:rPr>
      </w:pPr>
      <w:r>
        <w:rPr>
          <w:rFonts w:hint="eastAsia" w:ascii="宋体" w:hAnsi="宋体" w:cs="宋体"/>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40" w:lineRule="exact"/>
        <w:ind w:firstLine="407" w:firstLineChars="194"/>
        <w:rPr>
          <w:rFonts w:ascii="宋体" w:hAnsi="宋体" w:cs="宋体"/>
          <w:szCs w:val="21"/>
          <w:highlight w:val="none"/>
        </w:rPr>
      </w:pPr>
      <w:r>
        <w:rPr>
          <w:rFonts w:hint="eastAsia" w:ascii="宋体" w:hAnsi="宋体" w:cs="宋体"/>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40" w:lineRule="exact"/>
        <w:ind w:firstLine="407" w:firstLineChars="194"/>
        <w:rPr>
          <w:rFonts w:ascii="宋体" w:hAnsi="宋体" w:cs="宋体"/>
          <w:szCs w:val="21"/>
          <w:highlight w:val="none"/>
        </w:rPr>
      </w:pPr>
      <w:r>
        <w:rPr>
          <w:rFonts w:hint="eastAsia" w:ascii="宋体" w:hAnsi="宋体" w:cs="宋体"/>
          <w:szCs w:val="21"/>
          <w:highlight w:val="none"/>
        </w:rPr>
        <w:t>2.5如签订合同并生效后，供应商无故拒绝或延期，除按照合同条款处理外，列入不良行为记录一次，并给予通报。</w:t>
      </w:r>
    </w:p>
    <w:p>
      <w:pPr>
        <w:pStyle w:val="396"/>
        <w:snapToGrid w:val="0"/>
        <w:spacing w:before="0" w:line="340" w:lineRule="exact"/>
        <w:ind w:firstLine="420"/>
        <w:rPr>
          <w:rFonts w:ascii="宋体" w:hAnsi="宋体" w:cs="宋体"/>
          <w:sz w:val="21"/>
          <w:szCs w:val="21"/>
          <w:highlight w:val="none"/>
        </w:rPr>
      </w:pPr>
      <w:r>
        <w:rPr>
          <w:rFonts w:hint="eastAsia" w:ascii="宋体" w:hAnsi="宋体" w:cs="宋体"/>
          <w:sz w:val="21"/>
          <w:szCs w:val="21"/>
          <w:highlight w:val="none"/>
        </w:rPr>
        <w:t>2.6成交供应商须在合同签订生效之日起1个工作日内，将政府采购合同扫描件发送到采购代理机构邮箱，并在3个工作日内将政府采购合同原件2份送达到采购代理机构。采购合同由采购人与成交供应商根据谈判文件、响应文件等内容通过政府采购电子交易平台在线签订（或在政府采购电子交易平台发合同公告成功时），自动备案。</w:t>
      </w:r>
    </w:p>
    <w:p>
      <w:pPr>
        <w:pStyle w:val="396"/>
        <w:snapToGrid w:val="0"/>
        <w:spacing w:before="0" w:line="340" w:lineRule="exact"/>
        <w:ind w:firstLine="420"/>
        <w:rPr>
          <w:rFonts w:ascii="宋体" w:hAnsi="宋体" w:cs="宋体"/>
          <w:kern w:val="0"/>
          <w:sz w:val="21"/>
          <w:szCs w:val="21"/>
          <w:highlight w:val="none"/>
        </w:rPr>
      </w:pPr>
      <w:r>
        <w:rPr>
          <w:rFonts w:hint="eastAsia" w:ascii="宋体" w:hAnsi="宋体" w:cs="宋体"/>
          <w:sz w:val="21"/>
          <w:szCs w:val="21"/>
          <w:highlight w:val="none"/>
        </w:rPr>
        <w:t>2.7政采贷：</w:t>
      </w:r>
      <w:r>
        <w:rPr>
          <w:rFonts w:hint="eastAsia" w:ascii="宋体" w:hAnsi="宋体" w:cs="宋体"/>
          <w:kern w:val="0"/>
          <w:sz w:val="21"/>
          <w:szCs w:val="21"/>
          <w:highlight w:val="none"/>
        </w:rPr>
        <w:t>有贷款需求的供应商可以访问“广西政府采购云平台-金融服务-融资服务”栏目办理有关业务（链接：</w:t>
      </w:r>
      <w:r>
        <w:rPr>
          <w:highlight w:val="none"/>
        </w:rPr>
        <w:fldChar w:fldCharType="begin"/>
      </w:r>
      <w:r>
        <w:rPr>
          <w:highlight w:val="none"/>
        </w:rPr>
        <w:instrText xml:space="preserve"> HYPERLINK "https://jinrong.gcy.zfcg.gxzf.gov.cn/finance/loan/gx" </w:instrText>
      </w:r>
      <w:r>
        <w:rPr>
          <w:highlight w:val="none"/>
        </w:rPr>
        <w:fldChar w:fldCharType="separate"/>
      </w:r>
      <w:r>
        <w:rPr>
          <w:rFonts w:hint="eastAsia" w:ascii="宋体" w:hAnsi="宋体" w:cs="宋体"/>
          <w:kern w:val="0"/>
          <w:sz w:val="21"/>
          <w:szCs w:val="21"/>
          <w:highlight w:val="none"/>
        </w:rPr>
        <w:t>https://jinrong.gcy.zfcg.gxzf.gov.cn/finance/loan/gx</w:t>
      </w:r>
      <w:r>
        <w:rPr>
          <w:rFonts w:hint="eastAsia" w:ascii="宋体" w:hAnsi="宋体" w:cs="宋体"/>
          <w:kern w:val="0"/>
          <w:sz w:val="21"/>
          <w:szCs w:val="21"/>
          <w:highlight w:val="none"/>
        </w:rPr>
        <w:fldChar w:fldCharType="end"/>
      </w:r>
      <w:r>
        <w:rPr>
          <w:rFonts w:hint="eastAsia" w:ascii="宋体" w:hAnsi="宋体" w:cs="宋体"/>
          <w:kern w:val="0"/>
          <w:sz w:val="21"/>
          <w:szCs w:val="21"/>
          <w:highlight w:val="none"/>
        </w:rPr>
        <w:t>）。</w:t>
      </w:r>
    </w:p>
    <w:p>
      <w:pPr>
        <w:pStyle w:val="634"/>
        <w:spacing w:line="340" w:lineRule="exact"/>
        <w:ind w:firstLine="422" w:firstLineChars="200"/>
        <w:rPr>
          <w:rFonts w:cs="宋体"/>
          <w:sz w:val="21"/>
          <w:szCs w:val="21"/>
          <w:highlight w:val="none"/>
        </w:rPr>
      </w:pPr>
      <w:r>
        <w:rPr>
          <w:rFonts w:hint="eastAsia" w:cs="宋体"/>
          <w:b/>
          <w:sz w:val="21"/>
          <w:szCs w:val="21"/>
          <w:highlight w:val="none"/>
        </w:rPr>
        <w:t>3．履约保证金：不收取</w:t>
      </w:r>
      <w:r>
        <w:rPr>
          <w:rFonts w:hint="eastAsia" w:cs="宋体"/>
          <w:sz w:val="21"/>
          <w:szCs w:val="21"/>
          <w:highlight w:val="none"/>
        </w:rPr>
        <w:t>。</w:t>
      </w:r>
    </w:p>
    <w:p>
      <w:pPr>
        <w:adjustRightInd/>
        <w:spacing w:line="340" w:lineRule="exact"/>
        <w:ind w:firstLine="422" w:firstLineChars="200"/>
        <w:rPr>
          <w:rFonts w:ascii="宋体" w:hAnsi="宋体" w:cs="宋体"/>
          <w:snapToGrid w:val="0"/>
          <w:kern w:val="28"/>
          <w:szCs w:val="21"/>
          <w:highlight w:val="none"/>
        </w:rPr>
      </w:pPr>
      <w:r>
        <w:rPr>
          <w:rFonts w:hint="eastAsia" w:ascii="宋体" w:hAnsi="宋体" w:cs="宋体"/>
          <w:b/>
          <w:szCs w:val="21"/>
          <w:highlight w:val="none"/>
        </w:rPr>
        <w:t>4.预付款：无</w:t>
      </w:r>
      <w:r>
        <w:rPr>
          <w:rFonts w:hint="eastAsia" w:ascii="宋体" w:hAnsi="宋体" w:cs="宋体"/>
          <w:szCs w:val="21"/>
          <w:highlight w:val="none"/>
        </w:rPr>
        <w:t>。</w:t>
      </w: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十三、验收</w:t>
      </w:r>
    </w:p>
    <w:p>
      <w:pPr>
        <w:pStyle w:val="27"/>
        <w:spacing w:line="340" w:lineRule="exact"/>
        <w:ind w:firstLine="0" w:firstLineChars="0"/>
        <w:rPr>
          <w:rFonts w:cs="宋体"/>
          <w:b/>
          <w:sz w:val="21"/>
          <w:szCs w:val="21"/>
          <w:highlight w:val="none"/>
        </w:rPr>
      </w:pPr>
      <w:r>
        <w:rPr>
          <w:rFonts w:hint="eastAsia" w:cs="宋体"/>
          <w:b/>
          <w:sz w:val="21"/>
          <w:szCs w:val="21"/>
          <w:highlight w:val="none"/>
        </w:rPr>
        <w:t>1.验收</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1.2采购人可以邀请参加本项目的其他供应商或者第三方机构参与验收。参与验收的供应商或者第三方机构的意见作为验收书的参考资料一并存档。</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40" w:lineRule="exact"/>
        <w:ind w:firstLine="480"/>
        <w:rPr>
          <w:rFonts w:ascii="宋体" w:hAnsi="宋体" w:cs="宋体"/>
          <w:b/>
          <w:szCs w:val="21"/>
          <w:highlight w:val="none"/>
        </w:rPr>
      </w:pPr>
      <w:r>
        <w:rPr>
          <w:rFonts w:hint="eastAsia" w:ascii="宋体" w:hAnsi="宋体" w:cs="宋体"/>
          <w:kern w:val="0"/>
          <w:szCs w:val="21"/>
          <w:highlight w:val="none"/>
        </w:rPr>
        <w:t>1.5 成交供应商应在验收书签署后3个工作日内将验收书发送至采购代理机构邮箱或送（寄）到采购代理机构。</w:t>
      </w:r>
    </w:p>
    <w:p>
      <w:pPr>
        <w:adjustRightInd/>
        <w:spacing w:line="340" w:lineRule="exact"/>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十四、电子交易活动的中止</w:t>
      </w:r>
    </w:p>
    <w:p>
      <w:pPr>
        <w:tabs>
          <w:tab w:val="left" w:pos="0"/>
        </w:tabs>
        <w:spacing w:line="340" w:lineRule="exact"/>
        <w:rPr>
          <w:rFonts w:ascii="宋体" w:hAnsi="宋体" w:cs="宋体"/>
          <w:b/>
          <w:szCs w:val="21"/>
          <w:highlight w:val="none"/>
        </w:rPr>
      </w:pPr>
      <w:r>
        <w:rPr>
          <w:rFonts w:hint="eastAsia" w:ascii="宋体" w:hAnsi="宋体" w:cs="宋体"/>
          <w:b/>
          <w:szCs w:val="21"/>
          <w:highlight w:val="none"/>
        </w:rPr>
        <w:t>1. 电子交易活动的中止</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采购过程中出现以下情形，导致电子交易平台无法正常运行，或者无法保证电子交易的公平、公正和安全时，采购代理机构可中止电子交易活动：</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 xml:space="preserve">1.1电子交易平台发生故障而无法登录访问的； </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1.2电子交易平台应用或数据库出现错误，不能进行正常操作的；</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1.3电子交易平台发现严重安全漏洞，有潜在泄密危险的；</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 xml:space="preserve">1.4病毒发作导致不能进行正常操作的； </w:t>
      </w:r>
    </w:p>
    <w:p>
      <w:pPr>
        <w:tabs>
          <w:tab w:val="left" w:pos="0"/>
        </w:tabs>
        <w:spacing w:line="340" w:lineRule="exact"/>
        <w:ind w:firstLine="480"/>
        <w:rPr>
          <w:rFonts w:ascii="宋体" w:hAnsi="宋体" w:cs="宋体"/>
          <w:kern w:val="0"/>
          <w:szCs w:val="21"/>
          <w:highlight w:val="none"/>
        </w:rPr>
      </w:pPr>
      <w:r>
        <w:rPr>
          <w:rFonts w:hint="eastAsia" w:ascii="宋体" w:hAnsi="宋体" w:cs="宋体"/>
          <w:kern w:val="0"/>
          <w:szCs w:val="21"/>
          <w:highlight w:val="none"/>
        </w:rPr>
        <w:t>1.5其他无法保证电子交易的公平、公正和安全的情况。</w:t>
      </w:r>
    </w:p>
    <w:p>
      <w:pPr>
        <w:tabs>
          <w:tab w:val="left" w:pos="0"/>
        </w:tabs>
        <w:spacing w:line="340" w:lineRule="exact"/>
        <w:rPr>
          <w:rFonts w:ascii="宋体" w:hAnsi="宋体" w:cs="宋体"/>
          <w:kern w:val="0"/>
          <w:szCs w:val="21"/>
          <w:highlight w:val="none"/>
        </w:rPr>
      </w:pPr>
      <w:r>
        <w:rPr>
          <w:rFonts w:hint="eastAsia" w:ascii="宋体" w:hAnsi="宋体" w:cs="宋体"/>
          <w:b/>
          <w:kern w:val="0"/>
          <w:szCs w:val="21"/>
          <w:highlight w:val="none"/>
        </w:rPr>
        <w:t>2.</w:t>
      </w:r>
      <w:r>
        <w:rPr>
          <w:rFonts w:hint="eastAsia" w:ascii="宋体" w:hAnsi="宋体" w:cs="宋体"/>
          <w:kern w:val="0"/>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6" w:name="_Hlt74707468"/>
      <w:bookmarkEnd w:id="56"/>
      <w:bookmarkStart w:id="57" w:name="_Hlt74729768"/>
      <w:bookmarkEnd w:id="57"/>
      <w:bookmarkStart w:id="58" w:name="_Hlt68057669"/>
      <w:bookmarkEnd w:id="58"/>
      <w:bookmarkStart w:id="59" w:name="_Hlt74730295"/>
      <w:bookmarkEnd w:id="59"/>
      <w:bookmarkStart w:id="60" w:name="_Hlt75236101"/>
      <w:bookmarkEnd w:id="60"/>
      <w:bookmarkStart w:id="61" w:name="_Hlt74714665"/>
      <w:bookmarkEnd w:id="61"/>
      <w:bookmarkStart w:id="62" w:name="_Hlt68072990"/>
      <w:bookmarkEnd w:id="62"/>
      <w:bookmarkStart w:id="63" w:name="_Hlt75236011"/>
      <w:bookmarkEnd w:id="63"/>
      <w:bookmarkStart w:id="64" w:name="_Hlt75236290"/>
      <w:bookmarkEnd w:id="64"/>
      <w:bookmarkStart w:id="65" w:name="_Toc164416483"/>
      <w:bookmarkStart w:id="66" w:name="第三部分"/>
    </w:p>
    <w:p>
      <w:pPr>
        <w:snapToGrid w:val="0"/>
        <w:spacing w:line="340" w:lineRule="exact"/>
        <w:ind w:left="120" w:leftChars="57" w:firstLine="361" w:firstLineChars="150"/>
        <w:jc w:val="center"/>
        <w:outlineLvl w:val="1"/>
        <w:rPr>
          <w:rFonts w:cs="仿宋_GB2312" w:asciiTheme="minorEastAsia" w:hAnsiTheme="minorEastAsia" w:eastAsiaTheme="minorEastAsia"/>
          <w:b/>
          <w:sz w:val="24"/>
          <w:highlight w:val="none"/>
        </w:rPr>
      </w:pPr>
    </w:p>
    <w:p>
      <w:pPr>
        <w:snapToGrid w:val="0"/>
        <w:spacing w:line="340" w:lineRule="exact"/>
        <w:ind w:left="120" w:leftChars="57" w:firstLine="361" w:firstLineChars="150"/>
        <w:jc w:val="center"/>
        <w:outlineLvl w:val="1"/>
        <w:rPr>
          <w:rFonts w:ascii="宋体" w:hAnsi="宋体" w:cs="宋体"/>
          <w:b/>
          <w:szCs w:val="21"/>
          <w:highlight w:val="none"/>
        </w:rPr>
      </w:pPr>
      <w:r>
        <w:rPr>
          <w:rFonts w:hint="eastAsia" w:cs="仿宋_GB2312" w:asciiTheme="minorEastAsia" w:hAnsiTheme="minorEastAsia" w:eastAsiaTheme="minorEastAsia"/>
          <w:b/>
          <w:sz w:val="24"/>
          <w:highlight w:val="none"/>
        </w:rPr>
        <w:t>十五、代理费用的收取标准和方式</w:t>
      </w:r>
    </w:p>
    <w:p>
      <w:pPr>
        <w:pStyle w:val="27"/>
        <w:spacing w:line="340" w:lineRule="exact"/>
        <w:ind w:firstLine="0" w:firstLineChars="0"/>
        <w:rPr>
          <w:rFonts w:cs="宋体"/>
          <w:b/>
          <w:sz w:val="21"/>
          <w:szCs w:val="21"/>
          <w:highlight w:val="none"/>
        </w:rPr>
      </w:pPr>
      <w:r>
        <w:rPr>
          <w:rFonts w:hint="eastAsia" w:cs="宋体"/>
          <w:b/>
          <w:sz w:val="21"/>
          <w:szCs w:val="21"/>
          <w:highlight w:val="none"/>
        </w:rPr>
        <w:t>1.代理费用的收取标准和方式（适用于有权收取代理费用的采购代理机构）</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1.1采购代理费支付方式：</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☑本项目代理服务费由成交供应商一次性向采购代理机构支付。</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□采购人支付。</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1.2采购代理费收取标准：</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□以分标（□成交金额/□采购预算/□暂定成交金额/□其他 / ）为计费额，按代理服务收费标准（□货物类/□服务类/□工程类）采用差额定率累进法计算出收费基准价格，采购代理收费以（□收费基准价格/□收费基准价格下浮  %/□收费基准价格上浮 / %）收取。</w:t>
      </w:r>
    </w:p>
    <w:p>
      <w:pPr>
        <w:pStyle w:val="634"/>
        <w:wordWrap w:val="0"/>
        <w:spacing w:line="340" w:lineRule="exact"/>
        <w:ind w:firstLine="420" w:firstLineChars="200"/>
        <w:rPr>
          <w:rFonts w:cs="宋体"/>
          <w:kern w:val="2"/>
          <w:sz w:val="21"/>
          <w:szCs w:val="21"/>
          <w:highlight w:val="none"/>
        </w:rPr>
      </w:pPr>
      <w:r>
        <w:rPr>
          <w:rFonts w:hint="eastAsia" w:cs="宋体"/>
          <w:kern w:val="2"/>
          <w:sz w:val="21"/>
          <w:szCs w:val="21"/>
          <w:highlight w:val="none"/>
        </w:rPr>
        <w:sym w:font="Wingdings 2" w:char="0052"/>
      </w:r>
      <w:r>
        <w:rPr>
          <w:rFonts w:hint="eastAsia" w:cs="宋体"/>
          <w:kern w:val="2"/>
          <w:sz w:val="21"/>
          <w:szCs w:val="21"/>
          <w:highlight w:val="none"/>
        </w:rPr>
        <w:t>固定采购代理收费，本项目采购代理服务费为人民币贰万捌仟贰佰元整</w:t>
      </w:r>
      <w:r>
        <w:rPr>
          <w:rFonts w:hint="eastAsia" w:cs="宋体"/>
          <w:bCs/>
          <w:sz w:val="21"/>
          <w:szCs w:val="21"/>
          <w:highlight w:val="none"/>
        </w:rPr>
        <w:t>（¥28200.00）</w:t>
      </w:r>
      <w:r>
        <w:rPr>
          <w:rFonts w:hint="eastAsia" w:cs="宋体"/>
          <w:kern w:val="2"/>
          <w:sz w:val="21"/>
          <w:szCs w:val="21"/>
          <w:highlight w:val="none"/>
        </w:rPr>
        <w:t>。</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1.3采购代理费收取银行账户</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开户名称：</w:t>
      </w:r>
      <w:r>
        <w:rPr>
          <w:rFonts w:hint="eastAsia" w:cs="宋体"/>
          <w:sz w:val="21"/>
          <w:szCs w:val="21"/>
          <w:highlight w:val="none"/>
        </w:rPr>
        <w:t>广西泽丰工程咨询有限公司北海分公司</w:t>
      </w:r>
      <w:r>
        <w:rPr>
          <w:rFonts w:hint="eastAsia" w:cs="宋体"/>
          <w:kern w:val="2"/>
          <w:sz w:val="21"/>
          <w:szCs w:val="21"/>
          <w:highlight w:val="none"/>
        </w:rPr>
        <w:t xml:space="preserve"> </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 xml:space="preserve">开户银行： </w:t>
      </w:r>
      <w:r>
        <w:rPr>
          <w:rFonts w:hint="eastAsia" w:cs="宋体"/>
          <w:sz w:val="21"/>
          <w:szCs w:val="21"/>
          <w:highlight w:val="none"/>
        </w:rPr>
        <w:t>中国工商银行股份有限公司北海分行</w:t>
      </w:r>
    </w:p>
    <w:p>
      <w:pPr>
        <w:pStyle w:val="634"/>
        <w:spacing w:line="340" w:lineRule="exact"/>
        <w:ind w:firstLine="420" w:firstLineChars="200"/>
        <w:rPr>
          <w:rFonts w:cs="宋体"/>
          <w:kern w:val="2"/>
          <w:sz w:val="21"/>
          <w:szCs w:val="21"/>
          <w:highlight w:val="none"/>
        </w:rPr>
      </w:pPr>
      <w:r>
        <w:rPr>
          <w:rFonts w:hint="eastAsia" w:cs="宋体"/>
          <w:kern w:val="2"/>
          <w:sz w:val="21"/>
          <w:szCs w:val="21"/>
          <w:highlight w:val="none"/>
        </w:rPr>
        <w:t>银行账号：</w:t>
      </w:r>
      <w:r>
        <w:rPr>
          <w:rFonts w:hint="eastAsia" w:cs="宋体"/>
          <w:sz w:val="21"/>
          <w:szCs w:val="21"/>
          <w:highlight w:val="none"/>
        </w:rPr>
        <w:t>2107500009300096127</w:t>
      </w:r>
    </w:p>
    <w:p>
      <w:pPr>
        <w:snapToGrid w:val="0"/>
        <w:spacing w:line="340" w:lineRule="exact"/>
        <w:ind w:firstLine="420" w:firstLineChars="200"/>
        <w:rPr>
          <w:rFonts w:ascii="宋体" w:hAnsi="宋体" w:cs="宋体"/>
          <w:bCs/>
          <w:szCs w:val="21"/>
          <w:highlight w:val="none"/>
        </w:rPr>
      </w:pPr>
      <w:r>
        <w:rPr>
          <w:rFonts w:hint="eastAsia" w:ascii="宋体" w:hAnsi="宋体" w:cs="宋体"/>
          <w:bCs/>
          <w:szCs w:val="21"/>
          <w:highlight w:val="none"/>
        </w:rPr>
        <w:t>1.4代理服务收费标准：</w:t>
      </w:r>
      <w:bookmarkStart w:id="67" w:name="OLE_LINK6"/>
      <w:r>
        <w:rPr>
          <w:rFonts w:hint="eastAsia" w:ascii="宋体" w:hAnsi="宋体" w:cs="宋体"/>
          <w:bCs/>
          <w:szCs w:val="21"/>
          <w:highlight w:val="none"/>
        </w:rPr>
        <w:t>《关于进一步放开建设项目专业服务价格的通知》（发改价格〔2015〕299号），由实行政府指导价管理改为实行市场调节价，价格由采购人和采购代理机构双方协商确定。</w:t>
      </w:r>
    </w:p>
    <w:bookmarkEnd w:id="67"/>
    <w:p>
      <w:pPr>
        <w:snapToGrid w:val="0"/>
        <w:spacing w:line="340" w:lineRule="exact"/>
        <w:ind w:left="120" w:leftChars="57" w:firstLine="361" w:firstLineChars="150"/>
        <w:jc w:val="center"/>
        <w:outlineLvl w:val="1"/>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十六、其他事项</w:t>
      </w:r>
    </w:p>
    <w:p>
      <w:pPr>
        <w:snapToGrid w:val="0"/>
        <w:spacing w:line="340" w:lineRule="exact"/>
        <w:ind w:firstLine="420" w:firstLineChars="200"/>
        <w:rPr>
          <w:rFonts w:cs="仿宋_GB2312" w:asciiTheme="minorEastAsia" w:hAnsiTheme="minorEastAsia" w:eastAsiaTheme="minorEastAsia"/>
          <w:b/>
          <w:sz w:val="36"/>
          <w:szCs w:val="36"/>
          <w:highlight w:val="none"/>
        </w:rPr>
      </w:pPr>
      <w:r>
        <w:rPr>
          <w:rFonts w:hint="eastAsia" w:ascii="宋体" w:hAnsi="宋体" w:cs="宋体"/>
          <w:kern w:val="0"/>
          <w:szCs w:val="21"/>
          <w:highlight w:val="none"/>
        </w:rPr>
        <w:t>因项目存档需要，须按以下要求提供纸质投标响应文件：成交供应商在成交通知书发出后5个工作日内须向采购代理机构提供完整的电子备份响应文件纸质版2份（含报价表、资格文件、商务技术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sz w:val="36"/>
          <w:szCs w:val="36"/>
          <w:highlight w:val="none"/>
        </w:rPr>
        <w:br w:type="page"/>
      </w:r>
    </w:p>
    <w:p>
      <w:pPr>
        <w:numPr>
          <w:ilvl w:val="0"/>
          <w:numId w:val="8"/>
        </w:numPr>
        <w:adjustRightInd/>
        <w:spacing w:line="360" w:lineRule="auto"/>
        <w:jc w:val="center"/>
        <w:outlineLvl w:val="0"/>
        <w:rPr>
          <w:rFonts w:cs="仿宋_GB2312" w:asciiTheme="minorEastAsia" w:hAnsiTheme="minorEastAsia" w:eastAsiaTheme="minorEastAsia"/>
          <w:b/>
          <w:sz w:val="32"/>
          <w:szCs w:val="32"/>
          <w:highlight w:val="none"/>
        </w:rPr>
      </w:pPr>
      <w:bookmarkStart w:id="68" w:name="_Toc181203097"/>
      <w:r>
        <w:rPr>
          <w:rFonts w:hint="eastAsia" w:cs="仿宋_GB2312" w:asciiTheme="minorEastAsia" w:hAnsiTheme="minorEastAsia" w:eastAsiaTheme="minorEastAsia"/>
          <w:b/>
          <w:sz w:val="32"/>
          <w:szCs w:val="32"/>
          <w:highlight w:val="none"/>
        </w:rPr>
        <w:t xml:space="preserve"> 采购需求</w:t>
      </w:r>
      <w:bookmarkEnd w:id="68"/>
      <w:bookmarkStart w:id="69" w:name="_Toc483412665"/>
    </w:p>
    <w:p>
      <w:pPr>
        <w:spacing w:line="360" w:lineRule="exact"/>
        <w:ind w:firstLine="422" w:firstLineChars="200"/>
        <w:rPr>
          <w:rFonts w:ascii="宋体" w:hAnsi="宋体" w:cs="宋体"/>
          <w:szCs w:val="21"/>
          <w:highlight w:val="none"/>
        </w:rPr>
      </w:pPr>
      <w:r>
        <w:rPr>
          <w:rFonts w:hint="eastAsia" w:ascii="宋体" w:hAnsi="宋体" w:cs="宋体"/>
          <w:b/>
          <w:bCs/>
          <w:szCs w:val="21"/>
          <w:highlight w:val="none"/>
        </w:rPr>
        <w:t>一、项目名称：</w:t>
      </w:r>
      <w:r>
        <w:rPr>
          <w:rFonts w:hint="eastAsia" w:ascii="宋体" w:hAnsi="宋体" w:cs="宋体"/>
          <w:szCs w:val="21"/>
          <w:highlight w:val="none"/>
        </w:rPr>
        <w:t>专用设备购置</w:t>
      </w:r>
    </w:p>
    <w:p>
      <w:pPr>
        <w:spacing w:line="360" w:lineRule="exact"/>
        <w:ind w:firstLine="422" w:firstLineChars="200"/>
        <w:rPr>
          <w:rFonts w:hint="eastAsia" w:ascii="宋体" w:hAnsi="宋体" w:eastAsia="宋体" w:cs="宋体"/>
          <w:szCs w:val="21"/>
          <w:highlight w:val="none"/>
          <w:lang w:eastAsia="zh-CN"/>
        </w:rPr>
      </w:pPr>
      <w:r>
        <w:rPr>
          <w:rFonts w:hint="eastAsia" w:ascii="宋体" w:hAnsi="宋体" w:cs="宋体"/>
          <w:b/>
          <w:bCs/>
          <w:szCs w:val="21"/>
          <w:highlight w:val="none"/>
        </w:rPr>
        <w:t>二、项目编号：</w:t>
      </w:r>
      <w:r>
        <w:rPr>
          <w:rFonts w:hint="eastAsia" w:ascii="宋体" w:hAnsi="宋体" w:cs="宋体"/>
          <w:szCs w:val="21"/>
          <w:highlight w:val="none"/>
          <w:lang w:eastAsia="zh-CN"/>
        </w:rPr>
        <w:t>GXZC2026-J1-001935-GXZF</w:t>
      </w:r>
    </w:p>
    <w:p>
      <w:pPr>
        <w:pStyle w:val="36"/>
        <w:snapToGrid w:val="0"/>
        <w:spacing w:line="360" w:lineRule="exact"/>
        <w:ind w:firstLine="422" w:firstLineChars="200"/>
        <w:rPr>
          <w:rFonts w:hAnsi="宋体" w:cs="宋体"/>
          <w:szCs w:val="21"/>
          <w:highlight w:val="none"/>
        </w:rPr>
      </w:pPr>
      <w:r>
        <w:rPr>
          <w:rFonts w:hint="eastAsia" w:hAnsi="宋体" w:cs="宋体"/>
          <w:b/>
          <w:bCs/>
          <w:szCs w:val="21"/>
          <w:highlight w:val="none"/>
        </w:rPr>
        <w:t>三、项目类别：</w:t>
      </w:r>
      <w:r>
        <w:rPr>
          <w:rFonts w:hint="eastAsia" w:hAnsi="宋体" w:cs="宋体"/>
          <w:szCs w:val="21"/>
          <w:highlight w:val="none"/>
        </w:rPr>
        <w:t>货物类</w:t>
      </w:r>
      <w:bookmarkEnd w:id="69"/>
    </w:p>
    <w:p>
      <w:pPr>
        <w:keepNext/>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lang w:val="en-US" w:eastAsia="zh-CN"/>
        </w:rPr>
      </w:pPr>
      <w:r>
        <w:rPr>
          <w:rFonts w:hint="eastAsia" w:hAnsi="宋体" w:cs="宋体"/>
          <w:b/>
          <w:bCs/>
          <w:szCs w:val="21"/>
          <w:highlight w:val="none"/>
        </w:rPr>
        <w:t>四、预算总金额：</w:t>
      </w:r>
      <w:r>
        <w:rPr>
          <w:rFonts w:hint="eastAsia" w:asciiTheme="minorEastAsia" w:hAnsiTheme="minorEastAsia" w:eastAsiaTheme="minorEastAsia"/>
          <w:szCs w:val="21"/>
          <w:highlight w:val="none"/>
        </w:rPr>
        <w:t>人民币贰佰贰拾万元整（¥2200000.00)</w:t>
      </w:r>
      <w:r>
        <w:rPr>
          <w:rFonts w:hint="eastAsia" w:hAnsi="宋体" w:cs="宋体"/>
          <w:szCs w:val="21"/>
          <w:highlight w:val="none"/>
        </w:rPr>
        <w:t>。</w:t>
      </w:r>
      <w:r>
        <w:rPr>
          <w:rFonts w:hint="eastAsia" w:ascii="宋体" w:hAnsi="宋体" w:cs="宋体"/>
          <w:color w:val="auto"/>
          <w:szCs w:val="21"/>
          <w:highlight w:val="none"/>
          <w:lang w:eastAsia="zh-CN"/>
        </w:rPr>
        <w:t>其中各分项预算单价：大体积高通量全自动固相萃取仪：¥</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便携式重金属测定仪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连续流动分析仪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99</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纯水/超纯水一体化机</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p>
    <w:p>
      <w:pPr>
        <w:keepNext/>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b/>
          <w:bCs/>
          <w:szCs w:val="21"/>
          <w:highlight w:val="none"/>
        </w:rPr>
        <w:t>最高限价（元）</w:t>
      </w:r>
      <w:r>
        <w:rPr>
          <w:rFonts w:hint="eastAsia" w:ascii="宋体" w:hAnsi="宋体"/>
          <w:szCs w:val="21"/>
          <w:highlight w:val="none"/>
        </w:rPr>
        <w:t>：</w:t>
      </w:r>
      <w:r>
        <w:rPr>
          <w:rFonts w:hint="eastAsia" w:ascii="宋体" w:hAnsi="宋体" w:cs="宋体"/>
          <w:szCs w:val="21"/>
          <w:highlight w:val="none"/>
        </w:rPr>
        <w:t>本项目为解决政府采购异常低价问题试点项目</w:t>
      </w:r>
      <w:r>
        <w:rPr>
          <w:rFonts w:hint="eastAsia" w:hAnsi="宋体" w:cs="宋体"/>
          <w:szCs w:val="21"/>
          <w:highlight w:val="none"/>
        </w:rPr>
        <w:t>，</w:t>
      </w:r>
      <w:r>
        <w:rPr>
          <w:rFonts w:hint="eastAsia" w:asciiTheme="minorEastAsia" w:hAnsiTheme="minorEastAsia" w:eastAsiaTheme="minorEastAsia"/>
          <w:szCs w:val="21"/>
          <w:highlight w:val="none"/>
        </w:rPr>
        <w:t>最高限价为人民币贰佰贰拾万元整（¥2200000.00)。</w:t>
      </w:r>
      <w:r>
        <w:rPr>
          <w:rFonts w:hint="eastAsia" w:ascii="宋体" w:hAnsi="宋体" w:cs="宋体"/>
          <w:color w:val="auto"/>
          <w:szCs w:val="21"/>
          <w:highlight w:val="none"/>
          <w:lang w:eastAsia="zh-CN"/>
        </w:rPr>
        <w:t>其中预算单价最高限价：大体积高通量全自动固相萃取仪：¥</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便携式重金属测定仪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连续流动分析仪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99</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纯水/超纯水一体化机</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谈判报价或最终报价超过</w:t>
      </w:r>
      <w:r>
        <w:rPr>
          <w:rFonts w:hint="eastAsia" w:ascii="宋体" w:hAnsi="宋体" w:cs="宋体"/>
          <w:b/>
          <w:bCs/>
          <w:szCs w:val="21"/>
          <w:highlight w:val="none"/>
          <w:lang w:eastAsia="zh-CN"/>
        </w:rPr>
        <w:t>各分项预算单价或</w:t>
      </w:r>
      <w:r>
        <w:rPr>
          <w:rFonts w:hint="eastAsia" w:ascii="宋体" w:hAnsi="宋体" w:cs="宋体"/>
          <w:b/>
          <w:bCs/>
          <w:szCs w:val="21"/>
          <w:highlight w:val="none"/>
        </w:rPr>
        <w:t>最高限价以及预算</w:t>
      </w:r>
      <w:r>
        <w:rPr>
          <w:rFonts w:hint="eastAsia" w:ascii="宋体" w:hAnsi="宋体" w:cs="宋体"/>
          <w:b/>
          <w:bCs/>
          <w:szCs w:val="21"/>
          <w:highlight w:val="none"/>
          <w:lang w:eastAsia="zh-CN"/>
        </w:rPr>
        <w:t>总</w:t>
      </w:r>
      <w:r>
        <w:rPr>
          <w:rFonts w:hint="eastAsia" w:ascii="宋体" w:hAnsi="宋体" w:cs="宋体"/>
          <w:b/>
          <w:bCs/>
          <w:szCs w:val="21"/>
          <w:highlight w:val="none"/>
        </w:rPr>
        <w:t>金额的，按参加竞争性谈判采购无效处理。</w:t>
      </w:r>
    </w:p>
    <w:p>
      <w:pPr>
        <w:pStyle w:val="36"/>
        <w:snapToGrid w:val="0"/>
        <w:spacing w:line="360" w:lineRule="exact"/>
        <w:ind w:firstLine="422" w:firstLineChars="200"/>
        <w:rPr>
          <w:rFonts w:hAnsi="宋体" w:cs="宋体"/>
          <w:b/>
          <w:highlight w:val="none"/>
        </w:rPr>
      </w:pPr>
      <w:r>
        <w:rPr>
          <w:rFonts w:hint="eastAsia" w:hAnsi="宋体" w:cs="宋体"/>
          <w:b/>
          <w:bCs/>
          <w:szCs w:val="21"/>
          <w:highlight w:val="none"/>
        </w:rPr>
        <w:t>五、</w:t>
      </w:r>
      <w:r>
        <w:rPr>
          <w:rFonts w:hint="eastAsia" w:hAnsi="宋体" w:cs="宋体"/>
          <w:b/>
          <w:highlight w:val="none"/>
        </w:rPr>
        <w:t>说明：</w:t>
      </w:r>
    </w:p>
    <w:p>
      <w:pPr>
        <w:pStyle w:val="36"/>
        <w:snapToGrid w:val="0"/>
        <w:spacing w:line="360" w:lineRule="exact"/>
        <w:ind w:firstLine="420" w:firstLineChars="200"/>
        <w:rPr>
          <w:rFonts w:hAnsi="宋体" w:cs="宋体"/>
          <w:bCs/>
          <w:highlight w:val="none"/>
        </w:rPr>
      </w:pPr>
      <w:r>
        <w:rPr>
          <w:rFonts w:hint="eastAsia" w:hAnsi="宋体" w:cs="宋体"/>
          <w:bCs/>
          <w:highlight w:val="none"/>
        </w:rPr>
        <w:t>1.采购需求一览表中的品牌型号、技术参数仅起参考作用，竞争性谈判供应商可选用其他品牌型号替代，但这些替代的产品要实质上相当于或优于参考品牌型号及其技术参数性能（配置）要求。否则，其谈判无效。</w:t>
      </w:r>
    </w:p>
    <w:p>
      <w:pPr>
        <w:spacing w:line="360" w:lineRule="exact"/>
        <w:ind w:firstLine="420" w:firstLineChars="200"/>
        <w:rPr>
          <w:rFonts w:ascii="宋体" w:hAnsi="宋体" w:cs="宋体"/>
          <w:bCs/>
          <w:highlight w:val="none"/>
        </w:rPr>
      </w:pPr>
      <w:r>
        <w:rPr>
          <w:rFonts w:hint="eastAsia" w:ascii="宋体" w:hAnsi="宋体" w:cs="宋体"/>
          <w:bCs/>
          <w:highlight w:val="none"/>
        </w:rPr>
        <w:t>2.下列的产品</w:t>
      </w:r>
      <w:r>
        <w:rPr>
          <w:rFonts w:hint="eastAsia" w:ascii="宋体" w:hAnsi="宋体" w:cs="宋体"/>
          <w:kern w:val="0"/>
          <w:szCs w:val="21"/>
          <w:highlight w:val="none"/>
          <w:lang w:bidi="ar"/>
        </w:rPr>
        <w:t>技术规格和性能要求有</w:t>
      </w:r>
      <w:r>
        <w:rPr>
          <w:rFonts w:hint="eastAsia" w:ascii="宋体" w:hAnsi="宋体" w:cs="宋体"/>
          <w:bCs/>
          <w:highlight w:val="none"/>
        </w:rPr>
        <w:t>不明确或有误的，请以详细、正确的品牌型号、技术参数配备要求填写谈判报价表和技术规格偏离表。</w:t>
      </w:r>
    </w:p>
    <w:p>
      <w:pPr>
        <w:spacing w:line="360" w:lineRule="exact"/>
        <w:ind w:firstLine="420" w:firstLineChars="200"/>
        <w:rPr>
          <w:rFonts w:ascii="宋体" w:hAnsi="宋体" w:cs="宋体"/>
          <w:bCs/>
          <w:highlight w:val="none"/>
        </w:rPr>
      </w:pPr>
      <w:r>
        <w:rPr>
          <w:rFonts w:hint="eastAsia" w:ascii="宋体" w:hAnsi="宋体" w:cs="宋体"/>
          <w:bCs/>
          <w:highlight w:val="none"/>
        </w:rPr>
        <w:t>3.在响应文件评审过程中，谈判小组认为某种技术参数及性能属于某品牌产品特有的技术参数及性能，有权认定其不作为实质性要求。</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color w:val="auto"/>
          <w:sz w:val="21"/>
          <w:szCs w:val="24"/>
          <w:highlight w:val="none"/>
        </w:rPr>
      </w:pPr>
      <w:r>
        <w:rPr>
          <w:rFonts w:hint="eastAsia" w:ascii="宋体" w:hAnsi="宋体" w:cs="宋体"/>
          <w:b w:val="0"/>
          <w:bCs/>
          <w:highlight w:val="none"/>
        </w:rPr>
        <w:t>4.</w:t>
      </w:r>
      <w:r>
        <w:rPr>
          <w:rFonts w:hint="eastAsia" w:ascii="宋体" w:hAnsi="宋体" w:cs="宋体"/>
          <w:b w:val="0"/>
          <w:bCs/>
          <w:color w:val="auto"/>
          <w:sz w:val="21"/>
          <w:szCs w:val="24"/>
          <w:highlight w:val="none"/>
        </w:rPr>
        <w:t>本项目需求中标注有“★”号的技术参数及</w:t>
      </w:r>
      <w:r>
        <w:rPr>
          <w:rFonts w:hint="eastAsia" w:ascii="宋体" w:hAnsi="宋体" w:cs="宋体"/>
          <w:b w:val="0"/>
          <w:bCs/>
          <w:color w:val="auto"/>
          <w:sz w:val="21"/>
          <w:szCs w:val="24"/>
          <w:highlight w:val="none"/>
          <w:lang w:eastAsia="zh-CN"/>
        </w:rPr>
        <w:t>其他</w:t>
      </w:r>
      <w:r>
        <w:rPr>
          <w:rFonts w:hint="eastAsia" w:ascii="宋体" w:hAnsi="宋体" w:cs="宋体"/>
          <w:b w:val="0"/>
          <w:bCs/>
          <w:color w:val="auto"/>
          <w:sz w:val="21"/>
          <w:szCs w:val="24"/>
          <w:highlight w:val="none"/>
        </w:rPr>
        <w:t>要求必须实质性响应，不允许出现负偏离（即</w:t>
      </w:r>
      <w:r>
        <w:rPr>
          <w:rFonts w:hint="eastAsia" w:ascii="宋体" w:hAnsi="宋体" w:cs="宋体"/>
          <w:b w:val="0"/>
          <w:bCs/>
          <w:color w:val="auto"/>
          <w:sz w:val="21"/>
          <w:szCs w:val="24"/>
          <w:highlight w:val="none"/>
          <w:lang w:eastAsia="zh-CN"/>
        </w:rPr>
        <w:t>不允许</w:t>
      </w:r>
      <w:r>
        <w:rPr>
          <w:rFonts w:hint="eastAsia" w:ascii="宋体" w:hAnsi="宋体" w:cs="宋体"/>
          <w:b w:val="0"/>
          <w:bCs/>
          <w:color w:val="auto"/>
          <w:sz w:val="21"/>
          <w:szCs w:val="24"/>
          <w:highlight w:val="none"/>
        </w:rPr>
        <w:t>不满足要求），否则作</w:t>
      </w:r>
      <w:r>
        <w:rPr>
          <w:rFonts w:hint="eastAsia" w:ascii="宋体" w:hAnsi="宋体" w:cs="宋体"/>
          <w:b w:val="0"/>
          <w:bCs/>
          <w:color w:val="auto"/>
          <w:sz w:val="21"/>
          <w:szCs w:val="24"/>
          <w:highlight w:val="none"/>
          <w:lang w:eastAsia="zh-CN"/>
        </w:rPr>
        <w:t>谈判</w:t>
      </w:r>
      <w:r>
        <w:rPr>
          <w:rFonts w:hint="eastAsia" w:ascii="宋体" w:hAnsi="宋体" w:cs="宋体"/>
          <w:b w:val="0"/>
          <w:bCs/>
          <w:color w:val="auto"/>
          <w:sz w:val="21"/>
          <w:szCs w:val="24"/>
          <w:highlight w:val="none"/>
        </w:rPr>
        <w:t>无效处理；未带“★”号的技术参数及</w:t>
      </w:r>
      <w:r>
        <w:rPr>
          <w:rFonts w:hint="eastAsia" w:ascii="宋体" w:hAnsi="宋体" w:cs="宋体"/>
          <w:b w:val="0"/>
          <w:bCs/>
          <w:color w:val="auto"/>
          <w:sz w:val="21"/>
          <w:szCs w:val="24"/>
          <w:highlight w:val="none"/>
          <w:lang w:eastAsia="zh-CN"/>
        </w:rPr>
        <w:t>其他</w:t>
      </w:r>
      <w:r>
        <w:rPr>
          <w:rFonts w:hint="eastAsia" w:ascii="宋体" w:hAnsi="宋体" w:cs="宋体"/>
          <w:b w:val="0"/>
          <w:bCs/>
          <w:color w:val="auto"/>
          <w:sz w:val="21"/>
          <w:szCs w:val="24"/>
          <w:highlight w:val="none"/>
        </w:rPr>
        <w:t>要求中所有条款，最多允许出现</w:t>
      </w:r>
      <w:r>
        <w:rPr>
          <w:rFonts w:hint="eastAsia" w:ascii="宋体" w:hAnsi="宋体" w:cs="宋体"/>
          <w:b w:val="0"/>
          <w:bCs/>
          <w:color w:val="auto"/>
          <w:sz w:val="21"/>
          <w:szCs w:val="24"/>
          <w:highlight w:val="none"/>
          <w:u w:val="none"/>
        </w:rPr>
        <w:t xml:space="preserve"> </w:t>
      </w:r>
      <w:r>
        <w:rPr>
          <w:rFonts w:hint="eastAsia" w:ascii="宋体" w:hAnsi="宋体" w:cs="宋体"/>
          <w:b w:val="0"/>
          <w:bCs/>
          <w:color w:val="auto"/>
          <w:sz w:val="21"/>
          <w:szCs w:val="24"/>
          <w:highlight w:val="none"/>
          <w:u w:val="none"/>
          <w:lang w:val="en-US" w:eastAsia="zh-CN"/>
        </w:rPr>
        <w:t xml:space="preserve">3 </w:t>
      </w:r>
      <w:r>
        <w:rPr>
          <w:rFonts w:hint="eastAsia" w:ascii="宋体" w:hAnsi="宋体" w:cs="宋体"/>
          <w:b w:val="0"/>
          <w:bCs/>
          <w:color w:val="auto"/>
          <w:sz w:val="21"/>
          <w:szCs w:val="24"/>
          <w:highlight w:val="none"/>
          <w:u w:val="none"/>
        </w:rPr>
        <w:t>项</w:t>
      </w:r>
      <w:r>
        <w:rPr>
          <w:rFonts w:hint="eastAsia" w:ascii="宋体" w:hAnsi="宋体" w:cs="宋体"/>
          <w:b w:val="0"/>
          <w:bCs/>
          <w:color w:val="auto"/>
          <w:sz w:val="21"/>
          <w:szCs w:val="24"/>
          <w:highlight w:val="none"/>
        </w:rPr>
        <w:t>（含）负偏离</w:t>
      </w:r>
      <w:r>
        <w:rPr>
          <w:rFonts w:hint="eastAsia" w:ascii="宋体" w:hAnsi="宋体" w:cs="宋体"/>
          <w:b w:val="0"/>
          <w:bCs/>
          <w:color w:val="auto"/>
          <w:sz w:val="21"/>
          <w:szCs w:val="24"/>
          <w:highlight w:val="none"/>
          <w:lang w:eastAsia="zh-CN"/>
        </w:rPr>
        <w:t>，</w:t>
      </w:r>
      <w:r>
        <w:rPr>
          <w:rFonts w:hint="eastAsia" w:ascii="宋体" w:hAnsi="宋体" w:cs="宋体"/>
          <w:b w:val="0"/>
          <w:bCs/>
          <w:color w:val="auto"/>
          <w:sz w:val="21"/>
          <w:szCs w:val="24"/>
          <w:highlight w:val="none"/>
        </w:rPr>
        <w:t>超出则作</w:t>
      </w:r>
      <w:r>
        <w:rPr>
          <w:rFonts w:hint="eastAsia" w:ascii="宋体" w:hAnsi="宋体" w:cs="宋体"/>
          <w:b w:val="0"/>
          <w:bCs/>
          <w:color w:val="auto"/>
          <w:sz w:val="21"/>
          <w:szCs w:val="24"/>
          <w:highlight w:val="none"/>
          <w:lang w:eastAsia="zh-CN"/>
        </w:rPr>
        <w:t>谈判</w:t>
      </w:r>
      <w:r>
        <w:rPr>
          <w:rFonts w:hint="eastAsia" w:ascii="宋体" w:hAnsi="宋体" w:cs="宋体"/>
          <w:b w:val="0"/>
          <w:bCs/>
          <w:color w:val="auto"/>
          <w:sz w:val="21"/>
          <w:szCs w:val="24"/>
          <w:highlight w:val="none"/>
        </w:rPr>
        <w:t>无效处理。</w:t>
      </w:r>
    </w:p>
    <w:p>
      <w:pPr>
        <w:spacing w:line="360" w:lineRule="exact"/>
        <w:ind w:firstLine="420" w:firstLineChars="200"/>
        <w:rPr>
          <w:rFonts w:hint="eastAsia" w:ascii="宋体" w:hAnsi="宋体" w:cs="宋体"/>
          <w:bCs/>
          <w:szCs w:val="24"/>
          <w:highlight w:val="none"/>
        </w:rPr>
      </w:pPr>
      <w:r>
        <w:rPr>
          <w:rFonts w:hint="eastAsia" w:ascii="宋体" w:hAnsi="宋体" w:cs="宋体"/>
          <w:bCs/>
          <w:highlight w:val="none"/>
        </w:rPr>
        <w:t>5</w:t>
      </w:r>
      <w:r>
        <w:rPr>
          <w:rFonts w:hint="eastAsia" w:ascii="宋体" w:hAnsi="宋体" w:cs="宋体"/>
          <w:bCs/>
          <w:szCs w:val="24"/>
          <w:highlight w:val="none"/>
        </w:rPr>
        <w:t>.最终报价有时间限制，请各位谈判供应商事前准备好报价，以免耽误报价。</w:t>
      </w:r>
    </w:p>
    <w:p>
      <w:pPr>
        <w:wordWrap w:val="0"/>
        <w:snapToGrid w:val="0"/>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六、本项目采购标的对应的中小企业划分标准所属行业为</w:t>
      </w:r>
      <w:r>
        <w:rPr>
          <w:rFonts w:hint="eastAsia" w:ascii="宋体" w:hAnsi="宋体" w:cs="宋体"/>
          <w:b/>
          <w:bCs/>
          <w:szCs w:val="21"/>
          <w:highlight w:val="none"/>
          <w:u w:val="single"/>
        </w:rPr>
        <w:t xml:space="preserve"> 工业 </w:t>
      </w:r>
      <w:r>
        <w:rPr>
          <w:rFonts w:hint="eastAsia" w:ascii="宋体" w:hAnsi="宋体" w:cs="宋体"/>
          <w:b/>
          <w:bCs/>
          <w:szCs w:val="21"/>
          <w:highlight w:val="none"/>
        </w:rPr>
        <w:t>。【中小企业划分标准见本章附件】</w:t>
      </w:r>
    </w:p>
    <w:p>
      <w:pPr>
        <w:spacing w:line="340" w:lineRule="exact"/>
        <w:ind w:firstLine="422" w:firstLineChars="200"/>
        <w:rPr>
          <w:rFonts w:ascii="宋体" w:hAnsi="宋体" w:cs="宋体"/>
          <w:b/>
          <w:bCs/>
          <w:szCs w:val="21"/>
          <w:highlight w:val="none"/>
          <w:u w:val="single"/>
        </w:rPr>
      </w:pPr>
      <w:r>
        <w:rPr>
          <w:rFonts w:hint="eastAsia" w:ascii="宋体" w:hAnsi="宋体" w:cs="宋体"/>
          <w:b/>
          <w:bCs/>
          <w:highlight w:val="none"/>
        </w:rPr>
        <w:t>七、本项目采购的核心产品为：</w:t>
      </w:r>
      <w:r>
        <w:rPr>
          <w:rFonts w:hint="eastAsia" w:ascii="宋体" w:hAnsi="宋体" w:cs="宋体"/>
          <w:b/>
          <w:bCs/>
          <w:szCs w:val="21"/>
          <w:highlight w:val="none"/>
          <w:u w:val="single"/>
        </w:rPr>
        <w:t>连续流动分析仪</w:t>
      </w:r>
    </w:p>
    <w:p>
      <w:pPr>
        <w:pStyle w:val="640"/>
        <w:spacing w:line="360" w:lineRule="exact"/>
        <w:ind w:firstLine="0" w:firstLineChars="0"/>
        <w:jc w:val="center"/>
        <w:rPr>
          <w:rFonts w:hint="eastAsia" w:ascii="宋体"/>
          <w:b/>
          <w:sz w:val="32"/>
          <w:szCs w:val="32"/>
          <w:highlight w:val="none"/>
        </w:rPr>
      </w:pPr>
    </w:p>
    <w:p>
      <w:pPr>
        <w:pStyle w:val="640"/>
        <w:spacing w:line="360" w:lineRule="exact"/>
        <w:ind w:firstLine="0" w:firstLineChars="0"/>
        <w:jc w:val="center"/>
        <w:rPr>
          <w:rFonts w:ascii="宋体"/>
          <w:b/>
          <w:sz w:val="32"/>
          <w:szCs w:val="32"/>
          <w:highlight w:val="none"/>
        </w:rPr>
      </w:pPr>
      <w:r>
        <w:rPr>
          <w:rFonts w:hint="eastAsia" w:ascii="宋体"/>
          <w:b/>
          <w:sz w:val="32"/>
          <w:szCs w:val="32"/>
          <w:highlight w:val="none"/>
        </w:rPr>
        <w:t>第一部分 技术部分</w:t>
      </w:r>
    </w:p>
    <w:tbl>
      <w:tblPr>
        <w:tblStyle w:val="72"/>
        <w:tblW w:w="9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946"/>
        <w:gridCol w:w="466"/>
        <w:gridCol w:w="754"/>
        <w:gridCol w:w="1279"/>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93"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bookmarkStart w:id="70" w:name="OLE_LINK5"/>
            <w:r>
              <w:rPr>
                <w:rFonts w:hint="eastAsia" w:ascii="宋体" w:hAnsi="宋体" w:cs="宋体"/>
                <w:b/>
                <w:bCs/>
                <w:kern w:val="0"/>
                <w:szCs w:val="21"/>
                <w:highlight w:val="none"/>
                <w:lang w:bidi="ar"/>
              </w:rPr>
              <w:t>序号</w:t>
            </w:r>
          </w:p>
        </w:tc>
        <w:tc>
          <w:tcPr>
            <w:tcW w:w="946"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产品名称</w:t>
            </w:r>
          </w:p>
        </w:tc>
        <w:tc>
          <w:tcPr>
            <w:tcW w:w="466"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754"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单位</w:t>
            </w:r>
          </w:p>
        </w:tc>
        <w:tc>
          <w:tcPr>
            <w:tcW w:w="1279" w:type="dxa"/>
            <w:vAlign w:val="center"/>
          </w:tcPr>
          <w:p>
            <w:pPr>
              <w:adjustRightInd/>
              <w:spacing w:line="280" w:lineRule="exact"/>
              <w:ind w:left="-105" w:leftChars="-50" w:right="-105" w:rightChars="-50"/>
              <w:jc w:val="center"/>
              <w:textAlignment w:val="center"/>
              <w:rPr>
                <w:rFonts w:hint="eastAsia" w:ascii="宋体" w:hAnsi="宋体" w:eastAsia="宋体" w:cs="宋体"/>
                <w:b/>
                <w:bCs/>
                <w:kern w:val="2"/>
                <w:szCs w:val="21"/>
                <w:highlight w:val="none"/>
                <w:lang w:eastAsia="zh-CN" w:bidi="ar"/>
              </w:rPr>
            </w:pPr>
            <w:r>
              <w:rPr>
                <w:rFonts w:hint="eastAsia" w:ascii="宋体" w:hAnsi="宋体" w:cs="宋体"/>
                <w:b/>
                <w:bCs/>
                <w:kern w:val="2"/>
                <w:szCs w:val="21"/>
                <w:highlight w:val="none"/>
                <w:lang w:eastAsia="zh-CN" w:bidi="ar"/>
              </w:rPr>
              <w:t>预算单价（元）</w:t>
            </w:r>
          </w:p>
        </w:tc>
        <w:tc>
          <w:tcPr>
            <w:tcW w:w="5382" w:type="dxa"/>
            <w:vAlign w:val="center"/>
          </w:tcPr>
          <w:p>
            <w:pPr>
              <w:adjustRightInd/>
              <w:spacing w:line="280" w:lineRule="exact"/>
              <w:ind w:left="-105" w:leftChars="-50" w:right="-105" w:rightChars="-50"/>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详细技术参数及其他要求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3"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946" w:type="dxa"/>
            <w:shd w:val="clear" w:color="auto" w:fill="auto"/>
            <w:vAlign w:val="center"/>
          </w:tcPr>
          <w:p>
            <w:pPr>
              <w:wordWrap w:val="0"/>
              <w:adjustRightInd/>
              <w:spacing w:line="280" w:lineRule="exact"/>
              <w:jc w:val="center"/>
              <w:rPr>
                <w:rFonts w:ascii="宋体" w:hAnsi="宋体" w:cs="宋体"/>
                <w:b/>
                <w:bCs/>
                <w:szCs w:val="21"/>
                <w:highlight w:val="none"/>
              </w:rPr>
            </w:pPr>
            <w:r>
              <w:rPr>
                <w:rFonts w:hint="eastAsia" w:ascii="宋体" w:hAnsi="宋体" w:cs="宋体"/>
                <w:b/>
                <w:bCs/>
                <w:szCs w:val="21"/>
                <w:highlight w:val="none"/>
              </w:rPr>
              <w:t>大体积高通量全自动固相萃取仪</w:t>
            </w:r>
          </w:p>
        </w:tc>
        <w:tc>
          <w:tcPr>
            <w:tcW w:w="466"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shd w:val="clear" w:color="auto" w:fill="auto"/>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shd w:val="clear" w:color="auto" w:fill="auto"/>
            <w:vAlign w:val="center"/>
          </w:tcPr>
          <w:p>
            <w:pPr>
              <w:pStyle w:val="102"/>
              <w:adjustRightInd/>
              <w:spacing w:line="300" w:lineRule="exac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550000.00</w:t>
            </w:r>
          </w:p>
        </w:tc>
        <w:tc>
          <w:tcPr>
            <w:tcW w:w="5382" w:type="dxa"/>
            <w:shd w:val="clear" w:color="auto" w:fill="auto"/>
          </w:tcPr>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hint="eastAsia" w:ascii="Times New Roman" w:eastAsia="宋体" w:cs="Times New Roman"/>
                <w:color w:val="auto"/>
                <w:sz w:val="21"/>
                <w:szCs w:val="21"/>
                <w:highlight w:val="none"/>
              </w:rPr>
              <w:t>主要用于水样、土壤和沉积物等样品提取液中痕量有机物（包括但不限于样品中新污染物全氟化合物、抗生素、烷基酚类化合物、内分泌干扰物、有机磷酸酯等）的萃取、净化及浓缩，适用于大体积液体样品中痕量有机物的富集净化浓缩，同时也适用于小体积液体样品净化浓缩。</w:t>
            </w:r>
          </w:p>
          <w:p>
            <w:pPr>
              <w:pStyle w:val="73"/>
              <w:snapToGrid w:val="0"/>
              <w:spacing w:before="120" w:after="120"/>
              <w:ind w:firstLine="0" w:firstLineChars="0"/>
              <w:jc w:val="left"/>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二、基本要求：</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1.工作温度: 10-40℃</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2.湿度: 20-80 %</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3.电源: 200-240 V, 50/60 Hz</w:t>
            </w:r>
          </w:p>
          <w:p>
            <w:pPr>
              <w:pStyle w:val="10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rPr>
                <w:highlight w:val="none"/>
              </w:rPr>
            </w:pPr>
            <w:r>
              <w:rPr>
                <w:rFonts w:hint="eastAsia"/>
                <w:b w:val="0"/>
                <w:bCs w:val="0"/>
                <w:color w:val="auto"/>
                <w:sz w:val="18"/>
                <w:szCs w:val="18"/>
                <w:highlight w:val="none"/>
              </w:rPr>
              <w:t>★</w:t>
            </w:r>
            <w:r>
              <w:rPr>
                <w:highlight w:val="none"/>
              </w:rPr>
              <w:t>1.主机：该仪器须为固相萃取及氮吹浓缩一体化，可自动连续批量完成固相萃取氮吹浓缩的全过程（柱活化、上样、淋洗、吹干、洗脱、分步收集、批量浓缩、浓缩定容）。（</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2.样品通道数：≥7个，可同时自动处理≥7个样品，实现≥7个样品的同时活化、同时上样、同时洗脱，同时浓缩。</w:t>
            </w:r>
          </w:p>
          <w:p>
            <w:pPr>
              <w:rPr>
                <w:highlight w:val="none"/>
              </w:rPr>
            </w:pPr>
            <w:r>
              <w:rPr>
                <w:rFonts w:hint="eastAsia"/>
                <w:b w:val="0"/>
                <w:bCs w:val="0"/>
                <w:color w:val="auto"/>
                <w:sz w:val="18"/>
                <w:szCs w:val="18"/>
                <w:highlight w:val="none"/>
              </w:rPr>
              <w:t>★</w:t>
            </w:r>
            <w:r>
              <w:rPr>
                <w:highlight w:val="none"/>
              </w:rPr>
              <w:t>3.自动固相处理样品数：≥46个（50ml离心管），同一台主机固相萃取后自动浓缩样品数：≥46个（50ml离心管）。</w:t>
            </w:r>
          </w:p>
          <w:p>
            <w:pPr>
              <w:rPr>
                <w:highlight w:val="none"/>
              </w:rPr>
            </w:pPr>
            <w:r>
              <w:rPr>
                <w:rFonts w:hint="eastAsia"/>
                <w:b w:val="0"/>
                <w:bCs w:val="0"/>
                <w:color w:val="auto"/>
                <w:sz w:val="18"/>
                <w:szCs w:val="18"/>
                <w:highlight w:val="none"/>
              </w:rPr>
              <w:t>★</w:t>
            </w:r>
            <w:r>
              <w:rPr>
                <w:highlight w:val="none"/>
              </w:rPr>
              <w:t>4.同时具有大小体积样品模式、膜萃取模式、免疫亲和柱模式等多种模式可选。（</w:t>
            </w:r>
            <w:r>
              <w:rPr>
                <w:rFonts w:hint="eastAsia" w:ascii="宋体" w:hAnsi="宋体" w:cs="宋体"/>
                <w:szCs w:val="21"/>
                <w:highlight w:val="none"/>
              </w:rPr>
              <w:t>成交供应商须在合同签订时按采购人的要求提供</w:t>
            </w:r>
            <w:r>
              <w:rPr>
                <w:highlight w:val="none"/>
              </w:rPr>
              <w:t>软件操作截图技术证明作为合同附件）</w:t>
            </w:r>
          </w:p>
          <w:p>
            <w:pPr>
              <w:rPr>
                <w:highlight w:val="none"/>
              </w:rPr>
            </w:pPr>
            <w:r>
              <w:rPr>
                <w:highlight w:val="none"/>
              </w:rPr>
              <w:t>5.使用免疫亲和柱可连续自动化处理，能够依靠自身机械动作自动移除免疫亲和柱下盖帽，完全达到全自动化要求。</w:t>
            </w:r>
          </w:p>
          <w:p>
            <w:pPr>
              <w:rPr>
                <w:highlight w:val="none"/>
              </w:rPr>
            </w:pPr>
            <w:r>
              <w:rPr>
                <w:highlight w:val="none"/>
              </w:rPr>
              <w:t>6.主机配备旋转多通阀数量：≥8个。要求淋洗洗脱溶剂不经过取样针结构。</w:t>
            </w:r>
          </w:p>
          <w:p>
            <w:pPr>
              <w:rPr>
                <w:highlight w:val="none"/>
              </w:rPr>
            </w:pPr>
            <w:r>
              <w:rPr>
                <w:highlight w:val="none"/>
              </w:rPr>
              <w:t>7.多通阀自动切换溶剂数量：≥6种。</w:t>
            </w:r>
          </w:p>
          <w:p>
            <w:pPr>
              <w:rPr>
                <w:highlight w:val="none"/>
              </w:rPr>
            </w:pPr>
            <w:r>
              <w:rPr>
                <w:rFonts w:hint="eastAsia"/>
                <w:b w:val="0"/>
                <w:bCs w:val="0"/>
                <w:color w:val="auto"/>
                <w:sz w:val="18"/>
                <w:szCs w:val="18"/>
                <w:highlight w:val="none"/>
              </w:rPr>
              <w:t>★</w:t>
            </w:r>
            <w:r>
              <w:rPr>
                <w:highlight w:val="none"/>
              </w:rPr>
              <w:t>8.SPE小柱采用柱插杆密封，柱插杆底部紧贴SPE柱填料的上方，排空SPE柱内部空气，且无需使用任何配件进行密封。（</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9.样品泵数量：≥7套10mL高精度注射泵，流速范围：0~95mL/min。</w:t>
            </w:r>
          </w:p>
          <w:p>
            <w:pPr>
              <w:rPr>
                <w:highlight w:val="none"/>
              </w:rPr>
            </w:pPr>
            <w:r>
              <w:rPr>
                <w:highlight w:val="none"/>
              </w:rPr>
              <w:t>10.SPE柱密封位置可设定范围：0.1cm-8.0cm可选，软件可设定内壁密封圈的密封高度。</w:t>
            </w:r>
          </w:p>
          <w:p>
            <w:pPr>
              <w:rPr>
                <w:highlight w:val="none"/>
              </w:rPr>
            </w:pPr>
            <w:r>
              <w:rPr>
                <w:highlight w:val="none"/>
              </w:rPr>
              <w:t>11.样品架，收集架，SPE柱架都可以独立自动移动，具备自动定位的功能，并且具备样品架、收集架和柱架自动识别功能。</w:t>
            </w:r>
          </w:p>
          <w:p>
            <w:pPr>
              <w:rPr>
                <w:highlight w:val="none"/>
              </w:rPr>
            </w:pPr>
            <w:r>
              <w:rPr>
                <w:highlight w:val="none"/>
              </w:rPr>
              <w:t>12.样品架自动识别功能，能够自动识别≥3种样品架，阻止不匹配的样品架运行序列并提示。（</w:t>
            </w:r>
            <w:r>
              <w:rPr>
                <w:rFonts w:hint="eastAsia" w:ascii="宋体" w:hAnsi="宋体" w:cs="宋体"/>
                <w:szCs w:val="21"/>
                <w:highlight w:val="none"/>
              </w:rPr>
              <w:t>成交供应商须在合同</w:t>
            </w:r>
            <w:r>
              <w:rPr>
                <w:rFonts w:hint="eastAsia" w:ascii="宋体" w:hAnsi="宋体" w:cs="宋体"/>
                <w:szCs w:val="21"/>
                <w:highlight w:val="none"/>
                <w:lang w:val="en-US" w:eastAsia="zh-CN"/>
              </w:rPr>
              <w:t>签订</w:t>
            </w:r>
            <w:r>
              <w:rPr>
                <w:rFonts w:hint="eastAsia" w:ascii="宋体" w:hAnsi="宋体" w:cs="宋体"/>
                <w:szCs w:val="21"/>
                <w:highlight w:val="none"/>
              </w:rPr>
              <w:t>时按采购人的要求提供</w:t>
            </w:r>
            <w:r>
              <w:rPr>
                <w:highlight w:val="none"/>
              </w:rPr>
              <w:t>主机样品架识别模块，软件触发样品架识别错误的实拍图片并说明作为合同附件）</w:t>
            </w:r>
          </w:p>
          <w:p>
            <w:pPr>
              <w:rPr>
                <w:highlight w:val="none"/>
              </w:rPr>
            </w:pPr>
            <w:r>
              <w:rPr>
                <w:rFonts w:hint="eastAsia"/>
                <w:b w:val="0"/>
                <w:bCs w:val="0"/>
                <w:color w:val="auto"/>
                <w:sz w:val="18"/>
                <w:szCs w:val="18"/>
                <w:highlight w:val="none"/>
              </w:rPr>
              <w:t>★</w:t>
            </w:r>
            <w:r>
              <w:rPr>
                <w:highlight w:val="none"/>
              </w:rPr>
              <w:t>13.大体积样品批处理能力，样品同时处理≥7个，可连续自动处理≥38个1L大体积水样富集净化浓缩，1L水样瓶自动喷淋清洗。</w:t>
            </w:r>
          </w:p>
          <w:p>
            <w:pPr>
              <w:rPr>
                <w:highlight w:val="none"/>
              </w:rPr>
            </w:pPr>
            <w:r>
              <w:rPr>
                <w:highlight w:val="none"/>
              </w:rPr>
              <w:t>14.支持全氟化合物应用，设备与样品接触的管路均进行无PFC改造，采用PEEK、PP管路，确保PFCs化合物低于标准检出限。</w:t>
            </w:r>
          </w:p>
          <w:p>
            <w:pPr>
              <w:rPr>
                <w:highlight w:val="none"/>
              </w:rPr>
            </w:pPr>
            <w:r>
              <w:rPr>
                <w:highlight w:val="none"/>
              </w:rPr>
              <w:t>15.SPE柱氮气干燥功能：压力设置范围0-29psi可选，采用电子比例阀控制氮气吹干压力。</w:t>
            </w:r>
          </w:p>
          <w:p>
            <w:pPr>
              <w:rPr>
                <w:highlight w:val="none"/>
              </w:rPr>
            </w:pPr>
            <w:r>
              <w:rPr>
                <w:highlight w:val="none"/>
              </w:rPr>
              <w:t>16.可自动完成溶剂置换功能，可自动对浓缩管添加置换溶剂，并自动对置换溶剂进行浓缩，全过程无需人工介入。</w:t>
            </w:r>
          </w:p>
          <w:p>
            <w:pPr>
              <w:rPr>
                <w:highlight w:val="none"/>
              </w:rPr>
            </w:pPr>
            <w:r>
              <w:rPr>
                <w:highlight w:val="none"/>
              </w:rPr>
              <w:t>17.主动排废功能：≥3通道废液排放，主动式排废，不会产生液封现象。</w:t>
            </w:r>
          </w:p>
          <w:p>
            <w:pPr>
              <w:rPr>
                <w:highlight w:val="none"/>
              </w:rPr>
            </w:pPr>
            <w:r>
              <w:rPr>
                <w:highlight w:val="none"/>
              </w:rPr>
              <w:t>18.主动排废模组寿命</w:t>
            </w:r>
            <w:r>
              <w:rPr>
                <w:rFonts w:hint="eastAsia"/>
                <w:highlight w:val="none"/>
                <w:lang w:eastAsia="zh-CN"/>
              </w:rPr>
              <w:t>：</w:t>
            </w:r>
            <w:r>
              <w:rPr>
                <w:highlight w:val="none"/>
              </w:rPr>
              <w:t>主动排废模</w:t>
            </w:r>
            <w:r>
              <w:rPr>
                <w:rFonts w:hint="eastAsia"/>
                <w:highlight w:val="none"/>
                <w:lang w:eastAsia="zh-CN"/>
              </w:rPr>
              <w:t>组</w:t>
            </w:r>
            <w:r>
              <w:rPr>
                <w:highlight w:val="none"/>
              </w:rPr>
              <w:t>至少1年不产生任何耗材。</w:t>
            </w:r>
          </w:p>
          <w:p>
            <w:pPr>
              <w:rPr>
                <w:highlight w:val="none"/>
              </w:rPr>
            </w:pPr>
            <w:r>
              <w:rPr>
                <w:highlight w:val="none"/>
              </w:rPr>
              <w:t>19.浓缩氮气流量设置范围：0.1-2.8L/min区间可选，电子比例阀控制氮气流量。</w:t>
            </w:r>
          </w:p>
          <w:p>
            <w:pPr>
              <w:rPr>
                <w:highlight w:val="none"/>
              </w:rPr>
            </w:pPr>
            <w:r>
              <w:rPr>
                <w:highlight w:val="none"/>
              </w:rPr>
              <w:t>20.固相萃取浓缩仪收集架具备自动给排水功能：软件界面一键操作，在加水泵的作用下进行自动加水操作；也可在排水泵的作用下进行快速排水操作。</w:t>
            </w:r>
          </w:p>
          <w:p>
            <w:pPr>
              <w:rPr>
                <w:highlight w:val="none"/>
              </w:rPr>
            </w:pPr>
            <w:r>
              <w:rPr>
                <w:rFonts w:hint="eastAsia"/>
                <w:b w:val="0"/>
                <w:bCs w:val="0"/>
                <w:color w:val="auto"/>
                <w:sz w:val="18"/>
                <w:szCs w:val="18"/>
                <w:highlight w:val="none"/>
              </w:rPr>
              <w:t>★</w:t>
            </w:r>
            <w:r>
              <w:rPr>
                <w:highlight w:val="none"/>
              </w:rPr>
              <w:t>21.固相萃取浓缩仪浓缩模块运行过程中，氮吹针可随液面自动匀速下降，可实时通过软件对针位移速度进行直接的设定，垂直移动距离≥14cm，全程保持最佳距离，提高浓缩效率，节约氮气。</w:t>
            </w:r>
          </w:p>
          <w:p>
            <w:pPr>
              <w:rPr>
                <w:highlight w:val="none"/>
              </w:rPr>
            </w:pPr>
            <w:r>
              <w:rPr>
                <w:highlight w:val="none"/>
              </w:rPr>
              <w:t>22.固相萃取浓缩仪的氮吹针可在主机待机关机的情况下，无任何工具的协助下手动整排快速拔除拆卸，无需拆卸任何螺母等固定结构，方便清洗和更换。（</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23.整机仪器密封，内置照明，独立的排风系统，防止溶剂挥发，紧凑化设计：整机可放入通风橱内，溶剂瓶架集合在主机，节约实验室空间。透明式外罩，可实时观察做样过程，随时调整运行方法</w:t>
            </w:r>
            <w:r>
              <w:rPr>
                <w:rFonts w:hint="eastAsia"/>
                <w:highlight w:val="none"/>
              </w:rPr>
              <w:t>。</w:t>
            </w:r>
          </w:p>
          <w:p>
            <w:pPr>
              <w:rPr>
                <w:highlight w:val="none"/>
              </w:rPr>
            </w:pPr>
            <w:r>
              <w:rPr>
                <w:highlight w:val="none"/>
              </w:rPr>
              <w:t>24.主机集成自控，≥9.5英寸大屏幕参数显示及控制，主屏幕可按设定进行全自动固相萃取全自动浓缩参数设定，并可实时监测数据，保证实验流程数据的溯源。</w:t>
            </w:r>
          </w:p>
          <w:p>
            <w:pPr>
              <w:rPr>
                <w:highlight w:val="none"/>
              </w:rPr>
            </w:pPr>
            <w:r>
              <w:rPr>
                <w:highlight w:val="none"/>
              </w:rPr>
              <w:t>25.具有≥5种溶剂判断预警，实时扣减，预防溶剂不足导致样品损失。</w:t>
            </w:r>
          </w:p>
          <w:p>
            <w:pPr>
              <w:rPr>
                <w:highlight w:val="none"/>
              </w:rPr>
            </w:pPr>
            <w:r>
              <w:rPr>
                <w:rFonts w:hint="eastAsia"/>
                <w:b w:val="0"/>
                <w:bCs w:val="0"/>
                <w:color w:val="auto"/>
                <w:sz w:val="18"/>
                <w:szCs w:val="18"/>
                <w:highlight w:val="none"/>
              </w:rPr>
              <w:t>★</w:t>
            </w:r>
            <w:r>
              <w:rPr>
                <w:highlight w:val="none"/>
              </w:rPr>
              <w:t>26</w:t>
            </w:r>
            <w:r>
              <w:rPr>
                <w:rFonts w:hint="eastAsia"/>
                <w:highlight w:val="none"/>
              </w:rPr>
              <w:t>.</w:t>
            </w:r>
            <w:r>
              <w:rPr>
                <w:highlight w:val="none"/>
              </w:rPr>
              <w:t xml:space="preserve"> 主机具备红外定容通讯用type-c接口，支持升级到至少46位50mL自动光学定容功能。</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b/>
                <w:bCs/>
                <w:color w:val="auto"/>
                <w:sz w:val="21"/>
                <w:szCs w:val="21"/>
                <w:highlight w:val="none"/>
              </w:rPr>
              <w:t>四、验收时的验证方法：</w:t>
            </w:r>
            <w:r>
              <w:rPr>
                <w:rFonts w:hint="eastAsia" w:ascii="Times New Roman" w:eastAsia="宋体" w:cs="Times New Roman"/>
                <w:color w:val="auto"/>
                <w:kern w:val="2"/>
                <w:sz w:val="21"/>
                <w:highlight w:val="none"/>
              </w:rPr>
              <w:t>仪器需进行实际样品（地表水）运行测试，样品检测结果需满足标准HJ1333-2023的质量保证和质量控制要求，即空白测试结果应低于方法检出限、平行样测定结果的相对偏差应在±30%以内、样品加标回收率应在 60%～130%之间、提取内标回收率应在 40%～160%之间。</w:t>
            </w:r>
          </w:p>
          <w:p>
            <w:pPr>
              <w:pStyle w:val="102"/>
              <w:adjustRightInd/>
              <w:spacing w:line="300" w:lineRule="exact"/>
              <w:rPr>
                <w:rFonts w:ascii="Times New Roman" w:eastAsia="宋体" w:cs="Times New Roman"/>
                <w:color w:val="auto"/>
                <w:kern w:val="2"/>
                <w:sz w:val="21"/>
                <w:highlight w:val="none"/>
              </w:rPr>
            </w:pPr>
            <w:r>
              <w:rPr>
                <w:rFonts w:hint="eastAsia"/>
                <w:b w:val="0"/>
                <w:bCs w:val="0"/>
                <w:color w:val="auto"/>
                <w:sz w:val="18"/>
                <w:szCs w:val="18"/>
                <w:highlight w:val="none"/>
              </w:rPr>
              <w:t>★</w:t>
            </w:r>
            <w:r>
              <w:rPr>
                <w:rFonts w:hint="eastAsia" w:ascii="宋体" w:hAnsi="宋体" w:eastAsia="宋体" w:cs="宋体"/>
                <w:b/>
                <w:bCs/>
                <w:color w:val="auto"/>
                <w:sz w:val="21"/>
                <w:szCs w:val="21"/>
                <w:highlight w:val="none"/>
              </w:rPr>
              <w:t>五 、配置清单(包含但不限于)：</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1.大体积高通量全自动固相萃取仪（带氮吹、红外定容）： 1台。</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2.≥6mL萃取柱模块(适配PFC应用，已装入主机)：1套。</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3.≥3mL 萃取柱模块(适配PFC应用) ：1套。</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4.旋转多通道阀(已装入主机)≥8个。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5.镀层取样针(已装入主机) ≥6个。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6.≥46位自动加排水水浴收集架(已装入主机)</w:t>
            </w:r>
            <w:r>
              <w:rPr>
                <w:rFonts w:hint="eastAsia" w:ascii="Times New Roman" w:eastAsia="宋体" w:cs="Times New Roman"/>
                <w:color w:val="auto"/>
                <w:kern w:val="2"/>
                <w:sz w:val="21"/>
                <w:highlight w:val="none"/>
              </w:rPr>
              <w:tab/>
            </w:r>
            <w:r>
              <w:rPr>
                <w:rFonts w:hint="eastAsia" w:ascii="Times New Roman" w:eastAsia="宋体" w:cs="Times New Roman"/>
                <w:color w:val="auto"/>
                <w:kern w:val="2"/>
                <w:sz w:val="21"/>
                <w:highlight w:val="none"/>
              </w:rPr>
              <w:t>： 1个。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7.≥46位自动降针氮吹模块(已装入主机) ：1个。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8.≥3通道长寿命主动排废模块(已装入主机) ：1个。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9.≥46位50ml上样架： 1个。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10.≥46位15ml上样架 ：1个。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11.≥46位50ml红外定容样品架： 1个。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12.≥46位15ml收集架： 1个。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13.≥40位带润洗大体积上样模块 1套，管路材质适配分析新污染物。</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14.带尾管的玻璃收集管50mL，100个（配放置架2个）。</w:t>
            </w:r>
          </w:p>
          <w:p>
            <w:pPr>
              <w:pStyle w:val="102"/>
              <w:adjustRightInd/>
              <w:spacing w:line="300" w:lineRule="exact"/>
              <w:rPr>
                <w:rFonts w:ascii="Times New Roman" w:eastAsia="宋体" w:cs="Times New Roman"/>
                <w:color w:val="auto"/>
                <w:kern w:val="2"/>
                <w:sz w:val="21"/>
                <w:highlight w:val="none"/>
              </w:rPr>
            </w:pPr>
            <w:r>
              <w:rPr>
                <w:rFonts w:hint="eastAsia" w:ascii="Times New Roman" w:eastAsia="宋体" w:cs="Times New Roman"/>
                <w:color w:val="auto"/>
                <w:kern w:val="2"/>
                <w:sz w:val="21"/>
                <w:highlight w:val="none"/>
              </w:rPr>
              <w:t>15.离心管15mL，100个。</w:t>
            </w:r>
          </w:p>
          <w:p>
            <w:pPr>
              <w:pStyle w:val="102"/>
              <w:adjustRightInd/>
              <w:spacing w:line="300" w:lineRule="exact"/>
              <w:rPr>
                <w:color w:val="auto"/>
                <w:highlight w:val="none"/>
              </w:rPr>
            </w:pPr>
            <w:r>
              <w:rPr>
                <w:rFonts w:hint="eastAsia" w:ascii="Times New Roman" w:eastAsia="宋体" w:cs="Times New Roman"/>
                <w:color w:val="auto"/>
                <w:kern w:val="2"/>
                <w:sz w:val="21"/>
                <w:highlight w:val="none"/>
              </w:rPr>
              <w:t>16.溶剂瓶1000mL，≥6个</w:t>
            </w:r>
            <w:r>
              <w:rPr>
                <w:rFonts w:ascii="Times New Roman" w:eastAsia="宋体" w:cs="Times New Roman"/>
                <w:color w:val="auto"/>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5" w:hRule="atLeast"/>
          <w:jc w:val="center"/>
        </w:trPr>
        <w:tc>
          <w:tcPr>
            <w:tcW w:w="493"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2</w:t>
            </w:r>
          </w:p>
        </w:tc>
        <w:tc>
          <w:tcPr>
            <w:tcW w:w="946"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b/>
                <w:bCs/>
                <w:szCs w:val="21"/>
                <w:highlight w:val="none"/>
              </w:rPr>
              <w:t>便携式重金属测定仪</w:t>
            </w:r>
          </w:p>
        </w:tc>
        <w:tc>
          <w:tcPr>
            <w:tcW w:w="466"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vAlign w:val="center"/>
          </w:tcPr>
          <w:p>
            <w:pPr>
              <w:pStyle w:val="102"/>
              <w:adjustRightInd/>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350000.00</w:t>
            </w:r>
          </w:p>
        </w:tc>
        <w:tc>
          <w:tcPr>
            <w:tcW w:w="5382" w:type="dxa"/>
          </w:tcPr>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ascii="Times New Roman" w:eastAsia="宋体" w:cs="Times New Roman"/>
                <w:color w:val="auto"/>
                <w:sz w:val="21"/>
                <w:szCs w:val="21"/>
                <w:highlight w:val="none"/>
              </w:rPr>
              <w:t>用于现场测定各种水体，如海水、地表水、废水中的汞、砷、锌、铅、铜、铬、镉、铊等元素含量的定量,进行快速方便地分析。其分析结果满足地表水环境质量标准（GB 3838-2002）、废污水综合排放标准（GB 8978-1996）指导值，具有高灵敏度、高准确性、高重复性的特点。</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二、基本原理：</w:t>
            </w:r>
            <w:r>
              <w:rPr>
                <w:rFonts w:ascii="Times New Roman" w:eastAsia="宋体" w:cs="Times New Roman"/>
                <w:color w:val="auto"/>
                <w:sz w:val="21"/>
                <w:szCs w:val="21"/>
                <w:highlight w:val="none"/>
              </w:rPr>
              <w:t>采用阳极溶出伏安法原理对重金属进行检测分析。</w:t>
            </w:r>
          </w:p>
          <w:p>
            <w:pPr>
              <w:pStyle w:val="10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1.仪器特点：具有不受地点限制，携带方便，检测装置简单，测量结果准确。使用便携式信息处理设备，界面曲线显示结果计算/操作数据管理。在野外不需要通过手操器即可独立使用</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w:t>
            </w:r>
            <w:r>
              <w:rPr>
                <w:rFonts w:hint="eastAsia" w:ascii="Times New Roman" w:eastAsia="宋体" w:cs="Times New Roman"/>
                <w:color w:val="auto"/>
                <w:sz w:val="21"/>
                <w:szCs w:val="21"/>
                <w:highlight w:val="none"/>
                <w:lang w:eastAsia="zh-CN"/>
              </w:rPr>
              <w:t>需在响应文件中提供</w:t>
            </w:r>
            <w:r>
              <w:rPr>
                <w:rFonts w:ascii="Times New Roman" w:eastAsia="宋体" w:cs="Times New Roman"/>
                <w:color w:val="auto"/>
                <w:sz w:val="21"/>
                <w:szCs w:val="21"/>
                <w:highlight w:val="none"/>
              </w:rPr>
              <w:t>产品彩页或使用说明书等证明材料。）</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2.主机</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2.1.便携式重金属快速分析仪由恒电位仪主体和测量台组成；恒电位仪外壳为铝合金材质，端盖为锌合金材质；测量台底座和测量头为耐强酸强碱的ABS材料（丙烯晴-丁二烯-苯乙烯共聚物），透明环为PMMA材质（聚甲基丙烯酸甲酯）</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2.2.主机尺寸(宽*高*长):≤105x36x133mm，主机净重：≤490g</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2.3.测量台尺寸(宽*高*长):≤106x144x118mm，测量台净重：≤370g</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3. 电极</w:t>
            </w:r>
          </w:p>
          <w:p>
            <w:pPr>
              <w:pStyle w:val="10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3.1 电极为scTRACE Gold 复合电极，复合电极由金丝工作电极、Ag/AgCl参比电极和玻碳辅助电极组成。</w:t>
            </w:r>
          </w:p>
          <w:p>
            <w:pPr>
              <w:pStyle w:val="10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3.2 可对痕量元素进行形态分析。各元素最低检出限分别为：</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砷：≤0.7ug/L，汞：≤0.5ug/L，铜：≤0.3ug/L，铅：≤0.3ug/L，镉：≤2ug/L，铊：≤0.3ug/L，铬：≤2.0ug/L等。（</w:t>
            </w:r>
            <w:r>
              <w:rPr>
                <w:rFonts w:hint="eastAsia" w:ascii="宋体" w:hAnsi="宋体" w:eastAsia="宋体" w:cs="宋体"/>
                <w:color w:val="auto"/>
                <w:sz w:val="21"/>
                <w:szCs w:val="21"/>
                <w:highlight w:val="none"/>
              </w:rPr>
              <w:t>成交供应商须在合同签订时按采购人的要求提供</w:t>
            </w:r>
            <w:r>
              <w:rPr>
                <w:rFonts w:ascii="宋体" w:hAnsi="宋体" w:eastAsia="宋体" w:cs="宋体"/>
                <w:color w:val="auto"/>
                <w:sz w:val="21"/>
                <w:szCs w:val="21"/>
                <w:highlight w:val="none"/>
              </w:rPr>
              <w:t>制造商出具的技术确认书、第三方出具的技术报告</w:t>
            </w:r>
            <w:r>
              <w:rPr>
                <w:rFonts w:hint="eastAsia" w:ascii="宋体" w:hAnsi="宋体" w:eastAsia="宋体" w:cs="宋体"/>
                <w:color w:val="auto"/>
                <w:sz w:val="21"/>
                <w:szCs w:val="21"/>
                <w:highlight w:val="none"/>
              </w:rPr>
              <w:t>，或使用单位出具的技术证明作为合同附件</w:t>
            </w:r>
            <w:r>
              <w:rPr>
                <w:rFonts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4.搅拌器</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4.1  搅拌速度:500至4</w:t>
            </w:r>
            <w:r>
              <w:rPr>
                <w:rFonts w:hint="eastAsia" w:ascii="Times New Roman" w:eastAsia="宋体" w:cs="Times New Roman"/>
                <w:color w:val="auto"/>
                <w:sz w:val="21"/>
                <w:szCs w:val="21"/>
                <w:highlight w:val="none"/>
              </w:rPr>
              <w:t>0</w:t>
            </w:r>
            <w:r>
              <w:rPr>
                <w:rFonts w:ascii="Times New Roman" w:eastAsia="宋体" w:cs="Times New Roman"/>
                <w:color w:val="auto"/>
                <w:sz w:val="21"/>
                <w:szCs w:val="21"/>
                <w:highlight w:val="none"/>
              </w:rPr>
              <w:t>00min-1</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4.2  精度</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≤10%</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4.3  稳定性</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≤2%</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4.4.  材料： PET或PBT</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5.软件</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5.1  软件自动采集数据，生成报告；可根据要求按多种格式输出结果；</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5.2  软件预先内置了检测的全部方法，每次检测只需调用测试的方法即可。</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5.3  软件可对检测的全过程进行监控</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5.4  可对检测曲线进行叠加显示、结果可自动计算、可对数据再处理、可对曲线细节进行评估。可选择面积定量或峰高定量。</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5.5  软件具有service功能，可判断仪器是否处于良好的工作状态。</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5.6. 软件具有中文操作系统</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6.恒电位仪</w:t>
            </w:r>
          </w:p>
          <w:p>
            <w:pPr>
              <w:pStyle w:val="10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6.1.测量模式: DP（差分脉冲）、SQW（方波）、LSV（线性扫描伏安）</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hint="eastAsia"/>
                <w:b w:val="0"/>
                <w:bCs w:val="0"/>
                <w:color w:val="auto"/>
                <w:sz w:val="18"/>
                <w:szCs w:val="18"/>
                <w:highlight w:val="none"/>
              </w:rPr>
              <w:t>★</w:t>
            </w:r>
            <w:r>
              <w:rPr>
                <w:rFonts w:ascii="Times New Roman" w:eastAsia="宋体" w:cs="Times New Roman"/>
                <w:color w:val="auto"/>
                <w:sz w:val="21"/>
                <w:szCs w:val="21"/>
                <w:highlight w:val="none"/>
              </w:rPr>
              <w:t>6.2.电源供电:锂离子电池（2300mAh）；USB:兼容型直流充电器适配器（5V DC，1A）</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 xml:space="preserve">      </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6.2.1.计算机接口：USB，RS232</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6.2.2.直流电压范围： ±4.096V</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6.2.3.电流范围：±1nA±10mA（8个区间）</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6.2.3.最大可测电流：40mA</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6.2.4.电压范围：±100mV至±1V（2个区间）</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6.2.5.所用电位分辨率：1mV</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6.2.6.测得电流分辨率：0.025% 电流范围，最低电流范围处 1pA</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6.2.7.所用电流分辨率：0.1% 电流输出范围</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w:t>
            </w:r>
            <w:r>
              <w:rPr>
                <w:rFonts w:hint="eastAsia" w:ascii="Times New Roman" w:eastAsia="宋体" w:cs="Times New Roman"/>
                <w:color w:val="auto"/>
                <w:sz w:val="21"/>
                <w:szCs w:val="21"/>
                <w:highlight w:val="none"/>
              </w:rPr>
              <w:t>8</w:t>
            </w:r>
            <w:r>
              <w:rPr>
                <w:rFonts w:ascii="Times New Roman" w:eastAsia="宋体" w:cs="Times New Roman"/>
                <w:color w:val="auto"/>
                <w:sz w:val="21"/>
                <w:szCs w:val="21"/>
                <w:highlight w:val="none"/>
              </w:rPr>
              <w:t>.电位精度：±0.2%</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w:t>
            </w:r>
            <w:r>
              <w:rPr>
                <w:rFonts w:hint="eastAsia" w:ascii="Times New Roman" w:eastAsia="宋体" w:cs="Times New Roman"/>
                <w:color w:val="auto"/>
                <w:sz w:val="21"/>
                <w:szCs w:val="21"/>
                <w:highlight w:val="none"/>
              </w:rPr>
              <w:t>9</w:t>
            </w:r>
            <w:r>
              <w:rPr>
                <w:rFonts w:ascii="Times New Roman" w:eastAsia="宋体" w:cs="Times New Roman"/>
                <w:color w:val="auto"/>
                <w:sz w:val="21"/>
                <w:szCs w:val="21"/>
                <w:highlight w:val="none"/>
              </w:rPr>
              <w:t>.电流精度：100nA至10mA时≦电流范围</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6.2.1</w:t>
            </w:r>
            <w:r>
              <w:rPr>
                <w:rFonts w:hint="eastAsia" w:ascii="Times New Roman" w:eastAsia="宋体" w:cs="Times New Roman"/>
                <w:color w:val="auto"/>
                <w:sz w:val="21"/>
                <w:szCs w:val="21"/>
                <w:highlight w:val="none"/>
              </w:rPr>
              <w:t>10</w:t>
            </w:r>
            <w:r>
              <w:rPr>
                <w:rFonts w:ascii="Times New Roman" w:eastAsia="宋体" w:cs="Times New Roman"/>
                <w:color w:val="auto"/>
                <w:sz w:val="21"/>
                <w:szCs w:val="21"/>
                <w:highlight w:val="none"/>
              </w:rPr>
              <w:t>.外部输入/输出：输出电流，输出电压、2个模拟输入，1个模拟输出、2个数字输入/输出、TX、RX、RTS信号，适用于RS-232接口</w:t>
            </w:r>
            <w:r>
              <w:rPr>
                <w:rFonts w:hint="eastAsia"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 xml:space="preserve">7. </w:t>
            </w:r>
            <w:r>
              <w:rPr>
                <w:rFonts w:hint="eastAsia" w:ascii="Times New Roman" w:eastAsia="宋体" w:cs="Times New Roman"/>
                <w:color w:val="auto"/>
                <w:sz w:val="21"/>
                <w:szCs w:val="21"/>
                <w:highlight w:val="none"/>
                <w:lang w:eastAsia="zh-CN"/>
              </w:rPr>
              <w:t>仪器配套</w:t>
            </w:r>
            <w:r>
              <w:rPr>
                <w:rFonts w:hint="eastAsia" w:ascii="Times New Roman" w:eastAsia="宋体" w:cs="Times New Roman"/>
                <w:color w:val="auto"/>
                <w:sz w:val="21"/>
                <w:szCs w:val="21"/>
                <w:highlight w:val="none"/>
              </w:rPr>
              <w:t>便携式信息处理设备（</w:t>
            </w:r>
            <w:r>
              <w:rPr>
                <w:rFonts w:ascii="Times New Roman" w:eastAsia="宋体" w:cs="Times New Roman"/>
                <w:color w:val="auto"/>
                <w:sz w:val="21"/>
                <w:szCs w:val="21"/>
                <w:highlight w:val="none"/>
              </w:rPr>
              <w:t>支持版本10（64位）</w:t>
            </w:r>
            <w:r>
              <w:rPr>
                <w:rFonts w:hint="eastAsia" w:ascii="Times New Roman" w:eastAsia="宋体" w:cs="Times New Roman"/>
                <w:color w:val="auto"/>
                <w:sz w:val="21"/>
                <w:szCs w:val="21"/>
                <w:highlight w:val="none"/>
                <w:lang w:eastAsia="zh-CN"/>
              </w:rPr>
              <w:t>或以上</w:t>
            </w:r>
            <w:r>
              <w:rPr>
                <w:rFonts w:ascii="Times New Roman" w:eastAsia="宋体" w:cs="Times New Roman"/>
                <w:color w:val="auto"/>
                <w:sz w:val="21"/>
                <w:szCs w:val="21"/>
                <w:highlight w:val="none"/>
              </w:rPr>
              <w:t>的桌面级系统平台</w:t>
            </w:r>
            <w:r>
              <w:rPr>
                <w:rFonts w:hint="eastAsia" w:ascii="Times New Roman" w:eastAsia="宋体" w:cs="Times New Roman"/>
                <w:color w:val="auto"/>
                <w:sz w:val="21"/>
                <w:szCs w:val="21"/>
                <w:highlight w:val="none"/>
              </w:rPr>
              <w:t>）1台</w:t>
            </w:r>
            <w:r>
              <w:rPr>
                <w:rFonts w:ascii="Times New Roman" w:eastAsia="宋体" w:cs="Times New Roman"/>
                <w:color w:val="auto"/>
                <w:sz w:val="21"/>
                <w:szCs w:val="21"/>
                <w:highlight w:val="none"/>
              </w:rPr>
              <w:t>。</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四、验收时的验证方法：</w:t>
            </w:r>
            <w:r>
              <w:rPr>
                <w:rFonts w:hint="eastAsia" w:ascii="Times New Roman" w:eastAsia="宋体" w:cs="Times New Roman"/>
                <w:color w:val="auto"/>
                <w:sz w:val="21"/>
                <w:szCs w:val="21"/>
                <w:highlight w:val="none"/>
              </w:rPr>
              <w:t>依据《环境监测分析方法标准制订技术导则》（HJ 168-2020）要求，对</w:t>
            </w:r>
            <w:r>
              <w:rPr>
                <w:rFonts w:ascii="Times New Roman" w:eastAsia="宋体" w:cs="Times New Roman"/>
                <w:color w:val="auto"/>
                <w:sz w:val="21"/>
                <w:szCs w:val="21"/>
                <w:highlight w:val="none"/>
              </w:rPr>
              <w:t>汞、铅、铜</w:t>
            </w:r>
            <w:r>
              <w:rPr>
                <w:rFonts w:hint="eastAsia" w:ascii="Times New Roman" w:eastAsia="宋体" w:cs="Times New Roman"/>
                <w:color w:val="auto"/>
                <w:sz w:val="21"/>
                <w:szCs w:val="21"/>
                <w:highlight w:val="none"/>
              </w:rPr>
              <w:t>、</w:t>
            </w:r>
            <w:r>
              <w:rPr>
                <w:rFonts w:ascii="Times New Roman" w:eastAsia="宋体" w:cs="Times New Roman"/>
                <w:color w:val="auto"/>
                <w:sz w:val="21"/>
                <w:szCs w:val="21"/>
                <w:highlight w:val="none"/>
              </w:rPr>
              <w:t>铊等元素</w:t>
            </w:r>
            <w:r>
              <w:rPr>
                <w:rFonts w:hint="eastAsia" w:ascii="Times New Roman" w:eastAsia="宋体" w:cs="Times New Roman"/>
                <w:color w:val="auto"/>
                <w:sz w:val="21"/>
                <w:szCs w:val="21"/>
                <w:highlight w:val="none"/>
              </w:rPr>
              <w:t>进行验证：</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1.加标回收率验证：使用重金属元素标准样品，按仪器操作流程进行测定，计算加标回收率（80%~120%为合格）。</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2.精密度验证：对同样品进行6次平行测定，计算相对标准偏差（RSD），要求RSD≤5%。</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 xml:space="preserve">3.检测限与定量限验证：  </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按《环境监测分析方法标准制订技术导则》（HJ 168—2020），空白试验中未检测出目标物，按照样品分析的全部步骤，对浓度值或含量为估计方法检出限值3～5 倍的样品进行n（ n ≥7）次平行测定。计算 n 次平行测定的标准偏差，按标准公式计算方法检出限。</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4.正确度：使用有证标准物质进行验证，结果满足有证物质范围内。</w:t>
            </w:r>
          </w:p>
          <w:p>
            <w:pPr>
              <w:adjustRightInd/>
              <w:spacing w:line="320" w:lineRule="exact"/>
              <w:rPr>
                <w:rFonts w:hint="eastAsia" w:ascii="宋体" w:hAnsi="宋体" w:eastAsia="宋体" w:cs="宋体"/>
                <w:b/>
                <w:bCs/>
                <w:szCs w:val="21"/>
                <w:highlight w:val="none"/>
                <w:lang w:eastAsia="zh-CN"/>
              </w:rPr>
            </w:pPr>
            <w:r>
              <w:rPr>
                <w:rFonts w:hint="eastAsia"/>
                <w:b w:val="0"/>
                <w:bCs w:val="0"/>
                <w:color w:val="auto"/>
                <w:sz w:val="18"/>
                <w:szCs w:val="18"/>
                <w:highlight w:val="none"/>
              </w:rPr>
              <w:t>★</w:t>
            </w:r>
            <w:r>
              <w:rPr>
                <w:rFonts w:hint="eastAsia" w:ascii="宋体" w:hAnsi="宋体" w:cs="宋体"/>
                <w:b/>
                <w:bCs/>
                <w:szCs w:val="21"/>
                <w:highlight w:val="none"/>
              </w:rPr>
              <w:t>五、配置清单</w:t>
            </w:r>
            <w:r>
              <w:rPr>
                <w:rFonts w:hint="eastAsia" w:ascii="宋体" w:hAnsi="宋体" w:eastAsia="宋体" w:cs="宋体"/>
                <w:b/>
                <w:bCs/>
                <w:color w:val="auto"/>
                <w:sz w:val="21"/>
                <w:szCs w:val="21"/>
                <w:highlight w:val="none"/>
              </w:rPr>
              <w:t>（包含但不限于）</w:t>
            </w:r>
            <w:r>
              <w:rPr>
                <w:rFonts w:hint="eastAsia" w:ascii="宋体" w:hAnsi="宋体" w:cs="宋体"/>
                <w:b/>
                <w:bCs/>
                <w:color w:val="auto"/>
                <w:sz w:val="21"/>
                <w:szCs w:val="21"/>
                <w:highlight w:val="none"/>
                <w:lang w:eastAsia="zh-CN"/>
              </w:rPr>
              <w:t>：</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1.便携式重金属快速分析仪主机1套。</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2.三合一复合电极 ≥16个。</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3.测量杯 ≥4个。</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4.搅拌头 ≥1个。</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5.塑料加液管≥2支。</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6.至少100µL微量加液器1支。</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7.30mL标准溶液瓶≥2个 。</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8.125mL缓冲溶液试剂瓶≥2支。</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9.完整测量头1个。</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10.连接电源的电缆线1根。</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11.充电电源接头1根。</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12.恒电位仪数据连接线1根。</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13.软件1套。</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14.铁质扳手1个。</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15.专用手提箱1个。</w:t>
            </w:r>
          </w:p>
          <w:p>
            <w:pPr>
              <w:pStyle w:val="102"/>
              <w:adjustRightInd/>
              <w:spacing w:line="300" w:lineRule="exact"/>
              <w:rPr>
                <w:color w:val="auto"/>
                <w:highlight w:val="none"/>
              </w:rPr>
            </w:pPr>
            <w:r>
              <w:rPr>
                <w:rFonts w:hint="eastAsia" w:ascii="Times New Roman" w:eastAsia="宋体" w:cs="Times New Roman"/>
                <w:color w:val="auto"/>
                <w:sz w:val="21"/>
                <w:szCs w:val="21"/>
                <w:highlight w:val="none"/>
              </w:rPr>
              <w:t>16.</w:t>
            </w:r>
            <w:bookmarkStart w:id="71" w:name="OLE_LINK10"/>
            <w:r>
              <w:rPr>
                <w:rFonts w:hint="eastAsia" w:ascii="Times New Roman" w:eastAsia="宋体" w:cs="Times New Roman"/>
                <w:color w:val="auto"/>
                <w:sz w:val="21"/>
                <w:szCs w:val="21"/>
                <w:highlight w:val="none"/>
                <w:lang w:eastAsia="zh-CN"/>
              </w:rPr>
              <w:t>仪器配套</w:t>
            </w:r>
            <w:r>
              <w:rPr>
                <w:rFonts w:hint="eastAsia" w:ascii="Times New Roman" w:eastAsia="宋体" w:cs="Times New Roman"/>
                <w:color w:val="auto"/>
                <w:sz w:val="21"/>
                <w:szCs w:val="21"/>
                <w:highlight w:val="none"/>
              </w:rPr>
              <w:t>便携式信息处理设备（</w:t>
            </w:r>
            <w:r>
              <w:rPr>
                <w:rFonts w:ascii="Times New Roman" w:eastAsia="宋体" w:cs="Times New Roman"/>
                <w:color w:val="auto"/>
                <w:sz w:val="21"/>
                <w:szCs w:val="21"/>
                <w:highlight w:val="none"/>
              </w:rPr>
              <w:t>支持版本10（64位）</w:t>
            </w:r>
            <w:r>
              <w:rPr>
                <w:rFonts w:hint="eastAsia" w:ascii="Times New Roman" w:eastAsia="宋体" w:cs="Times New Roman"/>
                <w:color w:val="auto"/>
                <w:sz w:val="21"/>
                <w:szCs w:val="21"/>
                <w:highlight w:val="none"/>
                <w:lang w:eastAsia="zh-CN"/>
              </w:rPr>
              <w:t>或以上</w:t>
            </w:r>
            <w:r>
              <w:rPr>
                <w:rFonts w:ascii="Times New Roman" w:eastAsia="宋体" w:cs="Times New Roman"/>
                <w:color w:val="auto"/>
                <w:sz w:val="21"/>
                <w:szCs w:val="21"/>
                <w:highlight w:val="none"/>
              </w:rPr>
              <w:t>的桌面级系统平台</w:t>
            </w:r>
            <w:r>
              <w:rPr>
                <w:rFonts w:hint="eastAsia" w:ascii="Times New Roman" w:eastAsia="宋体" w:cs="Times New Roman"/>
                <w:color w:val="auto"/>
                <w:sz w:val="21"/>
                <w:szCs w:val="21"/>
                <w:highlight w:val="none"/>
              </w:rPr>
              <w:t>）1台</w:t>
            </w:r>
            <w:bookmarkEnd w:id="71"/>
            <w:r>
              <w:rPr>
                <w:rFonts w:asci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3"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3</w:t>
            </w:r>
          </w:p>
        </w:tc>
        <w:tc>
          <w:tcPr>
            <w:tcW w:w="946" w:type="dxa"/>
            <w:shd w:val="clear" w:color="auto" w:fill="auto"/>
            <w:vAlign w:val="center"/>
          </w:tcPr>
          <w:p>
            <w:pPr>
              <w:wordWrap w:val="0"/>
              <w:adjustRightInd/>
              <w:spacing w:line="280" w:lineRule="exact"/>
              <w:jc w:val="center"/>
              <w:rPr>
                <w:rFonts w:ascii="宋体" w:hAnsi="宋体" w:cs="宋体"/>
                <w:b/>
                <w:bCs/>
                <w:szCs w:val="21"/>
                <w:highlight w:val="none"/>
              </w:rPr>
            </w:pPr>
            <w:r>
              <w:rPr>
                <w:rFonts w:hint="eastAsia" w:ascii="宋体" w:hAnsi="宋体" w:cs="宋体"/>
                <w:b/>
                <w:bCs/>
                <w:szCs w:val="21"/>
                <w:highlight w:val="none"/>
              </w:rPr>
              <w:t>连续流动分析仪</w:t>
            </w:r>
          </w:p>
        </w:tc>
        <w:tc>
          <w:tcPr>
            <w:tcW w:w="466"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shd w:val="clear" w:color="auto" w:fill="auto"/>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shd w:val="clear" w:color="auto" w:fill="auto"/>
            <w:vAlign w:val="center"/>
          </w:tcPr>
          <w:p>
            <w:pPr>
              <w:adjustRightInd/>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990000.00</w:t>
            </w:r>
          </w:p>
        </w:tc>
        <w:tc>
          <w:tcPr>
            <w:tcW w:w="5382" w:type="dxa"/>
            <w:shd w:val="clear" w:color="auto" w:fill="auto"/>
          </w:tcPr>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hint="eastAsia" w:ascii="Times New Roman" w:eastAsia="宋体" w:cs="Times New Roman"/>
                <w:color w:val="auto"/>
                <w:sz w:val="21"/>
                <w:szCs w:val="21"/>
                <w:highlight w:val="none"/>
              </w:rPr>
              <w:t>主要用于远海、近岸海域海水、河口、入海排污口及其临近海域水体中的铵盐、硝酸盐、亚硝酸盐、磷酸盐、总氮、总磷测定。</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二、基本要求：</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1.运行条件。</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1.1相对湿度20%～90%；</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1.2室内温度：5～40℃；</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1.3电源： 220V（AC），50/60HZ。</w:t>
            </w:r>
          </w:p>
          <w:p>
            <w:pPr>
              <w:pStyle w:val="10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rPr>
                <w:highlight w:val="none"/>
              </w:rPr>
            </w:pPr>
            <w:r>
              <w:rPr>
                <w:rFonts w:hint="eastAsia"/>
                <w:highlight w:val="none"/>
              </w:rPr>
              <w:t>1</w:t>
            </w:r>
            <w:r>
              <w:rPr>
                <w:highlight w:val="none"/>
              </w:rPr>
              <w:t>.技术指标要求：</w:t>
            </w:r>
          </w:p>
          <w:p>
            <w:pPr>
              <w:rPr>
                <w:highlight w:val="none"/>
              </w:rPr>
            </w:pPr>
            <w:r>
              <w:rPr>
                <w:rFonts w:hint="eastAsia"/>
                <w:highlight w:val="none"/>
              </w:rPr>
              <w:t>1</w:t>
            </w:r>
            <w:r>
              <w:rPr>
                <w:highlight w:val="none"/>
              </w:rPr>
              <w:t>.1.原理：利用蠕动泵将样品压入以一定流速流动的、用空气气泡间隔的载流中，样品和试剂在连续流动的载流中充分混合并充分反应达到稳定后，反应产物通过检测器检测，要求分析方法均符合标准方法《海洋监测技术规程 第1部分：海水》（HY/T 147.1-2013）和《近岸海域环境监测技术规范 第三部分 近岸海域水质监测》（HJ 442.3-2020）。</w:t>
            </w:r>
          </w:p>
          <w:p>
            <w:pPr>
              <w:rPr>
                <w:highlight w:val="none"/>
              </w:rPr>
            </w:pPr>
            <w:r>
              <w:rPr>
                <w:rFonts w:hint="eastAsia"/>
                <w:b w:val="0"/>
                <w:bCs w:val="0"/>
                <w:color w:val="auto"/>
                <w:sz w:val="18"/>
                <w:szCs w:val="18"/>
                <w:highlight w:val="none"/>
              </w:rPr>
              <w:t>★</w:t>
            </w:r>
            <w:r>
              <w:rPr>
                <w:rFonts w:hint="eastAsia"/>
                <w:highlight w:val="none"/>
              </w:rPr>
              <w:t>1</w:t>
            </w:r>
            <w:r>
              <w:rPr>
                <w:highlight w:val="none"/>
              </w:rPr>
              <w:t>.</w:t>
            </w:r>
            <w:r>
              <w:rPr>
                <w:rFonts w:hint="eastAsia"/>
                <w:highlight w:val="none"/>
                <w:lang w:val="en-US" w:eastAsia="zh-CN"/>
              </w:rPr>
              <w:t>1.1</w:t>
            </w:r>
            <w:r>
              <w:rPr>
                <w:highlight w:val="none"/>
              </w:rPr>
              <w:t>要求该全自动连续流动分析仪高度自动化，具备分析全过程的的无人值守系统，包括：自动开、关机，蠕动泵泵盖自动下降、压紧并调整泵管压力从而启动分析，结束分析后蠕动泵泵盖自动抬升、松开泵管从而自动关机，试剂和清洗液自动切换，数字化控制在线恒温加热器、在线消解器、气泡注入频率、蠕动泵泵速，完全自动化。要求配置铵盐、硝酸盐/总氮、亚硝酸盐、磷酸盐/总磷等4个独立的分析通道，要求能无人值守全自动同时测定4项营养盐、同时出结果，要求总磷总氮能同时消解、同时测定。（</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rFonts w:hint="eastAsia"/>
                <w:highlight w:val="none"/>
              </w:rPr>
              <w:t>1</w:t>
            </w:r>
            <w:r>
              <w:rPr>
                <w:rFonts w:hint="eastAsia"/>
                <w:highlight w:val="none"/>
                <w:lang w:val="en-US" w:eastAsia="zh-CN"/>
              </w:rPr>
              <w:t>.</w:t>
            </w:r>
            <w:r>
              <w:rPr>
                <w:highlight w:val="none"/>
              </w:rPr>
              <w:t>2随机自动进样器：</w:t>
            </w:r>
          </w:p>
          <w:p>
            <w:pPr>
              <w:rPr>
                <w:highlight w:val="none"/>
              </w:rPr>
            </w:pPr>
            <w:r>
              <w:rPr>
                <w:rFonts w:hint="eastAsia"/>
                <w:b w:val="0"/>
                <w:bCs w:val="0"/>
                <w:color w:val="auto"/>
                <w:sz w:val="18"/>
                <w:szCs w:val="18"/>
                <w:highlight w:val="none"/>
              </w:rPr>
              <w:t>★</w:t>
            </w:r>
            <w:r>
              <w:rPr>
                <w:rFonts w:hint="eastAsia"/>
                <w:highlight w:val="none"/>
              </w:rPr>
              <w:t>1</w:t>
            </w:r>
            <w:r>
              <w:rPr>
                <w:highlight w:val="none"/>
              </w:rPr>
              <w:t>.2.1随机自动进样器：由操作平台软件控制步进电机进行三维(X，Y, Z方向)位置控制，具有开机自检功能；进样器样品位≥120位，配套可放置的样品管容量≥11毫升，满足≥120个水样同时测定五项营养盐并可连续取样测量2次或以上；单针/双针进样模式软件设定、随意切换，满足多种不同溶液体系的项目或者不同样品同时进样同时分析</w:t>
            </w:r>
            <w:r>
              <w:rPr>
                <w:rFonts w:hint="eastAsia"/>
                <w:highlight w:val="none"/>
              </w:rPr>
              <w:t>。</w:t>
            </w:r>
            <w:r>
              <w:rPr>
                <w:highlight w:val="none"/>
              </w:rPr>
              <w:t>（</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rFonts w:hint="eastAsia"/>
                <w:highlight w:val="none"/>
              </w:rPr>
              <w:t>1</w:t>
            </w:r>
            <w:r>
              <w:rPr>
                <w:highlight w:val="none"/>
              </w:rPr>
              <w:t>.2.2可在任何时候取任何样，完成自动重复测量和对超标样或被带过影响的样品重复测量，即自动进样器是随机自动取样。</w:t>
            </w:r>
          </w:p>
          <w:p>
            <w:pPr>
              <w:rPr>
                <w:highlight w:val="none"/>
              </w:rPr>
            </w:pPr>
            <w:r>
              <w:rPr>
                <w:rFonts w:hint="eastAsia"/>
                <w:highlight w:val="none"/>
              </w:rPr>
              <w:t>1</w:t>
            </w:r>
            <w:r>
              <w:rPr>
                <w:highlight w:val="none"/>
              </w:rPr>
              <w:t>.2.3工作站软件对取样时间、取样深度、取样位置、清洗时间进行调节。</w:t>
            </w:r>
          </w:p>
          <w:p>
            <w:pPr>
              <w:rPr>
                <w:highlight w:val="none"/>
              </w:rPr>
            </w:pPr>
            <w:r>
              <w:rPr>
                <w:rFonts w:hint="eastAsia"/>
                <w:highlight w:val="none"/>
              </w:rPr>
              <w:t>1</w:t>
            </w:r>
            <w:r>
              <w:rPr>
                <w:highlight w:val="none"/>
              </w:rPr>
              <w:t>.2.4 自动进样器配备清洗泵，自动清洗泵≥3台，用于连接进样针、动态多阶级清洗池的清洗液管和废液管，保证清洗效果</w:t>
            </w:r>
            <w:r>
              <w:rPr>
                <w:rFonts w:hint="eastAsia"/>
                <w:highlight w:val="none"/>
              </w:rPr>
              <w:t>。</w:t>
            </w:r>
            <w:r>
              <w:rPr>
                <w:highlight w:val="none"/>
              </w:rPr>
              <w:t>（</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rFonts w:hint="eastAsia"/>
                <w:highlight w:val="none"/>
              </w:rPr>
              <w:t>1</w:t>
            </w:r>
            <w:r>
              <w:rPr>
                <w:highlight w:val="none"/>
              </w:rPr>
              <w:t>.2.5工作状态：进样器有状态警示灯以提示反应进样器是否处于正常工作状态</w:t>
            </w:r>
          </w:p>
          <w:p>
            <w:pPr>
              <w:rPr>
                <w:highlight w:val="none"/>
              </w:rPr>
            </w:pPr>
            <w:r>
              <w:rPr>
                <w:rFonts w:hint="eastAsia"/>
                <w:b w:val="0"/>
                <w:bCs w:val="0"/>
                <w:color w:val="auto"/>
                <w:sz w:val="18"/>
                <w:szCs w:val="18"/>
                <w:highlight w:val="none"/>
              </w:rPr>
              <w:t>★</w:t>
            </w:r>
            <w:r>
              <w:rPr>
                <w:rFonts w:hint="eastAsia"/>
                <w:highlight w:val="none"/>
              </w:rPr>
              <w:t>1</w:t>
            </w:r>
            <w:r>
              <w:rPr>
                <w:highlight w:val="none"/>
              </w:rPr>
              <w:t>.2.6进样针清洗：配置≥2通道移动式清洗槽，保证每个进样针均有独立清洗槽，清洗槽能随进样位置在X轴水平移动，不是固定位置，减少进样针到清洗槽距离从而实现进样针及时清洗和减少空气吸入（</w:t>
            </w:r>
            <w:r>
              <w:rPr>
                <w:rFonts w:hint="eastAsia" w:ascii="宋体" w:hAnsi="宋体" w:cs="宋体"/>
                <w:szCs w:val="21"/>
                <w:highlight w:val="none"/>
              </w:rPr>
              <w:t>成交供应商须在合同签订时按采购人的要求提供</w:t>
            </w:r>
            <w:r>
              <w:rPr>
                <w:highlight w:val="none"/>
              </w:rPr>
              <w:t>进样器可移动清洗槽实物清晰照片和注解进行佐证作为合同附件）。</w:t>
            </w:r>
          </w:p>
          <w:p>
            <w:pPr>
              <w:rPr>
                <w:highlight w:val="none"/>
              </w:rPr>
            </w:pPr>
            <w:r>
              <w:rPr>
                <w:rFonts w:hint="eastAsia"/>
                <w:highlight w:val="none"/>
              </w:rPr>
              <w:t>1</w:t>
            </w:r>
            <w:r>
              <w:rPr>
                <w:highlight w:val="none"/>
              </w:rPr>
              <w:t>.3高精度蠕动泵和气泡注入装置：</w:t>
            </w:r>
          </w:p>
          <w:p>
            <w:pPr>
              <w:rPr>
                <w:highlight w:val="none"/>
              </w:rPr>
            </w:pPr>
            <w:r>
              <w:rPr>
                <w:rFonts w:hint="eastAsia"/>
                <w:highlight w:val="none"/>
              </w:rPr>
              <w:t>1</w:t>
            </w:r>
            <w:r>
              <w:rPr>
                <w:highlight w:val="none"/>
              </w:rPr>
              <w:t>.3.1高精度蠕动泵≥1台，提供≥33个试剂泵管位，要求配置的泵管位能满足铵盐、硝酸盐、亚硝酸盐、磷酸盐等四个项目同时测定，总磷、总氮同时消解、同时分析。</w:t>
            </w:r>
          </w:p>
          <w:p>
            <w:pPr>
              <w:rPr>
                <w:highlight w:val="none"/>
              </w:rPr>
            </w:pPr>
            <w:r>
              <w:rPr>
                <w:rFonts w:hint="eastAsia"/>
                <w:b w:val="0"/>
                <w:bCs w:val="0"/>
                <w:color w:val="auto"/>
                <w:sz w:val="18"/>
                <w:szCs w:val="18"/>
                <w:highlight w:val="none"/>
              </w:rPr>
              <w:t>★</w:t>
            </w:r>
            <w:r>
              <w:rPr>
                <w:rFonts w:hint="eastAsia"/>
                <w:highlight w:val="none"/>
              </w:rPr>
              <w:t>1</w:t>
            </w:r>
            <w:r>
              <w:rPr>
                <w:highlight w:val="none"/>
              </w:rPr>
              <w:t>.3.2高精度蠕动泵盖采用一体式压块，泵盖是电动下降和上升，无需手动；根据分析程序能自动下降、压紧并开启测定，完成测定后自动升高泵盖、松开泵管，避免泵管长时间压紧失去弹性，有效延长泵管寿命和实现无人值守，全程无需手动操作。（</w:t>
            </w:r>
            <w:r>
              <w:rPr>
                <w:rFonts w:hint="eastAsia" w:ascii="宋体" w:hAnsi="宋体" w:cs="宋体"/>
                <w:szCs w:val="21"/>
                <w:highlight w:val="none"/>
              </w:rPr>
              <w:t>成交供应商须在合同签订时按采购人的要求提供</w:t>
            </w:r>
            <w:r>
              <w:rPr>
                <w:highlight w:val="none"/>
              </w:rPr>
              <w:t>工作软件设置界面以及清晰硬件实物图片作为证明材料作为合同附件）</w:t>
            </w:r>
          </w:p>
          <w:p>
            <w:pPr>
              <w:rPr>
                <w:highlight w:val="none"/>
              </w:rPr>
            </w:pPr>
            <w:r>
              <w:rPr>
                <w:rFonts w:hint="eastAsia"/>
                <w:highlight w:val="none"/>
              </w:rPr>
              <w:t>1</w:t>
            </w:r>
            <w:r>
              <w:rPr>
                <w:highlight w:val="none"/>
              </w:rPr>
              <w:t>.3.3高精度蠕动泵盖具有压力自动调节功能，泵盖可以随着轴的转动而浮动，自动调整泵盖与轴之间的压力，确保泵管受到的压力时刻相等，确保试剂流速长时间精确，提供上述技术要求的盖可采用自动和手动按钮的方式压紧和弹开，在任何模式下都可以便捷控制。</w:t>
            </w:r>
          </w:p>
          <w:p>
            <w:pPr>
              <w:rPr>
                <w:highlight w:val="none"/>
              </w:rPr>
            </w:pPr>
            <w:r>
              <w:rPr>
                <w:rFonts w:hint="eastAsia"/>
                <w:b w:val="0"/>
                <w:bCs w:val="0"/>
                <w:color w:val="auto"/>
                <w:sz w:val="18"/>
                <w:szCs w:val="18"/>
                <w:highlight w:val="none"/>
              </w:rPr>
              <w:t>★</w:t>
            </w:r>
            <w:r>
              <w:rPr>
                <w:rFonts w:hint="eastAsia"/>
                <w:highlight w:val="none"/>
              </w:rPr>
              <w:t>1</w:t>
            </w:r>
            <w:r>
              <w:rPr>
                <w:highlight w:val="none"/>
              </w:rPr>
              <w:t>.3.4 配备≥4套空气注入阀，通过光学开光控制气泡注入频率，通过光电感应器遮光、透光来控制阀的开启与关闭，从而实现精准控制注入气泡的时间间隔；蠕动泵不转动时，电磁阀不需要工作，防止气体回流。</w:t>
            </w:r>
          </w:p>
          <w:p>
            <w:pPr>
              <w:rPr>
                <w:highlight w:val="none"/>
              </w:rPr>
            </w:pPr>
            <w:r>
              <w:rPr>
                <w:rFonts w:hint="eastAsia"/>
                <w:highlight w:val="none"/>
              </w:rPr>
              <w:t>1</w:t>
            </w:r>
            <w:r>
              <w:rPr>
                <w:highlight w:val="none"/>
              </w:rPr>
              <w:t>.3.5气泡频率和大小可根据不同的项目进行调节，软件设定空气开启/闭合的时间，可以自由设定气泡进入管道的时间间隔，不采用固定的时间间隔。</w:t>
            </w:r>
          </w:p>
          <w:p>
            <w:pPr>
              <w:rPr>
                <w:highlight w:val="none"/>
              </w:rPr>
            </w:pPr>
            <w:r>
              <w:rPr>
                <w:rFonts w:hint="eastAsia"/>
                <w:highlight w:val="none"/>
              </w:rPr>
              <w:t>1</w:t>
            </w:r>
            <w:r>
              <w:rPr>
                <w:highlight w:val="none"/>
              </w:rPr>
              <w:t>.3.6蠕动泵速度可以通过工作站软件调节，无级变速或档位变速，任意变换速度，档位变速时蠕动速度调节档≥8档，流量控制准确。</w:t>
            </w:r>
          </w:p>
          <w:p>
            <w:pPr>
              <w:rPr>
                <w:highlight w:val="none"/>
              </w:rPr>
            </w:pPr>
            <w:r>
              <w:rPr>
                <w:rFonts w:hint="eastAsia"/>
                <w:highlight w:val="none"/>
              </w:rPr>
              <w:t>1</w:t>
            </w:r>
            <w:r>
              <w:rPr>
                <w:highlight w:val="none"/>
              </w:rPr>
              <w:t>.3.7蠕动泵配备漏液检测装置，发现漏液后蠕动泵自动停止，要求在蠕动泵配置抽屉式漏液收集装置，便于排漏液。</w:t>
            </w:r>
          </w:p>
          <w:p>
            <w:pPr>
              <w:rPr>
                <w:highlight w:val="none"/>
              </w:rPr>
            </w:pPr>
            <w:r>
              <w:rPr>
                <w:rFonts w:hint="eastAsia"/>
                <w:highlight w:val="none"/>
              </w:rPr>
              <w:t>1</w:t>
            </w:r>
            <w:r>
              <w:rPr>
                <w:highlight w:val="none"/>
              </w:rPr>
              <w:t>.4化学分析模块：</w:t>
            </w:r>
          </w:p>
          <w:p>
            <w:pPr>
              <w:rPr>
                <w:highlight w:val="none"/>
              </w:rPr>
            </w:pPr>
            <w:r>
              <w:rPr>
                <w:rFonts w:hint="eastAsia"/>
                <w:highlight w:val="none"/>
              </w:rPr>
              <w:t>1</w:t>
            </w:r>
            <w:r>
              <w:rPr>
                <w:highlight w:val="none"/>
              </w:rPr>
              <w:t>.4.1 化学分析模块由惰性玻璃圈组成，玻璃圈内径≥2mm，能清楚看见系统内部液体的运行情况，要求所有玻璃件内壁具有惰性涂层，耐腐蚀，不易结垢堵塞管路；试剂和样品均无需过滤、超声、脱气泡即可直接上机。</w:t>
            </w:r>
          </w:p>
          <w:p>
            <w:pPr>
              <w:rPr>
                <w:highlight w:val="none"/>
              </w:rPr>
            </w:pPr>
            <w:r>
              <w:rPr>
                <w:rFonts w:hint="eastAsia"/>
                <w:b w:val="0"/>
                <w:bCs w:val="0"/>
                <w:color w:val="auto"/>
                <w:sz w:val="18"/>
                <w:szCs w:val="18"/>
                <w:highlight w:val="none"/>
              </w:rPr>
              <w:t>★</w:t>
            </w:r>
            <w:r>
              <w:rPr>
                <w:rFonts w:hint="eastAsia"/>
                <w:highlight w:val="none"/>
              </w:rPr>
              <w:t>1</w:t>
            </w:r>
            <w:r>
              <w:rPr>
                <w:highlight w:val="none"/>
              </w:rPr>
              <w:t>.4.2配置≥6套化学分析模块，分别独立配置铵盐、硝酸盐、亚硝酸盐、磷酸盐、总磷和总氮模块，要求每个分析模块独立配置≥2个漏液监测装置，分析模块上总共配备≥12个漏液监测装置，均能自动报警和自动排出废液功能。</w:t>
            </w:r>
          </w:p>
          <w:p>
            <w:pPr>
              <w:rPr>
                <w:highlight w:val="none"/>
              </w:rPr>
            </w:pPr>
            <w:r>
              <w:rPr>
                <w:rFonts w:hint="eastAsia"/>
                <w:highlight w:val="none"/>
              </w:rPr>
              <w:t>1</w:t>
            </w:r>
            <w:r>
              <w:rPr>
                <w:highlight w:val="none"/>
              </w:rPr>
              <w:t>.4.3硝酸盐分析模块配备在线镉还原装置，片段流在进入还原装置前无需去气泡、流出镉还原装置后无需重新加气泡，保证片段流的均一和稳定，要求片段流在镉还原装置混合反应≥8圈，还原效率≥95%；要求镉还原装置寿命≥1年，期间不需要更换镉粉或镉粒。</w:t>
            </w:r>
          </w:p>
          <w:p>
            <w:pPr>
              <w:rPr>
                <w:highlight w:val="none"/>
              </w:rPr>
            </w:pPr>
            <w:r>
              <w:rPr>
                <w:rFonts w:hint="eastAsia"/>
                <w:b w:val="0"/>
                <w:bCs w:val="0"/>
                <w:color w:val="auto"/>
                <w:sz w:val="18"/>
                <w:szCs w:val="18"/>
                <w:highlight w:val="none"/>
              </w:rPr>
              <w:t>★</w:t>
            </w:r>
            <w:r>
              <w:rPr>
                <w:rFonts w:hint="eastAsia"/>
                <w:highlight w:val="none"/>
              </w:rPr>
              <w:t>1</w:t>
            </w:r>
            <w:r>
              <w:rPr>
                <w:highlight w:val="none"/>
              </w:rPr>
              <w:t>.4.4硝酸盐化学分析模块配置电动四通阀开关装置，无需人工开启/关闭，根据方法程序自动开、关，电动四通阀具有工作状态灯，打开镉圈管路时工作状态灯点亮，便于观察分析流动工作状态（</w:t>
            </w:r>
            <w:r>
              <w:rPr>
                <w:rFonts w:hint="eastAsia" w:ascii="宋体" w:hAnsi="宋体" w:cs="宋体"/>
                <w:szCs w:val="21"/>
                <w:highlight w:val="none"/>
              </w:rPr>
              <w:t>成交供应商须在合同签订时按采购人的要求提供</w:t>
            </w:r>
            <w:r>
              <w:rPr>
                <w:highlight w:val="none"/>
              </w:rPr>
              <w:t>带工作状态灯的电动四通阀实物彩色照片和注解进行佐证作为合同附件）。</w:t>
            </w:r>
          </w:p>
          <w:p>
            <w:pPr>
              <w:rPr>
                <w:highlight w:val="none"/>
              </w:rPr>
            </w:pPr>
            <w:r>
              <w:rPr>
                <w:rFonts w:hint="eastAsia"/>
                <w:highlight w:val="none"/>
              </w:rPr>
              <w:t>1</w:t>
            </w:r>
            <w:r>
              <w:rPr>
                <w:highlight w:val="none"/>
              </w:rPr>
              <w:t>.4.5每个化学分析模块内置温度控制系统，独立使用，操作平台软件数字化控制在线恒温器，温度精确度为±0.1℃，采用固体金属导热，整个蒸馏玻璃圈与加热表面接触从而保证温度稳定，无需添加硅油/无需维护保养。</w:t>
            </w:r>
          </w:p>
          <w:p>
            <w:pPr>
              <w:rPr>
                <w:highlight w:val="none"/>
              </w:rPr>
            </w:pPr>
            <w:r>
              <w:rPr>
                <w:rFonts w:hint="eastAsia"/>
                <w:highlight w:val="none"/>
              </w:rPr>
              <w:t>1</w:t>
            </w:r>
            <w:r>
              <w:rPr>
                <w:highlight w:val="none"/>
              </w:rPr>
              <w:t>.4.6配置在线消解器，消解全自动操作，通过操作平台软件数字化控制消解器温度；总磷和总氮分析通道配置在线消解装置，必须满足总磷、总氮样品能同时消解、总磷总氮同时分析、同时出结果。</w:t>
            </w:r>
          </w:p>
          <w:p>
            <w:pPr>
              <w:rPr>
                <w:highlight w:val="none"/>
              </w:rPr>
            </w:pPr>
            <w:r>
              <w:rPr>
                <w:rFonts w:hint="eastAsia"/>
                <w:highlight w:val="none"/>
              </w:rPr>
              <w:t>1</w:t>
            </w:r>
            <w:r>
              <w:rPr>
                <w:highlight w:val="none"/>
              </w:rPr>
              <w:t>.4.7采用电子空气泵和精密气压控制阀作为消解加压装置，消解压力要求在0.11MPa-0.14MPa范围内，消解温度要求在120℃~124℃范围内，不采用紫外灯消解；要求消解器内置于主机内，不得外置于主机或挂在主机上，防止高温。</w:t>
            </w:r>
          </w:p>
          <w:p>
            <w:pPr>
              <w:rPr>
                <w:highlight w:val="none"/>
              </w:rPr>
            </w:pPr>
            <w:r>
              <w:rPr>
                <w:rFonts w:hint="eastAsia"/>
                <w:highlight w:val="none"/>
              </w:rPr>
              <w:t>1</w:t>
            </w:r>
            <w:r>
              <w:rPr>
                <w:highlight w:val="none"/>
              </w:rPr>
              <w:t>.5双光束比色计检测器：</w:t>
            </w:r>
          </w:p>
          <w:p>
            <w:pPr>
              <w:rPr>
                <w:highlight w:val="none"/>
              </w:rPr>
            </w:pPr>
            <w:r>
              <w:rPr>
                <w:rFonts w:hint="eastAsia"/>
                <w:b w:val="0"/>
                <w:bCs w:val="0"/>
                <w:color w:val="auto"/>
                <w:sz w:val="18"/>
                <w:szCs w:val="18"/>
                <w:highlight w:val="none"/>
              </w:rPr>
              <w:t>★</w:t>
            </w:r>
            <w:r>
              <w:rPr>
                <w:rFonts w:hint="eastAsia"/>
                <w:highlight w:val="none"/>
              </w:rPr>
              <w:t>1</w:t>
            </w:r>
            <w:r>
              <w:rPr>
                <w:highlight w:val="none"/>
              </w:rPr>
              <w:t>.5.1配备≥4个双光束比色计检测器，检测器为双光束数字式比色计，每个比色计均包括两通道光束，分别为样品光束和参比光束，即该套仪器具有≥4通道样品光束、≥4通道参比光束，共≥8通道光束，要求具有实时空白校正，消除背景漂移，工作站软件监测样品光束和参比光束的能量。</w:t>
            </w:r>
          </w:p>
          <w:p>
            <w:pPr>
              <w:rPr>
                <w:highlight w:val="none"/>
              </w:rPr>
            </w:pPr>
            <w:r>
              <w:rPr>
                <w:rFonts w:hint="eastAsia"/>
                <w:highlight w:val="none"/>
              </w:rPr>
              <w:t>1</w:t>
            </w:r>
            <w:r>
              <w:rPr>
                <w:highlight w:val="none"/>
              </w:rPr>
              <w:t>.5.2检测器光源为LED单波长冷光源，无需滤光片，无热效应，光束强度高、能耗低、寿命长，无需滤光片选择波长，具有极高的稳定性和超长使用寿命，不采用卤素钨灯、氪灯等。</w:t>
            </w:r>
          </w:p>
          <w:p>
            <w:pPr>
              <w:rPr>
                <w:highlight w:val="none"/>
              </w:rPr>
            </w:pPr>
            <w:r>
              <w:rPr>
                <w:rFonts w:hint="eastAsia"/>
                <w:highlight w:val="none"/>
              </w:rPr>
              <w:t>1</w:t>
            </w:r>
            <w:r>
              <w:rPr>
                <w:highlight w:val="none"/>
              </w:rPr>
              <w:t>.5.3检测器配备≥4个LED冷光源，即各个分析通道配置独立的检测器，每个检测器采用独立的光源，不可2个或者以上的检测器共用一个光源，如果任一通道光源出现故障不会影响其他通道。</w:t>
            </w:r>
          </w:p>
          <w:p>
            <w:pPr>
              <w:rPr>
                <w:highlight w:val="none"/>
              </w:rPr>
            </w:pPr>
            <w:r>
              <w:rPr>
                <w:rFonts w:hint="eastAsia"/>
                <w:highlight w:val="none"/>
              </w:rPr>
              <w:t>1</w:t>
            </w:r>
            <w:r>
              <w:rPr>
                <w:highlight w:val="none"/>
              </w:rPr>
              <w:t>.5.4 采用至少30位高精度数字式数模转换，在线电子除气泡，线性范围 0-2.5A，数字精度≥1600万像素；</w:t>
            </w:r>
          </w:p>
          <w:p>
            <w:pPr>
              <w:rPr>
                <w:highlight w:val="none"/>
              </w:rPr>
            </w:pPr>
            <w:r>
              <w:rPr>
                <w:rFonts w:hint="eastAsia"/>
                <w:b w:val="0"/>
                <w:bCs w:val="0"/>
                <w:color w:val="auto"/>
                <w:sz w:val="18"/>
                <w:szCs w:val="18"/>
                <w:highlight w:val="none"/>
              </w:rPr>
              <w:t>★</w:t>
            </w:r>
            <w:r>
              <w:rPr>
                <w:rFonts w:hint="eastAsia"/>
                <w:highlight w:val="none"/>
              </w:rPr>
              <w:t>1</w:t>
            </w:r>
            <w:r>
              <w:rPr>
                <w:highlight w:val="none"/>
              </w:rPr>
              <w:t>.5.5要求每个检测器具有独立的暗室遮光装置（共计≥4个），单个检测器暗室内装1套双光束光度计、比色池和参比池，及进出比色池的管路，不暴露于仪器表面，运行时不漏光，不受杂散光影响，不受环境温湿度影响（</w:t>
            </w:r>
            <w:r>
              <w:rPr>
                <w:rFonts w:hint="eastAsia" w:ascii="宋体" w:hAnsi="宋体" w:cs="宋体"/>
                <w:szCs w:val="21"/>
                <w:highlight w:val="none"/>
              </w:rPr>
              <w:t>成交供应商须在合同签订时按采购人的要求提供</w:t>
            </w:r>
            <w:r>
              <w:rPr>
                <w:highlight w:val="none"/>
              </w:rPr>
              <w:t>软件提示检测器光度计暗室盒未盖好的提示界面截图作为</w:t>
            </w:r>
            <w:r>
              <w:rPr>
                <w:rFonts w:hint="eastAsia"/>
                <w:highlight w:val="none"/>
              </w:rPr>
              <w:t>合同</w:t>
            </w:r>
            <w:r>
              <w:rPr>
                <w:highlight w:val="none"/>
              </w:rPr>
              <w:t>附件）。</w:t>
            </w:r>
          </w:p>
          <w:p>
            <w:pPr>
              <w:rPr>
                <w:highlight w:val="none"/>
              </w:rPr>
            </w:pPr>
            <w:r>
              <w:rPr>
                <w:rFonts w:hint="eastAsia"/>
                <w:highlight w:val="none"/>
              </w:rPr>
              <w:t>1</w:t>
            </w:r>
            <w:r>
              <w:rPr>
                <w:highlight w:val="none"/>
              </w:rPr>
              <w:t>.5.6要求每个检测器配置40℃恒温装置，防止室温变化对测定产生影响，恒温装置温度精确度±0.1℃，并具有温度实时监测功能，确保空白、标准溶液、样品均在同样的温度下进行比色测定，要求在工作站运行界面上实时显示检测器温度。</w:t>
            </w:r>
          </w:p>
          <w:p>
            <w:pPr>
              <w:rPr>
                <w:highlight w:val="none"/>
              </w:rPr>
            </w:pPr>
            <w:r>
              <w:rPr>
                <w:rFonts w:hint="eastAsia"/>
                <w:highlight w:val="none"/>
              </w:rPr>
              <w:t>1</w:t>
            </w:r>
            <w:r>
              <w:rPr>
                <w:highlight w:val="none"/>
              </w:rPr>
              <w:t>.5.7要求配置的≥4检测器内部均配置漏液监测装置，能自动报警和自动排出废液功能。</w:t>
            </w:r>
          </w:p>
          <w:p>
            <w:pPr>
              <w:rPr>
                <w:highlight w:val="none"/>
              </w:rPr>
            </w:pPr>
            <w:r>
              <w:rPr>
                <w:rFonts w:hint="eastAsia"/>
                <w:highlight w:val="none"/>
              </w:rPr>
              <w:t>1</w:t>
            </w:r>
            <w:r>
              <w:rPr>
                <w:highlight w:val="none"/>
              </w:rPr>
              <w:t>.6分析通道主机</w:t>
            </w:r>
          </w:p>
          <w:p>
            <w:pPr>
              <w:rPr>
                <w:highlight w:val="none"/>
              </w:rPr>
            </w:pPr>
            <w:r>
              <w:rPr>
                <w:rFonts w:hint="eastAsia"/>
                <w:highlight w:val="none"/>
              </w:rPr>
              <w:t>1</w:t>
            </w:r>
            <w:r>
              <w:rPr>
                <w:highlight w:val="none"/>
              </w:rPr>
              <w:t>.6.1分析通道主机所有部件高度集成，占地面积小，维护方便，前处理装置装（含加热装置、消解装置、恒温装置等）均为内置式安装，主机采用USB接口与工作站直接传输数据。</w:t>
            </w:r>
          </w:p>
          <w:p>
            <w:pPr>
              <w:rPr>
                <w:highlight w:val="none"/>
              </w:rPr>
            </w:pPr>
            <w:r>
              <w:rPr>
                <w:rFonts w:hint="eastAsia"/>
                <w:highlight w:val="none"/>
              </w:rPr>
              <w:t>1</w:t>
            </w:r>
            <w:r>
              <w:rPr>
                <w:highlight w:val="none"/>
              </w:rPr>
              <w:t>.6.2系统具有抗震设计，便于在移动监测车、海洋监测船和野外监测站开展实验。</w:t>
            </w:r>
          </w:p>
          <w:p>
            <w:pPr>
              <w:rPr>
                <w:highlight w:val="none"/>
              </w:rPr>
            </w:pPr>
            <w:r>
              <w:rPr>
                <w:rFonts w:hint="eastAsia"/>
                <w:highlight w:val="none"/>
              </w:rPr>
              <w:t>1</w:t>
            </w:r>
            <w:r>
              <w:rPr>
                <w:highlight w:val="none"/>
              </w:rPr>
              <w:t>.6.3要求四项营养盐化学分析通道的同时分析速度均可达到至少54个样品/小时，要求总磷总氮分析速度达到至少28个样品/小时。</w:t>
            </w:r>
          </w:p>
          <w:p>
            <w:pPr>
              <w:rPr>
                <w:highlight w:val="none"/>
              </w:rPr>
            </w:pPr>
            <w:r>
              <w:rPr>
                <w:rFonts w:hint="eastAsia"/>
                <w:highlight w:val="none"/>
              </w:rPr>
              <w:t>1</w:t>
            </w:r>
            <w:r>
              <w:rPr>
                <w:highlight w:val="none"/>
              </w:rPr>
              <w:t>.6.4检漏报警系统：软件自动报警及处理，主机一旦有液体泄露能自动停泵和停止加热、消解，要求所有蠕动泵、化学分析模块和检测器均配置漏液监测和自动排废液装置</w:t>
            </w:r>
          </w:p>
          <w:p>
            <w:pPr>
              <w:rPr>
                <w:highlight w:val="none"/>
              </w:rPr>
            </w:pPr>
            <w:r>
              <w:rPr>
                <w:rFonts w:hint="eastAsia"/>
                <w:b w:val="0"/>
                <w:bCs w:val="0"/>
                <w:color w:val="auto"/>
                <w:sz w:val="18"/>
                <w:szCs w:val="18"/>
                <w:highlight w:val="none"/>
              </w:rPr>
              <w:t>★</w:t>
            </w:r>
            <w:r>
              <w:rPr>
                <w:rFonts w:hint="eastAsia"/>
                <w:highlight w:val="none"/>
              </w:rPr>
              <w:t>1</w:t>
            </w:r>
            <w:r>
              <w:rPr>
                <w:highlight w:val="none"/>
              </w:rPr>
              <w:t>.7配备≥14个能独立控制的试剂/清洗液切换阀，可同时控制≥14个泵管在试剂和清洗液间切换，无需手动操作，每个试剂阀均可通过软件单独控制，完成测定后的自动清洗、自动关机，实现无人值守，要求试剂/清洗切换阀安装于主机上，非分体式独立部件，防止增加流路长度导致扩散增加(</w:t>
            </w:r>
            <w:r>
              <w:rPr>
                <w:rFonts w:hint="eastAsia" w:ascii="宋体" w:hAnsi="宋体" w:cs="宋体"/>
                <w:szCs w:val="21"/>
                <w:highlight w:val="none"/>
              </w:rPr>
              <w:t>成交供应商须在合同签订时按采购人的要求提供</w:t>
            </w:r>
            <w:r>
              <w:rPr>
                <w:highlight w:val="none"/>
              </w:rPr>
              <w:t>安装在主机上的≥14个试剂/清洗液切换阀实物清晰照片和注解、工作站软件试剂阀设置界面作为</w:t>
            </w:r>
            <w:r>
              <w:rPr>
                <w:rFonts w:hint="eastAsia"/>
                <w:highlight w:val="none"/>
              </w:rPr>
              <w:t>合同附件</w:t>
            </w:r>
            <w:r>
              <w:rPr>
                <w:highlight w:val="none"/>
              </w:rPr>
              <w:t>)。</w:t>
            </w:r>
          </w:p>
          <w:p>
            <w:pPr>
              <w:rPr>
                <w:highlight w:val="none"/>
              </w:rPr>
            </w:pPr>
            <w:r>
              <w:rPr>
                <w:rFonts w:hint="eastAsia"/>
                <w:highlight w:val="none"/>
              </w:rPr>
              <w:t>1</w:t>
            </w:r>
            <w:r>
              <w:rPr>
                <w:highlight w:val="none"/>
              </w:rPr>
              <w:t>.8 工作站软件和相关资料：</w:t>
            </w:r>
          </w:p>
          <w:p>
            <w:pPr>
              <w:rPr>
                <w:highlight w:val="none"/>
              </w:rPr>
            </w:pPr>
            <w:r>
              <w:rPr>
                <w:rFonts w:hint="eastAsia"/>
                <w:highlight w:val="none"/>
              </w:rPr>
              <w:t>1</w:t>
            </w:r>
            <w:r>
              <w:rPr>
                <w:highlight w:val="none"/>
              </w:rPr>
              <w:t>.8.1 中文说明书。</w:t>
            </w:r>
          </w:p>
          <w:p>
            <w:pPr>
              <w:rPr>
                <w:highlight w:val="none"/>
              </w:rPr>
            </w:pPr>
            <w:r>
              <w:rPr>
                <w:rFonts w:hint="eastAsia"/>
                <w:highlight w:val="none"/>
              </w:rPr>
              <w:t>1</w:t>
            </w:r>
            <w:r>
              <w:rPr>
                <w:highlight w:val="none"/>
              </w:rPr>
              <w:t>.8.2 工作站软件中文界面。</w:t>
            </w:r>
          </w:p>
          <w:p>
            <w:pPr>
              <w:rPr>
                <w:highlight w:val="none"/>
              </w:rPr>
            </w:pPr>
            <w:r>
              <w:rPr>
                <w:rFonts w:hint="eastAsia"/>
                <w:highlight w:val="none"/>
              </w:rPr>
              <w:t>1</w:t>
            </w:r>
            <w:r>
              <w:rPr>
                <w:highlight w:val="none"/>
              </w:rPr>
              <w:t>.8.3 工作站软件终身免费升级。</w:t>
            </w:r>
          </w:p>
          <w:p>
            <w:pPr>
              <w:rPr>
                <w:highlight w:val="none"/>
              </w:rPr>
            </w:pPr>
            <w:r>
              <w:rPr>
                <w:rFonts w:hint="eastAsia"/>
                <w:highlight w:val="none"/>
              </w:rPr>
              <w:t>1</w:t>
            </w:r>
            <w:r>
              <w:rPr>
                <w:highlight w:val="none"/>
              </w:rPr>
              <w:t>.8.4 具有自动质控图功能，具有强制校准曲线通过原点的功能。</w:t>
            </w:r>
          </w:p>
          <w:p>
            <w:pPr>
              <w:rPr>
                <w:highlight w:val="none"/>
              </w:rPr>
            </w:pPr>
            <w:r>
              <w:rPr>
                <w:rFonts w:hint="eastAsia"/>
                <w:highlight w:val="none"/>
              </w:rPr>
              <w:t>1</w:t>
            </w:r>
            <w:r>
              <w:rPr>
                <w:highlight w:val="none"/>
              </w:rPr>
              <w:t>.8.5 可以调用历史曲线，能将不同工作范围的校准曲线合并为一个校准曲线，并根据吸光度范围自动调用，适合浓度范围跨度大的样品分析。</w:t>
            </w:r>
          </w:p>
          <w:p>
            <w:pPr>
              <w:rPr>
                <w:highlight w:val="none"/>
              </w:rPr>
            </w:pPr>
            <w:r>
              <w:rPr>
                <w:rFonts w:hint="eastAsia"/>
                <w:highlight w:val="none"/>
              </w:rPr>
              <w:t>1</w:t>
            </w:r>
            <w:r>
              <w:rPr>
                <w:highlight w:val="none"/>
              </w:rPr>
              <w:t>.8.6 自动调整基线和增益。</w:t>
            </w:r>
          </w:p>
          <w:p>
            <w:pPr>
              <w:rPr>
                <w:highlight w:val="none"/>
              </w:rPr>
            </w:pPr>
            <w:r>
              <w:rPr>
                <w:rFonts w:hint="eastAsia"/>
                <w:highlight w:val="none"/>
              </w:rPr>
              <w:t>1</w:t>
            </w:r>
            <w:r>
              <w:rPr>
                <w:highlight w:val="none"/>
              </w:rPr>
              <w:t>.8.7运行过程中可暂停当前样品序列的分析，添加、取消待检测样品。</w:t>
            </w:r>
          </w:p>
          <w:p>
            <w:pPr>
              <w:rPr>
                <w:highlight w:val="none"/>
              </w:rPr>
            </w:pPr>
            <w:r>
              <w:rPr>
                <w:rFonts w:hint="eastAsia"/>
                <w:highlight w:val="none"/>
              </w:rPr>
              <w:t>1</w:t>
            </w:r>
            <w:r>
              <w:rPr>
                <w:highlight w:val="none"/>
              </w:rPr>
              <w:t>.9备品备件：提供设备正常运行的附件，随仪器提供至少两年期仪器正常使用的零配件及基本易耗品。</w:t>
            </w:r>
          </w:p>
          <w:p>
            <w:pPr>
              <w:pStyle w:val="10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四、验收时的验证方法：</w:t>
            </w:r>
          </w:p>
          <w:p>
            <w:pPr>
              <w:rPr>
                <w:highlight w:val="none"/>
              </w:rPr>
            </w:pPr>
            <w:r>
              <w:rPr>
                <w:rFonts w:hint="eastAsia"/>
                <w:highlight w:val="none"/>
              </w:rPr>
              <w:t>1、以30‰NaCl或远洋洁净海水为测试基体，测量参数磷酸盐、硝酸盐、亚硝酸盐、铵盐、总磷和总氮按《环境监测分析方法标准制订技术导则》HJ 168-2020要求进行验证，须满足以下技术性能：</w:t>
            </w:r>
          </w:p>
          <w:p>
            <w:pPr>
              <w:rPr>
                <w:highlight w:val="none"/>
              </w:rPr>
            </w:pPr>
            <w:r>
              <w:rPr>
                <w:rFonts w:hint="eastAsia"/>
                <w:highlight w:val="none"/>
              </w:rPr>
              <w:t>1.1铵盐</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检出限：≤0.4µg/L；</w:t>
            </w:r>
          </w:p>
          <w:p>
            <w:pPr>
              <w:rPr>
                <w:highlight w:val="none"/>
              </w:rPr>
            </w:pPr>
            <w:r>
              <w:rPr>
                <w:rFonts w:hint="eastAsia"/>
                <w:highlight w:val="none"/>
              </w:rPr>
              <w:t>精密度：≤1.0%。</w:t>
            </w:r>
          </w:p>
          <w:p>
            <w:pPr>
              <w:rPr>
                <w:highlight w:val="none"/>
              </w:rPr>
            </w:pPr>
            <w:r>
              <w:rPr>
                <w:rFonts w:hint="eastAsia"/>
                <w:highlight w:val="none"/>
              </w:rPr>
              <w:t>1.2 硝酸盐</w:t>
            </w:r>
          </w:p>
          <w:p>
            <w:pPr>
              <w:rPr>
                <w:highlight w:val="none"/>
              </w:rPr>
            </w:pPr>
            <w:r>
              <w:rPr>
                <w:rFonts w:hint="eastAsia"/>
                <w:highlight w:val="none"/>
              </w:rPr>
              <w:t>在线前处理：在线镉圈还原，还原率＞95%；</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检出限：≤0.1µg/L；</w:t>
            </w:r>
          </w:p>
          <w:p>
            <w:pPr>
              <w:rPr>
                <w:highlight w:val="none"/>
              </w:rPr>
            </w:pPr>
            <w:r>
              <w:rPr>
                <w:rFonts w:hint="eastAsia"/>
                <w:highlight w:val="none"/>
              </w:rPr>
              <w:t>精密度：≤1.0%。</w:t>
            </w:r>
          </w:p>
          <w:p>
            <w:pPr>
              <w:rPr>
                <w:highlight w:val="none"/>
              </w:rPr>
            </w:pPr>
            <w:r>
              <w:rPr>
                <w:rFonts w:hint="eastAsia"/>
                <w:highlight w:val="none"/>
              </w:rPr>
              <w:t>1.3 亚硝酸盐</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检出限：≤0.03 µg/L；</w:t>
            </w:r>
          </w:p>
          <w:p>
            <w:pPr>
              <w:rPr>
                <w:highlight w:val="none"/>
              </w:rPr>
            </w:pPr>
            <w:r>
              <w:rPr>
                <w:rFonts w:hint="eastAsia"/>
                <w:highlight w:val="none"/>
              </w:rPr>
              <w:t>精密度：≤1.0% ；</w:t>
            </w:r>
          </w:p>
          <w:p>
            <w:pPr>
              <w:rPr>
                <w:highlight w:val="none"/>
              </w:rPr>
            </w:pPr>
            <w:r>
              <w:rPr>
                <w:rFonts w:hint="eastAsia"/>
                <w:highlight w:val="none"/>
              </w:rPr>
              <w:t>1.4磷酸盐</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检出限：≤0.45 µg/L；</w:t>
            </w:r>
          </w:p>
          <w:p>
            <w:pPr>
              <w:rPr>
                <w:highlight w:val="none"/>
              </w:rPr>
            </w:pPr>
            <w:r>
              <w:rPr>
                <w:rFonts w:hint="eastAsia"/>
                <w:highlight w:val="none"/>
              </w:rPr>
              <w:t>精密度：≤1.0%。</w:t>
            </w:r>
          </w:p>
          <w:p>
            <w:pPr>
              <w:rPr>
                <w:highlight w:val="none"/>
              </w:rPr>
            </w:pPr>
            <w:r>
              <w:rPr>
                <w:rFonts w:hint="eastAsia"/>
                <w:highlight w:val="none"/>
              </w:rPr>
              <w:t>1.5总氮</w:t>
            </w:r>
          </w:p>
          <w:p>
            <w:pPr>
              <w:rPr>
                <w:highlight w:val="none"/>
              </w:rPr>
            </w:pPr>
            <w:r>
              <w:rPr>
                <w:rFonts w:hint="eastAsia"/>
                <w:highlight w:val="none"/>
              </w:rPr>
              <w:t>在线前处理：在线消解压力0.11MPa-0.14MPa、消解温度120℃~124℃；在线镉圈还原，还原率＞95%；</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 ≤8µg/L；</w:t>
            </w:r>
          </w:p>
          <w:p>
            <w:pPr>
              <w:rPr>
                <w:highlight w:val="none"/>
              </w:rPr>
            </w:pPr>
            <w:r>
              <w:rPr>
                <w:rFonts w:hint="eastAsia"/>
                <w:highlight w:val="none"/>
              </w:rPr>
              <w:t>精密度：≤1.0%。</w:t>
            </w:r>
          </w:p>
          <w:p>
            <w:pPr>
              <w:rPr>
                <w:highlight w:val="none"/>
              </w:rPr>
            </w:pPr>
            <w:r>
              <w:rPr>
                <w:rFonts w:hint="eastAsia"/>
                <w:highlight w:val="none"/>
              </w:rPr>
              <w:t>1.6总磷</w:t>
            </w:r>
          </w:p>
          <w:p>
            <w:pPr>
              <w:rPr>
                <w:highlight w:val="none"/>
              </w:rPr>
            </w:pPr>
            <w:r>
              <w:rPr>
                <w:rFonts w:hint="eastAsia"/>
                <w:highlight w:val="none"/>
              </w:rPr>
              <w:t>在线前处理：在线消解压力0.11MPa-0.14MPa、消解温度120℃~124℃；</w:t>
            </w:r>
          </w:p>
          <w:p>
            <w:pPr>
              <w:rPr>
                <w:highlight w:val="none"/>
              </w:rPr>
            </w:pPr>
            <w:r>
              <w:rPr>
                <w:rFonts w:hint="eastAsia"/>
                <w:highlight w:val="none"/>
              </w:rPr>
              <w:t>正确度：测定结果均应在不确定度范围内；</w:t>
            </w:r>
          </w:p>
          <w:p>
            <w:pPr>
              <w:rPr>
                <w:highlight w:val="none"/>
              </w:rPr>
            </w:pPr>
            <w:r>
              <w:rPr>
                <w:rFonts w:hint="eastAsia"/>
                <w:highlight w:val="none"/>
              </w:rPr>
              <w:t>相关线性：≥0.999；</w:t>
            </w:r>
          </w:p>
          <w:p>
            <w:pPr>
              <w:rPr>
                <w:highlight w:val="none"/>
              </w:rPr>
            </w:pPr>
            <w:r>
              <w:rPr>
                <w:rFonts w:hint="eastAsia"/>
                <w:highlight w:val="none"/>
              </w:rPr>
              <w:t>检出限：≤2µg/L；</w:t>
            </w:r>
          </w:p>
          <w:p>
            <w:pPr>
              <w:rPr>
                <w:highlight w:val="none"/>
              </w:rPr>
            </w:pPr>
            <w:r>
              <w:rPr>
                <w:rFonts w:hint="eastAsia"/>
                <w:highlight w:val="none"/>
              </w:rPr>
              <w:t>精密度：≤1.0%。</w:t>
            </w:r>
          </w:p>
          <w:p>
            <w:pPr>
              <w:adjustRightInd/>
              <w:spacing w:line="320" w:lineRule="exact"/>
              <w:rPr>
                <w:rFonts w:ascii="宋体" w:hAnsi="宋体" w:cs="宋体"/>
                <w:b/>
                <w:bCs/>
                <w:szCs w:val="21"/>
                <w:highlight w:val="none"/>
              </w:rPr>
            </w:pPr>
            <w:r>
              <w:rPr>
                <w:rFonts w:hint="eastAsia"/>
                <w:b w:val="0"/>
                <w:bCs w:val="0"/>
                <w:color w:val="auto"/>
                <w:sz w:val="18"/>
                <w:szCs w:val="18"/>
                <w:highlight w:val="none"/>
              </w:rPr>
              <w:t>★</w:t>
            </w:r>
            <w:r>
              <w:rPr>
                <w:rFonts w:hint="eastAsia" w:ascii="宋体" w:hAnsi="宋体" w:cs="宋体"/>
                <w:b/>
                <w:bCs/>
                <w:szCs w:val="21"/>
                <w:highlight w:val="none"/>
              </w:rPr>
              <w:t>五、配置清单(包含但不限于)：</w:t>
            </w:r>
          </w:p>
          <w:p>
            <w:pPr>
              <w:adjustRightInd/>
              <w:spacing w:line="320" w:lineRule="exact"/>
              <w:rPr>
                <w:szCs w:val="21"/>
                <w:highlight w:val="none"/>
              </w:rPr>
            </w:pPr>
            <w:r>
              <w:rPr>
                <w:rFonts w:hint="eastAsia"/>
                <w:szCs w:val="21"/>
                <w:highlight w:val="none"/>
              </w:rPr>
              <w:t>1</w:t>
            </w:r>
            <w:r>
              <w:rPr>
                <w:szCs w:val="21"/>
                <w:highlight w:val="none"/>
              </w:rPr>
              <w:t>.双针自动进样器（包括内径 0.75mm和1.0mm 耐腐蚀进样针各1、XYZ 三维机械臂、 ≥120 个样品位、≥20 个标准溶液位、≥2 个不少于50ml质控样品位）</w:t>
            </w:r>
            <w:r>
              <w:rPr>
                <w:rFonts w:hint="eastAsia"/>
                <w:szCs w:val="21"/>
                <w:highlight w:val="none"/>
              </w:rPr>
              <w:t>：</w:t>
            </w:r>
            <w:r>
              <w:rPr>
                <w:szCs w:val="21"/>
                <w:highlight w:val="none"/>
              </w:rPr>
              <w:t xml:space="preserve"> 1台</w:t>
            </w:r>
            <w:r>
              <w:rPr>
                <w:rFonts w:hint="eastAsia"/>
                <w:szCs w:val="21"/>
                <w:highlight w:val="none"/>
              </w:rPr>
              <w:t>。</w:t>
            </w:r>
          </w:p>
          <w:p>
            <w:pPr>
              <w:adjustRightInd/>
              <w:spacing w:line="320" w:lineRule="exact"/>
              <w:rPr>
                <w:szCs w:val="21"/>
                <w:highlight w:val="none"/>
              </w:rPr>
            </w:pPr>
            <w:r>
              <w:rPr>
                <w:szCs w:val="21"/>
                <w:highlight w:val="none"/>
              </w:rPr>
              <w:t>2</w:t>
            </w:r>
            <w:r>
              <w:rPr>
                <w:rFonts w:hint="eastAsia"/>
                <w:szCs w:val="21"/>
                <w:highlight w:val="none"/>
              </w:rPr>
              <w:t>.</w:t>
            </w:r>
            <w:r>
              <w:rPr>
                <w:szCs w:val="21"/>
                <w:highlight w:val="none"/>
              </w:rPr>
              <w:t>多通道自动清洗泵（独立控制泵速，分别连接进样针、动态清洗槽的供液和排废管）</w:t>
            </w:r>
            <w:r>
              <w:rPr>
                <w:rFonts w:hint="eastAsia"/>
                <w:szCs w:val="21"/>
                <w:highlight w:val="none"/>
              </w:rPr>
              <w:t>：</w:t>
            </w:r>
            <w:r>
              <w:rPr>
                <w:szCs w:val="21"/>
                <w:highlight w:val="none"/>
              </w:rPr>
              <w:t xml:space="preserve"> 3台</w:t>
            </w:r>
          </w:p>
          <w:p>
            <w:pPr>
              <w:adjustRightInd/>
              <w:spacing w:line="320" w:lineRule="exact"/>
              <w:rPr>
                <w:szCs w:val="21"/>
                <w:highlight w:val="none"/>
              </w:rPr>
            </w:pPr>
            <w:r>
              <w:rPr>
                <w:rFonts w:hint="eastAsia"/>
                <w:szCs w:val="21"/>
                <w:highlight w:val="none"/>
              </w:rPr>
              <w:t>3.</w:t>
            </w:r>
            <w:r>
              <w:rPr>
                <w:szCs w:val="21"/>
                <w:highlight w:val="none"/>
              </w:rPr>
              <w:t>自动试剂控制阀（包括≥14位试剂清洗阀、每个试剂阀独立控制）</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4.</w:t>
            </w:r>
            <w:r>
              <w:rPr>
                <w:szCs w:val="21"/>
                <w:highlight w:val="none"/>
              </w:rPr>
              <w:t>高精度蠕动泵（提供≥33 个试剂泵管位） 1台</w:t>
            </w:r>
            <w:r>
              <w:rPr>
                <w:rFonts w:hint="eastAsia"/>
                <w:szCs w:val="21"/>
                <w:highlight w:val="none"/>
              </w:rPr>
              <w:t>。</w:t>
            </w:r>
          </w:p>
          <w:p>
            <w:pPr>
              <w:adjustRightInd/>
              <w:spacing w:line="320" w:lineRule="exact"/>
              <w:rPr>
                <w:szCs w:val="21"/>
                <w:highlight w:val="none"/>
              </w:rPr>
            </w:pPr>
            <w:r>
              <w:rPr>
                <w:rFonts w:hint="eastAsia"/>
                <w:szCs w:val="21"/>
                <w:highlight w:val="none"/>
              </w:rPr>
              <w:t>5.</w:t>
            </w:r>
            <w:r>
              <w:rPr>
                <w:szCs w:val="21"/>
                <w:highlight w:val="none"/>
              </w:rPr>
              <w:t>自动泵盖（分析程序控制的电动升、降泵盖，无需手工按压）</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6.</w:t>
            </w:r>
            <w:r>
              <w:rPr>
                <w:szCs w:val="21"/>
                <w:highlight w:val="none"/>
              </w:rPr>
              <w:t>空气注入阀（光电感应控制阀，空气阀开关频率与泵速联动）</w:t>
            </w:r>
            <w:r>
              <w:rPr>
                <w:rFonts w:hint="eastAsia"/>
                <w:szCs w:val="21"/>
                <w:highlight w:val="none"/>
              </w:rPr>
              <w:t>：</w:t>
            </w:r>
            <w:r>
              <w:rPr>
                <w:szCs w:val="21"/>
                <w:highlight w:val="none"/>
              </w:rPr>
              <w:t xml:space="preserve"> ≥4个</w:t>
            </w:r>
            <w:r>
              <w:rPr>
                <w:rFonts w:hint="eastAsia"/>
                <w:szCs w:val="21"/>
                <w:highlight w:val="none"/>
              </w:rPr>
              <w:t>。</w:t>
            </w:r>
          </w:p>
          <w:p>
            <w:pPr>
              <w:adjustRightInd/>
              <w:spacing w:line="320" w:lineRule="exact"/>
              <w:rPr>
                <w:szCs w:val="21"/>
                <w:highlight w:val="none"/>
              </w:rPr>
            </w:pPr>
            <w:r>
              <w:rPr>
                <w:rFonts w:hint="eastAsia"/>
                <w:szCs w:val="21"/>
                <w:highlight w:val="none"/>
              </w:rPr>
              <w:t>7.</w:t>
            </w:r>
            <w:r>
              <w:rPr>
                <w:szCs w:val="21"/>
                <w:highlight w:val="none"/>
              </w:rPr>
              <w:t>磷酸盐/总磷分析模块（包括 2.0mm 内径的混合反应管路、在线恒温器、漏液监测装置）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8.</w:t>
            </w:r>
            <w:r>
              <w:rPr>
                <w:szCs w:val="21"/>
                <w:highlight w:val="none"/>
              </w:rPr>
              <w:t>硝酸盐/总氮分析模块（包括 2.0mm 内径的混合反应管路、在线恒温器、在线镉圈还原装置和四通电磁自动阀、漏液监测装置）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9.</w:t>
            </w:r>
            <w:r>
              <w:rPr>
                <w:szCs w:val="21"/>
                <w:highlight w:val="none"/>
              </w:rPr>
              <w:t>氨氮分析模块（包括 2.0mm 内径的混合反应管路、在线恒温器、漏液监测装置）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10.</w:t>
            </w:r>
            <w:r>
              <w:rPr>
                <w:szCs w:val="21"/>
                <w:highlight w:val="none"/>
              </w:rPr>
              <w:t>亚硝酸盐分析模块（包括 2.0mm 内径的混合反应管路、在线恒温器、漏液监测装置）</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11.</w:t>
            </w:r>
            <w:r>
              <w:rPr>
                <w:szCs w:val="21"/>
                <w:highlight w:val="none"/>
              </w:rPr>
              <w:t>总磷在线消解模块（包括 2.0mm 内径的混合反应管路，在线120℃~124℃消解器、漏液监测装置）</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12.</w:t>
            </w:r>
            <w:r>
              <w:rPr>
                <w:szCs w:val="21"/>
                <w:highlight w:val="none"/>
              </w:rPr>
              <w:t>总氮在线消解模块（包括 2.0mm 内径的混合反应管路，在线120℃~124℃消解器、漏液监测装置）</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13.</w:t>
            </w:r>
            <w:r>
              <w:rPr>
                <w:szCs w:val="21"/>
                <w:highlight w:val="none"/>
              </w:rPr>
              <w:t>电子空气泵（包括压力精密控制阀， 0.11MPa-0.14MPa加压）</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14.</w:t>
            </w:r>
            <w:r>
              <w:rPr>
                <w:szCs w:val="21"/>
                <w:highlight w:val="none"/>
              </w:rPr>
              <w:t>流通池和参比池（免去气泡、抗盐的配套流通池和参比池，参比与样品测定同步）</w:t>
            </w:r>
            <w:r>
              <w:rPr>
                <w:rFonts w:hint="eastAsia"/>
                <w:szCs w:val="21"/>
                <w:highlight w:val="none"/>
              </w:rPr>
              <w:t>：</w:t>
            </w:r>
            <w:r>
              <w:rPr>
                <w:szCs w:val="21"/>
                <w:highlight w:val="none"/>
              </w:rPr>
              <w:t xml:space="preserve"> 4套</w:t>
            </w:r>
            <w:r>
              <w:rPr>
                <w:rFonts w:hint="eastAsia"/>
                <w:szCs w:val="21"/>
                <w:highlight w:val="none"/>
              </w:rPr>
              <w:t>。</w:t>
            </w:r>
          </w:p>
          <w:p>
            <w:pPr>
              <w:adjustRightInd/>
              <w:spacing w:line="320" w:lineRule="exact"/>
              <w:rPr>
                <w:szCs w:val="21"/>
                <w:highlight w:val="none"/>
              </w:rPr>
            </w:pPr>
            <w:r>
              <w:rPr>
                <w:rFonts w:hint="eastAsia"/>
                <w:szCs w:val="21"/>
                <w:highlight w:val="none"/>
              </w:rPr>
              <w:t>15.</w:t>
            </w:r>
            <w:r>
              <w:rPr>
                <w:szCs w:val="21"/>
                <w:highlight w:val="none"/>
              </w:rPr>
              <w:t>高精度LED冷光源双光束比色计检测器</w:t>
            </w:r>
            <w:r>
              <w:rPr>
                <w:rFonts w:hint="eastAsia"/>
                <w:szCs w:val="21"/>
                <w:highlight w:val="none"/>
              </w:rPr>
              <w:t>：</w:t>
            </w:r>
            <w:r>
              <w:rPr>
                <w:szCs w:val="21"/>
                <w:highlight w:val="none"/>
              </w:rPr>
              <w:t xml:space="preserve"> 4套（具体为：消除盐效应的海水检测器，样品和参数双光束，无需滤光片的 LED 冷光源4个，包括 550nm 检测器 2 套、660nm 检测器 1 套、880nm 检测器1 套）</w:t>
            </w:r>
            <w:r>
              <w:rPr>
                <w:rFonts w:hint="eastAsia"/>
                <w:szCs w:val="21"/>
                <w:highlight w:val="none"/>
              </w:rPr>
              <w:t>。</w:t>
            </w:r>
          </w:p>
          <w:p>
            <w:pPr>
              <w:adjustRightInd/>
              <w:spacing w:line="320" w:lineRule="exact"/>
              <w:rPr>
                <w:szCs w:val="21"/>
                <w:highlight w:val="none"/>
              </w:rPr>
            </w:pPr>
            <w:r>
              <w:rPr>
                <w:rFonts w:hint="eastAsia"/>
                <w:szCs w:val="21"/>
                <w:highlight w:val="none"/>
              </w:rPr>
              <w:t>16.</w:t>
            </w:r>
            <w:r>
              <w:rPr>
                <w:szCs w:val="21"/>
                <w:highlight w:val="none"/>
              </w:rPr>
              <w:t>检测器恒温装置（内置 40℃恒温器，7 圈延时混合反应圈）</w:t>
            </w:r>
            <w:r>
              <w:rPr>
                <w:rFonts w:hint="eastAsia"/>
                <w:szCs w:val="21"/>
                <w:highlight w:val="none"/>
              </w:rPr>
              <w:t>：</w:t>
            </w:r>
            <w:r>
              <w:rPr>
                <w:szCs w:val="21"/>
                <w:highlight w:val="none"/>
              </w:rPr>
              <w:t xml:space="preserve"> 4套</w:t>
            </w:r>
            <w:r>
              <w:rPr>
                <w:rFonts w:hint="eastAsia"/>
                <w:szCs w:val="21"/>
                <w:highlight w:val="none"/>
              </w:rPr>
              <w:t>。</w:t>
            </w:r>
          </w:p>
          <w:p>
            <w:pPr>
              <w:adjustRightInd/>
              <w:spacing w:line="320" w:lineRule="exact"/>
              <w:rPr>
                <w:szCs w:val="21"/>
                <w:highlight w:val="none"/>
              </w:rPr>
            </w:pPr>
            <w:r>
              <w:rPr>
                <w:rFonts w:hint="eastAsia"/>
                <w:szCs w:val="21"/>
                <w:highlight w:val="none"/>
              </w:rPr>
              <w:t>17.</w:t>
            </w:r>
            <w:r>
              <w:rPr>
                <w:szCs w:val="21"/>
                <w:highlight w:val="none"/>
              </w:rPr>
              <w:t>漏液自动收集及报警系统（整机≥18 个漏液报警和收集装置，其中蠕动泵共配置≥2 个、6 套分析模块共配置≥12 个、4 套检测器≥4 个，具有软件自动提示和停机等处理）</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18.</w:t>
            </w:r>
            <w:r>
              <w:rPr>
                <w:szCs w:val="21"/>
                <w:highlight w:val="none"/>
              </w:rPr>
              <w:t>全自动无人值守系统</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19.</w:t>
            </w:r>
            <w:r>
              <w:rPr>
                <w:szCs w:val="21"/>
                <w:highlight w:val="none"/>
              </w:rPr>
              <w:t>工作站软件（最新版中文软件，终身免费升级）</w:t>
            </w:r>
            <w:r>
              <w:rPr>
                <w:rFonts w:hint="eastAsia"/>
                <w:szCs w:val="21"/>
                <w:highlight w:val="none"/>
              </w:rPr>
              <w:t>：</w:t>
            </w:r>
            <w:r>
              <w:rPr>
                <w:szCs w:val="21"/>
                <w:highlight w:val="none"/>
              </w:rPr>
              <w:t xml:space="preserve"> 1套</w:t>
            </w:r>
            <w:r>
              <w:rPr>
                <w:rFonts w:hint="eastAsia"/>
                <w:szCs w:val="21"/>
                <w:highlight w:val="none"/>
              </w:rPr>
              <w:t>。</w:t>
            </w:r>
          </w:p>
          <w:p>
            <w:pPr>
              <w:adjustRightInd/>
              <w:spacing w:line="320" w:lineRule="exact"/>
              <w:rPr>
                <w:szCs w:val="21"/>
                <w:highlight w:val="none"/>
              </w:rPr>
            </w:pPr>
            <w:r>
              <w:rPr>
                <w:rFonts w:hint="eastAsia"/>
                <w:szCs w:val="21"/>
                <w:highlight w:val="none"/>
              </w:rPr>
              <w:t>20.</w:t>
            </w:r>
            <w:r>
              <w:rPr>
                <w:szCs w:val="21"/>
                <w:highlight w:val="none"/>
              </w:rPr>
              <w:t>三年期仪器消耗品</w:t>
            </w:r>
            <w:r>
              <w:rPr>
                <w:rFonts w:hint="eastAsia"/>
                <w:szCs w:val="21"/>
                <w:highlight w:val="none"/>
              </w:rPr>
              <w:t>：</w:t>
            </w:r>
            <w:r>
              <w:rPr>
                <w:szCs w:val="21"/>
                <w:highlight w:val="none"/>
              </w:rPr>
              <w:t>1套</w:t>
            </w:r>
            <w:r>
              <w:rPr>
                <w:rFonts w:hint="eastAsia"/>
                <w:szCs w:val="21"/>
                <w:highlight w:val="none"/>
              </w:rPr>
              <w:t>。</w:t>
            </w:r>
          </w:p>
          <w:p>
            <w:pPr>
              <w:adjustRightInd/>
              <w:spacing w:line="320" w:lineRule="exact"/>
              <w:rPr>
                <w:szCs w:val="21"/>
                <w:highlight w:val="none"/>
              </w:rPr>
            </w:pPr>
            <w:r>
              <w:rPr>
                <w:rFonts w:hint="eastAsia"/>
                <w:szCs w:val="21"/>
                <w:highlight w:val="none"/>
              </w:rPr>
              <w:t>21.</w:t>
            </w:r>
            <w:r>
              <w:rPr>
                <w:szCs w:val="21"/>
                <w:highlight w:val="none"/>
              </w:rPr>
              <w:t>样品管（容量≥11mL）</w:t>
            </w:r>
            <w:r>
              <w:rPr>
                <w:rFonts w:hint="eastAsia"/>
                <w:szCs w:val="21"/>
                <w:highlight w:val="none"/>
              </w:rPr>
              <w:t>：</w:t>
            </w:r>
            <w:r>
              <w:rPr>
                <w:szCs w:val="21"/>
                <w:highlight w:val="none"/>
              </w:rPr>
              <w:t xml:space="preserve"> ≥1600根</w:t>
            </w:r>
            <w:r>
              <w:rPr>
                <w:rFonts w:hint="eastAsia"/>
                <w:szCs w:val="21"/>
                <w:highlight w:val="none"/>
              </w:rPr>
              <w:t>。</w:t>
            </w:r>
          </w:p>
          <w:p>
            <w:pPr>
              <w:adjustRightInd/>
              <w:spacing w:line="320" w:lineRule="exact"/>
              <w:rPr>
                <w:szCs w:val="21"/>
                <w:highlight w:val="none"/>
              </w:rPr>
            </w:pPr>
            <w:r>
              <w:rPr>
                <w:rFonts w:hint="eastAsia"/>
                <w:szCs w:val="21"/>
                <w:highlight w:val="none"/>
              </w:rPr>
              <w:t>22.</w:t>
            </w:r>
            <w:r>
              <w:rPr>
                <w:szCs w:val="21"/>
                <w:highlight w:val="none"/>
              </w:rPr>
              <w:t>在线镉还原混合圈（≥10圈）</w:t>
            </w:r>
            <w:r>
              <w:rPr>
                <w:rFonts w:hint="eastAsia"/>
                <w:szCs w:val="21"/>
                <w:highlight w:val="none"/>
              </w:rPr>
              <w:t>：</w:t>
            </w:r>
            <w:r>
              <w:rPr>
                <w:szCs w:val="21"/>
                <w:highlight w:val="none"/>
              </w:rPr>
              <w:t xml:space="preserve"> 2个</w:t>
            </w:r>
            <w:r>
              <w:rPr>
                <w:rFonts w:hint="eastAsia"/>
                <w:szCs w:val="21"/>
                <w:highlight w:val="none"/>
              </w:rPr>
              <w:t>。</w:t>
            </w:r>
          </w:p>
          <w:p>
            <w:pPr>
              <w:adjustRightInd/>
              <w:spacing w:line="320" w:lineRule="exact"/>
              <w:rPr>
                <w:rFonts w:ascii="宋体" w:hAnsi="宋体" w:cs="宋体"/>
                <w:szCs w:val="21"/>
                <w:highlight w:val="none"/>
              </w:rPr>
            </w:pPr>
            <w:r>
              <w:rPr>
                <w:rFonts w:hint="eastAsia"/>
                <w:szCs w:val="21"/>
                <w:highlight w:val="none"/>
              </w:rPr>
              <w:t>23.</w:t>
            </w:r>
            <w:r>
              <w:rPr>
                <w:szCs w:val="21"/>
                <w:highlight w:val="none"/>
              </w:rPr>
              <w:t>工作站及数据输出设备（I5处理器，500GSSD硬盘、≥32G内存，预装适配仪器操作软件及数据处理软件的系统（至少64位）,≥23英寸显示单元；输出设备）</w:t>
            </w:r>
            <w:r>
              <w:rPr>
                <w:rFonts w:hint="eastAsia"/>
                <w:szCs w:val="21"/>
                <w:highlight w:val="none"/>
              </w:rPr>
              <w:t>：</w:t>
            </w:r>
            <w:r>
              <w:rPr>
                <w:szCs w:val="21"/>
                <w:highlight w:val="none"/>
              </w:rPr>
              <w:t xml:space="preserve"> 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3" w:type="dxa"/>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4</w:t>
            </w:r>
          </w:p>
        </w:tc>
        <w:tc>
          <w:tcPr>
            <w:tcW w:w="946" w:type="dxa"/>
            <w:shd w:val="clear" w:color="auto" w:fill="auto"/>
            <w:vAlign w:val="center"/>
          </w:tcPr>
          <w:p>
            <w:pPr>
              <w:wordWrap w:val="0"/>
              <w:adjustRightInd/>
              <w:spacing w:line="280" w:lineRule="exact"/>
              <w:jc w:val="center"/>
              <w:rPr>
                <w:rFonts w:ascii="宋体" w:hAnsi="宋体" w:cs="宋体"/>
                <w:b/>
                <w:bCs/>
                <w:szCs w:val="21"/>
                <w:highlight w:val="none"/>
              </w:rPr>
            </w:pPr>
            <w:r>
              <w:rPr>
                <w:rFonts w:hint="eastAsia" w:ascii="宋体" w:hAnsi="宋体" w:cs="宋体"/>
                <w:b/>
                <w:bCs/>
                <w:szCs w:val="21"/>
                <w:highlight w:val="none"/>
              </w:rPr>
              <w:t>纯水/超纯水一体化机</w:t>
            </w:r>
          </w:p>
        </w:tc>
        <w:tc>
          <w:tcPr>
            <w:tcW w:w="466" w:type="dxa"/>
            <w:shd w:val="clear" w:color="auto" w:fill="auto"/>
            <w:vAlign w:val="center"/>
          </w:tcPr>
          <w:p>
            <w:pPr>
              <w:wordWrap w:val="0"/>
              <w:adjustRightInd/>
              <w:spacing w:line="280" w:lineRule="exact"/>
              <w:jc w:val="center"/>
              <w:rPr>
                <w:rFonts w:ascii="宋体" w:hAnsi="宋体" w:cs="宋体"/>
                <w:szCs w:val="21"/>
                <w:highlight w:val="none"/>
              </w:rPr>
            </w:pPr>
            <w:r>
              <w:rPr>
                <w:rFonts w:hint="eastAsia" w:ascii="宋体" w:hAnsi="宋体" w:cs="宋体"/>
                <w:szCs w:val="21"/>
                <w:highlight w:val="none"/>
              </w:rPr>
              <w:t>1</w:t>
            </w:r>
          </w:p>
        </w:tc>
        <w:tc>
          <w:tcPr>
            <w:tcW w:w="754" w:type="dxa"/>
            <w:shd w:val="clear" w:color="auto" w:fill="auto"/>
            <w:vAlign w:val="center"/>
          </w:tcPr>
          <w:p>
            <w:pPr>
              <w:wordWrap w:val="0"/>
              <w:adjustRightInd/>
              <w:spacing w:line="320" w:lineRule="exact"/>
              <w:jc w:val="center"/>
              <w:rPr>
                <w:rFonts w:ascii="宋体" w:hAnsi="宋体" w:cs="宋体"/>
                <w:szCs w:val="21"/>
                <w:highlight w:val="none"/>
              </w:rPr>
            </w:pPr>
            <w:r>
              <w:rPr>
                <w:rFonts w:hint="eastAsia" w:ascii="宋体" w:hAnsi="宋体" w:cs="宋体"/>
                <w:szCs w:val="21"/>
                <w:highlight w:val="none"/>
              </w:rPr>
              <w:t>台</w:t>
            </w:r>
          </w:p>
        </w:tc>
        <w:tc>
          <w:tcPr>
            <w:tcW w:w="1279" w:type="dxa"/>
            <w:shd w:val="clear" w:color="auto" w:fill="auto"/>
            <w:vAlign w:val="center"/>
          </w:tcPr>
          <w:p>
            <w:pPr>
              <w:pStyle w:val="102"/>
              <w:adjustRightInd/>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310000.00</w:t>
            </w:r>
          </w:p>
        </w:tc>
        <w:tc>
          <w:tcPr>
            <w:tcW w:w="5382" w:type="dxa"/>
            <w:shd w:val="clear" w:color="auto" w:fill="auto"/>
          </w:tcPr>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b/>
                <w:bCs/>
                <w:color w:val="auto"/>
                <w:sz w:val="21"/>
                <w:szCs w:val="21"/>
                <w:highlight w:val="none"/>
              </w:rPr>
              <w:t>一、设备用途：</w:t>
            </w:r>
            <w:r>
              <w:rPr>
                <w:rFonts w:hint="eastAsia" w:ascii="Times New Roman" w:eastAsia="宋体" w:cs="Times New Roman"/>
                <w:color w:val="auto"/>
                <w:sz w:val="21"/>
                <w:szCs w:val="21"/>
                <w:highlight w:val="none"/>
              </w:rPr>
              <w:t>本设备为实验室专用水质制备设备，可一体化完成纯水、超纯水的连续制备与供给，无需额外配套其他水质处理设备，适配环境类实验室全场景用水需求，保障各类实验及检测工作合规有序开展。</w:t>
            </w:r>
          </w:p>
          <w:p>
            <w:pPr>
              <w:pStyle w:val="10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二、基本要求：</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1.电源：AC 220V±10%，50Hz。</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2.环境温度：10-35C。</w:t>
            </w:r>
          </w:p>
          <w:p>
            <w:pPr>
              <w:pStyle w:val="102"/>
              <w:adjustRightInd/>
              <w:spacing w:line="300" w:lineRule="exact"/>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3.环境湿度：&lt;85%。</w:t>
            </w:r>
          </w:p>
          <w:p>
            <w:pPr>
              <w:pStyle w:val="10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三、技术参数及性能：</w:t>
            </w:r>
          </w:p>
          <w:p>
            <w:pPr>
              <w:rPr>
                <w:highlight w:val="none"/>
              </w:rPr>
            </w:pPr>
            <w:r>
              <w:rPr>
                <w:highlight w:val="none"/>
              </w:rPr>
              <w:t>1.主机：该系统为纯水及超纯水一体化机，以自来水为进水。包括预处理柱、反渗透膜（RO）柱和抗结垢EDI模块、265nm UVC LED杀菌紫外灯、水箱（含265nm UVC LED杀菌紫外灯）、精纯化柱及终端精制器组成。</w:t>
            </w:r>
          </w:p>
          <w:p>
            <w:pPr>
              <w:rPr>
                <w:highlight w:val="none"/>
              </w:rPr>
            </w:pPr>
            <w:r>
              <w:rPr>
                <w:highlight w:val="none"/>
              </w:rPr>
              <w:t>1.1.系统产水水质</w:t>
            </w:r>
          </w:p>
          <w:p>
            <w:pPr>
              <w:rPr>
                <w:highlight w:val="none"/>
              </w:rPr>
            </w:pPr>
            <w:r>
              <w:rPr>
                <w:highlight w:val="none"/>
              </w:rPr>
              <w:t>1.1.1纯水：</w:t>
            </w:r>
          </w:p>
          <w:p>
            <w:pPr>
              <w:rPr>
                <w:highlight w:val="none"/>
              </w:rPr>
            </w:pPr>
            <w:r>
              <w:rPr>
                <w:highlight w:val="none"/>
              </w:rPr>
              <w:t>1.1.1.1.电阻率＞5 MΩ·cm＠25℃ 典型为10-15 MΩ·cm＠25℃</w:t>
            </w:r>
            <w:r>
              <w:rPr>
                <w:rFonts w:hint="eastAsia"/>
                <w:highlight w:val="none"/>
              </w:rPr>
              <w:t>。</w:t>
            </w:r>
          </w:p>
          <w:p>
            <w:pPr>
              <w:rPr>
                <w:highlight w:val="none"/>
              </w:rPr>
            </w:pPr>
            <w:r>
              <w:rPr>
                <w:highlight w:val="none"/>
              </w:rPr>
              <w:t>1.1.1.2.总有机碳(TOC)＜30ppb</w:t>
            </w:r>
            <w:r>
              <w:rPr>
                <w:rFonts w:hint="eastAsia"/>
                <w:highlight w:val="none"/>
              </w:rPr>
              <w:t>。</w:t>
            </w:r>
          </w:p>
          <w:p>
            <w:pPr>
              <w:rPr>
                <w:highlight w:val="none"/>
              </w:rPr>
            </w:pPr>
            <w:r>
              <w:rPr>
                <w:highlight w:val="none"/>
              </w:rPr>
              <w:t>1.1.1.3.制水速率≥10L/hour，可24小时不间断制水</w:t>
            </w:r>
            <w:r>
              <w:rPr>
                <w:rFonts w:hint="eastAsia"/>
                <w:highlight w:val="none"/>
              </w:rPr>
              <w:t>。</w:t>
            </w:r>
          </w:p>
          <w:p>
            <w:pPr>
              <w:rPr>
                <w:highlight w:val="none"/>
              </w:rPr>
            </w:pPr>
            <w:r>
              <w:rPr>
                <w:highlight w:val="none"/>
              </w:rPr>
              <w:t>1.1.2.超纯水：</w:t>
            </w:r>
          </w:p>
          <w:p>
            <w:pPr>
              <w:rPr>
                <w:highlight w:val="none"/>
              </w:rPr>
            </w:pPr>
            <w:r>
              <w:rPr>
                <w:highlight w:val="none"/>
              </w:rPr>
              <w:t>1.1.2.1.电阻率：18.2 MΩ.cm@25℃（亚ppb级）</w:t>
            </w:r>
            <w:r>
              <w:rPr>
                <w:rFonts w:hint="eastAsia"/>
                <w:highlight w:val="none"/>
              </w:rPr>
              <w:t>。</w:t>
            </w:r>
          </w:p>
          <w:p>
            <w:pPr>
              <w:rPr>
                <w:highlight w:val="none"/>
              </w:rPr>
            </w:pPr>
            <w:r>
              <w:rPr>
                <w:highlight w:val="none"/>
              </w:rPr>
              <w:t>1.1.2.2.总有机碳(TOC)≤5.0 ppb</w:t>
            </w:r>
            <w:r>
              <w:rPr>
                <w:rFonts w:hint="eastAsia"/>
                <w:highlight w:val="none"/>
              </w:rPr>
              <w:t>。</w:t>
            </w:r>
          </w:p>
          <w:p>
            <w:pPr>
              <w:rPr>
                <w:highlight w:val="none"/>
              </w:rPr>
            </w:pPr>
            <w:r>
              <w:rPr>
                <w:highlight w:val="none"/>
              </w:rPr>
              <w:t>1.1.2.3流速：逐滴到最大2L/min，至少7级流速可调</w:t>
            </w:r>
            <w:r>
              <w:rPr>
                <w:rFonts w:hint="eastAsia"/>
                <w:highlight w:val="none"/>
              </w:rPr>
              <w:t>。</w:t>
            </w:r>
          </w:p>
          <w:p>
            <w:pPr>
              <w:rPr>
                <w:highlight w:val="none"/>
              </w:rPr>
            </w:pPr>
            <w:r>
              <w:rPr>
                <w:highlight w:val="none"/>
              </w:rPr>
              <w:t>1.1.2.4直径大于0.22μm的颗粒物数量＜1个/ml</w:t>
            </w:r>
            <w:r>
              <w:rPr>
                <w:rFonts w:hint="eastAsia"/>
                <w:highlight w:val="none"/>
              </w:rPr>
              <w:t>。</w:t>
            </w:r>
          </w:p>
          <w:p>
            <w:pPr>
              <w:rPr>
                <w:highlight w:val="none"/>
              </w:rPr>
            </w:pPr>
            <w:r>
              <w:rPr>
                <w:highlight w:val="none"/>
              </w:rPr>
              <w:t>1.1.2.5微生物＜0.01cfu/ml</w:t>
            </w:r>
            <w:r>
              <w:rPr>
                <w:rFonts w:hint="eastAsia"/>
                <w:highlight w:val="none"/>
              </w:rPr>
              <w:t>。</w:t>
            </w:r>
          </w:p>
          <w:p>
            <w:pPr>
              <w:rPr>
                <w:highlight w:val="none"/>
              </w:rPr>
            </w:pPr>
            <w:r>
              <w:rPr>
                <w:highlight w:val="none"/>
              </w:rPr>
              <w:t>1.1.2.6 RNases＜1 pg/mL</w:t>
            </w:r>
            <w:r>
              <w:rPr>
                <w:rFonts w:hint="eastAsia"/>
                <w:highlight w:val="none"/>
              </w:rPr>
              <w:t>。</w:t>
            </w:r>
          </w:p>
          <w:p>
            <w:pPr>
              <w:rPr>
                <w:highlight w:val="none"/>
              </w:rPr>
            </w:pPr>
            <w:r>
              <w:rPr>
                <w:highlight w:val="none"/>
              </w:rPr>
              <w:t>1.1.2.7 DNases＜5 pg/mL</w:t>
            </w:r>
            <w:r>
              <w:rPr>
                <w:rFonts w:hint="eastAsia"/>
                <w:highlight w:val="none"/>
              </w:rPr>
              <w:t>。</w:t>
            </w:r>
          </w:p>
          <w:p>
            <w:pPr>
              <w:rPr>
                <w:highlight w:val="none"/>
              </w:rPr>
            </w:pPr>
            <w:r>
              <w:rPr>
                <w:highlight w:val="none"/>
              </w:rPr>
              <w:t>1.1.2.8蛋白酶＜0.15 μg/mL</w:t>
            </w:r>
            <w:r>
              <w:rPr>
                <w:rFonts w:hint="eastAsia"/>
                <w:highlight w:val="none"/>
              </w:rPr>
              <w:t>。</w:t>
            </w:r>
          </w:p>
          <w:p>
            <w:pPr>
              <w:rPr>
                <w:highlight w:val="none"/>
              </w:rPr>
            </w:pPr>
            <w:r>
              <w:rPr>
                <w:highlight w:val="none"/>
              </w:rPr>
              <w:t>（</w:t>
            </w:r>
            <w:r>
              <w:rPr>
                <w:rFonts w:hint="eastAsia" w:ascii="宋体" w:hAnsi="宋体" w:cs="宋体"/>
                <w:szCs w:val="21"/>
                <w:highlight w:val="none"/>
              </w:rPr>
              <w:t>成交供应商须在合同签订时按采购人的要求提供</w:t>
            </w:r>
            <w:r>
              <w:rPr>
                <w:rFonts w:ascii="宋体" w:hAnsi="宋体" w:cs="宋体"/>
                <w:szCs w:val="21"/>
                <w:highlight w:val="none"/>
              </w:rPr>
              <w:t>制造商出具的技术确认书、第三方出具的技术报告</w:t>
            </w:r>
            <w:r>
              <w:rPr>
                <w:szCs w:val="21"/>
                <w:highlight w:val="none"/>
              </w:rPr>
              <w:t>或使用单位出具的技术证明作为合同附件</w:t>
            </w:r>
            <w:r>
              <w:rPr>
                <w:highlight w:val="none"/>
              </w:rPr>
              <w:t>。）</w:t>
            </w:r>
          </w:p>
          <w:p>
            <w:pPr>
              <w:rPr>
                <w:highlight w:val="none"/>
              </w:rPr>
            </w:pPr>
            <w:r>
              <w:rPr>
                <w:highlight w:val="none"/>
              </w:rPr>
              <w:t>2.预处理柱含皱褶过滤器和碳块组件，去除自来水中的胶体、微粒和游离氯。新型精纯化柱采用活性炭和离子交换树脂（粒径≤360um）混合填充。安装接口，通过90度旋转即可安装固定纯化柱。</w:t>
            </w:r>
          </w:p>
          <w:p>
            <w:pPr>
              <w:rPr>
                <w:highlight w:val="none"/>
              </w:rPr>
            </w:pPr>
            <w:r>
              <w:rPr>
                <w:highlight w:val="none"/>
              </w:rPr>
              <w:t>3.纯水管路标配265nm UVC LED无汞杀菌紫外灯；超纯水管路标配172nm 无汞紫外灯。所有紫外灯采用全新的无汞紫外灯技术，使用氙激发（激发聚合）技术发射紫外光。</w:t>
            </w:r>
          </w:p>
          <w:p>
            <w:pPr>
              <w:rPr>
                <w:highlight w:val="none"/>
              </w:rPr>
            </w:pPr>
            <w:r>
              <w:rPr>
                <w:rFonts w:hint="eastAsia"/>
                <w:b w:val="0"/>
                <w:bCs w:val="0"/>
                <w:color w:val="auto"/>
                <w:sz w:val="18"/>
                <w:szCs w:val="18"/>
                <w:highlight w:val="none"/>
              </w:rPr>
              <w:t>★</w:t>
            </w:r>
            <w:r>
              <w:rPr>
                <w:highlight w:val="none"/>
              </w:rPr>
              <w:t>4.主机内置长效、抗结垢EDI模块，该模块需为混床式阴阳离子交换树脂; 树脂由电流全自动再生; 阴极需涂布碳涂层防止结垢产生。产水前EDI自动冲洗，EDI前后设有电导率仪及程序控制，可将前期水质较低的水通过三通阀排掉确保高质量纯水进入水箱。（</w:t>
            </w:r>
            <w:r>
              <w:rPr>
                <w:rFonts w:hint="eastAsia" w:ascii="宋体" w:hAnsi="宋体" w:cs="宋体"/>
                <w:szCs w:val="21"/>
                <w:highlight w:val="none"/>
                <w:lang w:eastAsia="zh-CN"/>
              </w:rPr>
              <w:t>需在响应文件中提供</w:t>
            </w:r>
            <w:r>
              <w:rPr>
                <w:rFonts w:hint="eastAsia" w:ascii="宋体" w:hAnsi="宋体" w:cs="宋体"/>
                <w:szCs w:val="21"/>
                <w:highlight w:val="none"/>
              </w:rPr>
              <w:t>产品彩页或使用说明书等证明材料。</w:t>
            </w:r>
            <w:r>
              <w:rPr>
                <w:highlight w:val="none"/>
              </w:rPr>
              <w:t>）。</w:t>
            </w:r>
          </w:p>
          <w:p>
            <w:pPr>
              <w:rPr>
                <w:highlight w:val="none"/>
              </w:rPr>
            </w:pPr>
            <w:r>
              <w:rPr>
                <w:highlight w:val="none"/>
              </w:rPr>
              <w:t>5.水质监控:</w:t>
            </w:r>
          </w:p>
          <w:p>
            <w:pPr>
              <w:rPr>
                <w:highlight w:val="none"/>
              </w:rPr>
            </w:pPr>
            <w:r>
              <w:rPr>
                <w:highlight w:val="none"/>
              </w:rPr>
              <w:t>5.1.系统拥有四组电阻率检测器。电阻池灵敏常数: 0.01cm-1，温度灵敏度0.1℃，符合ASTM D1125-95(2009)的要求。电导率仪材料为至少316L不锈钢，采用套筒式同轴、流通式无死角设计，确保电极常数的稳定性及真实性；三种电导率显示模式，检测异常时自动报警。</w:t>
            </w:r>
          </w:p>
          <w:p>
            <w:pPr>
              <w:rPr>
                <w:highlight w:val="none"/>
              </w:rPr>
            </w:pPr>
            <w:r>
              <w:rPr>
                <w:rFonts w:hint="eastAsia"/>
                <w:b w:val="0"/>
                <w:bCs w:val="0"/>
                <w:color w:val="auto"/>
                <w:sz w:val="18"/>
                <w:szCs w:val="18"/>
                <w:highlight w:val="none"/>
              </w:rPr>
              <w:t>★</w:t>
            </w:r>
            <w:r>
              <w:rPr>
                <w:highlight w:val="none"/>
              </w:rPr>
              <w:t>5.2.内置独立集成式TOC检测仪，包含0.5ml石英样品池、ech20无汞紫外灯、钛电极、电磁阀及温度补偿单元，精度0.1ppb，检测范围: 0.5-999.9 ppb，符合USP(§643)TOC系统适应性测试对500ppb测试标准溶液的要求。（</w:t>
            </w:r>
            <w:r>
              <w:rPr>
                <w:rFonts w:hint="eastAsia" w:ascii="宋体" w:hAnsi="宋体" w:cs="宋体"/>
                <w:szCs w:val="21"/>
                <w:highlight w:val="none"/>
              </w:rPr>
              <w:t>成交供应商须在合同签订时按采购人的要求提供</w:t>
            </w:r>
            <w:r>
              <w:rPr>
                <w:highlight w:val="none"/>
              </w:rPr>
              <w:t>制造商校验证书作为合同附件）。</w:t>
            </w:r>
          </w:p>
          <w:p>
            <w:pPr>
              <w:rPr>
                <w:highlight w:val="none"/>
              </w:rPr>
            </w:pPr>
            <w:r>
              <w:rPr>
                <w:highlight w:val="none"/>
              </w:rPr>
              <w:t>6.内置温度和电导率补偿泵。</w:t>
            </w:r>
          </w:p>
          <w:p>
            <w:pPr>
              <w:rPr>
                <w:highlight w:val="none"/>
              </w:rPr>
            </w:pPr>
            <w:r>
              <w:rPr>
                <w:rFonts w:hint="eastAsia"/>
                <w:b w:val="0"/>
                <w:bCs w:val="0"/>
                <w:color w:val="auto"/>
                <w:sz w:val="18"/>
                <w:szCs w:val="18"/>
                <w:highlight w:val="none"/>
              </w:rPr>
              <w:t>★</w:t>
            </w:r>
            <w:r>
              <w:rPr>
                <w:highlight w:val="none"/>
              </w:rPr>
              <w:t>7.配置≥100升液位控制水箱，圆锥形底部无死角可完全排空, 标配空气过滤器、电子溢流器、265nm UVC LED杀菌紫外灯、压力式液位传感器、漏水监测器；蓄水自动再循环功能，水箱中纯水再循环通过紫外杀菌灯。</w:t>
            </w:r>
          </w:p>
          <w:p>
            <w:pPr>
              <w:rPr>
                <w:highlight w:val="none"/>
              </w:rPr>
            </w:pPr>
            <w:r>
              <w:rPr>
                <w:highlight w:val="none"/>
              </w:rPr>
              <w:t>8.智能化操作系统，所有操作步骤有图文引导。具备中文操作系统，纯水、超纯水独立取水臂上可显示水质参数；进水电导率、反渗透产水电导率、EDI产水电阻值、超纯水产水电阻值和TOC值。另外，系统还可显示其他参数：RO膜截流率、水箱液位、水温、进水流量、消耗品寿命、设备运行流程状态和警告等信息。</w:t>
            </w:r>
          </w:p>
          <w:p>
            <w:pPr>
              <w:rPr>
                <w:highlight w:val="none"/>
              </w:rPr>
            </w:pPr>
            <w:r>
              <w:rPr>
                <w:rFonts w:hint="eastAsia"/>
                <w:b w:val="0"/>
                <w:bCs w:val="0"/>
                <w:color w:val="auto"/>
                <w:sz w:val="18"/>
                <w:szCs w:val="18"/>
                <w:highlight w:val="none"/>
              </w:rPr>
              <w:t>★</w:t>
            </w:r>
            <w:r>
              <w:rPr>
                <w:highlight w:val="none"/>
              </w:rPr>
              <w:t>9.独立的纯水取水手臂集成≥4.9寸彩色触摸屏，内置流量计，通过触摸屏设置实现定量取水功能和辅助定容取水功能。具备双功能取水调节轮具备供水流速调节和启停功能。定量取水范围至少20mL～98L，辅助定容取水范围至少50mL～5L。</w:t>
            </w:r>
          </w:p>
          <w:p>
            <w:pPr>
              <w:rPr>
                <w:highlight w:val="none"/>
              </w:rPr>
            </w:pPr>
            <w:r>
              <w:rPr>
                <w:highlight w:val="none"/>
              </w:rPr>
              <w:t>10.安装多种专用终端精制器：包括生产无颗粒无细菌的0.22微米的微孔过滤器、热源和核酸酶污染物过滤器、内分泌干扰污染物（EDs）过滤器、内置C18反向硅胶的超低有机物型过滤器，产水有机物＜1ppb、超低挥发性有机物型过滤器，产水VOCs＜1ppb、痕量元素级终端精制器，产水离子可达到ppt和亚ppt检测水平。</w:t>
            </w:r>
          </w:p>
          <w:p>
            <w:pPr>
              <w:rPr>
                <w:highlight w:val="none"/>
              </w:rPr>
            </w:pPr>
            <w:r>
              <w:rPr>
                <w:highlight w:val="none"/>
              </w:rPr>
              <w:t>11.数据管理：系统生成的所有数据都被存储在系统内存中。可以通过检索获取取水记录，一定时间内的用水量。通过设置密码功能保护所有数据。当保护模式激活时，仅对授权用户开放某些关键数据，可为最近30天的事件提供图文预览；通过USB端口可快速将数据导出到闪存驱动器上，系统可以存储长达至少2年的水质数据。</w:t>
            </w:r>
          </w:p>
          <w:p>
            <w:pPr>
              <w:pStyle w:val="102"/>
              <w:adjustRightInd/>
              <w:spacing w:line="300" w:lineRule="exact"/>
              <w:rPr>
                <w:rFonts w:ascii="Times New Roman" w:eastAsia="宋体" w:cs="Times New Roman"/>
                <w:b/>
                <w:bCs/>
                <w:color w:val="auto"/>
                <w:sz w:val="21"/>
                <w:szCs w:val="21"/>
                <w:highlight w:val="none"/>
              </w:rPr>
            </w:pPr>
            <w:r>
              <w:rPr>
                <w:rFonts w:hint="eastAsia" w:ascii="Times New Roman" w:eastAsia="宋体" w:cs="Times New Roman"/>
                <w:b/>
                <w:bCs/>
                <w:color w:val="auto"/>
                <w:sz w:val="21"/>
                <w:szCs w:val="21"/>
                <w:highlight w:val="none"/>
              </w:rPr>
              <w:t>四、验收时的验证方法：</w:t>
            </w:r>
          </w:p>
          <w:p>
            <w:pPr>
              <w:rPr>
                <w:highlight w:val="none"/>
              </w:rPr>
            </w:pPr>
            <w:r>
              <w:rPr>
                <w:rFonts w:hint="eastAsia"/>
                <w:highlight w:val="none"/>
              </w:rPr>
              <w:t>1.可按照GB-T 6682-2008或GB-T 33087-2016标准检测。</w:t>
            </w:r>
          </w:p>
          <w:p>
            <w:pPr>
              <w:rPr>
                <w:highlight w:val="none"/>
              </w:rPr>
            </w:pPr>
            <w:r>
              <w:rPr>
                <w:rFonts w:hint="eastAsia"/>
                <w:highlight w:val="none"/>
              </w:rPr>
              <w:t>2.可利用中心的经过计量的电导率仪、TOC仪等设备进行检测。</w:t>
            </w:r>
          </w:p>
          <w:p>
            <w:pPr>
              <w:pStyle w:val="102"/>
              <w:adjustRightInd/>
              <w:spacing w:line="300" w:lineRule="exact"/>
              <w:rPr>
                <w:color w:val="auto"/>
                <w:highlight w:val="none"/>
              </w:rPr>
            </w:pPr>
            <w:r>
              <w:rPr>
                <w:rFonts w:hint="eastAsia"/>
                <w:b w:val="0"/>
                <w:bCs w:val="0"/>
                <w:color w:val="auto"/>
                <w:sz w:val="18"/>
                <w:szCs w:val="18"/>
                <w:highlight w:val="none"/>
              </w:rPr>
              <w:t>★</w:t>
            </w:r>
            <w:r>
              <w:rPr>
                <w:rFonts w:hint="eastAsia" w:ascii="宋体" w:hAnsi="宋体" w:eastAsia="宋体" w:cs="宋体"/>
                <w:b/>
                <w:bCs/>
                <w:color w:val="auto"/>
                <w:sz w:val="21"/>
                <w:szCs w:val="21"/>
                <w:highlight w:val="none"/>
              </w:rPr>
              <w:t>五、配置清单（包含但不限于）：</w:t>
            </w:r>
            <w:r>
              <w:rPr>
                <w:rFonts w:ascii="Times New Roman" w:eastAsia="宋体" w:cs="Times New Roman"/>
                <w:color w:val="auto"/>
                <w:sz w:val="21"/>
                <w:szCs w:val="21"/>
                <w:highlight w:val="none"/>
              </w:rPr>
              <w:t>纯水/超纯水一体化主机1台、≥100L水箱1个、水箱顶部套件1套、水箱空气过滤器1个、系统与水箱连接组件1套、系统与取水手臂连接组件2套、自来水预处理组件1套、预处理纯化柱1个、精纯化柱1个、0.22um终端精制器两2个、电源线配件包1个、安装组件1个、安装包1个。</w:t>
            </w:r>
          </w:p>
        </w:tc>
      </w:tr>
      <w:bookmarkEnd w:id="70"/>
    </w:tbl>
    <w:p>
      <w:pPr>
        <w:pStyle w:val="640"/>
        <w:spacing w:line="360" w:lineRule="exact"/>
        <w:ind w:firstLine="0" w:firstLineChars="0"/>
        <w:jc w:val="center"/>
        <w:rPr>
          <w:rFonts w:ascii="宋体"/>
          <w:b/>
          <w:sz w:val="32"/>
          <w:szCs w:val="32"/>
          <w:highlight w:val="none"/>
        </w:rPr>
      </w:pPr>
    </w:p>
    <w:p>
      <w:pPr>
        <w:pStyle w:val="640"/>
        <w:spacing w:line="360" w:lineRule="exact"/>
        <w:ind w:firstLine="0" w:firstLineChars="0"/>
        <w:jc w:val="center"/>
        <w:rPr>
          <w:rFonts w:hint="eastAsia" w:ascii="宋体"/>
          <w:b/>
          <w:sz w:val="32"/>
          <w:szCs w:val="32"/>
          <w:highlight w:val="none"/>
        </w:rPr>
      </w:pPr>
    </w:p>
    <w:p>
      <w:pPr>
        <w:pStyle w:val="640"/>
        <w:spacing w:line="360" w:lineRule="exact"/>
        <w:ind w:firstLine="0" w:firstLineChars="0"/>
        <w:jc w:val="center"/>
        <w:rPr>
          <w:rFonts w:ascii="宋体"/>
          <w:b/>
          <w:sz w:val="32"/>
          <w:szCs w:val="32"/>
          <w:highlight w:val="none"/>
        </w:rPr>
      </w:pPr>
      <w:r>
        <w:rPr>
          <w:rFonts w:hint="eastAsia" w:ascii="宋体"/>
          <w:b/>
          <w:sz w:val="32"/>
          <w:szCs w:val="32"/>
          <w:highlight w:val="none"/>
        </w:rPr>
        <w:t>第二部分 —— 商务部分</w:t>
      </w:r>
    </w:p>
    <w:p>
      <w:pPr>
        <w:pStyle w:val="640"/>
        <w:spacing w:line="360" w:lineRule="exact"/>
        <w:ind w:firstLine="0" w:firstLineChars="0"/>
        <w:jc w:val="center"/>
        <w:rPr>
          <w:rFonts w:ascii="宋体"/>
          <w:b/>
          <w:sz w:val="32"/>
          <w:szCs w:val="32"/>
          <w:highlight w:val="none"/>
        </w:rPr>
      </w:pPr>
    </w:p>
    <w:tbl>
      <w:tblPr>
        <w:tblStyle w:val="71"/>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7"/>
        <w:gridCol w:w="7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1</w:t>
            </w:r>
          </w:p>
        </w:tc>
        <w:tc>
          <w:tcPr>
            <w:tcW w:w="867" w:type="dxa"/>
            <w:vAlign w:val="center"/>
          </w:tcPr>
          <w:p>
            <w:pPr>
              <w:adjustRightInd/>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交货期</w:t>
            </w:r>
          </w:p>
          <w:p>
            <w:pPr>
              <w:adjustRightInd/>
              <w:spacing w:line="320" w:lineRule="exact"/>
              <w:ind w:left="-105" w:leftChars="-50" w:right="-105" w:rightChars="-50"/>
              <w:jc w:val="center"/>
              <w:rPr>
                <w:rFonts w:ascii="宋体" w:hAnsi="宋体" w:cs="宋体"/>
                <w:kern w:val="0"/>
                <w:szCs w:val="21"/>
                <w:highlight w:val="none"/>
              </w:rPr>
            </w:pPr>
            <w:r>
              <w:rPr>
                <w:rFonts w:hint="eastAsia" w:ascii="宋体" w:hAnsi="宋体" w:cs="宋体"/>
                <w:szCs w:val="21"/>
                <w:highlight w:val="none"/>
              </w:rPr>
              <w:t>及交货地点</w:t>
            </w:r>
          </w:p>
        </w:tc>
        <w:tc>
          <w:tcPr>
            <w:tcW w:w="7547" w:type="dxa"/>
            <w:vAlign w:val="center"/>
          </w:tcPr>
          <w:p>
            <w:pPr>
              <w:adjustRightInd/>
              <w:spacing w:line="320" w:lineRule="exact"/>
              <w:ind w:firstLine="420" w:firstLineChars="200"/>
              <w:jc w:val="left"/>
              <w:rPr>
                <w:rFonts w:ascii="宋体" w:hAnsi="宋体" w:cs="宋体"/>
                <w:szCs w:val="21"/>
                <w:highlight w:val="none"/>
              </w:rPr>
            </w:pPr>
            <w:r>
              <w:rPr>
                <w:rFonts w:hint="eastAsia" w:ascii="宋体" w:hAnsi="宋体" w:cs="宋体"/>
                <w:szCs w:val="21"/>
                <w:highlight w:val="none"/>
              </w:rPr>
              <w:t>1.交货期为：自签订合同之日起</w:t>
            </w:r>
            <w:r>
              <w:rPr>
                <w:rFonts w:hint="eastAsia" w:ascii="宋体" w:hAnsi="宋体" w:cs="宋体"/>
                <w:szCs w:val="21"/>
                <w:highlight w:val="none"/>
                <w:u w:val="single"/>
              </w:rPr>
              <w:t xml:space="preserve"> 90 </w:t>
            </w:r>
            <w:r>
              <w:rPr>
                <w:rFonts w:hint="eastAsia" w:ascii="宋体" w:hAnsi="宋体" w:cs="宋体"/>
                <w:szCs w:val="21"/>
                <w:highlight w:val="none"/>
              </w:rPr>
              <w:t>天内完成货物采购、安装、调试，通过验收并交付使用。</w:t>
            </w:r>
          </w:p>
          <w:p>
            <w:pPr>
              <w:adjustRightInd/>
              <w:spacing w:line="320" w:lineRule="exact"/>
              <w:ind w:right="-105" w:rightChars="-50" w:firstLine="420" w:firstLineChars="200"/>
              <w:jc w:val="left"/>
              <w:rPr>
                <w:rFonts w:ascii="宋体" w:hAnsi="宋体" w:cs="宋体"/>
                <w:kern w:val="0"/>
                <w:szCs w:val="21"/>
                <w:highlight w:val="none"/>
              </w:rPr>
            </w:pPr>
            <w:r>
              <w:rPr>
                <w:rFonts w:hint="eastAsia" w:ascii="宋体" w:hAnsi="宋体" w:cs="宋体"/>
                <w:szCs w:val="21"/>
                <w:highlight w:val="none"/>
              </w:rPr>
              <w:t>2.交货地点：采购人指定地点。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2</w:t>
            </w:r>
          </w:p>
        </w:tc>
        <w:tc>
          <w:tcPr>
            <w:tcW w:w="867" w:type="dxa"/>
            <w:vAlign w:val="center"/>
          </w:tcPr>
          <w:p>
            <w:pPr>
              <w:adjustRightInd/>
              <w:spacing w:line="320" w:lineRule="exact"/>
              <w:ind w:left="-105" w:leftChars="-50" w:right="-105" w:rightChars="-50"/>
              <w:jc w:val="center"/>
              <w:rPr>
                <w:rFonts w:ascii="宋体" w:hAnsi="宋体" w:cs="宋体"/>
                <w:kern w:val="0"/>
                <w:szCs w:val="21"/>
                <w:highlight w:val="none"/>
              </w:rPr>
            </w:pPr>
            <w:r>
              <w:rPr>
                <w:rFonts w:hint="eastAsia" w:ascii="宋体" w:hAnsi="宋体" w:cs="宋体"/>
                <w:kern w:val="0"/>
                <w:szCs w:val="21"/>
                <w:highlight w:val="none"/>
              </w:rPr>
              <w:t>质保期</w:t>
            </w:r>
          </w:p>
          <w:p>
            <w:pPr>
              <w:adjustRightInd/>
              <w:spacing w:line="320" w:lineRule="exact"/>
              <w:ind w:left="-105" w:leftChars="-50" w:right="-105" w:rightChars="-50"/>
              <w:jc w:val="center"/>
              <w:rPr>
                <w:rFonts w:ascii="宋体" w:hAnsi="宋体" w:cs="宋体"/>
                <w:kern w:val="0"/>
                <w:szCs w:val="21"/>
                <w:highlight w:val="none"/>
              </w:rPr>
            </w:pPr>
            <w:r>
              <w:rPr>
                <w:rFonts w:hint="eastAsia" w:ascii="宋体" w:hAnsi="宋体" w:cs="宋体"/>
                <w:kern w:val="0"/>
                <w:szCs w:val="21"/>
                <w:highlight w:val="none"/>
              </w:rPr>
              <w:t>（保修期）</w:t>
            </w:r>
          </w:p>
        </w:tc>
        <w:tc>
          <w:tcPr>
            <w:tcW w:w="7547" w:type="dxa"/>
            <w:vAlign w:val="center"/>
          </w:tcPr>
          <w:p>
            <w:pPr>
              <w:pStyle w:val="74"/>
              <w:spacing w:line="320" w:lineRule="exact"/>
              <w:ind w:firstLine="400"/>
              <w:rPr>
                <w:rFonts w:ascii="宋体" w:hAnsi="宋体" w:cs="宋体"/>
                <w:sz w:val="21"/>
                <w:szCs w:val="21"/>
                <w:highlight w:val="none"/>
              </w:rPr>
            </w:pPr>
            <w:r>
              <w:rPr>
                <w:rFonts w:hint="eastAsia" w:ascii="宋体" w:hAnsi="宋体" w:cs="宋体"/>
                <w:sz w:val="21"/>
                <w:szCs w:val="21"/>
                <w:highlight w:val="none"/>
              </w:rPr>
              <w:t>1.货物交货并安装调试验收合格交付使用之日起计算质保期，硬件质保期为1年。由成交供应商提供产品保修文件；按国家有关规定或厂家承诺实行“三包”，质保期内负责上门维修、更换零部件；质保期过后提供维修服务。</w:t>
            </w:r>
          </w:p>
          <w:p>
            <w:pPr>
              <w:adjustRightInd/>
              <w:spacing w:line="320" w:lineRule="exact"/>
              <w:ind w:firstLine="420" w:firstLineChars="200"/>
              <w:jc w:val="left"/>
              <w:rPr>
                <w:rFonts w:ascii="宋体" w:hAnsi="宋体" w:cs="宋体"/>
                <w:szCs w:val="21"/>
                <w:highlight w:val="none"/>
              </w:rPr>
            </w:pPr>
            <w:r>
              <w:rPr>
                <w:rFonts w:hint="eastAsia" w:ascii="宋体" w:hAnsi="宋体" w:cs="宋体"/>
                <w:szCs w:val="21"/>
                <w:highlight w:val="none"/>
              </w:rPr>
              <w:t>2.在质保期内，成交供应商应对货物出现的质量及安全问题负责处理解决，并承担由此产生的一切费用。</w:t>
            </w:r>
          </w:p>
          <w:p>
            <w:pPr>
              <w:adjustRightInd/>
              <w:spacing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zCs w:val="21"/>
                <w:highlight w:val="none"/>
              </w:rPr>
              <w:t>大型或复杂的采购项目，其质保期限自动适用国家有关规定中最长的质保期限。</w:t>
            </w:r>
          </w:p>
          <w:p>
            <w:pPr>
              <w:adjustRightInd/>
              <w:spacing w:line="320" w:lineRule="exact"/>
              <w:ind w:firstLine="420" w:firstLineChars="200"/>
              <w:jc w:val="left"/>
              <w:rPr>
                <w:rFonts w:ascii="宋体" w:hAnsi="宋体" w:cs="宋体"/>
                <w:szCs w:val="21"/>
                <w:highlight w:val="none"/>
              </w:rPr>
            </w:pPr>
            <w:r>
              <w:rPr>
                <w:rFonts w:hint="eastAsia" w:ascii="宋体" w:hAnsi="宋体" w:cs="宋体"/>
                <w:kern w:val="0"/>
                <w:szCs w:val="21"/>
                <w:highlight w:val="none"/>
              </w:rPr>
              <w:t>4.以上各项所需成本及费用均包含在谈判报价中。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3</w:t>
            </w:r>
          </w:p>
        </w:tc>
        <w:tc>
          <w:tcPr>
            <w:tcW w:w="867" w:type="dxa"/>
            <w:vAlign w:val="center"/>
          </w:tcPr>
          <w:p>
            <w:pPr>
              <w:adjustRightInd/>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质量保证</w:t>
            </w:r>
          </w:p>
        </w:tc>
        <w:tc>
          <w:tcPr>
            <w:tcW w:w="7547" w:type="dxa"/>
            <w:vAlign w:val="center"/>
          </w:tcPr>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成交供应商所提供的产品名称、商标品牌、生产厂家、规格型号、技术参数、质量等必须与竞争性谈判文件的要求及成交供应商响应文件的承诺相一致，并符合国家标准和行业标准对货物质量的规定，未制定国家标准、行业标准的，按照通常标准或者符合本项目的特定标准确定，符合保障人体健康和人身、财产安全的要求。</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2.成交供应商提供的节能和环保产品必须是列入政府采购品目清单的产品。</w:t>
            </w:r>
          </w:p>
          <w:p>
            <w:pPr>
              <w:adjustRightInd/>
              <w:spacing w:line="320" w:lineRule="exact"/>
              <w:ind w:right="-105" w:rightChars="-50" w:firstLine="420" w:firstLineChars="200"/>
              <w:jc w:val="lef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
              </w:rPr>
              <w:t>.</w:t>
            </w:r>
            <w:r>
              <w:rPr>
                <w:rFonts w:hint="eastAsia" w:ascii="宋体" w:hAnsi="宋体" w:cs="宋体"/>
                <w:szCs w:val="21"/>
                <w:highlight w:val="none"/>
              </w:rPr>
              <w:t>成交供应商所提供的货物必须是全新、未使用的正版原装合格产品，且在正常安装、使用和保养条件下，其使用寿命期内各项指标均达到竞争性谈判文件规定或者响应文件及承诺的质量要求。</w:t>
            </w:r>
          </w:p>
          <w:p>
            <w:pPr>
              <w:adjustRightInd/>
              <w:spacing w:line="320" w:lineRule="exact"/>
              <w:ind w:right="-105" w:rightChars="-50" w:firstLine="420" w:firstLineChars="200"/>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bCs/>
                <w:szCs w:val="21"/>
                <w:highlight w:val="none"/>
              </w:rPr>
              <w:t>如涉及版权的必须提供产品的自主知识产权证明材料。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4</w:t>
            </w:r>
          </w:p>
        </w:tc>
        <w:tc>
          <w:tcPr>
            <w:tcW w:w="867" w:type="dxa"/>
            <w:vAlign w:val="center"/>
          </w:tcPr>
          <w:p>
            <w:pPr>
              <w:adjustRightInd/>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权利保证</w:t>
            </w:r>
          </w:p>
        </w:tc>
        <w:tc>
          <w:tcPr>
            <w:tcW w:w="7547" w:type="dxa"/>
            <w:vAlign w:val="center"/>
          </w:tcPr>
          <w:p>
            <w:pPr>
              <w:adjustRightInd/>
              <w:spacing w:line="320" w:lineRule="exact"/>
              <w:ind w:firstLine="420" w:firstLineChars="200"/>
              <w:rPr>
                <w:rFonts w:ascii="宋体" w:hAnsi="宋体" w:cs="宋体"/>
                <w:kern w:val="0"/>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成交供应商应保证所提供货物在使用时不会侵犯任何第三方的专利权、商标权、工业设计权或者其他权利。</w:t>
            </w:r>
            <w:r>
              <w:rPr>
                <w:rFonts w:hint="eastAsia" w:ascii="宋体" w:hAnsi="宋体" w:cs="宋体"/>
                <w:kern w:val="0"/>
                <w:szCs w:val="21"/>
                <w:highlight w:val="none"/>
              </w:rPr>
              <w:t>如成交供应商违反上述规定，则成交供应商应负责消除采购人拥有并使用成交供应商交付的货物、软件、技术资料等所存在的全部法律障碍，并赔偿采购人的损失。</w:t>
            </w:r>
            <w:r>
              <w:rPr>
                <w:rFonts w:hint="eastAsia" w:ascii="宋体" w:hAnsi="宋体" w:cs="宋体"/>
                <w:szCs w:val="21"/>
                <w:highlight w:val="none"/>
              </w:rPr>
              <w:t>如采购人因使用成交供应商交付的货物构成侵权的，则由成交供应商承担全部责任。</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成交供应商应按竞争性谈判文件规定或者响应文件承诺的时间向采购人提供使用货物的有关技术资料。</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
              </w:rPr>
              <w:t>.</w:t>
            </w:r>
            <w:r>
              <w:rPr>
                <w:rFonts w:hint="eastAsia" w:ascii="宋体" w:hAnsi="宋体" w:cs="宋体"/>
                <w:szCs w:val="21"/>
                <w:highlight w:val="none"/>
              </w:rPr>
              <w:t>没有采购人事先书面同意，成交供应商不得将由采购人提供的有关项目或者任何项目条文、规格、计划、样品或者资料提供给与履行本项目无关的任何其他人。即使向履行本项目有关的人员提供，也应注意保密并限于履行合同的必需范围。</w:t>
            </w:r>
          </w:p>
          <w:p>
            <w:pPr>
              <w:adjustRightInd/>
              <w:spacing w:line="320" w:lineRule="exact"/>
              <w:ind w:right="-105" w:rightChars="-50" w:firstLine="420" w:firstLineChars="200"/>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
              </w:rPr>
              <w:t>.</w:t>
            </w:r>
            <w:r>
              <w:rPr>
                <w:rFonts w:hint="eastAsia" w:ascii="宋体" w:hAnsi="宋体" w:cs="宋体"/>
                <w:szCs w:val="21"/>
                <w:highlight w:val="none"/>
              </w:rPr>
              <w:t>成交供应商保证将要交付的货物的所有权完全属于成交供应商且无任何抵押、质押、查封等产权瑕疵。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5</w:t>
            </w:r>
          </w:p>
        </w:tc>
        <w:tc>
          <w:tcPr>
            <w:tcW w:w="867" w:type="dxa"/>
            <w:vAlign w:val="center"/>
          </w:tcPr>
          <w:p>
            <w:pPr>
              <w:adjustRightInd/>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验收</w:t>
            </w:r>
          </w:p>
        </w:tc>
        <w:tc>
          <w:tcPr>
            <w:tcW w:w="7547" w:type="dxa"/>
            <w:vAlign w:val="center"/>
          </w:tcPr>
          <w:p>
            <w:pPr>
              <w:adjustRightInd/>
              <w:spacing w:line="320" w:lineRule="exact"/>
              <w:ind w:firstLine="420" w:firstLineChars="200"/>
              <w:rPr>
                <w:rFonts w:ascii="宋体" w:hAnsi="宋体" w:cs="宋体"/>
                <w:kern w:val="10"/>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本项目中所称的交付，指货物安装调试完毕后的交付。</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成交供应商提供不符合竞争性谈判文件要求或者响应文件承诺及本项目规定的货物，采购人有权拒绝接受。</w:t>
            </w:r>
          </w:p>
          <w:p>
            <w:pPr>
              <w:adjustRightInd/>
              <w:spacing w:line="320" w:lineRule="exact"/>
              <w:ind w:firstLine="422" w:firstLineChars="200"/>
              <w:rPr>
                <w:rFonts w:ascii="宋体" w:hAnsi="宋体" w:cs="宋体"/>
                <w:b/>
                <w:bCs/>
                <w:szCs w:val="21"/>
                <w:highlight w:val="none"/>
              </w:rPr>
            </w:pPr>
            <w:r>
              <w:rPr>
                <w:rFonts w:hint="eastAsia" w:ascii="宋体" w:hAnsi="宋体" w:cs="宋体"/>
                <w:b/>
                <w:bCs/>
                <w:szCs w:val="21"/>
                <w:highlight w:val="none"/>
              </w:rPr>
              <w:t>3.初步验收：</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3.1采购人在货物到达采购人指定地点后</w:t>
            </w:r>
            <w:r>
              <w:rPr>
                <w:rFonts w:hint="eastAsia" w:ascii="宋体" w:hAnsi="宋体" w:cs="宋体"/>
                <w:szCs w:val="21"/>
                <w:highlight w:val="none"/>
                <w:u w:val="single"/>
              </w:rPr>
              <w:t xml:space="preserve"> 3 </w:t>
            </w:r>
            <w:r>
              <w:rPr>
                <w:rFonts w:hint="eastAsia" w:ascii="宋体" w:hAnsi="宋体" w:cs="宋体"/>
                <w:szCs w:val="21"/>
                <w:highlight w:val="none"/>
              </w:rPr>
              <w:t>个工作日内对货物进行初步验收。</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3.2</w:t>
            </w:r>
            <w:r>
              <w:rPr>
                <w:rFonts w:hint="eastAsia" w:ascii="宋体" w:hAnsi="宋体" w:cs="宋体"/>
                <w:kern w:val="0"/>
                <w:szCs w:val="21"/>
                <w:highlight w:val="none"/>
              </w:rPr>
              <w:t>成交供应商在货物抵达采购人指定地点后，需向采购人提供有关货物的附随资料，包括但不限于：</w:t>
            </w:r>
            <w:r>
              <w:rPr>
                <w:rFonts w:hint="eastAsia" w:ascii="宋体" w:hAnsi="宋体" w:cs="宋体"/>
                <w:szCs w:val="21"/>
                <w:highlight w:val="none"/>
              </w:rPr>
              <w:t>货物目录、装箱清单、用户手册、质量合格证书、质保证书、</w:t>
            </w:r>
            <w:r>
              <w:rPr>
                <w:rFonts w:hint="eastAsia" w:ascii="宋体" w:hAnsi="宋体" w:cs="宋体"/>
                <w:kern w:val="0"/>
                <w:szCs w:val="21"/>
                <w:highlight w:val="none"/>
              </w:rPr>
              <w:t>安装图纸、使用说明书、技术资料、</w:t>
            </w:r>
            <w:r>
              <w:rPr>
                <w:rFonts w:hint="eastAsia" w:ascii="宋体" w:hAnsi="宋体" w:cs="宋体"/>
                <w:szCs w:val="21"/>
                <w:highlight w:val="none"/>
              </w:rPr>
              <w:t>原厂保修卡、工具和备品、备件等。</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3.3成交供应商交货前应对货物作出全面检查和对验收文件进行整理，并列出清单，作为采购人收货验收和使用的技术条件依据，检验的结果应予交采购人。</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3.3对技术复杂的货物，采购人应请国家认可的专业检测机构参与初步验收及最终验收，并由其出具质量检测报告。</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3.4采购人对成交供应商提交的货物依据竞争性谈判文件上的技术规格要求、响应文件及承诺、国家有关质量标准进行现场初步验收，外观、说明书等符合要求的，为初步验收合格。</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3.5采购人在初步验收中，如发现货物的品种、型号、规格、数量、质量等不符合合同、竞争性谈判文件、响应文件及承诺规定或附件关于货物配置的描述或存在其他问题的，有权拒绝接收货物，并可以在验收后五个工作日内以书面形式向成交供应商提出，成交供应商应在收到采购人书面通知后在采购人指定的期限内按照采购人的要求采取补足、更换或退货等处理措施予以解决。因补足、更换货物造成逾期的，按成交供应商逾期交付处理。</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3.6采购人在验收过程中发现成交供应商提供的货物不满足竞争性谈判文件、响应文件及合同规定的，可暂缓资金结算，直到成交供应商及时改正并经采购人验收合格后，方可办理资金结算事宜。如成交供应商提供的货物经两次改正后验收仍不合格的，采购人有权解除合同，由此引发的所有损失均由成交供应商负责承担和赔偿。</w:t>
            </w:r>
          </w:p>
          <w:p>
            <w:pPr>
              <w:adjustRightInd/>
              <w:spacing w:line="320" w:lineRule="exact"/>
              <w:ind w:firstLine="422" w:firstLineChars="200"/>
              <w:rPr>
                <w:rFonts w:ascii="宋体" w:hAnsi="宋体" w:cs="宋体"/>
                <w:szCs w:val="21"/>
                <w:highlight w:val="none"/>
              </w:rPr>
            </w:pPr>
            <w:r>
              <w:rPr>
                <w:rFonts w:hint="eastAsia" w:ascii="宋体" w:hAnsi="宋体" w:cs="宋体"/>
                <w:b/>
                <w:bCs/>
                <w:szCs w:val="21"/>
                <w:highlight w:val="none"/>
              </w:rPr>
              <w:t>4.验收：</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
              </w:rPr>
              <w:t>.</w:t>
            </w:r>
            <w:r>
              <w:rPr>
                <w:rFonts w:hint="eastAsia" w:ascii="宋体" w:hAnsi="宋体" w:cs="宋体"/>
                <w:szCs w:val="21"/>
                <w:highlight w:val="none"/>
              </w:rPr>
              <w:t>1</w:t>
            </w:r>
            <w:r>
              <w:rPr>
                <w:rFonts w:hint="eastAsia" w:ascii="宋体" w:hAnsi="宋体" w:cs="宋体"/>
                <w:kern w:val="10"/>
                <w:szCs w:val="21"/>
                <w:highlight w:val="none"/>
              </w:rPr>
              <w:t>成交供应商应在货物通过初步验收后</w:t>
            </w:r>
            <w:r>
              <w:rPr>
                <w:rFonts w:hint="eastAsia" w:ascii="宋体" w:hAnsi="宋体" w:cs="宋体"/>
                <w:kern w:val="10"/>
                <w:szCs w:val="21"/>
                <w:highlight w:val="none"/>
                <w:u w:val="single"/>
              </w:rPr>
              <w:t xml:space="preserve"> </w:t>
            </w:r>
            <w:r>
              <w:rPr>
                <w:rFonts w:hint="eastAsia" w:ascii="宋体" w:hAnsi="宋体" w:cs="宋体"/>
                <w:szCs w:val="21"/>
                <w:highlight w:val="none"/>
                <w:u w:val="single"/>
              </w:rPr>
              <w:t xml:space="preserve">3 </w:t>
            </w:r>
            <w:r>
              <w:rPr>
                <w:rFonts w:hint="eastAsia" w:ascii="宋体" w:hAnsi="宋体" w:cs="宋体"/>
                <w:kern w:val="10"/>
                <w:szCs w:val="21"/>
                <w:highlight w:val="none"/>
              </w:rPr>
              <w:t>个工作日内</w:t>
            </w:r>
            <w:r>
              <w:rPr>
                <w:rFonts w:hint="eastAsia" w:ascii="宋体" w:hAnsi="宋体" w:cs="宋体"/>
                <w:kern w:val="0"/>
                <w:szCs w:val="21"/>
                <w:highlight w:val="none"/>
              </w:rPr>
              <w:t>，按照采购人的要求完成货物的安装调试</w:t>
            </w:r>
            <w:r>
              <w:rPr>
                <w:rFonts w:hint="eastAsia" w:ascii="宋体" w:hAnsi="宋体" w:cs="宋体"/>
                <w:kern w:val="10"/>
                <w:szCs w:val="21"/>
                <w:highlight w:val="none"/>
              </w:rPr>
              <w:t>并向采购人提出验收申请。</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4.2采购人应当在成交供应商提出验收申请后</w:t>
            </w:r>
            <w:r>
              <w:rPr>
                <w:rFonts w:hint="eastAsia" w:ascii="宋体" w:hAnsi="宋体" w:cs="宋体"/>
                <w:szCs w:val="21"/>
                <w:highlight w:val="none"/>
                <w:u w:val="single"/>
              </w:rPr>
              <w:t xml:space="preserve"> 5 </w:t>
            </w:r>
            <w:r>
              <w:rPr>
                <w:rFonts w:hint="eastAsia" w:ascii="宋体" w:hAnsi="宋体" w:cs="宋体"/>
                <w:szCs w:val="21"/>
                <w:highlight w:val="none"/>
              </w:rPr>
              <w:t>个工作日内进行验收，逾期不验收的，成交供应商可视同验收合格。验收合格后由成交供应商和采购人双方签署货物验收合格单并加盖采购人公章，成交供应商和采购人双方各执一份。</w:t>
            </w:r>
          </w:p>
          <w:p>
            <w:pPr>
              <w:tabs>
                <w:tab w:val="left" w:pos="2310"/>
              </w:tabs>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4.3验收时成交供应商必须在现场，并协助采购人做好验收工作。验收完毕后作出验收结果报告；验收费用由成交供应商负责承担。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6</w:t>
            </w:r>
          </w:p>
        </w:tc>
        <w:tc>
          <w:tcPr>
            <w:tcW w:w="867" w:type="dxa"/>
            <w:vAlign w:val="center"/>
          </w:tcPr>
          <w:p>
            <w:pPr>
              <w:snapToGrid w:val="0"/>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售后服务</w:t>
            </w:r>
          </w:p>
          <w:p>
            <w:pPr>
              <w:snapToGrid w:val="0"/>
              <w:spacing w:line="320" w:lineRule="exact"/>
              <w:ind w:left="-105" w:leftChars="-50" w:right="-105" w:rightChars="-50"/>
              <w:jc w:val="center"/>
              <w:rPr>
                <w:rFonts w:ascii="宋体" w:hAnsi="宋体" w:cs="宋体"/>
                <w:kern w:val="0"/>
                <w:szCs w:val="21"/>
                <w:highlight w:val="none"/>
              </w:rPr>
            </w:pPr>
          </w:p>
        </w:tc>
        <w:tc>
          <w:tcPr>
            <w:tcW w:w="7547" w:type="dxa"/>
            <w:vAlign w:val="center"/>
          </w:tcPr>
          <w:p>
            <w:pPr>
              <w:snapToGrid w:val="0"/>
              <w:spacing w:line="320" w:lineRule="exact"/>
              <w:ind w:right="-105" w:rightChars="-50"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质保期内，成交供应商应当提供每周7天、每天24小时的电话支持服务。成交供应商接到采购人保修通知后2个小时内响应，12个小时内排除故障。货物出现重大故障或维修时限超过2日的，成交供应商应在24个小时内免费更换备品备件。如发生故障无法修复的，质保期内成交供应商须无条件更换新货物；如经采购人同意也可于48小时内提供同等规格产品替用（或采取使货物可正常运转的措施），直到故障修复后恢复正常工作。</w:t>
            </w:r>
          </w:p>
          <w:p>
            <w:pPr>
              <w:snapToGrid w:val="0"/>
              <w:spacing w:line="320" w:lineRule="exact"/>
              <w:ind w:right="-105" w:rightChars="-50" w:firstLine="420" w:firstLineChars="200"/>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质保期届满后，成交供应商对本项目项下货物提供终身维修服务，且维修时只收取所需维修部件的成本费，服务内容应与质保期内的要求相一致。</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3.采购人应提供必要安装条件（如场地、电源、水源等）。</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4.由于货物的质量问题造成财产或人身伤害的，按规定追究成交供应商责任，由成交供应商赔偿经济损失。</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5.因包装或运输不当引起的货物外观或内部的损坏，供货商应负责全部更换；若发现错发和漏发的，供货商应负责更换和补发。</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6.必须提供完善的技术支持和售后服务，技术支持和售后服务必须与采购人原有技术支持和售后服务兼容和匹配。需在响应文件中指定专人负责在项目实施过程及售后服务期内与采购人保持长期的联系与服务。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7</w:t>
            </w:r>
          </w:p>
        </w:tc>
        <w:tc>
          <w:tcPr>
            <w:tcW w:w="867" w:type="dxa"/>
            <w:vAlign w:val="center"/>
          </w:tcPr>
          <w:p>
            <w:pPr>
              <w:snapToGrid w:val="0"/>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合同签订</w:t>
            </w:r>
          </w:p>
          <w:p>
            <w:pPr>
              <w:snapToGrid w:val="0"/>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时间</w:t>
            </w:r>
          </w:p>
        </w:tc>
        <w:tc>
          <w:tcPr>
            <w:tcW w:w="7547" w:type="dxa"/>
            <w:vAlign w:val="center"/>
          </w:tcPr>
          <w:p>
            <w:pPr>
              <w:snapToGrid w:val="0"/>
              <w:spacing w:line="320" w:lineRule="exact"/>
              <w:ind w:left="210" w:leftChars="-3" w:hanging="216" w:hangingChars="103"/>
              <w:rPr>
                <w:rFonts w:ascii="宋体" w:hAnsi="宋体" w:cs="宋体"/>
                <w:szCs w:val="21"/>
                <w:highlight w:val="none"/>
              </w:rPr>
            </w:pPr>
            <w:r>
              <w:rPr>
                <w:rFonts w:hint="eastAsia" w:ascii="宋体" w:hAnsi="宋体" w:cs="宋体"/>
                <w:szCs w:val="21"/>
                <w:highlight w:val="none"/>
              </w:rPr>
              <w:t xml:space="preserve">   自成交通知书发布之日起</w:t>
            </w:r>
            <w:r>
              <w:rPr>
                <w:rFonts w:hint="eastAsia" w:ascii="宋体" w:hAnsi="宋体" w:cs="宋体"/>
                <w:szCs w:val="21"/>
                <w:highlight w:val="none"/>
                <w:u w:val="single"/>
              </w:rPr>
              <w:t xml:space="preserve"> </w:t>
            </w:r>
            <w:r>
              <w:rPr>
                <w:rFonts w:hint="eastAsia" w:ascii="宋体" w:hAnsi="宋体" w:cs="宋体"/>
                <w:kern w:val="0"/>
                <w:szCs w:val="21"/>
                <w:highlight w:val="none"/>
                <w:u w:val="single"/>
              </w:rPr>
              <w:t>25个</w:t>
            </w:r>
            <w:r>
              <w:rPr>
                <w:rFonts w:hint="eastAsia" w:ascii="宋体" w:hAnsi="宋体" w:cs="宋体"/>
                <w:kern w:val="0"/>
                <w:szCs w:val="21"/>
                <w:highlight w:val="none"/>
                <w:u w:val="none"/>
                <w:lang w:val="en-US" w:eastAsia="zh-CN"/>
              </w:rPr>
              <w:t>日历</w:t>
            </w:r>
            <w:r>
              <w:rPr>
                <w:rFonts w:hint="eastAsia" w:ascii="宋体" w:hAnsi="宋体" w:cs="宋体"/>
                <w:kern w:val="0"/>
                <w:szCs w:val="21"/>
                <w:highlight w:val="none"/>
              </w:rPr>
              <w:t>日</w:t>
            </w:r>
            <w:r>
              <w:rPr>
                <w:rFonts w:hint="eastAsia" w:ascii="宋体" w:hAnsi="宋体" w:cs="宋体"/>
                <w:szCs w:val="2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8</w:t>
            </w:r>
          </w:p>
        </w:tc>
        <w:tc>
          <w:tcPr>
            <w:tcW w:w="867" w:type="dxa"/>
            <w:vAlign w:val="center"/>
          </w:tcPr>
          <w:p>
            <w:pPr>
              <w:snapToGrid w:val="0"/>
              <w:spacing w:line="320" w:lineRule="exact"/>
              <w:ind w:left="-105" w:leftChars="-50" w:right="-105" w:rightChars="-50"/>
              <w:jc w:val="center"/>
              <w:rPr>
                <w:rFonts w:ascii="宋体" w:hAnsi="宋体" w:cs="宋体"/>
                <w:szCs w:val="21"/>
                <w:highlight w:val="none"/>
              </w:rPr>
            </w:pPr>
            <w:r>
              <w:rPr>
                <w:rFonts w:hint="eastAsia" w:ascii="宋体" w:hAnsi="宋体" w:cs="宋体"/>
                <w:bCs/>
                <w:szCs w:val="21"/>
                <w:highlight w:val="none"/>
              </w:rPr>
              <w:t>报价要求</w:t>
            </w:r>
          </w:p>
        </w:tc>
        <w:tc>
          <w:tcPr>
            <w:tcW w:w="7547" w:type="dxa"/>
            <w:vAlign w:val="center"/>
          </w:tcPr>
          <w:p>
            <w:pPr>
              <w:tabs>
                <w:tab w:val="left" w:pos="433"/>
              </w:tabs>
              <w:snapToGrid w:val="0"/>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1.报价为全包价（含税），包括货物到达采购人并能正常使用所需的一切费用，包括但不限于采购货物的货物购置费、质保费、</w:t>
            </w:r>
            <w:r>
              <w:rPr>
                <w:rFonts w:hint="eastAsia" w:ascii="宋体" w:hAnsi="宋体" w:cs="宋体"/>
                <w:szCs w:val="21"/>
                <w:highlight w:val="none"/>
              </w:rPr>
              <w:t>软件</w:t>
            </w:r>
            <w:r>
              <w:rPr>
                <w:rFonts w:hint="eastAsia" w:ascii="宋体" w:hAnsi="宋体" w:cs="宋体"/>
                <w:bCs/>
                <w:szCs w:val="21"/>
                <w:highlight w:val="none"/>
              </w:rPr>
              <w:t>升级服务</w:t>
            </w:r>
            <w:r>
              <w:rPr>
                <w:rFonts w:hint="eastAsia" w:ascii="宋体" w:hAnsi="宋体" w:cs="宋体"/>
                <w:szCs w:val="21"/>
                <w:highlight w:val="none"/>
              </w:rPr>
              <w:t>费</w:t>
            </w:r>
            <w:r>
              <w:rPr>
                <w:rFonts w:hint="eastAsia" w:ascii="宋体" w:hAnsi="宋体" w:cs="宋体"/>
                <w:bCs/>
                <w:szCs w:val="21"/>
                <w:highlight w:val="none"/>
              </w:rPr>
              <w:t>、售后服务费及将货物运至指定地点所发生的运输费、装卸费、安装调试费、人工费等货物伴随服务的费用以及辅助服务费用、包装费、保险费、技术服务费、验收费、培训费、保修费、采购代理服务费和所需缴纳的一切相关税、费等与本项目有关的可预见及不可预见的一切成本和费用的总合。除本项目合同价款及采购人认可的特殊情况外，采购人不再为本项目另付任何费用给成交供应商。</w:t>
            </w:r>
          </w:p>
          <w:p>
            <w:pPr>
              <w:tabs>
                <w:tab w:val="left" w:pos="433"/>
              </w:tabs>
              <w:snapToGrid w:val="0"/>
              <w:spacing w:line="320" w:lineRule="exact"/>
              <w:ind w:firstLine="420" w:firstLineChars="200"/>
              <w:rPr>
                <w:rFonts w:ascii="宋体" w:hAnsi="宋体" w:cs="宋体"/>
                <w:bCs/>
                <w:szCs w:val="21"/>
                <w:highlight w:val="none"/>
              </w:rPr>
            </w:pPr>
            <w:bookmarkStart w:id="72" w:name="OLE_LINK13"/>
            <w:r>
              <w:rPr>
                <w:rFonts w:hint="eastAsia" w:ascii="宋体" w:hAnsi="宋体" w:cs="宋体"/>
                <w:bCs/>
                <w:szCs w:val="21"/>
                <w:highlight w:val="none"/>
              </w:rPr>
              <w:t>2.报价清单不能超过</w:t>
            </w:r>
            <w:r>
              <w:rPr>
                <w:rFonts w:hint="eastAsia" w:ascii="宋体" w:hAnsi="宋体" w:cs="宋体"/>
                <w:b w:val="0"/>
                <w:bCs w:val="0"/>
                <w:szCs w:val="21"/>
                <w:highlight w:val="none"/>
                <w:lang w:eastAsia="zh-CN"/>
              </w:rPr>
              <w:t>各分项预算单价和</w:t>
            </w:r>
            <w:r>
              <w:rPr>
                <w:rFonts w:hint="eastAsia" w:ascii="宋体" w:hAnsi="宋体" w:cs="宋体"/>
                <w:bCs/>
                <w:szCs w:val="21"/>
                <w:highlight w:val="none"/>
              </w:rPr>
              <w:t>最高限价</w:t>
            </w:r>
            <w:r>
              <w:rPr>
                <w:rFonts w:hint="eastAsia" w:ascii="宋体" w:hAnsi="宋体" w:cs="宋体"/>
                <w:bCs/>
                <w:szCs w:val="21"/>
                <w:highlight w:val="none"/>
                <w:lang w:eastAsia="zh-CN"/>
              </w:rPr>
              <w:t>以及预算总</w:t>
            </w:r>
            <w:r>
              <w:rPr>
                <w:rFonts w:hint="eastAsia" w:ascii="宋体" w:hAnsi="宋体" w:cs="宋体"/>
                <w:bCs/>
                <w:szCs w:val="21"/>
                <w:highlight w:val="none"/>
              </w:rPr>
              <w:t>金额。</w:t>
            </w:r>
          </w:p>
          <w:bookmarkEnd w:id="72"/>
          <w:p>
            <w:pPr>
              <w:snapToGrid w:val="0"/>
              <w:spacing w:line="320" w:lineRule="exact"/>
              <w:ind w:firstLine="420" w:firstLineChars="200"/>
              <w:rPr>
                <w:rFonts w:ascii="宋体" w:hAnsi="宋体" w:cs="宋体"/>
                <w:szCs w:val="21"/>
                <w:highlight w:val="none"/>
              </w:rPr>
            </w:pPr>
            <w:r>
              <w:rPr>
                <w:rFonts w:hint="eastAsia" w:ascii="宋体" w:hAnsi="宋体" w:cs="宋体"/>
                <w:bCs/>
                <w:szCs w:val="21"/>
                <w:highlight w:val="none"/>
              </w:rPr>
              <w:t>3.报价币种为人民币。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9</w:t>
            </w:r>
          </w:p>
        </w:tc>
        <w:tc>
          <w:tcPr>
            <w:tcW w:w="867" w:type="dxa"/>
            <w:vAlign w:val="center"/>
          </w:tcPr>
          <w:p>
            <w:pPr>
              <w:snapToGrid w:val="0"/>
              <w:spacing w:line="32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付款方式</w:t>
            </w:r>
          </w:p>
        </w:tc>
        <w:tc>
          <w:tcPr>
            <w:tcW w:w="7547" w:type="dxa"/>
            <w:vAlign w:val="center"/>
          </w:tcPr>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本项目采购用分期付款方式：</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1.本项目合同签订生效后7个工作日内，支付合同总金额的50%。</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2.采购人每验收合格一台设备后7个工作日内，按该设备成交单价的50%支付。</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
              </w:rPr>
              <w:t>.每次结算成交供应商</w:t>
            </w:r>
            <w:r>
              <w:rPr>
                <w:rFonts w:hint="eastAsia" w:ascii="宋体" w:hAnsi="宋体" w:cs="宋体"/>
                <w:szCs w:val="21"/>
                <w:highlight w:val="none"/>
              </w:rPr>
              <w:t>应持采购人签字确认的验收合格单结算货款。</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
              </w:rPr>
              <w:t>.</w:t>
            </w:r>
            <w:r>
              <w:rPr>
                <w:rFonts w:hint="eastAsia" w:ascii="宋体" w:hAnsi="宋体" w:cs="宋体"/>
                <w:szCs w:val="21"/>
                <w:highlight w:val="none"/>
              </w:rPr>
              <w:t>采购人在支付每笔款项前，</w:t>
            </w:r>
            <w:r>
              <w:rPr>
                <w:rFonts w:hint="eastAsia" w:ascii="宋体" w:hAnsi="宋体" w:cs="宋体"/>
                <w:szCs w:val="21"/>
                <w:highlight w:val="none"/>
                <w:lang w:val="en"/>
              </w:rPr>
              <w:t>成交供应商</w:t>
            </w:r>
            <w:r>
              <w:rPr>
                <w:rFonts w:hint="eastAsia" w:ascii="宋体" w:hAnsi="宋体" w:cs="宋体"/>
                <w:szCs w:val="21"/>
                <w:highlight w:val="none"/>
              </w:rPr>
              <w:t>应当提供可供政府审计并且符合税务规定的正式发票，否则采购人有权拒付相应款项直至</w:t>
            </w:r>
            <w:r>
              <w:rPr>
                <w:rFonts w:hint="eastAsia" w:ascii="宋体" w:hAnsi="宋体" w:cs="宋体"/>
                <w:szCs w:val="21"/>
                <w:highlight w:val="none"/>
                <w:lang w:val="en"/>
              </w:rPr>
              <w:t>成交供应商</w:t>
            </w:r>
            <w:r>
              <w:rPr>
                <w:rFonts w:hint="eastAsia" w:ascii="宋体" w:hAnsi="宋体" w:cs="宋体"/>
                <w:szCs w:val="21"/>
                <w:highlight w:val="none"/>
              </w:rPr>
              <w:t>能提供符合规定的发票为止。（发票信息必须与合同登记的内容相符）</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5.以上付款均不计息。每期付款均需财政资金到位后执行。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pStyle w:val="5"/>
              <w:keepNext w:val="0"/>
              <w:keepLines w:val="0"/>
              <w:numPr>
                <w:ilvl w:val="2"/>
                <w:numId w:val="0"/>
              </w:numPr>
              <w:tabs>
                <w:tab w:val="left" w:pos="3269"/>
                <w:tab w:val="clear" w:pos="900"/>
              </w:tabs>
              <w:adjustRightInd/>
              <w:spacing w:line="320" w:lineRule="exact"/>
              <w:ind w:left="180"/>
              <w:jc w:val="center"/>
              <w:rPr>
                <w:rFonts w:ascii="宋体" w:hAnsi="宋体" w:cs="宋体"/>
                <w:b w:val="0"/>
                <w:bCs w:val="0"/>
                <w:sz w:val="21"/>
                <w:szCs w:val="21"/>
                <w:highlight w:val="none"/>
              </w:rPr>
            </w:pPr>
            <w:r>
              <w:rPr>
                <w:rFonts w:hint="eastAsia" w:ascii="宋体" w:hAnsi="宋体" w:cs="宋体"/>
                <w:b w:val="0"/>
                <w:bCs w:val="0"/>
                <w:sz w:val="21"/>
                <w:szCs w:val="21"/>
                <w:highlight w:val="none"/>
              </w:rPr>
              <w:t>10</w:t>
            </w:r>
          </w:p>
        </w:tc>
        <w:tc>
          <w:tcPr>
            <w:tcW w:w="867" w:type="dxa"/>
            <w:vAlign w:val="center"/>
          </w:tcPr>
          <w:p>
            <w:pPr>
              <w:adjustRightInd/>
              <w:spacing w:line="320" w:lineRule="exact"/>
              <w:jc w:val="center"/>
              <w:rPr>
                <w:rFonts w:ascii="宋体" w:hAnsi="宋体" w:cs="宋体"/>
                <w:szCs w:val="21"/>
                <w:highlight w:val="none"/>
              </w:rPr>
            </w:pPr>
            <w:r>
              <w:rPr>
                <w:rFonts w:hint="eastAsia" w:ascii="宋体" w:hAnsi="宋体" w:cs="宋体"/>
                <w:szCs w:val="21"/>
                <w:highlight w:val="none"/>
              </w:rPr>
              <w:t>其他</w:t>
            </w:r>
          </w:p>
        </w:tc>
        <w:tc>
          <w:tcPr>
            <w:tcW w:w="7547" w:type="dxa"/>
            <w:vAlign w:val="center"/>
          </w:tcPr>
          <w:p>
            <w:pPr>
              <w:adjustRightInd/>
              <w:spacing w:line="320" w:lineRule="exact"/>
              <w:ind w:firstLine="422" w:firstLineChars="200"/>
              <w:rPr>
                <w:rFonts w:ascii="宋体" w:hAnsi="宋体" w:cs="宋体"/>
                <w:szCs w:val="21"/>
                <w:highlight w:val="none"/>
              </w:rPr>
            </w:pPr>
            <w:r>
              <w:rPr>
                <w:rFonts w:hint="eastAsia" w:ascii="宋体" w:hAnsi="宋体" w:cs="宋体"/>
                <w:b/>
                <w:bCs/>
                <w:szCs w:val="21"/>
                <w:highlight w:val="none"/>
              </w:rPr>
              <w:t>1.谈判要求：</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1.1针对本项目投标的所有货物必须完全符合竞争性谈判文件的每项要求</w:t>
            </w:r>
            <w:r>
              <w:rPr>
                <w:rFonts w:hint="eastAsia" w:ascii="宋体" w:hAnsi="宋体" w:cs="宋体"/>
                <w:bCs/>
                <w:szCs w:val="21"/>
                <w:highlight w:val="none"/>
              </w:rPr>
              <w:t>,</w:t>
            </w:r>
            <w:r>
              <w:rPr>
                <w:rFonts w:hint="eastAsia" w:ascii="宋体" w:hAnsi="宋体" w:cs="宋体"/>
                <w:szCs w:val="21"/>
                <w:highlight w:val="none"/>
              </w:rPr>
              <w:t>若恶意投标出现货物质量问题、技术参数不符或供货延迟等问题，直接影响采购人工作正常运转的，采购人将按《政府采购法》规定追究该成交供应商虚假应标的相关责任，同时采购人有权单方终止合同，成交供应商须负责赔偿由此给采购人造成的一切损失。</w:t>
            </w:r>
          </w:p>
          <w:p>
            <w:pPr>
              <w:adjustRightInd/>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如本章项目需求中，有要求成交供应商在合同签订生效后需提供材料的，成交供应商必须按采购人的要求提供，否则，采购人有权终止合同，采购人将按国家相关法律法规的规定追究该成交供应商虚假应标的相关责任，同时该成交供应商须负责赔偿由此给采购人造成的一切损失。</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1.3所有货物都必须满足采购人实际使用需求。</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1.4提供的所有货物如达不到实际使用要求，验收不合格的，采购人有权解除合同，由此引发的所有损失由成交供应商负责承担和赔偿。</w:t>
            </w:r>
          </w:p>
          <w:p>
            <w:pPr>
              <w:adjustRightInd/>
              <w:spacing w:line="320" w:lineRule="exact"/>
              <w:ind w:firstLine="420" w:firstLineChars="200"/>
              <w:rPr>
                <w:rFonts w:ascii="宋体" w:hAnsi="宋体" w:cs="宋体"/>
                <w:szCs w:val="21"/>
                <w:highlight w:val="none"/>
              </w:rPr>
            </w:pPr>
            <w:r>
              <w:rPr>
                <w:rFonts w:hint="eastAsia" w:ascii="宋体" w:hAnsi="宋体" w:cs="宋体"/>
                <w:szCs w:val="21"/>
                <w:highlight w:val="none"/>
              </w:rPr>
              <w:t>1.5采购人不集中组织现场踏勘，谈判供应商自行联系采购人进行现场踏勘，费用及安全等问题由谈判供应商自行负责。</w:t>
            </w:r>
          </w:p>
          <w:p>
            <w:pPr>
              <w:adjustRightInd/>
              <w:spacing w:line="320" w:lineRule="exact"/>
              <w:ind w:firstLine="420" w:firstLineChars="200"/>
              <w:rPr>
                <w:rFonts w:ascii="宋体" w:hAnsi="宋体" w:cs="宋体"/>
                <w:b/>
                <w:bCs/>
                <w:szCs w:val="21"/>
                <w:highlight w:val="none"/>
              </w:rPr>
            </w:pPr>
            <w:r>
              <w:rPr>
                <w:rFonts w:hint="eastAsia" w:ascii="宋体" w:hAnsi="宋体" w:cs="宋体"/>
                <w:szCs w:val="21"/>
                <w:highlight w:val="none"/>
              </w:rPr>
              <w:t>1.6供应商须在响应文件中提供设备技术参数确认函、彩页或白皮书等资料。</w:t>
            </w:r>
          </w:p>
          <w:p>
            <w:pPr>
              <w:adjustRightInd/>
              <w:spacing w:line="320" w:lineRule="exact"/>
              <w:ind w:firstLine="422" w:firstLineChars="200"/>
              <w:rPr>
                <w:rFonts w:ascii="宋体" w:hAnsi="宋体" w:cs="宋体"/>
                <w:b/>
                <w:szCs w:val="21"/>
                <w:highlight w:val="none"/>
              </w:rPr>
            </w:pPr>
            <w:r>
              <w:rPr>
                <w:rFonts w:hint="eastAsia" w:ascii="宋体" w:hAnsi="宋体" w:cs="宋体"/>
                <w:b/>
                <w:szCs w:val="21"/>
                <w:highlight w:val="none"/>
              </w:rPr>
              <w:t>2.辅助服务：</w:t>
            </w:r>
          </w:p>
          <w:p>
            <w:pPr>
              <w:tabs>
                <w:tab w:val="left" w:pos="2310"/>
              </w:tabs>
              <w:adjustRightInd/>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2.1成交供应商应提供下列服务：</w:t>
            </w:r>
          </w:p>
          <w:p>
            <w:pPr>
              <w:tabs>
                <w:tab w:val="left" w:pos="2310"/>
              </w:tabs>
              <w:adjustRightInd/>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（1）货物的现场移动、安装、调试、启动监督及技术支持；</w:t>
            </w:r>
          </w:p>
          <w:p>
            <w:pPr>
              <w:tabs>
                <w:tab w:val="left" w:pos="2310"/>
              </w:tabs>
              <w:adjustRightInd/>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（2）提供货物组装和维修所需的专用工具和辅助材料；</w:t>
            </w:r>
          </w:p>
          <w:p>
            <w:pPr>
              <w:tabs>
                <w:tab w:val="left" w:pos="2310"/>
              </w:tabs>
              <w:adjustRightInd/>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（3）在采购人指定的期限内对所有的货物实施运行监督、维修，但该服务并不能免除成交供应商在质量保证期内所承担的义务；</w:t>
            </w:r>
          </w:p>
          <w:p>
            <w:pPr>
              <w:tabs>
                <w:tab w:val="left" w:pos="2310"/>
              </w:tabs>
              <w:adjustRightInd/>
              <w:spacing w:line="320" w:lineRule="exact"/>
              <w:ind w:firstLine="420" w:firstLineChars="200"/>
              <w:rPr>
                <w:rFonts w:ascii="宋体" w:hAnsi="宋体" w:cs="宋体"/>
                <w:szCs w:val="21"/>
                <w:highlight w:val="none"/>
              </w:rPr>
            </w:pPr>
            <w:r>
              <w:rPr>
                <w:rFonts w:hint="eastAsia" w:ascii="宋体" w:hAnsi="宋体" w:cs="宋体"/>
                <w:bCs/>
                <w:szCs w:val="21"/>
                <w:highlight w:val="none"/>
              </w:rPr>
              <w:t>（4）就货物的安装、调试、启动、运营使用、维护等，按照采购人的要求，对采购人的相关人员进行</w:t>
            </w:r>
            <w:r>
              <w:rPr>
                <w:rFonts w:hint="eastAsia" w:ascii="宋体" w:hAnsi="宋体" w:cs="宋体"/>
                <w:bCs/>
                <w:szCs w:val="21"/>
                <w:highlight w:val="none"/>
                <w:lang w:eastAsia="zh-CN"/>
              </w:rPr>
              <w:t>必要</w:t>
            </w:r>
            <w:r>
              <w:rPr>
                <w:rFonts w:hint="eastAsia" w:ascii="宋体" w:hAnsi="宋体" w:cs="宋体"/>
                <w:bCs/>
                <w:szCs w:val="21"/>
                <w:highlight w:val="none"/>
              </w:rPr>
              <w:t>的培训。培训目标为受训者能够独立、熟练地完成操作，实现货物的使用目标和功能。</w:t>
            </w:r>
          </w:p>
          <w:p>
            <w:pPr>
              <w:tabs>
                <w:tab w:val="left" w:pos="2310"/>
              </w:tabs>
              <w:adjustRightInd/>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2.2成交供应商需在合同签订生效后2年内，为采购人提供连续流动分析仪及大体积高通量全自动固相萃取仪2个前往仪器厂商参加培训的名额，并为所有仪器提供培训资料。</w:t>
            </w:r>
          </w:p>
          <w:p>
            <w:pPr>
              <w:tabs>
                <w:tab w:val="left" w:pos="2310"/>
              </w:tabs>
              <w:adjustRightInd/>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2.3辅助服务涉及的所有费用已经全部包含在投价总价中，采购人不再另行支付。</w:t>
            </w:r>
          </w:p>
          <w:p>
            <w:pPr>
              <w:adjustRightInd/>
              <w:spacing w:line="320" w:lineRule="exact"/>
              <w:ind w:firstLine="422" w:firstLineChars="200"/>
              <w:rPr>
                <w:rFonts w:ascii="宋体" w:hAnsi="宋体" w:cs="宋体"/>
                <w:bCs/>
                <w:szCs w:val="21"/>
                <w:highlight w:val="none"/>
              </w:rPr>
            </w:pPr>
            <w:r>
              <w:rPr>
                <w:rFonts w:hint="eastAsia" w:ascii="宋体" w:hAnsi="宋体" w:cs="宋体"/>
                <w:b/>
                <w:szCs w:val="21"/>
                <w:highlight w:val="none"/>
              </w:rPr>
              <w:t>3.货物保管及风险承担：</w:t>
            </w:r>
            <w:r>
              <w:rPr>
                <w:rFonts w:hint="eastAsia" w:ascii="宋体" w:hAnsi="宋体" w:cs="宋体"/>
                <w:szCs w:val="21"/>
                <w:highlight w:val="none"/>
                <w:shd w:val="clear" w:color="auto" w:fill="FFFFFF"/>
              </w:rPr>
              <w:t>货物在交付采购人前发生的一切风险（包括人员、货物、运输等一切安全问题）均由成交供应商负责。</w:t>
            </w:r>
          </w:p>
        </w:tc>
      </w:tr>
    </w:tbl>
    <w:p>
      <w:pPr>
        <w:pStyle w:val="640"/>
        <w:keepLines/>
        <w:widowControl/>
        <w:kinsoku w:val="0"/>
        <w:ind w:firstLine="0" w:firstLineChars="0"/>
        <w:rPr>
          <w:rFonts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hint="eastAsia" w:ascii="宋体"/>
          <w:b/>
          <w:sz w:val="28"/>
          <w:szCs w:val="28"/>
          <w:highlight w:val="none"/>
        </w:rPr>
      </w:pPr>
    </w:p>
    <w:p>
      <w:pPr>
        <w:pStyle w:val="640"/>
        <w:keepLines/>
        <w:widowControl/>
        <w:kinsoku w:val="0"/>
        <w:ind w:firstLine="0" w:firstLineChars="0"/>
        <w:rPr>
          <w:rFonts w:ascii="宋体"/>
          <w:b/>
          <w:sz w:val="28"/>
          <w:szCs w:val="28"/>
          <w:highlight w:val="none"/>
        </w:rPr>
      </w:pPr>
      <w:r>
        <w:rPr>
          <w:rFonts w:hint="eastAsia" w:ascii="宋体"/>
          <w:b/>
          <w:sz w:val="28"/>
          <w:szCs w:val="28"/>
          <w:highlight w:val="none"/>
        </w:rPr>
        <w:t>第四部分附件</w:t>
      </w:r>
    </w:p>
    <w:p>
      <w:pPr>
        <w:pStyle w:val="640"/>
        <w:keepLines/>
        <w:widowControl/>
        <w:kinsoku w:val="0"/>
        <w:ind w:firstLine="0" w:firstLineChars="0"/>
        <w:rPr>
          <w:rFonts w:ascii="宋体"/>
          <w:b/>
          <w:sz w:val="28"/>
          <w:szCs w:val="28"/>
          <w:highlight w:val="none"/>
        </w:rPr>
      </w:pPr>
    </w:p>
    <w:p>
      <w:pPr>
        <w:pStyle w:val="640"/>
        <w:keepLines/>
        <w:widowControl/>
        <w:kinsoku w:val="0"/>
        <w:ind w:firstLine="0" w:firstLineChars="0"/>
        <w:jc w:val="center"/>
        <w:rPr>
          <w:rFonts w:ascii="宋体" w:hAnsi="宋体" w:cs="宋体"/>
          <w:b/>
          <w:bCs/>
          <w:sz w:val="24"/>
          <w:highlight w:val="none"/>
        </w:rPr>
      </w:pPr>
      <w:r>
        <w:rPr>
          <w:rFonts w:hint="eastAsia" w:ascii="宋体" w:hAnsi="宋体" w:cs="宋体"/>
          <w:b/>
          <w:bCs/>
          <w:sz w:val="32"/>
          <w:szCs w:val="32"/>
          <w:highlight w:val="none"/>
        </w:rPr>
        <w:t>中小企业划分标准</w:t>
      </w:r>
    </w:p>
    <w:p>
      <w:pPr>
        <w:pStyle w:val="640"/>
        <w:keepLines/>
        <w:widowControl/>
        <w:kinsoku w:val="0"/>
        <w:ind w:firstLine="0" w:firstLineChars="0"/>
        <w:jc w:val="center"/>
        <w:rPr>
          <w:rFonts w:ascii="宋体" w:hAnsi="宋体" w:cs="宋体"/>
          <w:b/>
          <w:bCs/>
          <w:sz w:val="24"/>
          <w:highlight w:val="none"/>
        </w:rPr>
      </w:pPr>
      <w:r>
        <w:rPr>
          <w:rFonts w:hint="eastAsia" w:ascii="宋体" w:hAnsi="宋体" w:cs="宋体"/>
          <w:b/>
          <w:bCs/>
          <w:sz w:val="24"/>
          <w:highlight w:val="none"/>
        </w:rPr>
        <w:t>【</w:t>
      </w:r>
      <w:r>
        <w:rPr>
          <w:rFonts w:hint="eastAsia"/>
          <w:b/>
          <w:bCs/>
          <w:sz w:val="24"/>
          <w:highlight w:val="none"/>
        </w:rPr>
        <w:t>根据</w:t>
      </w:r>
      <w:r>
        <w:rPr>
          <w:rFonts w:hint="eastAsia" w:ascii="宋体" w:hAnsi="宋体" w:cs="宋体"/>
          <w:b/>
          <w:bCs/>
          <w:sz w:val="24"/>
          <w:highlight w:val="none"/>
        </w:rPr>
        <w:t>《中小企业划型标准规定》（工信部联企业〔2011〕300号）整理】</w:t>
      </w:r>
    </w:p>
    <w:tbl>
      <w:tblPr>
        <w:tblStyle w:val="72"/>
        <w:tblW w:w="9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559"/>
        <w:gridCol w:w="1137"/>
        <w:gridCol w:w="785"/>
        <w:gridCol w:w="1321"/>
        <w:gridCol w:w="1389"/>
        <w:gridCol w:w="133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577" w:type="dxa"/>
            <w:vMerge w:val="restart"/>
            <w:vAlign w:val="center"/>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序号</w:t>
            </w:r>
          </w:p>
        </w:tc>
        <w:tc>
          <w:tcPr>
            <w:tcW w:w="1559" w:type="dxa"/>
            <w:vMerge w:val="restart"/>
            <w:vAlign w:val="center"/>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行业名称</w:t>
            </w:r>
          </w:p>
        </w:tc>
        <w:tc>
          <w:tcPr>
            <w:tcW w:w="1137" w:type="dxa"/>
            <w:vMerge w:val="restart"/>
            <w:vAlign w:val="center"/>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指标名称</w:t>
            </w:r>
          </w:p>
        </w:tc>
        <w:tc>
          <w:tcPr>
            <w:tcW w:w="785" w:type="dxa"/>
            <w:vMerge w:val="restart"/>
            <w:vAlign w:val="center"/>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单位</w:t>
            </w:r>
          </w:p>
        </w:tc>
        <w:tc>
          <w:tcPr>
            <w:tcW w:w="5259" w:type="dxa"/>
            <w:gridSpan w:val="4"/>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划分标准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77" w:type="dxa"/>
            <w:vMerge w:val="continue"/>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p>
        </w:tc>
        <w:tc>
          <w:tcPr>
            <w:tcW w:w="1559" w:type="dxa"/>
            <w:vMerge w:val="continue"/>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p>
        </w:tc>
        <w:tc>
          <w:tcPr>
            <w:tcW w:w="1137" w:type="dxa"/>
            <w:vMerge w:val="continue"/>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p>
        </w:tc>
        <w:tc>
          <w:tcPr>
            <w:tcW w:w="785" w:type="dxa"/>
            <w:vMerge w:val="continue"/>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p>
        </w:tc>
        <w:tc>
          <w:tcPr>
            <w:tcW w:w="1321" w:type="dxa"/>
          </w:tcPr>
          <w:p>
            <w:pPr>
              <w:keepLines/>
              <w:widowControl/>
              <w:kinsoku w:val="0"/>
              <w:adjustRightInd/>
              <w:spacing w:line="24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中小微企业 标准上限</w:t>
            </w:r>
          </w:p>
        </w:tc>
        <w:tc>
          <w:tcPr>
            <w:tcW w:w="1389" w:type="dxa"/>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中型</w:t>
            </w:r>
          </w:p>
        </w:tc>
        <w:tc>
          <w:tcPr>
            <w:tcW w:w="1336" w:type="dxa"/>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小型</w:t>
            </w:r>
          </w:p>
        </w:tc>
        <w:tc>
          <w:tcPr>
            <w:tcW w:w="1213" w:type="dxa"/>
          </w:tcPr>
          <w:p>
            <w:pPr>
              <w:keepLines/>
              <w:widowControl/>
              <w:kinsoku w:val="0"/>
              <w:adjustRightInd/>
              <w:spacing w:line="400" w:lineRule="exact"/>
              <w:ind w:left="-105" w:leftChars="-50" w:right="-105" w:rightChars="-50"/>
              <w:jc w:val="center"/>
              <w:rPr>
                <w:rFonts w:ascii="宋体" w:hAnsi="宋体" w:cs="宋体"/>
                <w:b/>
                <w:bCs/>
                <w:sz w:val="18"/>
                <w:szCs w:val="18"/>
                <w:highlight w:val="none"/>
              </w:rPr>
            </w:pPr>
            <w:r>
              <w:rPr>
                <w:rFonts w:hint="eastAsia" w:ascii="宋体" w:hAnsi="宋体" w:cs="宋体"/>
                <w:b/>
                <w:bCs/>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w:t>
            </w:r>
          </w:p>
        </w:tc>
        <w:tc>
          <w:tcPr>
            <w:tcW w:w="155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农、林、牧、渔业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500及以上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50及以上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工业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或40000以下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且2000及以上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且300及以上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建筑业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80000以下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6000及以上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资产总额</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或80000以下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且5000及以上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且300及以上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4</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批发业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5及以上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或40000以下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且5000及以上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5</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零售业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50及以上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或20000以下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且500及以上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6</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交通运输业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或30000以下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且3000及以上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且200及以上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或200以下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7</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仓储业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或30000以下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8</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邮政业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或30000以下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且2000及以上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9</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住宿业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且2000及以上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餐饮业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且2000及以上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11</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信息传输业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12</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软件和信息技术服务业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且50及以上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13</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房地产开发经营</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200000以下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资产总额</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且5000及以上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且2000及以上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或2000以下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14</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物业管理</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营业收入</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或5000以下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且500及以上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或500以下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15</w:t>
            </w:r>
          </w:p>
        </w:tc>
        <w:tc>
          <w:tcPr>
            <w:tcW w:w="1559" w:type="dxa"/>
            <w:vMerge w:val="restart"/>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租赁和商务服务业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577"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559" w:type="dxa"/>
            <w:vMerge w:val="continue"/>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资产总额</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万元</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或120000以下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且8000及以上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且100及以上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57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16</w:t>
            </w:r>
          </w:p>
        </w:tc>
        <w:tc>
          <w:tcPr>
            <w:tcW w:w="155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其他未列明行业</w:t>
            </w:r>
          </w:p>
        </w:tc>
        <w:tc>
          <w:tcPr>
            <w:tcW w:w="1137"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从业人数</w:t>
            </w:r>
          </w:p>
        </w:tc>
        <w:tc>
          <w:tcPr>
            <w:tcW w:w="785"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人</w:t>
            </w:r>
          </w:p>
        </w:tc>
        <w:tc>
          <w:tcPr>
            <w:tcW w:w="1321"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300以下</w:t>
            </w:r>
          </w:p>
        </w:tc>
        <w:tc>
          <w:tcPr>
            <w:tcW w:w="1389"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100及以上</w:t>
            </w:r>
          </w:p>
        </w:tc>
        <w:tc>
          <w:tcPr>
            <w:tcW w:w="1336"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10及以上</w:t>
            </w:r>
          </w:p>
        </w:tc>
        <w:tc>
          <w:tcPr>
            <w:tcW w:w="1213" w:type="dxa"/>
            <w:vAlign w:val="center"/>
          </w:tcPr>
          <w:p>
            <w:pPr>
              <w:keepLines/>
              <w:widowControl/>
              <w:kinsoku w:val="0"/>
              <w:adjustRightInd/>
              <w:spacing w:line="360" w:lineRule="exact"/>
              <w:ind w:left="-105" w:leftChars="-50" w:right="-105" w:rightChars="-50"/>
              <w:jc w:val="center"/>
              <w:rPr>
                <w:rFonts w:ascii="宋体" w:hAnsi="宋体" w:cs="宋体"/>
                <w:sz w:val="18"/>
                <w:szCs w:val="18"/>
                <w:highlight w:val="none"/>
              </w:rPr>
            </w:pPr>
            <w:r>
              <w:rPr>
                <w:rFonts w:hint="eastAsia" w:ascii="宋体" w:hAnsi="宋体" w:cs="宋体"/>
                <w:sz w:val="18"/>
                <w:szCs w:val="18"/>
                <w:highlight w:val="none"/>
              </w:rPr>
              <w:t>10以下</w:t>
            </w:r>
          </w:p>
        </w:tc>
      </w:tr>
    </w:tbl>
    <w:p>
      <w:pPr>
        <w:pStyle w:val="640"/>
        <w:keepLines/>
        <w:widowControl/>
        <w:kinsoku w:val="0"/>
        <w:ind w:firstLine="0" w:firstLineChars="0"/>
        <w:rPr>
          <w:rFonts w:ascii="宋体"/>
          <w:b/>
          <w:sz w:val="24"/>
          <w:highlight w:val="none"/>
        </w:rPr>
      </w:pPr>
    </w:p>
    <w:bookmarkEnd w:id="65"/>
    <w:bookmarkEnd w:id="66"/>
    <w:p>
      <w:pPr>
        <w:adjustRightInd/>
        <w:spacing w:line="360" w:lineRule="auto"/>
        <w:jc w:val="center"/>
        <w:outlineLvl w:val="0"/>
        <w:rPr>
          <w:rFonts w:cs="仿宋_GB2312" w:asciiTheme="minorEastAsia" w:hAnsiTheme="minorEastAsia" w:eastAsiaTheme="minorEastAsia"/>
          <w:b/>
          <w:sz w:val="32"/>
          <w:szCs w:val="32"/>
          <w:highlight w:val="none"/>
        </w:rPr>
      </w:pPr>
      <w:bookmarkStart w:id="73" w:name="_Toc181203098"/>
      <w:bookmarkStart w:id="74" w:name="第四部分"/>
      <w:r>
        <w:rPr>
          <w:rFonts w:hint="eastAsia" w:cs="仿宋_GB2312" w:asciiTheme="minorEastAsia" w:hAnsiTheme="minorEastAsia" w:eastAsiaTheme="minorEastAsia"/>
          <w:b/>
          <w:sz w:val="32"/>
          <w:szCs w:val="32"/>
          <w:highlight w:val="none"/>
        </w:rPr>
        <w:t>第五部分  评定标准</w:t>
      </w:r>
      <w:bookmarkEnd w:id="73"/>
    </w:p>
    <w:p>
      <w:pPr>
        <w:pStyle w:val="36"/>
        <w:spacing w:line="440" w:lineRule="exact"/>
        <w:ind w:firstLine="643" w:firstLineChars="200"/>
        <w:jc w:val="center"/>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一、评审方法</w:t>
      </w:r>
    </w:p>
    <w:p>
      <w:pPr>
        <w:pStyle w:val="36"/>
        <w:spacing w:line="360" w:lineRule="exact"/>
        <w:ind w:firstLine="422" w:firstLineChars="200"/>
        <w:rPr>
          <w:rFonts w:hAnsi="宋体" w:cs="宋体"/>
          <w:highlight w:val="none"/>
        </w:rPr>
      </w:pPr>
      <w:r>
        <w:rPr>
          <w:rFonts w:hint="eastAsia" w:hAnsi="宋体" w:cs="宋体"/>
          <w:b/>
          <w:highlight w:val="none"/>
        </w:rPr>
        <w:t>（一）、评审依据：以</w:t>
      </w:r>
      <w:r>
        <w:rPr>
          <w:rFonts w:hint="eastAsia" w:hAnsi="宋体" w:cs="宋体"/>
          <w:highlight w:val="none"/>
        </w:rPr>
        <w:t>竞争性谈判文件和响应文件为依据。</w:t>
      </w:r>
    </w:p>
    <w:p>
      <w:pPr>
        <w:pStyle w:val="36"/>
        <w:spacing w:line="360" w:lineRule="exact"/>
        <w:ind w:firstLine="422" w:firstLineChars="200"/>
        <w:rPr>
          <w:rFonts w:hAnsi="宋体" w:cs="宋体"/>
          <w:b/>
          <w:highlight w:val="none"/>
        </w:rPr>
      </w:pPr>
      <w:r>
        <w:rPr>
          <w:rFonts w:hint="eastAsia" w:hAnsi="宋体" w:cs="宋体"/>
          <w:b/>
          <w:highlight w:val="none"/>
        </w:rPr>
        <w:t>（二）、评审办法</w:t>
      </w:r>
    </w:p>
    <w:p>
      <w:pPr>
        <w:pStyle w:val="36"/>
        <w:kinsoku w:val="0"/>
        <w:overflowPunct w:val="0"/>
        <w:spacing w:line="360" w:lineRule="exact"/>
        <w:ind w:firstLine="420" w:firstLineChars="200"/>
        <w:rPr>
          <w:rFonts w:hAnsi="宋体" w:cs="宋体"/>
          <w:kern w:val="0"/>
          <w:szCs w:val="21"/>
          <w:highlight w:val="none"/>
        </w:rPr>
      </w:pPr>
      <w:r>
        <w:rPr>
          <w:rFonts w:hint="eastAsia" w:hAnsi="宋体" w:cs="宋体"/>
          <w:kern w:val="0"/>
          <w:szCs w:val="21"/>
          <w:highlight w:val="none"/>
        </w:rPr>
        <w:t>1.谈判小组将以竞争性谈判文件为依据，对资格性和符合性检查合格的响应文件进行评审，在质量和服务均能满足竞争性谈判文件实质性响应要求的供应商中，按下列程序确定成交供应商：</w:t>
      </w:r>
    </w:p>
    <w:p>
      <w:pPr>
        <w:pStyle w:val="36"/>
        <w:kinsoku w:val="0"/>
        <w:overflowPunct w:val="0"/>
        <w:snapToGrid w:val="0"/>
        <w:spacing w:line="360" w:lineRule="exact"/>
        <w:ind w:firstLine="420" w:firstLineChars="200"/>
        <w:rPr>
          <w:rFonts w:hAnsi="宋体" w:cs="宋体"/>
          <w:kern w:val="0"/>
          <w:szCs w:val="21"/>
          <w:highlight w:val="none"/>
        </w:rPr>
      </w:pPr>
      <w:r>
        <w:rPr>
          <w:rFonts w:hint="eastAsia" w:hAnsi="宋体" w:cs="宋体"/>
          <w:kern w:val="0"/>
          <w:szCs w:val="21"/>
          <w:highlight w:val="none"/>
        </w:rPr>
        <w:t>①按照《广西壮族自治区财政厅关于贯彻落实政府采购支持中小企业发展政策的通知》（桂财采〔2022〕31号）精神，严格执行《政府采购促进中小企业发展管理办法》（财库[2020]46号）的规定，谈判供应商参加谈判采购的所有货物均为小型或微型企业制造的（按该办法中规定的格式提供《中小企业声明函》），对该谈判供应商的最终报价给予20%的扣除。</w:t>
      </w:r>
    </w:p>
    <w:p>
      <w:pPr>
        <w:pStyle w:val="36"/>
        <w:kinsoku w:val="0"/>
        <w:overflowPunct w:val="0"/>
        <w:snapToGrid w:val="0"/>
        <w:spacing w:line="360" w:lineRule="exact"/>
        <w:ind w:firstLine="420" w:firstLineChars="200"/>
        <w:rPr>
          <w:rFonts w:hAnsi="宋体" w:cs="宋体"/>
          <w:kern w:val="0"/>
          <w:szCs w:val="21"/>
          <w:highlight w:val="none"/>
        </w:rPr>
      </w:pPr>
      <w:r>
        <w:rPr>
          <w:rFonts w:hint="eastAsia" w:hAnsi="宋体" w:cs="宋体"/>
          <w:kern w:val="0"/>
          <w:szCs w:val="21"/>
          <w:highlight w:val="none"/>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pStyle w:val="36"/>
        <w:kinsoku w:val="0"/>
        <w:overflowPunct w:val="0"/>
        <w:snapToGrid w:val="0"/>
        <w:spacing w:line="360" w:lineRule="exact"/>
        <w:ind w:firstLine="420" w:firstLineChars="200"/>
        <w:rPr>
          <w:rFonts w:hAnsi="宋体" w:cs="宋体"/>
          <w:kern w:val="0"/>
          <w:szCs w:val="21"/>
          <w:highlight w:val="none"/>
        </w:rPr>
      </w:pPr>
      <w:r>
        <w:rPr>
          <w:rFonts w:hint="eastAsia" w:hAnsi="宋体" w:cs="宋体"/>
          <w:kern w:val="0"/>
          <w:szCs w:val="21"/>
          <w:highlight w:val="none"/>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36"/>
        <w:kinsoku w:val="0"/>
        <w:overflowPunct w:val="0"/>
        <w:snapToGrid w:val="0"/>
        <w:spacing w:line="360" w:lineRule="exact"/>
        <w:ind w:firstLine="420" w:firstLineChars="200"/>
        <w:rPr>
          <w:rFonts w:hAnsi="宋体" w:cs="宋体"/>
          <w:kern w:val="0"/>
          <w:szCs w:val="21"/>
          <w:highlight w:val="none"/>
        </w:rPr>
      </w:pPr>
      <w:r>
        <w:rPr>
          <w:rFonts w:hint="eastAsia" w:hAnsi="宋体" w:cs="宋体"/>
          <w:kern w:val="0"/>
          <w:szCs w:val="21"/>
          <w:highlight w:val="none"/>
        </w:rPr>
        <w:t>④落实强制采购节能产品、鼓励节能政策：对国家公布的节能产品政府采购品目清单中属于强制采购的产品，予以强制采购。属于非强制采购的产品，在技术、服务等指标同等条件下，予以优先采购。落实鼓励环保政策：在技术、服务等指标同等条件下，优先采购国家公布的属于环境标志产品政府采购品目清单中产品。</w:t>
      </w:r>
    </w:p>
    <w:p>
      <w:pPr>
        <w:pStyle w:val="36"/>
        <w:kinsoku w:val="0"/>
        <w:overflowPunct w:val="0"/>
        <w:snapToGrid w:val="0"/>
        <w:spacing w:line="360" w:lineRule="exact"/>
        <w:ind w:firstLine="420" w:firstLineChars="200"/>
        <w:rPr>
          <w:rFonts w:hAnsi="宋体" w:cs="宋体"/>
          <w:kern w:val="0"/>
          <w:szCs w:val="21"/>
          <w:highlight w:val="none"/>
        </w:rPr>
      </w:pPr>
      <w:r>
        <w:rPr>
          <w:rFonts w:hint="eastAsia" w:hAnsi="宋体" w:cs="宋体"/>
          <w:kern w:val="0"/>
          <w:szCs w:val="21"/>
          <w:highlight w:val="none"/>
        </w:rPr>
        <w:t>⑤政策性扣除计算方法：谈判供应商的投标产品均为小型企业或微型企业或监狱企业或残疾人福利性单位生产的，该谈判供应商的谈判报价给予20%的扣除，扣除后的价格为评标报价，即评标报价=谈判报价×（1-20%）；大中型企业和其他自然人、法人或者其他组织与小型、微型企业组成联合体投标，且联合体协议中约定小型、微型企业的协议合同金额占到联合体协议合同总金额30%以上的，联合体投标价给予6%的扣除，扣除后的价格为评标价，即评标报价=谈判报价×（1-6%）；除上述情况外，评标报价=谈判报价。</w:t>
      </w:r>
    </w:p>
    <w:p>
      <w:pPr>
        <w:pStyle w:val="36"/>
        <w:snapToGrid w:val="0"/>
        <w:spacing w:line="360" w:lineRule="exact"/>
        <w:ind w:firstLine="525" w:firstLineChars="250"/>
        <w:rPr>
          <w:rFonts w:hAnsi="宋体" w:cs="宋体"/>
          <w:kern w:val="0"/>
          <w:szCs w:val="21"/>
          <w:highlight w:val="none"/>
        </w:rPr>
      </w:pPr>
      <w:r>
        <w:rPr>
          <w:rFonts w:hint="eastAsia" w:hAnsi="宋体" w:cs="宋体"/>
          <w:kern w:val="0"/>
          <w:szCs w:val="21"/>
          <w:highlight w:val="none"/>
        </w:rPr>
        <w:t>⑥谈判小组将以竞争性谈判文件、谈判响应文件为评审依据，在谈判响应文件满足竞争性谈判文件全部实质性要求的谈判供应商中，确定最后报价(评标价)最低的供应商为第一成交候选供应商。</w:t>
      </w:r>
    </w:p>
    <w:p>
      <w:pPr>
        <w:pStyle w:val="36"/>
        <w:spacing w:line="360" w:lineRule="exact"/>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 xml:space="preserve">2.既有本国产品又有非本国产品参与竞争的，依法对本国产品给予价格评审优惠，对本国产品的报价给予 20%的价格扣除，用扣除后的价格参与评审。当采购项目或者采购包中含有多种产品，供应商为该采购项目或者采购包提供的符合本国产品标准的产品成本之和占该供应商提供的全部产品成本之和的比例达到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20%的价格扣除，用扣除后的价格参与评审，未达到 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 </w:t>
      </w:r>
    </w:p>
    <w:p>
      <w:pPr>
        <w:pStyle w:val="36"/>
        <w:spacing w:line="360" w:lineRule="exact"/>
        <w:ind w:firstLine="420" w:firstLineChars="200"/>
        <w:rPr>
          <w:rFonts w:hint="eastAsia" w:hAnsi="宋体" w:cs="宋体"/>
          <w:b w:val="0"/>
          <w:bCs/>
          <w:highlight w:val="none"/>
          <w:lang w:val="en-US" w:eastAsia="zh-CN"/>
        </w:rPr>
      </w:pPr>
      <w:r>
        <w:rPr>
          <w:rFonts w:hint="eastAsia" w:hAnsi="宋体" w:cs="宋体"/>
          <w:b w:val="0"/>
          <w:bCs/>
          <w:highlight w:val="none"/>
          <w:lang w:val="en-US" w:eastAsia="zh-CN"/>
        </w:rPr>
        <w:t>所有供应商提供参与投标竞争的均为本国产品，则不再执行支持本国产品价格评审优惠的扶植政策。</w:t>
      </w:r>
    </w:p>
    <w:p>
      <w:pPr>
        <w:ind w:firstLine="0" w:firstLineChars="0"/>
        <w:rPr>
          <w:rFonts w:hint="default" w:hAnsi="Times New Roman" w:cs="Times New Roman"/>
          <w:b w:val="0"/>
          <w:highlight w:val="none"/>
          <w:lang w:val="en-US" w:eastAsia="zh-CN"/>
        </w:rPr>
      </w:pPr>
      <w:r>
        <w:rPr>
          <w:rFonts w:hint="default" w:hAnsi="Times New Roman" w:cs="Times New Roman"/>
          <w:b w:val="0"/>
          <w:highlight w:val="none"/>
          <w:lang w:val="en-US" w:eastAsia="zh-CN"/>
        </w:rPr>
        <w:t>当涉及政府采购政策叠加适用，统一在原投标报价的基础上进行价格扣除。</w:t>
      </w:r>
    </w:p>
    <w:p>
      <w:pPr>
        <w:ind w:firstLine="420" w:firstLineChars="200"/>
        <w:rPr>
          <w:rFonts w:hint="default" w:hAnsi="Times New Roman" w:cs="Times New Roman"/>
          <w:b w:val="0"/>
          <w:highlight w:val="none"/>
          <w:lang w:val="en-US" w:eastAsia="zh-CN"/>
        </w:rPr>
      </w:pPr>
      <w:r>
        <w:rPr>
          <w:rFonts w:hint="default" w:hAnsi="Times New Roman" w:cs="Times New Roman"/>
          <w:b w:val="0"/>
          <w:highlight w:val="none"/>
          <w:lang w:val="en-US" w:eastAsia="zh-CN"/>
        </w:rPr>
        <w:t>中小企业折扣与本国产品折扣进行叠加计算，用扣除后的价格参加评审。</w:t>
      </w:r>
    </w:p>
    <w:p>
      <w:pPr>
        <w:pStyle w:val="36"/>
        <w:spacing w:line="360" w:lineRule="exact"/>
        <w:ind w:firstLine="422" w:firstLineChars="200"/>
        <w:rPr>
          <w:rFonts w:hAnsi="宋体" w:cs="宋体"/>
          <w:b/>
          <w:highlight w:val="none"/>
        </w:rPr>
      </w:pPr>
      <w:r>
        <w:rPr>
          <w:rFonts w:hint="eastAsia" w:hAnsi="宋体" w:cs="宋体"/>
          <w:b/>
          <w:highlight w:val="none"/>
        </w:rPr>
        <w:t>（三）、成交候选供应商推荐和确定原则</w:t>
      </w:r>
    </w:p>
    <w:p>
      <w:pPr>
        <w:pStyle w:val="36"/>
        <w:spacing w:line="360" w:lineRule="exact"/>
        <w:ind w:firstLine="420" w:firstLineChars="200"/>
        <w:rPr>
          <w:rFonts w:hAnsi="宋体" w:cs="宋体"/>
          <w:highlight w:val="none"/>
        </w:rPr>
      </w:pPr>
      <w:r>
        <w:rPr>
          <w:rFonts w:hint="eastAsia" w:hAnsi="宋体" w:cs="宋体"/>
          <w:highlight w:val="none"/>
        </w:rPr>
        <w:t>1.响应文件在质量和服务均能满足竞争性谈判文件实质性响应要求时，谈判小组将按最后报价(评标价)由低到高顺序推荐3名成交候选供应商[最后报价(评标价)相同时，由谈判小组根据响应文件中技术、服务、合同条款情况集体讨论确定排序（多家供应商参加谈判时提供相同品牌产品的参照执行），并按确定排序由优到劣的原则推荐成交候选供应商。</w:t>
      </w:r>
    </w:p>
    <w:p>
      <w:pPr>
        <w:pStyle w:val="36"/>
        <w:spacing w:line="360" w:lineRule="exact"/>
        <w:ind w:firstLine="420" w:firstLineChars="200"/>
        <w:rPr>
          <w:rFonts w:hAnsi="宋体" w:cs="宋体"/>
          <w:highlight w:val="none"/>
        </w:rPr>
      </w:pPr>
      <w:r>
        <w:rPr>
          <w:rFonts w:hint="eastAsia" w:hAnsi="宋体" w:cs="宋体"/>
          <w:highlight w:val="none"/>
        </w:rPr>
        <w:t>2.某谈判供应商最后报价时若出现以下异常低价三种情形中的任意一条时：</w:t>
      </w:r>
    </w:p>
    <w:p>
      <w:pPr>
        <w:pStyle w:val="36"/>
        <w:spacing w:line="360" w:lineRule="exact"/>
        <w:ind w:firstLine="420" w:firstLineChars="200"/>
        <w:rPr>
          <w:rFonts w:hAnsi="宋体" w:cs="宋体"/>
          <w:highlight w:val="none"/>
        </w:rPr>
      </w:pPr>
      <w:r>
        <w:rPr>
          <w:rFonts w:hint="eastAsia" w:hAnsi="宋体" w:cs="宋体"/>
          <w:highlight w:val="none"/>
        </w:rPr>
        <w:t>第一：最后报价低于全部通过符合性审查谈判供应商最后报价平均值50%的，即最后报价小于全部通过符合性审查谈判供应商最后报价平均值×50%；</w:t>
      </w:r>
    </w:p>
    <w:p>
      <w:pPr>
        <w:pStyle w:val="36"/>
        <w:spacing w:line="360" w:lineRule="exact"/>
        <w:ind w:firstLine="420" w:firstLineChars="200"/>
        <w:rPr>
          <w:rFonts w:hAnsi="宋体" w:cs="宋体"/>
          <w:highlight w:val="none"/>
        </w:rPr>
      </w:pPr>
      <w:r>
        <w:rPr>
          <w:rFonts w:hint="eastAsia" w:hAnsi="宋体" w:cs="宋体"/>
          <w:highlight w:val="none"/>
        </w:rPr>
        <w:t>第二：最后报价低于通过符合性审查且最后报价次低谈判供应商最后报价50%的，即最后报价小于通过符合性审查且最后报价次低供应商最后报价×50%；</w:t>
      </w:r>
    </w:p>
    <w:p>
      <w:pPr>
        <w:pStyle w:val="36"/>
        <w:spacing w:line="360" w:lineRule="exact"/>
        <w:ind w:firstLine="420" w:firstLineChars="200"/>
        <w:rPr>
          <w:rFonts w:hAnsi="宋体" w:cs="宋体"/>
          <w:highlight w:val="none"/>
        </w:rPr>
      </w:pPr>
      <w:r>
        <w:rPr>
          <w:rFonts w:hint="eastAsia" w:hAnsi="宋体" w:cs="宋体"/>
          <w:highlight w:val="none"/>
        </w:rPr>
        <w:t>第三：最后报价低于采购项目最高限价45%的，即最后报价小于采购项目最高限价×45%；</w:t>
      </w:r>
    </w:p>
    <w:p>
      <w:pPr>
        <w:pStyle w:val="36"/>
        <w:spacing w:line="360" w:lineRule="exact"/>
        <w:ind w:firstLine="420" w:firstLineChars="200"/>
        <w:rPr>
          <w:rFonts w:hAnsi="宋体" w:cs="宋体"/>
          <w:highlight w:val="none"/>
        </w:rPr>
      </w:pPr>
      <w:r>
        <w:rPr>
          <w:rFonts w:hint="eastAsia" w:hAnsi="宋体" w:cs="宋体"/>
          <w:highlight w:val="none"/>
        </w:rPr>
        <w:t>谈判小组认为，报价过低有可能影响产品质量或者不能诚信履约的，谈判供应商要在评审现场合理的时间内提供书面说明，必要时提交相关证明材料（如货物成本、管理费用、人员成本构成、技术成本及合理利润等）。谈判小组结合同类产品在主要电商平台的价格、该行业当地薪资水平等情况 ，依据专业经验对报价合理性进行判断。对异常低价存在争议的，应当按照少数服从多数的原则作出结论。</w:t>
      </w:r>
    </w:p>
    <w:p>
      <w:pPr>
        <w:pStyle w:val="36"/>
        <w:spacing w:line="360" w:lineRule="exact"/>
        <w:ind w:firstLine="420" w:firstLineChars="200"/>
        <w:rPr>
          <w:rFonts w:hAnsi="宋体" w:cs="宋体"/>
          <w:highlight w:val="none"/>
        </w:rPr>
      </w:pPr>
      <w:r>
        <w:rPr>
          <w:rFonts w:hint="eastAsia" w:hAnsi="宋体" w:cs="宋体"/>
          <w:highlight w:val="none"/>
        </w:rPr>
        <w:t>谈判供应商不能证明其报价合理性的，谈判小组应当将其作为参加谈判采购无效处理，谈判小组可以取消该谈判供应商的成交候选供应商的资格，按顺序由排在后面的成交候选供应商递补，以此类推。审查相关情况要在评审报告中记录。</w:t>
      </w:r>
    </w:p>
    <w:p>
      <w:pPr>
        <w:pStyle w:val="36"/>
        <w:spacing w:line="360" w:lineRule="exact"/>
        <w:ind w:firstLine="420" w:firstLineChars="200"/>
        <w:rPr>
          <w:rFonts w:hAnsi="宋体" w:cs="宋体"/>
          <w:highlight w:val="none"/>
        </w:rPr>
      </w:pPr>
      <w:r>
        <w:rPr>
          <w:rFonts w:hint="eastAsia" w:hAnsi="宋体" w:cs="宋体"/>
          <w:highlight w:val="none"/>
        </w:rPr>
        <w:t>3.采购人应当确定谈判小组推荐排名第一的成交候选供应商为成交供应商。排名第一的成交候选供应商拒绝签订政府采购合同或因故不能签订政府采购合同或不能履行合同</w:t>
      </w:r>
      <w:r>
        <w:rPr>
          <w:rFonts w:hint="eastAsia" w:hAnsi="宋体" w:cs="宋体"/>
          <w:bCs/>
          <w:highlight w:val="none"/>
        </w:rPr>
        <w:t>或拒不履行合同的</w:t>
      </w:r>
      <w:r>
        <w:rPr>
          <w:rFonts w:hint="eastAsia" w:hAnsi="宋体" w:cs="宋体"/>
          <w:highlight w:val="none"/>
        </w:rPr>
        <w:t>，采购人可以确定排名第二的成交候选供应商为成交供应商，以此类推</w:t>
      </w:r>
      <w:r>
        <w:rPr>
          <w:rFonts w:hint="eastAsia" w:hAnsi="宋体" w:cs="宋体"/>
          <w:bCs/>
          <w:highlight w:val="none"/>
        </w:rPr>
        <w:t>。出现上述情况时</w:t>
      </w:r>
      <w:r>
        <w:rPr>
          <w:rFonts w:hint="eastAsia" w:hAnsi="宋体" w:cs="宋体"/>
          <w:highlight w:val="none"/>
        </w:rPr>
        <w:t>，采购人也可以重新开展政府采购活动。</w:t>
      </w:r>
    </w:p>
    <w:p>
      <w:pPr>
        <w:snapToGrid w:val="0"/>
        <w:spacing w:line="380" w:lineRule="exact"/>
        <w:jc w:val="center"/>
        <w:outlineLvl w:val="1"/>
        <w:rPr>
          <w:rFonts w:ascii="宋体" w:hAnsi="宋体" w:cs="宋体"/>
          <w:b/>
          <w:sz w:val="28"/>
          <w:szCs w:val="28"/>
          <w:highlight w:val="none"/>
        </w:rPr>
      </w:pPr>
      <w:r>
        <w:rPr>
          <w:rFonts w:hint="eastAsia" w:ascii="宋体" w:hAnsi="宋体" w:cs="宋体"/>
          <w:b/>
          <w:sz w:val="28"/>
          <w:szCs w:val="28"/>
          <w:highlight w:val="none"/>
        </w:rPr>
        <w:t>二、谈判小组的组成</w:t>
      </w:r>
    </w:p>
    <w:p>
      <w:pPr>
        <w:pStyle w:val="396"/>
        <w:spacing w:before="0" w:line="380" w:lineRule="exact"/>
        <w:ind w:firstLine="422"/>
        <w:rPr>
          <w:rFonts w:ascii="宋体" w:hAnsi="宋体" w:cs="宋体"/>
          <w:b/>
          <w:kern w:val="0"/>
          <w:sz w:val="21"/>
          <w:szCs w:val="21"/>
          <w:highlight w:val="none"/>
        </w:rPr>
      </w:pPr>
      <w:r>
        <w:rPr>
          <w:rFonts w:hint="eastAsia" w:ascii="宋体" w:hAnsi="宋体" w:cs="宋体"/>
          <w:b/>
          <w:kern w:val="0"/>
          <w:sz w:val="21"/>
          <w:szCs w:val="21"/>
          <w:highlight w:val="none"/>
        </w:rPr>
        <w:t>1.谈判小组的组成。</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谈判小组由采购人代表和评审专家共3人组成，其中评审专家人数不得少于谈判小组成员总数的2/3。采购人代表不得以评审专家身份参加本部门或本单位采购项目的评审。采购代理机构人员不得参加本机构代理的采购项目的评审。</w:t>
      </w:r>
    </w:p>
    <w:p>
      <w:pPr>
        <w:pStyle w:val="396"/>
        <w:spacing w:before="0"/>
        <w:ind w:firstLine="420"/>
        <w:rPr>
          <w:rFonts w:asciiTheme="minorEastAsia" w:hAnsiTheme="minorEastAsia" w:eastAsiaTheme="minorEastAsia"/>
          <w:highlight w:val="none"/>
        </w:rPr>
      </w:pPr>
      <w:r>
        <w:rPr>
          <w:rFonts w:hint="eastAsia" w:ascii="宋体" w:hAnsi="宋体" w:cs="宋体"/>
          <w:sz w:val="21"/>
          <w:szCs w:val="21"/>
          <w:highlight w:val="none"/>
        </w:rPr>
        <w:t>采用竞争性谈判方式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80" w:lineRule="exact"/>
        <w:ind w:firstLine="422" w:firstLineChars="200"/>
        <w:rPr>
          <w:rFonts w:ascii="宋体" w:hAnsi="宋体" w:cs="宋体"/>
          <w:b/>
          <w:kern w:val="0"/>
          <w:szCs w:val="21"/>
          <w:highlight w:val="none"/>
        </w:rPr>
      </w:pPr>
      <w:r>
        <w:rPr>
          <w:rFonts w:hint="eastAsia" w:ascii="宋体" w:hAnsi="宋体" w:cs="宋体"/>
          <w:b/>
          <w:kern w:val="0"/>
          <w:szCs w:val="21"/>
          <w:highlight w:val="none"/>
        </w:rPr>
        <w:t>2.谈判小组的组成人员的回避。</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在政府采购活动中，谈判小组的组成人员与供应商有下列利害关系之一的，应当回避：</w:t>
      </w:r>
    </w:p>
    <w:p>
      <w:pPr>
        <w:pStyle w:val="396"/>
        <w:spacing w:before="0" w:line="380" w:lineRule="exact"/>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2.1参加采购活动前3年内与供应商存在劳动关系；</w:t>
      </w:r>
    </w:p>
    <w:p>
      <w:pPr>
        <w:pStyle w:val="396"/>
        <w:spacing w:before="0" w:line="380" w:lineRule="exact"/>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2.2参加采购活动前3年内担任供应商的董事、监事；</w:t>
      </w:r>
    </w:p>
    <w:p>
      <w:pPr>
        <w:pStyle w:val="396"/>
        <w:spacing w:before="0" w:line="380" w:lineRule="exact"/>
        <w:ind w:firstLine="0" w:firstLineChars="0"/>
        <w:rPr>
          <w:rFonts w:ascii="宋体" w:hAnsi="宋体" w:cs="宋体"/>
          <w:kern w:val="0"/>
          <w:sz w:val="21"/>
          <w:szCs w:val="21"/>
          <w:highlight w:val="none"/>
        </w:rPr>
      </w:pPr>
      <w:r>
        <w:rPr>
          <w:rFonts w:hint="eastAsia" w:ascii="宋体" w:hAnsi="宋体" w:cs="宋体"/>
          <w:kern w:val="0"/>
          <w:sz w:val="21"/>
          <w:szCs w:val="21"/>
          <w:highlight w:val="none"/>
        </w:rPr>
        <w:t>　　2.3参加采购活动前3年内是供应商的控股股东或者实际控制人；</w:t>
      </w:r>
    </w:p>
    <w:p>
      <w:pPr>
        <w:pStyle w:val="396"/>
        <w:spacing w:before="0" w:line="380" w:lineRule="exact"/>
        <w:ind w:firstLine="480" w:firstLineChars="0"/>
        <w:rPr>
          <w:rFonts w:ascii="宋体" w:hAnsi="宋体" w:cs="宋体"/>
          <w:kern w:val="0"/>
          <w:sz w:val="21"/>
          <w:szCs w:val="21"/>
          <w:highlight w:val="none"/>
        </w:rPr>
      </w:pPr>
      <w:r>
        <w:rPr>
          <w:rFonts w:hint="eastAsia" w:ascii="宋体" w:hAnsi="宋体" w:cs="宋体"/>
          <w:kern w:val="0"/>
          <w:sz w:val="21"/>
          <w:szCs w:val="21"/>
          <w:highlight w:val="none"/>
        </w:rPr>
        <w:t>2.4与供应商的法定代表人或者负责人有夫妻、直系血亲、三代以内旁系血亲或者近姻亲关系；</w:t>
      </w:r>
    </w:p>
    <w:p>
      <w:pPr>
        <w:pStyle w:val="396"/>
        <w:spacing w:before="0" w:line="380" w:lineRule="exact"/>
        <w:ind w:firstLine="480" w:firstLineChars="0"/>
        <w:rPr>
          <w:rFonts w:ascii="宋体" w:hAnsi="宋体" w:cs="宋体"/>
          <w:kern w:val="0"/>
          <w:sz w:val="21"/>
          <w:szCs w:val="21"/>
          <w:highlight w:val="none"/>
        </w:rPr>
      </w:pPr>
      <w:r>
        <w:rPr>
          <w:rFonts w:hint="eastAsia" w:ascii="宋体" w:hAnsi="宋体" w:cs="宋体"/>
          <w:kern w:val="0"/>
          <w:sz w:val="21"/>
          <w:szCs w:val="21"/>
          <w:highlight w:val="none"/>
        </w:rPr>
        <w:t>2.5与供应商有其他可能影响政府采购活动公平、公正进行的关系。</w:t>
      </w:r>
    </w:p>
    <w:p>
      <w:pPr>
        <w:snapToGrid w:val="0"/>
        <w:spacing w:line="380" w:lineRule="exact"/>
        <w:jc w:val="center"/>
        <w:outlineLvl w:val="1"/>
        <w:rPr>
          <w:rFonts w:ascii="宋体" w:hAnsi="宋体" w:cs="宋体"/>
          <w:b/>
          <w:szCs w:val="21"/>
          <w:highlight w:val="none"/>
        </w:rPr>
      </w:pPr>
      <w:r>
        <w:rPr>
          <w:rFonts w:hint="eastAsia" w:ascii="宋体" w:hAnsi="宋体" w:cs="宋体"/>
          <w:b/>
          <w:sz w:val="28"/>
          <w:szCs w:val="28"/>
          <w:highlight w:val="none"/>
        </w:rPr>
        <w:t>三、谈判小组的职责</w:t>
      </w:r>
    </w:p>
    <w:p>
      <w:pPr>
        <w:pStyle w:val="396"/>
        <w:spacing w:before="0" w:line="380" w:lineRule="exact"/>
        <w:ind w:firstLine="422"/>
        <w:rPr>
          <w:rFonts w:ascii="宋体" w:hAnsi="宋体" w:cs="宋体"/>
          <w:b/>
          <w:kern w:val="0"/>
          <w:sz w:val="21"/>
          <w:szCs w:val="21"/>
          <w:highlight w:val="none"/>
        </w:rPr>
      </w:pPr>
      <w:r>
        <w:rPr>
          <w:rFonts w:hint="eastAsia" w:ascii="宋体" w:hAnsi="宋体" w:cs="宋体"/>
          <w:b/>
          <w:kern w:val="0"/>
          <w:sz w:val="21"/>
          <w:szCs w:val="21"/>
          <w:highlight w:val="none"/>
        </w:rPr>
        <w:t>1.谈判小组负责具体评审事务，并独立履行下列职责：</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1.1对供应商的资格进行审查；对响应文件的有效性、完整性和响应程度进行审查；</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1.2审查、评价响应文件是否符合谈判文件的商务、技术等实质性要求；</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1.3要求供应商对响应文件有关事项作出澄清、说明或者更正；</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1.4谈判小组集中与单一供应商分别进行谈判；</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1.5确定谈判文件的变动情况，并确定提交最后报价的供应商；</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1.6根据谈判文件确定的评审办法及评审标准对提交最后报价的供应商的响应文件和最后报价采用综合评分法进行综合评分；</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1.7编制评审报告，确定成交候选供应商名单，以及根据采购人委托直接确定成交供应商；</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1.8向采购人、采购代理机构或者有关部门报告评审中发现的违法行为；</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1.9法律、法规、规章、谈判文件等规定的其它事项。</w:t>
      </w:r>
    </w:p>
    <w:p>
      <w:pPr>
        <w:pStyle w:val="396"/>
        <w:spacing w:before="0" w:line="380" w:lineRule="exact"/>
        <w:ind w:firstLine="422"/>
        <w:rPr>
          <w:rFonts w:ascii="宋体" w:hAnsi="宋体" w:cs="宋体"/>
          <w:b/>
          <w:kern w:val="0"/>
          <w:sz w:val="21"/>
          <w:szCs w:val="21"/>
          <w:highlight w:val="none"/>
        </w:rPr>
      </w:pPr>
      <w:r>
        <w:rPr>
          <w:rFonts w:hint="eastAsia" w:ascii="宋体" w:hAnsi="宋体" w:cs="宋体"/>
          <w:b/>
          <w:kern w:val="0"/>
          <w:sz w:val="21"/>
          <w:szCs w:val="21"/>
          <w:highlight w:val="none"/>
        </w:rPr>
        <w:t>2.谈判小组及其成员不得有下列行为：</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2.1确定参与本项目至评审结束前私自接触供应商；</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 xml:space="preserve">2.2接受供应商提出的“超出响应文件的范围或者改变响应文件的实质性内容”的澄清、说明或者更正； </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2.3违反评审纪律发表倾向性意见或者征询采购人的倾向性意见；</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2.4在评审过程中擅离职守，影响评审程序正常进行的；</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2.5记录、复制或者带走任何评审资料；</w:t>
      </w:r>
    </w:p>
    <w:p>
      <w:pPr>
        <w:pStyle w:val="396"/>
        <w:spacing w:before="0" w:line="380" w:lineRule="exact"/>
        <w:ind w:firstLine="420"/>
        <w:rPr>
          <w:rFonts w:ascii="宋体" w:hAnsi="宋体" w:cs="宋体"/>
          <w:sz w:val="21"/>
          <w:szCs w:val="21"/>
          <w:highlight w:val="none"/>
        </w:rPr>
      </w:pPr>
      <w:r>
        <w:rPr>
          <w:rFonts w:hint="eastAsia" w:ascii="宋体" w:hAnsi="宋体" w:cs="宋体"/>
          <w:sz w:val="21"/>
          <w:szCs w:val="21"/>
          <w:highlight w:val="none"/>
        </w:rPr>
        <w:t>2.6其他不遵守评审纪律的行为。</w:t>
      </w:r>
    </w:p>
    <w:p>
      <w:pPr>
        <w:pStyle w:val="396"/>
        <w:spacing w:before="0" w:line="380" w:lineRule="exact"/>
        <w:ind w:firstLine="420"/>
        <w:rPr>
          <w:rFonts w:ascii="宋体" w:hAnsi="宋体" w:cs="宋体"/>
          <w:b/>
          <w:sz w:val="21"/>
          <w:szCs w:val="21"/>
          <w:highlight w:val="none"/>
        </w:rPr>
      </w:pPr>
      <w:r>
        <w:rPr>
          <w:rFonts w:hint="eastAsia" w:ascii="宋体" w:hAnsi="宋体" w:cs="宋体"/>
          <w:sz w:val="21"/>
          <w:szCs w:val="21"/>
          <w:highlight w:val="none"/>
        </w:rPr>
        <w:t>谈判小组成员有2.1-2.4行为之一的，其评审意见无效，并不得获取评审劳务报酬和报销异地评审差旅费。</w:t>
      </w:r>
    </w:p>
    <w:p>
      <w:pPr>
        <w:pStyle w:val="396"/>
        <w:spacing w:before="0" w:line="380" w:lineRule="exact"/>
        <w:ind w:firstLine="0" w:firstLineChars="0"/>
        <w:jc w:val="center"/>
        <w:outlineLvl w:val="1"/>
        <w:rPr>
          <w:rFonts w:ascii="宋体" w:hAnsi="宋体" w:cs="宋体"/>
          <w:b/>
          <w:sz w:val="28"/>
          <w:szCs w:val="28"/>
          <w:highlight w:val="none"/>
        </w:rPr>
      </w:pPr>
      <w:r>
        <w:rPr>
          <w:rFonts w:hint="eastAsia" w:ascii="宋体" w:hAnsi="宋体" w:cs="宋体"/>
          <w:b/>
          <w:sz w:val="28"/>
          <w:szCs w:val="28"/>
          <w:highlight w:val="none"/>
        </w:rPr>
        <w:t>四、评审程序</w:t>
      </w:r>
    </w:p>
    <w:p>
      <w:pPr>
        <w:pStyle w:val="396"/>
        <w:spacing w:before="0" w:line="380" w:lineRule="exact"/>
        <w:ind w:firstLine="413" w:firstLineChars="196"/>
        <w:rPr>
          <w:rFonts w:ascii="宋体" w:hAnsi="宋体" w:cs="宋体"/>
          <w:b/>
          <w:sz w:val="21"/>
          <w:szCs w:val="21"/>
          <w:highlight w:val="none"/>
        </w:rPr>
      </w:pPr>
      <w:r>
        <w:rPr>
          <w:rFonts w:hint="eastAsia" w:ascii="宋体" w:hAnsi="宋体" w:cs="宋体"/>
          <w:b/>
          <w:sz w:val="21"/>
          <w:szCs w:val="21"/>
          <w:highlight w:val="none"/>
        </w:rPr>
        <w:t>详见谈判文件“第二部分 竞争性谈判流程”。</w:t>
      </w:r>
    </w:p>
    <w:p>
      <w:pPr>
        <w:pStyle w:val="396"/>
        <w:spacing w:before="0" w:line="380" w:lineRule="exact"/>
        <w:ind w:firstLine="0" w:firstLineChars="0"/>
        <w:jc w:val="center"/>
        <w:outlineLvl w:val="1"/>
        <w:rPr>
          <w:rFonts w:ascii="宋体" w:hAnsi="宋体" w:cs="宋体"/>
          <w:b/>
          <w:sz w:val="28"/>
          <w:szCs w:val="28"/>
          <w:highlight w:val="none"/>
        </w:rPr>
      </w:pPr>
      <w:r>
        <w:rPr>
          <w:rFonts w:hint="eastAsia" w:ascii="宋体" w:hAnsi="宋体" w:cs="宋体"/>
          <w:b/>
          <w:sz w:val="28"/>
          <w:szCs w:val="28"/>
          <w:highlight w:val="none"/>
        </w:rPr>
        <w:t>五、评审须知</w:t>
      </w:r>
    </w:p>
    <w:p>
      <w:pPr>
        <w:pStyle w:val="396"/>
        <w:spacing w:before="0" w:line="380" w:lineRule="exact"/>
        <w:ind w:firstLine="422"/>
        <w:rPr>
          <w:rFonts w:ascii="宋体" w:hAnsi="宋体" w:cs="宋体"/>
          <w:b/>
          <w:sz w:val="21"/>
          <w:szCs w:val="21"/>
          <w:highlight w:val="none"/>
        </w:rPr>
      </w:pPr>
      <w:r>
        <w:rPr>
          <w:rFonts w:hint="eastAsia" w:ascii="宋体" w:hAnsi="宋体" w:cs="宋体"/>
          <w:b/>
          <w:sz w:val="21"/>
          <w:szCs w:val="21"/>
          <w:highlight w:val="none"/>
        </w:rPr>
        <w:t>1. 响应文件的澄清</w:t>
      </w:r>
    </w:p>
    <w:p>
      <w:pPr>
        <w:spacing w:line="380" w:lineRule="exact"/>
        <w:ind w:firstLine="480"/>
        <w:rPr>
          <w:rFonts w:ascii="宋体" w:hAnsi="宋体" w:cs="宋体"/>
          <w:szCs w:val="21"/>
          <w:highlight w:val="none"/>
        </w:rPr>
      </w:pPr>
      <w:r>
        <w:rPr>
          <w:rFonts w:hint="eastAsia" w:ascii="宋体" w:hAnsi="宋体" w:cs="宋体"/>
          <w:szCs w:val="21"/>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6"/>
        <w:spacing w:before="0" w:line="380" w:lineRule="exact"/>
        <w:ind w:firstLine="422"/>
        <w:rPr>
          <w:rFonts w:ascii="宋体" w:hAnsi="宋体" w:cs="宋体"/>
          <w:b/>
          <w:sz w:val="21"/>
          <w:szCs w:val="21"/>
          <w:highlight w:val="none"/>
        </w:rPr>
      </w:pPr>
      <w:r>
        <w:rPr>
          <w:rFonts w:hint="eastAsia" w:ascii="宋体" w:hAnsi="宋体" w:cs="宋体"/>
          <w:b/>
          <w:sz w:val="21"/>
          <w:szCs w:val="21"/>
          <w:highlight w:val="none"/>
        </w:rPr>
        <w:t>2.报价（包括每次报价及最后报价）的修正原则</w:t>
      </w:r>
    </w:p>
    <w:p>
      <w:pPr>
        <w:spacing w:line="380" w:lineRule="exact"/>
        <w:ind w:firstLine="480"/>
        <w:rPr>
          <w:rFonts w:ascii="宋体" w:hAnsi="宋体" w:cs="宋体"/>
          <w:szCs w:val="21"/>
          <w:highlight w:val="none"/>
        </w:rPr>
      </w:pPr>
      <w:r>
        <w:rPr>
          <w:rFonts w:hint="eastAsia" w:ascii="宋体" w:hAnsi="宋体" w:cs="宋体"/>
          <w:szCs w:val="21"/>
          <w:highlight w:val="none"/>
        </w:rPr>
        <w:t>谈判小组对响应文件的报价进行审核，对发现计算、书写等错误的，按以下原则进行修正：</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2.1报价内容与响应文件中响应内容不一致的，以报价内容为准;</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2.2大写金额和小写金额不一致的，以大写金额为准;</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2.3单价金额小数点或者百分比有明显错位的，以报价的总价为准，并修改单价;</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2.4总价金额与按单价汇总金额不一致的，以单价金额计算结果为准。</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2.5同时出现两种以上不一致的，按照前款规定的顺序修正。</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2.6以修正后的总价作为该次的报价。</w:t>
      </w:r>
    </w:p>
    <w:p>
      <w:pPr>
        <w:spacing w:line="380" w:lineRule="exact"/>
        <w:ind w:firstLine="420" w:firstLineChars="200"/>
        <w:rPr>
          <w:rFonts w:ascii="宋体" w:hAnsi="宋体" w:cs="宋体"/>
          <w:b/>
          <w:bCs/>
          <w:szCs w:val="21"/>
          <w:highlight w:val="none"/>
        </w:rPr>
      </w:pPr>
      <w:r>
        <w:rPr>
          <w:rFonts w:hint="eastAsia" w:ascii="宋体" w:hAnsi="宋体" w:cs="宋体"/>
          <w:bCs/>
          <w:szCs w:val="21"/>
          <w:highlight w:val="none"/>
        </w:rPr>
        <w:t>▲</w:t>
      </w:r>
      <w:r>
        <w:rPr>
          <w:rFonts w:hint="eastAsia" w:ascii="宋体" w:hAnsi="宋体" w:cs="宋体"/>
          <w:b/>
          <w:bCs/>
          <w:szCs w:val="21"/>
          <w:highlight w:val="none"/>
        </w:rPr>
        <w:t>供应商对根据修正原则修正后的最后报价不确认的，响应无效。</w:t>
      </w:r>
    </w:p>
    <w:p>
      <w:pPr>
        <w:pStyle w:val="396"/>
        <w:spacing w:before="0" w:line="360" w:lineRule="exact"/>
        <w:ind w:firstLine="422"/>
        <w:rPr>
          <w:rFonts w:ascii="宋体" w:hAnsi="宋体" w:cs="宋体"/>
          <w:b/>
          <w:sz w:val="21"/>
          <w:szCs w:val="21"/>
          <w:highlight w:val="none"/>
        </w:rPr>
      </w:pPr>
      <w:bookmarkStart w:id="75" w:name="OLE_LINK1"/>
      <w:r>
        <w:rPr>
          <w:rFonts w:hint="eastAsia" w:ascii="宋体" w:hAnsi="宋体" w:cs="宋体"/>
          <w:b/>
          <w:sz w:val="21"/>
          <w:szCs w:val="21"/>
          <w:highlight w:val="none"/>
        </w:rPr>
        <w:t>3.政府采购异常低价审查：</w:t>
      </w:r>
    </w:p>
    <w:p>
      <w:pPr>
        <w:pStyle w:val="396"/>
        <w:spacing w:before="0" w:line="360" w:lineRule="exact"/>
        <w:ind w:firstLine="424"/>
        <w:rPr>
          <w:rFonts w:ascii="宋体" w:hAnsi="宋体" w:cs="宋体"/>
          <w:bCs/>
          <w:sz w:val="21"/>
          <w:szCs w:val="21"/>
          <w:highlight w:val="none"/>
        </w:rPr>
      </w:pPr>
      <w:r>
        <w:rPr>
          <w:rFonts w:hint="eastAsia" w:ascii="宋体" w:hAnsi="宋体" w:cs="宋体"/>
          <w:spacing w:val="1"/>
          <w:sz w:val="21"/>
          <w:szCs w:val="21"/>
          <w:highlight w:val="none"/>
        </w:rPr>
        <w:t>3.1异常低价响应审查的有关内容主要包括：政府采</w:t>
      </w:r>
      <w:r>
        <w:rPr>
          <w:rFonts w:hint="eastAsia" w:ascii="宋体" w:hAnsi="宋体" w:cs="宋体"/>
          <w:spacing w:val="6"/>
          <w:sz w:val="21"/>
          <w:szCs w:val="21"/>
          <w:highlight w:val="none"/>
        </w:rPr>
        <w:t>购评审中出现下列情形之一的，谈判小组</w:t>
      </w:r>
      <w:r>
        <w:rPr>
          <w:rFonts w:hint="eastAsia" w:ascii="宋体" w:hAnsi="宋体" w:cs="宋体"/>
          <w:bCs/>
          <w:sz w:val="21"/>
          <w:szCs w:val="21"/>
          <w:highlight w:val="none"/>
        </w:rPr>
        <w:t>应当启动异常低价响应审查程序:</w:t>
      </w:r>
    </w:p>
    <w:p>
      <w:pPr>
        <w:pStyle w:val="396"/>
        <w:spacing w:before="0" w:line="360" w:lineRule="exact"/>
        <w:ind w:firstLine="420"/>
        <w:rPr>
          <w:rFonts w:ascii="宋体" w:hAnsi="宋体" w:cs="宋体"/>
          <w:bCs/>
          <w:sz w:val="21"/>
          <w:szCs w:val="21"/>
          <w:highlight w:val="none"/>
        </w:rPr>
      </w:pPr>
      <w:r>
        <w:rPr>
          <w:rFonts w:hint="eastAsia" w:ascii="宋体" w:hAnsi="宋体" w:cs="宋体"/>
          <w:bCs/>
          <w:sz w:val="21"/>
          <w:szCs w:val="21"/>
          <w:highlight w:val="none"/>
        </w:rPr>
        <w:t>3.1.1响应报价低于全部通过符合性审查供应商谈判报价平均值50%的，即谈判报价&lt;全部通过符合性审查供应商谈判报价平均值×50%；</w:t>
      </w:r>
    </w:p>
    <w:p>
      <w:pPr>
        <w:pStyle w:val="396"/>
        <w:spacing w:before="0" w:line="360" w:lineRule="exact"/>
        <w:ind w:firstLine="420"/>
        <w:rPr>
          <w:rFonts w:ascii="宋体" w:hAnsi="宋体" w:cs="宋体"/>
          <w:bCs/>
          <w:sz w:val="21"/>
          <w:szCs w:val="21"/>
          <w:highlight w:val="none"/>
        </w:rPr>
      </w:pPr>
      <w:r>
        <w:rPr>
          <w:rFonts w:hint="eastAsia" w:ascii="宋体" w:hAnsi="宋体" w:cs="宋体"/>
          <w:bCs/>
          <w:sz w:val="21"/>
          <w:szCs w:val="21"/>
          <w:highlight w:val="none"/>
        </w:rPr>
        <w:t>3.1.2谈判报价低于通过符合性审查且报价次低供应商谈判报价50%的， 即谈判报价&lt;通过符合性审查且报价次低供应商谈判报价×50%；</w:t>
      </w:r>
    </w:p>
    <w:p>
      <w:pPr>
        <w:pStyle w:val="396"/>
        <w:spacing w:before="0" w:line="360" w:lineRule="exact"/>
        <w:ind w:firstLine="420"/>
        <w:rPr>
          <w:rFonts w:ascii="宋体" w:hAnsi="宋体" w:cs="宋体"/>
          <w:bCs/>
          <w:sz w:val="21"/>
          <w:szCs w:val="21"/>
          <w:highlight w:val="none"/>
        </w:rPr>
      </w:pPr>
      <w:r>
        <w:rPr>
          <w:rFonts w:hint="eastAsia" w:ascii="宋体" w:hAnsi="宋体" w:cs="宋体"/>
          <w:bCs/>
          <w:sz w:val="21"/>
          <w:szCs w:val="21"/>
          <w:highlight w:val="none"/>
        </w:rPr>
        <w:t>3.1.3谈判报价低于采购项目最高限价45%的，即谈判报价&lt;采购项目最高限价×45%；</w:t>
      </w:r>
    </w:p>
    <w:p>
      <w:pPr>
        <w:pStyle w:val="396"/>
        <w:spacing w:before="0" w:line="360" w:lineRule="exact"/>
        <w:ind w:firstLine="420"/>
        <w:rPr>
          <w:rFonts w:ascii="宋体" w:hAnsi="宋体" w:cs="宋体"/>
          <w:bCs/>
          <w:sz w:val="21"/>
          <w:szCs w:val="21"/>
          <w:highlight w:val="none"/>
        </w:rPr>
      </w:pPr>
      <w:r>
        <w:rPr>
          <w:rFonts w:hint="eastAsia" w:ascii="宋体" w:hAnsi="宋体" w:cs="宋体"/>
          <w:bCs/>
          <w:sz w:val="21"/>
          <w:szCs w:val="21"/>
          <w:highlight w:val="none"/>
        </w:rPr>
        <w:t>3.1.4其他谈判小组认为供应商报价过低，有可能影响产品质量或者不能诚信履约的情形。</w:t>
      </w:r>
    </w:p>
    <w:p>
      <w:pPr>
        <w:pStyle w:val="396"/>
        <w:spacing w:before="0" w:line="360" w:lineRule="exact"/>
        <w:ind w:firstLine="420"/>
        <w:rPr>
          <w:rFonts w:ascii="宋体" w:hAnsi="宋体" w:cs="宋体"/>
          <w:sz w:val="21"/>
          <w:szCs w:val="21"/>
          <w:highlight w:val="none"/>
        </w:rPr>
      </w:pPr>
      <w:r>
        <w:rPr>
          <w:rFonts w:hint="eastAsia" w:ascii="宋体" w:hAnsi="宋体" w:cs="宋体"/>
          <w:bCs/>
          <w:sz w:val="21"/>
          <w:szCs w:val="21"/>
          <w:highlight w:val="none"/>
        </w:rPr>
        <w:t>3.2.审查工作流程：谈判小组严格按照评审现场说明、综合评估研判和出具处理结</w:t>
      </w:r>
      <w:r>
        <w:rPr>
          <w:rFonts w:hint="eastAsia" w:ascii="宋体" w:hAnsi="宋体" w:cs="宋体"/>
          <w:spacing w:val="7"/>
          <w:sz w:val="21"/>
          <w:szCs w:val="21"/>
          <w:highlight w:val="none"/>
        </w:rPr>
        <w:t>果三个步骤开展审查流程。</w:t>
      </w:r>
    </w:p>
    <w:p>
      <w:pPr>
        <w:pStyle w:val="16"/>
        <w:autoSpaceDE/>
        <w:autoSpaceDN/>
        <w:spacing w:before="3" w:line="360" w:lineRule="exact"/>
        <w:ind w:firstLine="404" w:firstLineChars="200"/>
        <w:jc w:val="left"/>
        <w:rPr>
          <w:rFonts w:hAnsi="宋体" w:cs="宋体"/>
          <w:spacing w:val="10"/>
          <w:sz w:val="21"/>
          <w:highlight w:val="none"/>
        </w:rPr>
      </w:pPr>
      <w:r>
        <w:rPr>
          <w:rFonts w:hint="eastAsia" w:hAnsi="宋体" w:cs="宋体"/>
          <w:spacing w:val="-4"/>
          <w:sz w:val="21"/>
          <w:highlight w:val="none"/>
          <w:lang w:val="en-US"/>
        </w:rPr>
        <w:t>3.2.1</w:t>
      </w:r>
      <w:r>
        <w:rPr>
          <w:rFonts w:hint="eastAsia" w:hAnsi="宋体" w:cs="宋体"/>
          <w:spacing w:val="-4"/>
          <w:sz w:val="21"/>
          <w:highlight w:val="none"/>
        </w:rPr>
        <w:t>评审现场说明：谈判小组启动异常低</w:t>
      </w:r>
      <w:r>
        <w:rPr>
          <w:rFonts w:hint="eastAsia" w:hAnsi="宋体" w:cs="宋体"/>
          <w:spacing w:val="-5"/>
          <w:sz w:val="21"/>
          <w:highlight w:val="none"/>
        </w:rPr>
        <w:t>价响应</w:t>
      </w:r>
      <w:r>
        <w:rPr>
          <w:rFonts w:hint="eastAsia" w:hAnsi="宋体" w:cs="宋体"/>
          <w:spacing w:val="2"/>
          <w:sz w:val="21"/>
          <w:highlight w:val="none"/>
        </w:rPr>
        <w:t>审查后，应当要求相关供应商在评审现场合理</w:t>
      </w:r>
      <w:r>
        <w:rPr>
          <w:rFonts w:hint="eastAsia" w:hAnsi="宋体" w:cs="宋体"/>
          <w:spacing w:val="-88"/>
          <w:sz w:val="21"/>
          <w:highlight w:val="none"/>
        </w:rPr>
        <w:t xml:space="preserve"> </w:t>
      </w:r>
      <w:r>
        <w:rPr>
          <w:rFonts w:hint="eastAsia" w:hAnsi="宋体" w:cs="宋体"/>
          <w:spacing w:val="2"/>
          <w:sz w:val="21"/>
          <w:highlight w:val="none"/>
        </w:rPr>
        <w:t>的时</w:t>
      </w:r>
      <w:r>
        <w:rPr>
          <w:rFonts w:hint="eastAsia" w:hAnsi="宋体" w:cs="宋体"/>
          <w:spacing w:val="-76"/>
          <w:sz w:val="21"/>
          <w:highlight w:val="none"/>
        </w:rPr>
        <w:t xml:space="preserve"> </w:t>
      </w:r>
      <w:r>
        <w:rPr>
          <w:rFonts w:hint="eastAsia" w:hAnsi="宋体" w:cs="宋体"/>
          <w:spacing w:val="2"/>
          <w:sz w:val="21"/>
          <w:highlight w:val="none"/>
        </w:rPr>
        <w:t>间内</w:t>
      </w:r>
      <w:r>
        <w:rPr>
          <w:rFonts w:hint="eastAsia" w:hAnsi="宋体" w:cs="宋体"/>
          <w:spacing w:val="-90"/>
          <w:sz w:val="21"/>
          <w:highlight w:val="none"/>
        </w:rPr>
        <w:t xml:space="preserve"> </w:t>
      </w:r>
      <w:r>
        <w:rPr>
          <w:rFonts w:hint="eastAsia" w:hAnsi="宋体" w:cs="宋体"/>
          <w:spacing w:val="2"/>
          <w:sz w:val="21"/>
          <w:highlight w:val="none"/>
        </w:rPr>
        <w:t>提供</w:t>
      </w:r>
      <w:r>
        <w:rPr>
          <w:rFonts w:hint="eastAsia" w:hAnsi="宋体" w:cs="宋体"/>
          <w:spacing w:val="-93"/>
          <w:sz w:val="21"/>
          <w:highlight w:val="none"/>
        </w:rPr>
        <w:t xml:space="preserve"> </w:t>
      </w:r>
      <w:r>
        <w:rPr>
          <w:rFonts w:hint="eastAsia" w:hAnsi="宋体" w:cs="宋体"/>
          <w:spacing w:val="2"/>
          <w:sz w:val="21"/>
          <w:highlight w:val="none"/>
        </w:rPr>
        <w:t>书</w:t>
      </w:r>
      <w:r>
        <w:rPr>
          <w:rFonts w:hint="eastAsia" w:hAnsi="宋体" w:cs="宋体"/>
          <w:spacing w:val="10"/>
          <w:sz w:val="21"/>
          <w:highlight w:val="none"/>
        </w:rPr>
        <w:t>面说明及必要的证明材料，对响应</w:t>
      </w:r>
      <w:r>
        <w:rPr>
          <w:rFonts w:hint="eastAsia" w:hAnsi="宋体" w:cs="宋体"/>
          <w:spacing w:val="9"/>
          <w:sz w:val="21"/>
          <w:highlight w:val="none"/>
        </w:rPr>
        <w:t>价格作出解释。</w:t>
      </w:r>
      <w:r>
        <w:rPr>
          <w:rFonts w:hint="eastAsia" w:hAnsi="宋体" w:cs="宋体"/>
          <w:b/>
          <w:bCs/>
          <w:spacing w:val="9"/>
          <w:sz w:val="21"/>
          <w:highlight w:val="none"/>
        </w:rPr>
        <w:t>书</w:t>
      </w:r>
      <w:r>
        <w:rPr>
          <w:rFonts w:hint="eastAsia" w:hAnsi="宋体" w:cs="宋体"/>
          <w:b/>
          <w:bCs/>
          <w:spacing w:val="12"/>
          <w:sz w:val="21"/>
          <w:highlight w:val="none"/>
        </w:rPr>
        <w:t>面说明、证明材料</w:t>
      </w:r>
      <w:r>
        <w:rPr>
          <w:rFonts w:hint="eastAsia" w:hAnsi="宋体" w:cs="宋体"/>
          <w:spacing w:val="10"/>
          <w:sz w:val="21"/>
          <w:highlight w:val="none"/>
        </w:rPr>
        <w:t>主要是项目具体成本测算等与报价合理性相关的说明、材料。</w:t>
      </w:r>
    </w:p>
    <w:p>
      <w:pPr>
        <w:pStyle w:val="16"/>
        <w:autoSpaceDE/>
        <w:autoSpaceDN/>
        <w:spacing w:before="3" w:line="360" w:lineRule="exact"/>
        <w:ind w:firstLine="460" w:firstLineChars="200"/>
        <w:jc w:val="left"/>
        <w:rPr>
          <w:rFonts w:hAnsi="宋体" w:cs="宋体"/>
          <w:spacing w:val="10"/>
          <w:sz w:val="21"/>
          <w:highlight w:val="none"/>
        </w:rPr>
      </w:pPr>
      <w:r>
        <w:rPr>
          <w:rFonts w:hint="eastAsia" w:hAnsi="宋体" w:cs="宋体"/>
          <w:spacing w:val="10"/>
          <w:sz w:val="21"/>
          <w:highlight w:val="none"/>
          <w:lang w:val="en-US"/>
        </w:rPr>
        <w:t>3.2.2</w:t>
      </w:r>
      <w:r>
        <w:rPr>
          <w:rFonts w:hint="eastAsia" w:hAnsi="宋体" w:cs="宋体"/>
          <w:spacing w:val="10"/>
          <w:sz w:val="21"/>
          <w:highlight w:val="none"/>
        </w:rPr>
        <w:t>综合评估研判。谈判小组应当结合同类产品在主要电商平台的价格、该行业当地薪资水平等情况，依据专业经验对报价合理性进行判断。对异常低价存在争议的，应当按照少数服从多数的原则作出结论。</w:t>
      </w:r>
    </w:p>
    <w:p>
      <w:pPr>
        <w:pStyle w:val="16"/>
        <w:autoSpaceDE/>
        <w:autoSpaceDN/>
        <w:spacing w:before="3" w:line="360" w:lineRule="exact"/>
        <w:ind w:firstLine="460" w:firstLineChars="200"/>
        <w:jc w:val="left"/>
        <w:rPr>
          <w:rFonts w:hAnsi="宋体" w:cs="宋体"/>
          <w:spacing w:val="10"/>
          <w:sz w:val="21"/>
          <w:highlight w:val="none"/>
        </w:rPr>
      </w:pPr>
      <w:r>
        <w:rPr>
          <w:rFonts w:hint="eastAsia" w:hAnsi="宋体" w:cs="宋体"/>
          <w:spacing w:val="10"/>
          <w:sz w:val="21"/>
          <w:highlight w:val="none"/>
          <w:lang w:val="en-US"/>
        </w:rPr>
        <w:t>3.2.3</w:t>
      </w:r>
      <w:r>
        <w:rPr>
          <w:rFonts w:hint="eastAsia" w:hAnsi="宋体" w:cs="宋体"/>
          <w:spacing w:val="10"/>
          <w:sz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pPr>
        <w:pStyle w:val="396"/>
        <w:spacing w:before="0" w:line="360" w:lineRule="exact"/>
        <w:ind w:firstLine="422"/>
        <w:rPr>
          <w:rFonts w:ascii="宋体" w:hAnsi="宋体" w:cs="宋体"/>
          <w:b/>
          <w:sz w:val="21"/>
          <w:szCs w:val="21"/>
          <w:highlight w:val="none"/>
        </w:rPr>
      </w:pPr>
      <w:r>
        <w:rPr>
          <w:rFonts w:hint="eastAsia" w:ascii="宋体" w:hAnsi="宋体" w:cs="宋体"/>
          <w:b/>
          <w:sz w:val="21"/>
          <w:szCs w:val="21"/>
          <w:highlight w:val="none"/>
        </w:rPr>
        <w:t>4.响应无效</w:t>
      </w:r>
    </w:p>
    <w:p>
      <w:pPr>
        <w:pStyle w:val="27"/>
        <w:spacing w:line="360" w:lineRule="exact"/>
        <w:ind w:firstLine="525" w:firstLineChars="250"/>
        <w:rPr>
          <w:rFonts w:cs="宋体"/>
          <w:sz w:val="21"/>
          <w:szCs w:val="21"/>
          <w:highlight w:val="none"/>
        </w:rPr>
      </w:pPr>
      <w:r>
        <w:rPr>
          <w:rFonts w:hint="eastAsia" w:cs="宋体"/>
          <w:sz w:val="21"/>
          <w:szCs w:val="21"/>
          <w:highlight w:val="none"/>
        </w:rPr>
        <w:t>有下列情况之一的，响应无效：</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4.1单位负责人为同一人或者存在直接控股、管理关系的不同供应商参加同一合同项下的政府采购活动的（均无效）；</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 xml:space="preserve">4.2为采购项目提供整体设计、规范编制或者项目管理、监理、检测等服务的供应商再参加该采购项目的其他采购活动的； </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4.3供应商不具备谈判文件中规定的资格要求的（供应商未提供有效的资格证明文件的，视为供应商不具备谈判文件中规定的资格要求）；</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4.4如以联合体形式参加政府采购活动的，联合协议不符合谈判文件规定的联合协议要求的；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4.5响应文件未按谈判文件的澄清、修改的内容编制，又不符合实质性要求的；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4.6响应文件组成漏项，内容不全或内容字迹模糊辨认不清的；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4.7响应文件中法人授权书所载内容与本项目内容有异的；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4.8响应文件未按照谈判文件要求签署、盖章的；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4.9</w:t>
      </w:r>
      <w:r>
        <w:rPr>
          <w:rFonts w:hint="eastAsia" w:ascii="宋体" w:hAnsi="宋体" w:cs="宋体"/>
          <w:kern w:val="0"/>
          <w:szCs w:val="21"/>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4.10响应文件含有采购人不能接受的附加条件的；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4.11响应文件中承诺的响应有效期少于谈判文件中载明的响应有效期的；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4.12供应商所投内容不符合谈判文件中实质性要求的；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4.13所提交的报价出现不是唯一的、有选择性的报价的;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4.14最后报价高于本项目采购预算或者最高限价的;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4.15报价填写不完整或字迹不能辨认或有漏项的；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4.16供应商对根据修正原则修正后的报价不确认的；</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4.17供应商提供虚假材料响应的（包括但不限于以下情节）；</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4.17.1使用伪造、变造的许可证件；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4.17.2提供虚假的财务状况或者业绩；</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4.17.3提供虚假的项目负责人或者主要技术人员简历、劳动关系证明；</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4.17.4提供虚假的信用状况；</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4.17.5其他弄虚作假的行为。</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4.18供应商有恶意串通、妨碍其他供应商的竞争行为、损害采购人或者其他供应商的合法权益情形的。</w:t>
      </w:r>
    </w:p>
    <w:p>
      <w:pPr>
        <w:spacing w:line="360" w:lineRule="exact"/>
        <w:ind w:firstLine="480"/>
        <w:rPr>
          <w:rFonts w:ascii="宋体" w:hAnsi="宋体" w:cs="宋体"/>
          <w:b/>
          <w:bCs/>
          <w:szCs w:val="21"/>
          <w:highlight w:val="none"/>
        </w:rPr>
      </w:pPr>
      <w:r>
        <w:rPr>
          <w:rFonts w:hint="eastAsia" w:ascii="宋体" w:hAnsi="宋体" w:cs="宋体"/>
          <w:b/>
          <w:bCs/>
          <w:szCs w:val="21"/>
          <w:highlight w:val="none"/>
        </w:rPr>
        <w:t>有下列情形之一的，属于或视为恶意串通，其响应无效：</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4.18.1供应商直接或者间接从采购人或者采购代理机构处获得其他供应商的相关情况并修改其响应文件；</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4.18.2供应商按照采购人或者采购代理机构的授意撤换、修改响应文件；</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4.18.3供应商之间协商报价、技术方案等响应文件的实质性内容；</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4.18.4属于同一集团、协会、商会等组织成员的供应商按照该组织要求协同参加政府采购活动；</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4.18.5供应商之间事先约定由某一特定供应商中标、成交；</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4.18.6供应商之间商定部分供应商放弃参加政府采购活动或者放弃中标、成交；</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4.18.7供应商与采购人或者采购代理机构之间、供应商相互之间，为谋求特定供应商中标、成交或者排斥其他供应商的其他串通行为。</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4.18.8不同供应商的响应文件由同一单位或者个人编制；</w:t>
      </w:r>
      <w:r>
        <w:rPr>
          <w:rFonts w:hint="eastAsia" w:ascii="宋体" w:hAnsi="宋体" w:cs="宋体"/>
          <w:b/>
          <w:bCs/>
          <w:highlight w:val="none"/>
        </w:rPr>
        <w:t>或不同</w:t>
      </w:r>
      <w:r>
        <w:rPr>
          <w:rFonts w:hint="eastAsia" w:hAnsi="宋体" w:cs="宋体"/>
          <w:b/>
          <w:bCs/>
          <w:highlight w:val="none"/>
        </w:rPr>
        <w:t>供应商</w:t>
      </w:r>
      <w:r>
        <w:rPr>
          <w:rFonts w:hint="eastAsia" w:ascii="宋体" w:hAnsi="宋体" w:cs="宋体"/>
          <w:b/>
          <w:bCs/>
          <w:highlight w:val="none"/>
        </w:rPr>
        <w:t>报名的IP地址一致的；</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4.18.9不同供应商委托同一单位或者个人办理响应事宜；</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4.18.10不同供应商的响应文件载明的项目管理成员或者联系人员为同一人；</w:t>
      </w:r>
    </w:p>
    <w:p>
      <w:pPr>
        <w:pStyle w:val="36"/>
        <w:snapToGrid w:val="0"/>
        <w:spacing w:line="360" w:lineRule="exact"/>
        <w:ind w:firstLine="420"/>
        <w:rPr>
          <w:rFonts w:hAnsi="宋体" w:cs="宋体"/>
          <w:b/>
          <w:bCs/>
          <w:szCs w:val="21"/>
          <w:highlight w:val="none"/>
        </w:rPr>
      </w:pPr>
      <w:r>
        <w:rPr>
          <w:rFonts w:hint="eastAsia" w:hAnsi="宋体" w:cs="宋体"/>
          <w:b/>
          <w:bCs/>
          <w:szCs w:val="21"/>
          <w:highlight w:val="none"/>
        </w:rPr>
        <w:t>4.18.11不同供应商的响应文件异常一致或者最后报价呈规律性差异。</w:t>
      </w:r>
    </w:p>
    <w:p>
      <w:pPr>
        <w:pStyle w:val="36"/>
        <w:snapToGrid w:val="0"/>
        <w:spacing w:line="360" w:lineRule="exact"/>
        <w:ind w:firstLine="420"/>
        <w:rPr>
          <w:rFonts w:hAnsi="宋体" w:cs="宋体"/>
          <w:b/>
          <w:bCs/>
          <w:highlight w:val="none"/>
        </w:rPr>
      </w:pPr>
      <w:r>
        <w:rPr>
          <w:rFonts w:hint="eastAsia" w:hAnsi="宋体" w:cs="宋体"/>
          <w:b/>
          <w:bCs/>
          <w:highlight w:val="none"/>
        </w:rPr>
        <w:t>4.18.12不同供应商的响应文件的内容存在3处（含）以上错误一致的；</w:t>
      </w:r>
    </w:p>
    <w:p>
      <w:pPr>
        <w:pStyle w:val="36"/>
        <w:snapToGrid w:val="0"/>
        <w:spacing w:line="360" w:lineRule="exact"/>
        <w:ind w:firstLine="420"/>
        <w:rPr>
          <w:rFonts w:hAnsi="宋体" w:cs="宋体"/>
          <w:b/>
          <w:bCs/>
          <w:highlight w:val="none"/>
        </w:rPr>
      </w:pPr>
      <w:r>
        <w:rPr>
          <w:rFonts w:hint="eastAsia" w:hAnsi="宋体" w:cs="宋体"/>
          <w:b/>
          <w:bCs/>
          <w:szCs w:val="21"/>
          <w:highlight w:val="none"/>
        </w:rPr>
        <w:t>4.18.13</w:t>
      </w:r>
      <w:r>
        <w:rPr>
          <w:rFonts w:hint="eastAsia" w:hAnsi="宋体" w:cs="宋体"/>
          <w:b/>
          <w:bCs/>
          <w:highlight w:val="none"/>
        </w:rPr>
        <w:t>不同供应商的电子响应文件上传计算机的网卡MAC地址或硬盘序列号等硬件信息相同的；</w:t>
      </w:r>
    </w:p>
    <w:p>
      <w:pPr>
        <w:pStyle w:val="36"/>
        <w:snapToGrid w:val="0"/>
        <w:spacing w:line="360" w:lineRule="exact"/>
        <w:ind w:firstLine="420"/>
        <w:rPr>
          <w:rFonts w:hAnsi="宋体" w:cs="宋体"/>
          <w:b/>
          <w:bCs/>
          <w:highlight w:val="none"/>
        </w:rPr>
      </w:pPr>
      <w:r>
        <w:rPr>
          <w:rFonts w:hint="eastAsia" w:hAnsi="宋体" w:cs="宋体"/>
          <w:b/>
          <w:bCs/>
          <w:highlight w:val="none"/>
        </w:rPr>
        <w:t>4.18.14上传的电子响应文件若出现使用本项目其他响应供应商的数字证书加密的，或者加盖本项目其他响应供应商的电子印章的；</w:t>
      </w:r>
    </w:p>
    <w:p>
      <w:pPr>
        <w:pStyle w:val="36"/>
        <w:snapToGrid w:val="0"/>
        <w:spacing w:line="360" w:lineRule="exact"/>
        <w:ind w:firstLine="420"/>
        <w:rPr>
          <w:rFonts w:hAnsi="宋体" w:cs="宋体"/>
          <w:b/>
          <w:bCs/>
          <w:szCs w:val="21"/>
          <w:highlight w:val="none"/>
        </w:rPr>
      </w:pPr>
      <w:r>
        <w:rPr>
          <w:rFonts w:hint="eastAsia" w:hAnsi="宋体" w:cs="宋体"/>
          <w:b/>
          <w:bCs/>
          <w:szCs w:val="21"/>
          <w:highlight w:val="none"/>
        </w:rPr>
        <w:t>4.18.15不同供应商的谈判保证金从同一单位或者个人账户转出。</w:t>
      </w:r>
    </w:p>
    <w:p>
      <w:pPr>
        <w:pStyle w:val="36"/>
        <w:snapToGrid w:val="0"/>
        <w:spacing w:line="360" w:lineRule="exact"/>
        <w:ind w:firstLine="420"/>
        <w:rPr>
          <w:rFonts w:hAnsi="宋体" w:cs="宋体"/>
          <w:b/>
          <w:bCs/>
          <w:szCs w:val="21"/>
          <w:highlight w:val="none"/>
        </w:rPr>
      </w:pPr>
      <w:r>
        <w:rPr>
          <w:rFonts w:hint="eastAsia" w:hAnsi="宋体" w:cs="宋体"/>
          <w:b/>
          <w:bCs/>
          <w:szCs w:val="21"/>
          <w:highlight w:val="none"/>
        </w:rPr>
        <w:t>4.19供应商仅提交备份响应文件，没有在电子交易平台传输提交响应文件的，响应无效；</w:t>
      </w:r>
    </w:p>
    <w:p>
      <w:pPr>
        <w:spacing w:line="360" w:lineRule="exact"/>
        <w:ind w:firstLine="422" w:firstLineChars="200"/>
        <w:rPr>
          <w:rFonts w:ascii="宋体" w:hAnsi="宋体" w:cs="宋体"/>
          <w:b/>
          <w:bCs/>
          <w:szCs w:val="21"/>
          <w:highlight w:val="none"/>
        </w:rPr>
      </w:pPr>
      <w:r>
        <w:rPr>
          <w:rFonts w:hint="eastAsia" w:ascii="宋体" w:hAnsi="宋体" w:cs="宋体"/>
          <w:b/>
          <w:bCs/>
          <w:szCs w:val="21"/>
          <w:highlight w:val="none"/>
        </w:rPr>
        <w:t>4.20法律、法规、规章（适用本市的）及省级以上规范性文件（适用本市的）规定的其他无效情形。</w:t>
      </w:r>
    </w:p>
    <w:p>
      <w:pPr>
        <w:pStyle w:val="396"/>
        <w:spacing w:before="0" w:line="360" w:lineRule="exact"/>
        <w:ind w:firstLine="422"/>
        <w:rPr>
          <w:rFonts w:ascii="宋体" w:hAnsi="宋体" w:cs="宋体"/>
          <w:b/>
          <w:sz w:val="21"/>
          <w:szCs w:val="21"/>
          <w:highlight w:val="none"/>
        </w:rPr>
      </w:pPr>
      <w:r>
        <w:rPr>
          <w:rFonts w:hint="eastAsia" w:ascii="宋体" w:hAnsi="宋体" w:cs="宋体"/>
          <w:b/>
          <w:sz w:val="21"/>
          <w:szCs w:val="21"/>
          <w:highlight w:val="none"/>
        </w:rPr>
        <w:t>5. 重新开展采购活动</w:t>
      </w:r>
    </w:p>
    <w:p>
      <w:pPr>
        <w:spacing w:line="360" w:lineRule="exact"/>
        <w:ind w:firstLine="407" w:firstLineChars="194"/>
        <w:rPr>
          <w:rFonts w:ascii="宋体" w:hAnsi="宋体" w:cs="宋体"/>
          <w:szCs w:val="21"/>
          <w:highlight w:val="none"/>
        </w:rPr>
      </w:pPr>
      <w:r>
        <w:rPr>
          <w:rFonts w:hint="eastAsia" w:ascii="宋体" w:hAnsi="宋体" w:cs="宋体"/>
          <w:szCs w:val="21"/>
          <w:highlight w:val="none"/>
        </w:rPr>
        <w:t xml:space="preserve"> 出现下列情形之一的，采购代理机构应当终止竞争性谈判采购活动，通过电子交易平台发布项目终止公告并说明原因，重新开展采购活动：</w:t>
      </w:r>
    </w:p>
    <w:p>
      <w:pPr>
        <w:spacing w:line="360" w:lineRule="exact"/>
        <w:ind w:firstLine="407" w:firstLineChars="194"/>
        <w:rPr>
          <w:rFonts w:ascii="宋体" w:hAnsi="宋体" w:cs="宋体"/>
          <w:szCs w:val="21"/>
          <w:highlight w:val="none"/>
        </w:rPr>
      </w:pPr>
      <w:r>
        <w:rPr>
          <w:rFonts w:hint="eastAsia" w:ascii="宋体" w:hAnsi="宋体" w:cs="宋体"/>
          <w:szCs w:val="21"/>
          <w:highlight w:val="none"/>
        </w:rPr>
        <w:t>（1）因情况变化，不再符合规定的竞争性谈判采购方式适用情形的；</w:t>
      </w:r>
    </w:p>
    <w:p>
      <w:pPr>
        <w:spacing w:line="360" w:lineRule="exact"/>
        <w:ind w:firstLine="407" w:firstLineChars="194"/>
        <w:rPr>
          <w:rFonts w:ascii="宋体" w:hAnsi="宋体" w:cs="宋体"/>
          <w:szCs w:val="21"/>
          <w:highlight w:val="none"/>
        </w:rPr>
      </w:pPr>
      <w:r>
        <w:rPr>
          <w:rFonts w:hint="eastAsia" w:ascii="宋体" w:hAnsi="宋体" w:cs="宋体"/>
          <w:szCs w:val="21"/>
          <w:highlight w:val="none"/>
        </w:rPr>
        <w:t>（2）出现影响采购公正的违法、违规行为的；</w:t>
      </w:r>
    </w:p>
    <w:p>
      <w:pPr>
        <w:spacing w:line="360" w:lineRule="exact"/>
        <w:ind w:firstLine="407" w:firstLineChars="194"/>
        <w:rPr>
          <w:rFonts w:ascii="宋体" w:hAnsi="宋体" w:cs="宋体"/>
          <w:szCs w:val="21"/>
          <w:highlight w:val="none"/>
        </w:rPr>
      </w:pPr>
      <w:r>
        <w:rPr>
          <w:rFonts w:hint="eastAsia" w:ascii="宋体" w:hAnsi="宋体" w:cs="宋体"/>
          <w:szCs w:val="21"/>
          <w:highlight w:val="none"/>
        </w:rPr>
        <w:t>（3）在采购过程中符合要求的供应商或者最后报价未超过采购预算和最高限价的供应商不足3家的（有特殊规定的从其规定，如《政府采购非招标采购方式管理办法》第二十七条第二款规定的情形除外）。</w:t>
      </w:r>
    </w:p>
    <w:p>
      <w:pPr>
        <w:pStyle w:val="396"/>
        <w:spacing w:before="0" w:line="360" w:lineRule="exact"/>
        <w:ind w:firstLine="422"/>
        <w:rPr>
          <w:rFonts w:ascii="宋体" w:hAnsi="宋体" w:cs="宋体"/>
          <w:b/>
          <w:sz w:val="21"/>
          <w:szCs w:val="21"/>
          <w:highlight w:val="none"/>
        </w:rPr>
      </w:pPr>
      <w:r>
        <w:rPr>
          <w:rFonts w:hint="eastAsia" w:ascii="宋体" w:hAnsi="宋体" w:cs="宋体"/>
          <w:b/>
          <w:sz w:val="21"/>
          <w:szCs w:val="21"/>
          <w:highlight w:val="none"/>
        </w:rPr>
        <w:t>6. 终止采购活动</w:t>
      </w:r>
    </w:p>
    <w:p>
      <w:pPr>
        <w:spacing w:line="360" w:lineRule="exact"/>
        <w:ind w:firstLine="407" w:firstLineChars="194"/>
        <w:rPr>
          <w:rFonts w:ascii="宋体" w:hAnsi="宋体" w:cs="宋体"/>
          <w:szCs w:val="21"/>
          <w:highlight w:val="none"/>
        </w:rPr>
      </w:pPr>
      <w:r>
        <w:rPr>
          <w:rFonts w:hint="eastAsia" w:ascii="宋体" w:hAnsi="宋体" w:cs="宋体"/>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numPr>
          <w:ilvl w:val="0"/>
          <w:numId w:val="9"/>
        </w:numPr>
        <w:spacing w:line="360" w:lineRule="exact"/>
        <w:ind w:firstLine="422" w:firstLineChars="200"/>
        <w:rPr>
          <w:rFonts w:hint="eastAsia" w:ascii="宋体" w:hAnsi="宋体" w:cs="宋体"/>
          <w:szCs w:val="21"/>
          <w:highlight w:val="none"/>
        </w:rPr>
      </w:pPr>
      <w:r>
        <w:rPr>
          <w:rFonts w:hint="eastAsia" w:ascii="宋体" w:hAnsi="宋体" w:cs="宋体"/>
          <w:b/>
          <w:szCs w:val="21"/>
          <w:highlight w:val="none"/>
        </w:rPr>
        <w:t>采购代理机构有权对谈判小组各成员的评分情况和评审意见进行合理性和合规性审查</w:t>
      </w:r>
      <w:r>
        <w:rPr>
          <w:rFonts w:hint="eastAsia" w:ascii="宋体" w:hAnsi="宋体" w:cs="宋体"/>
          <w:szCs w:val="21"/>
          <w:highlight w:val="none"/>
        </w:rPr>
        <w:t>，如发现谈判小组成员的评审意见带有明显倾向性，或不按规定程序和标准评审、计分的，谈判小组成员应进行书面澄清和说明；谈判小组成员拒不接受采购代理机构审查的，采购代理机构将向同级政府采购监督管理部门报告并予以处理。</w:t>
      </w:r>
    </w:p>
    <w:p>
      <w:pPr>
        <w:pStyle w:val="2"/>
        <w:numPr>
          <w:ilvl w:val="-1"/>
          <w:numId w:val="0"/>
        </w:numPr>
        <w:rPr>
          <w:highlight w:val="none"/>
        </w:rPr>
      </w:pPr>
    </w:p>
    <w:bookmarkEnd w:id="75"/>
    <w:p>
      <w:pPr>
        <w:snapToGrid w:val="0"/>
        <w:spacing w:line="340" w:lineRule="exact"/>
        <w:jc w:val="center"/>
        <w:outlineLvl w:val="1"/>
        <w:rPr>
          <w:rFonts w:ascii="宋体" w:hAnsi="宋体" w:cs="宋体"/>
          <w:b/>
          <w:szCs w:val="21"/>
          <w:highlight w:val="none"/>
        </w:rPr>
      </w:pPr>
      <w:r>
        <w:rPr>
          <w:rFonts w:hint="eastAsia" w:ascii="宋体" w:hAnsi="宋体" w:cs="宋体"/>
          <w:b/>
          <w:sz w:val="28"/>
          <w:szCs w:val="28"/>
          <w:highlight w:val="none"/>
        </w:rPr>
        <w:t>六、评审过程的保密与录像</w:t>
      </w:r>
    </w:p>
    <w:p>
      <w:pPr>
        <w:widowControl/>
        <w:spacing w:line="340" w:lineRule="exact"/>
        <w:ind w:firstLine="422" w:firstLineChars="200"/>
        <w:rPr>
          <w:rFonts w:ascii="宋体" w:hAnsi="宋体" w:cs="宋体"/>
          <w:szCs w:val="21"/>
          <w:highlight w:val="none"/>
        </w:rPr>
      </w:pPr>
      <w:r>
        <w:rPr>
          <w:rFonts w:hint="eastAsia" w:ascii="宋体" w:hAnsi="宋体" w:cs="宋体"/>
          <w:b/>
          <w:szCs w:val="21"/>
          <w:highlight w:val="none"/>
        </w:rPr>
        <w:t>1.保密。</w:t>
      </w:r>
      <w:r>
        <w:rPr>
          <w:rFonts w:hint="eastAsia" w:ascii="宋体" w:hAnsi="宋体" w:cs="宋体"/>
          <w:szCs w:val="21"/>
          <w:highlight w:val="none"/>
        </w:rPr>
        <w:t>评审活动在严格保密的情况下进行。评审过程中凡是与响应文件评审和比较、成交供应商推荐等评审有关的情况，以及涉及国家秘密和商业秘密等信息，谈判小组成员、采购人和采购代理机构工作人员、相关监督人员等与评审有关的人员应当予以保密。</w:t>
      </w:r>
    </w:p>
    <w:p>
      <w:pPr>
        <w:widowControl/>
        <w:spacing w:line="340" w:lineRule="exact"/>
        <w:ind w:firstLine="422" w:firstLineChars="200"/>
        <w:rPr>
          <w:rFonts w:cs="仿宋_GB2312" w:asciiTheme="minorEastAsia" w:hAnsiTheme="minorEastAsia" w:eastAsiaTheme="minorEastAsia"/>
          <w:b/>
          <w:sz w:val="32"/>
          <w:szCs w:val="32"/>
          <w:highlight w:val="none"/>
        </w:rPr>
      </w:pPr>
      <w:r>
        <w:rPr>
          <w:rFonts w:hint="eastAsia" w:ascii="宋体" w:hAnsi="宋体" w:cs="宋体"/>
          <w:b/>
          <w:szCs w:val="21"/>
          <w:highlight w:val="none"/>
        </w:rPr>
        <w:t>2.录音录像。</w:t>
      </w:r>
      <w:r>
        <w:rPr>
          <w:rFonts w:hint="eastAsia" w:ascii="宋体" w:hAnsi="宋体" w:cs="宋体"/>
          <w:szCs w:val="21"/>
          <w:highlight w:val="none"/>
        </w:rPr>
        <w:t>采购代理机构对评审工作现场进行全过程录音录像，录音录像资料作为采购项目文件随其他文件一并存档。</w:t>
      </w:r>
      <w:r>
        <w:rPr>
          <w:rFonts w:cs="仿宋_GB2312" w:asciiTheme="minorEastAsia" w:hAnsiTheme="minorEastAsia" w:eastAsiaTheme="minorEastAsia"/>
          <w:b/>
          <w:sz w:val="36"/>
          <w:szCs w:val="36"/>
          <w:highlight w:val="none"/>
        </w:rPr>
        <w:br w:type="page"/>
      </w:r>
      <w:bookmarkStart w:id="76" w:name="_Toc181203099"/>
    </w:p>
    <w:p>
      <w:pPr>
        <w:adjustRightInd/>
        <w:spacing w:line="360" w:lineRule="auto"/>
        <w:jc w:val="center"/>
        <w:outlineLvl w:val="0"/>
        <w:rPr>
          <w:rFonts w:hint="eastAsia" w:cs="仿宋_GB2312" w:asciiTheme="minorEastAsia" w:hAnsiTheme="minorEastAsia" w:eastAsiaTheme="minorEastAsia"/>
          <w:b/>
          <w:sz w:val="32"/>
          <w:szCs w:val="32"/>
          <w:highlight w:val="none"/>
        </w:rPr>
      </w:pPr>
    </w:p>
    <w:p>
      <w:pPr>
        <w:adjustRightInd/>
        <w:spacing w:line="360" w:lineRule="auto"/>
        <w:jc w:val="center"/>
        <w:outlineLvl w:val="0"/>
        <w:rPr>
          <w:rFonts w:hint="eastAsia" w:cs="仿宋_GB2312" w:asciiTheme="minorEastAsia" w:hAnsiTheme="minorEastAsia" w:eastAsiaTheme="minorEastAsia"/>
          <w:b/>
          <w:sz w:val="32"/>
          <w:szCs w:val="32"/>
          <w:highlight w:val="none"/>
        </w:rPr>
      </w:pPr>
    </w:p>
    <w:p>
      <w:pPr>
        <w:adjustRightInd/>
        <w:spacing w:line="360" w:lineRule="auto"/>
        <w:jc w:val="center"/>
        <w:outlineLvl w:val="0"/>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第六部分</w:t>
      </w:r>
      <w:bookmarkEnd w:id="74"/>
      <w:r>
        <w:rPr>
          <w:rFonts w:hint="eastAsia" w:cs="仿宋_GB2312" w:asciiTheme="minorEastAsia" w:hAnsiTheme="minorEastAsia" w:eastAsiaTheme="minorEastAsia"/>
          <w:b/>
          <w:sz w:val="32"/>
          <w:szCs w:val="32"/>
          <w:highlight w:val="none"/>
        </w:rPr>
        <w:t xml:space="preserve">  拟签订的合同文本</w:t>
      </w:r>
      <w:bookmarkEnd w:id="76"/>
    </w:p>
    <w:p>
      <w:pPr>
        <w:spacing w:line="480" w:lineRule="auto"/>
        <w:jc w:val="center"/>
        <w:rPr>
          <w:rFonts w:ascii="宋体" w:hAnsi="宋体" w:cs="宋体"/>
          <w:b/>
          <w:sz w:val="24"/>
          <w:highlight w:val="none"/>
        </w:rPr>
      </w:pPr>
      <w:bookmarkStart w:id="77" w:name="第五部分"/>
      <w:bookmarkStart w:id="78" w:name="_Toc86217003"/>
    </w:p>
    <w:p>
      <w:pPr>
        <w:pStyle w:val="36"/>
        <w:wordWrap w:val="0"/>
        <w:topLinePunct/>
        <w:spacing w:line="600" w:lineRule="exact"/>
        <w:jc w:val="center"/>
        <w:rPr>
          <w:rFonts w:asciiTheme="minorEastAsia" w:hAnsiTheme="minorEastAsia" w:eastAsiaTheme="minorEastAsia" w:cstheme="minorEastAsia"/>
          <w:b/>
          <w:sz w:val="36"/>
          <w:szCs w:val="36"/>
          <w:highlight w:val="none"/>
        </w:rPr>
      </w:pPr>
      <w:bookmarkStart w:id="79" w:name="_Toc22209"/>
    </w:p>
    <w:p>
      <w:pPr>
        <w:adjustRightInd/>
        <w:jc w:val="center"/>
        <w:outlineLvl w:val="9"/>
        <w:rPr>
          <w:rFonts w:ascii="宋体" w:hAnsi="宋体" w:cs="宋体"/>
          <w:b/>
          <w:bCs/>
          <w:color w:val="000000"/>
          <w:spacing w:val="-20"/>
          <w:kern w:val="44"/>
          <w:sz w:val="48"/>
          <w:szCs w:val="48"/>
          <w:highlight w:val="none"/>
        </w:rPr>
      </w:pPr>
      <w:r>
        <w:rPr>
          <w:rFonts w:hint="eastAsia" w:ascii="宋体" w:hAnsi="宋体" w:cs="宋体"/>
          <w:b/>
          <w:bCs/>
          <w:color w:val="000000"/>
          <w:spacing w:val="-20"/>
          <w:kern w:val="44"/>
          <w:sz w:val="48"/>
          <w:szCs w:val="48"/>
          <w:highlight w:val="none"/>
        </w:rPr>
        <w:t>政府采购货物合同</w:t>
      </w:r>
    </w:p>
    <w:p>
      <w:pPr>
        <w:adjustRightInd/>
        <w:jc w:val="center"/>
        <w:outlineLvl w:val="9"/>
        <w:rPr>
          <w:rFonts w:ascii="宋体" w:hAnsi="宋体" w:cs="宋体"/>
          <w:b/>
          <w:bCs/>
          <w:color w:val="000000"/>
          <w:spacing w:val="-20"/>
          <w:kern w:val="44"/>
          <w:sz w:val="48"/>
          <w:szCs w:val="48"/>
          <w:highlight w:val="none"/>
        </w:rPr>
      </w:pPr>
    </w:p>
    <w:p>
      <w:pPr>
        <w:adjustRightInd/>
        <w:outlineLvl w:val="9"/>
        <w:rPr>
          <w:rFonts w:ascii="宋体" w:hAnsi="宋体" w:cs="宋体"/>
          <w:b/>
          <w:bCs/>
          <w:color w:val="000000"/>
          <w:spacing w:val="-20"/>
          <w:kern w:val="44"/>
          <w:sz w:val="40"/>
          <w:szCs w:val="40"/>
          <w:highlight w:val="none"/>
        </w:rPr>
      </w:pPr>
    </w:p>
    <w:p>
      <w:pPr>
        <w:adjustRightInd/>
        <w:outlineLvl w:val="9"/>
        <w:rPr>
          <w:rFonts w:ascii="宋体" w:hAnsi="宋体" w:cs="宋体"/>
          <w:b/>
          <w:bCs/>
          <w:color w:val="000000"/>
          <w:spacing w:val="-20"/>
          <w:kern w:val="44"/>
          <w:sz w:val="40"/>
          <w:szCs w:val="40"/>
          <w:highlight w:val="none"/>
        </w:rPr>
      </w:pPr>
    </w:p>
    <w:p>
      <w:pPr>
        <w:pStyle w:val="2"/>
        <w:rPr>
          <w:highlight w:val="none"/>
        </w:rPr>
      </w:pPr>
    </w:p>
    <w:p>
      <w:pPr>
        <w:adjustRightInd/>
        <w:spacing w:line="880" w:lineRule="exact"/>
        <w:outlineLvl w:val="9"/>
        <w:rPr>
          <w:rFonts w:ascii="宋体" w:hAnsi="宋体" w:cs="宋体"/>
          <w:b/>
          <w:bCs/>
          <w:color w:val="000000"/>
          <w:spacing w:val="-20"/>
          <w:kern w:val="44"/>
          <w:sz w:val="40"/>
          <w:szCs w:val="40"/>
          <w:highlight w:val="none"/>
        </w:rPr>
      </w:pPr>
    </w:p>
    <w:p>
      <w:pPr>
        <w:adjustRightInd/>
        <w:spacing w:line="880" w:lineRule="exact"/>
        <w:ind w:left="1680" w:leftChars="800"/>
        <w:outlineLvl w:val="9"/>
        <w:rPr>
          <w:color w:val="000000"/>
          <w:sz w:val="32"/>
          <w:szCs w:val="32"/>
          <w:highlight w:val="none"/>
        </w:rPr>
      </w:pPr>
      <w:r>
        <w:rPr>
          <w:rFonts w:hint="eastAsia" w:ascii="宋体" w:hAnsi="宋体" w:cs="宋体"/>
          <w:color w:val="000000"/>
          <w:kern w:val="0"/>
          <w:sz w:val="32"/>
          <w:szCs w:val="32"/>
          <w:highlight w:val="none"/>
        </w:rPr>
        <w:t>项目名称：</w:t>
      </w:r>
      <w:r>
        <w:rPr>
          <w:color w:val="000000"/>
          <w:sz w:val="32"/>
          <w:szCs w:val="32"/>
          <w:highlight w:val="none"/>
          <w:u w:val="single"/>
        </w:rPr>
        <w:t xml:space="preserve">                             </w:t>
      </w:r>
    </w:p>
    <w:p>
      <w:pPr>
        <w:adjustRightInd/>
        <w:spacing w:line="880" w:lineRule="exact"/>
        <w:ind w:left="1680" w:leftChars="800"/>
        <w:outlineLvl w:val="9"/>
        <w:rPr>
          <w:color w:val="000000"/>
          <w:sz w:val="32"/>
          <w:szCs w:val="32"/>
          <w:highlight w:val="none"/>
          <w:u w:val="single"/>
        </w:rPr>
      </w:pPr>
      <w:r>
        <w:rPr>
          <w:rFonts w:hint="eastAsia"/>
          <w:color w:val="000000"/>
          <w:sz w:val="32"/>
          <w:szCs w:val="32"/>
          <w:highlight w:val="none"/>
        </w:rPr>
        <w:t>合同编号：</w:t>
      </w:r>
      <w:r>
        <w:rPr>
          <w:color w:val="000000"/>
          <w:sz w:val="32"/>
          <w:szCs w:val="32"/>
          <w:highlight w:val="none"/>
          <w:u w:val="single"/>
        </w:rPr>
        <w:t xml:space="preserve">                             </w:t>
      </w:r>
    </w:p>
    <w:p>
      <w:pPr>
        <w:adjustRightInd/>
        <w:spacing w:line="880" w:lineRule="exact"/>
        <w:ind w:left="1680" w:leftChars="800"/>
        <w:outlineLvl w:val="9"/>
        <w:rPr>
          <w:color w:val="000000"/>
          <w:sz w:val="32"/>
          <w:szCs w:val="32"/>
          <w:highlight w:val="none"/>
        </w:rPr>
      </w:pPr>
      <w:r>
        <w:rPr>
          <w:rFonts w:hint="eastAsia"/>
          <w:color w:val="000000"/>
          <w:sz w:val="32"/>
          <w:szCs w:val="32"/>
          <w:highlight w:val="none"/>
        </w:rPr>
        <w:t>甲</w:t>
      </w:r>
      <w:r>
        <w:rPr>
          <w:color w:val="000000"/>
          <w:sz w:val="32"/>
          <w:szCs w:val="32"/>
          <w:highlight w:val="none"/>
        </w:rPr>
        <w:t xml:space="preserve">    </w:t>
      </w:r>
      <w:r>
        <w:rPr>
          <w:rFonts w:hint="eastAsia"/>
          <w:color w:val="000000"/>
          <w:sz w:val="32"/>
          <w:szCs w:val="32"/>
          <w:highlight w:val="none"/>
        </w:rPr>
        <w:t>方：</w:t>
      </w:r>
      <w:r>
        <w:rPr>
          <w:color w:val="000000"/>
          <w:sz w:val="32"/>
          <w:szCs w:val="32"/>
          <w:highlight w:val="none"/>
          <w:u w:val="single"/>
        </w:rPr>
        <w:t xml:space="preserve">                             </w:t>
      </w:r>
    </w:p>
    <w:p>
      <w:pPr>
        <w:adjustRightInd/>
        <w:spacing w:line="880" w:lineRule="exact"/>
        <w:ind w:left="1680" w:leftChars="800"/>
        <w:outlineLvl w:val="9"/>
        <w:rPr>
          <w:color w:val="000000"/>
          <w:sz w:val="32"/>
          <w:szCs w:val="32"/>
          <w:highlight w:val="none"/>
          <w:u w:val="single"/>
        </w:rPr>
      </w:pPr>
      <w:r>
        <w:rPr>
          <w:rFonts w:hint="eastAsia"/>
          <w:color w:val="000000"/>
          <w:sz w:val="32"/>
          <w:szCs w:val="32"/>
          <w:highlight w:val="none"/>
        </w:rPr>
        <w:t>乙</w:t>
      </w:r>
      <w:r>
        <w:rPr>
          <w:color w:val="000000"/>
          <w:sz w:val="32"/>
          <w:szCs w:val="32"/>
          <w:highlight w:val="none"/>
        </w:rPr>
        <w:t xml:space="preserve">    </w:t>
      </w:r>
      <w:r>
        <w:rPr>
          <w:rFonts w:hint="eastAsia"/>
          <w:color w:val="000000"/>
          <w:sz w:val="32"/>
          <w:szCs w:val="32"/>
          <w:highlight w:val="none"/>
        </w:rPr>
        <w:t>方：</w:t>
      </w:r>
      <w:r>
        <w:rPr>
          <w:color w:val="000000"/>
          <w:sz w:val="32"/>
          <w:szCs w:val="32"/>
          <w:highlight w:val="none"/>
          <w:u w:val="single"/>
        </w:rPr>
        <w:t xml:space="preserve">                             </w:t>
      </w:r>
    </w:p>
    <w:p>
      <w:pPr>
        <w:wordWrap w:val="0"/>
        <w:topLinePunct/>
        <w:snapToGrid w:val="0"/>
        <w:spacing w:line="880" w:lineRule="exact"/>
        <w:ind w:firstLine="320" w:firstLineChars="100"/>
        <w:jc w:val="center"/>
        <w:rPr>
          <w:rFonts w:hint="eastAsia" w:ascii="宋体" w:hAnsi="宋体" w:cs="宋体"/>
          <w:b/>
          <w:bCs/>
          <w:kern w:val="0"/>
          <w:sz w:val="36"/>
          <w:szCs w:val="36"/>
          <w:highlight w:val="none"/>
        </w:rPr>
      </w:pPr>
      <w:r>
        <w:rPr>
          <w:rFonts w:hint="eastAsia"/>
          <w:color w:val="000000"/>
          <w:sz w:val="32"/>
          <w:szCs w:val="32"/>
          <w:highlight w:val="none"/>
          <w:lang w:val="en-US" w:eastAsia="zh-CN"/>
        </w:rPr>
        <w:t xml:space="preserve"> </w:t>
      </w:r>
      <w:r>
        <w:rPr>
          <w:rFonts w:hint="eastAsia"/>
          <w:color w:val="000000"/>
          <w:sz w:val="32"/>
          <w:szCs w:val="32"/>
          <w:highlight w:val="none"/>
        </w:rPr>
        <w:t>签订时间：</w:t>
      </w:r>
      <w:r>
        <w:rPr>
          <w:color w:val="000000"/>
          <w:sz w:val="32"/>
          <w:szCs w:val="32"/>
          <w:highlight w:val="none"/>
          <w:u w:val="single"/>
        </w:rPr>
        <w:t xml:space="preserve">                             </w:t>
      </w:r>
    </w:p>
    <w:p>
      <w:pPr>
        <w:wordWrap w:val="0"/>
        <w:topLinePunct/>
        <w:snapToGrid w:val="0"/>
        <w:spacing w:line="360" w:lineRule="auto"/>
        <w:jc w:val="center"/>
        <w:rPr>
          <w:rFonts w:hint="eastAsia" w:ascii="宋体" w:hAnsi="宋体" w:cs="宋体"/>
          <w:b/>
          <w:bCs/>
          <w:kern w:val="0"/>
          <w:sz w:val="36"/>
          <w:szCs w:val="36"/>
          <w:highlight w:val="none"/>
        </w:rPr>
      </w:pPr>
    </w:p>
    <w:p>
      <w:pPr>
        <w:wordWrap w:val="0"/>
        <w:topLinePunct/>
        <w:snapToGrid w:val="0"/>
        <w:spacing w:line="360" w:lineRule="auto"/>
        <w:jc w:val="center"/>
        <w:rPr>
          <w:rFonts w:hint="eastAsia" w:ascii="宋体" w:hAnsi="宋体" w:cs="宋体"/>
          <w:b/>
          <w:bCs/>
          <w:kern w:val="0"/>
          <w:sz w:val="36"/>
          <w:szCs w:val="36"/>
          <w:highlight w:val="none"/>
        </w:rPr>
      </w:pPr>
    </w:p>
    <w:p>
      <w:pPr>
        <w:wordWrap w:val="0"/>
        <w:topLinePunct/>
        <w:snapToGrid w:val="0"/>
        <w:spacing w:line="360" w:lineRule="auto"/>
        <w:jc w:val="center"/>
        <w:rPr>
          <w:rFonts w:hint="eastAsia" w:ascii="宋体" w:hAnsi="宋体" w:cs="宋体"/>
          <w:b/>
          <w:bCs/>
          <w:kern w:val="0"/>
          <w:sz w:val="36"/>
          <w:szCs w:val="36"/>
          <w:highlight w:val="none"/>
        </w:rPr>
      </w:pPr>
    </w:p>
    <w:p>
      <w:pPr>
        <w:wordWrap w:val="0"/>
        <w:topLinePunct/>
        <w:snapToGrid w:val="0"/>
        <w:spacing w:line="360" w:lineRule="auto"/>
        <w:jc w:val="center"/>
        <w:rPr>
          <w:rFonts w:hint="eastAsia" w:ascii="宋体" w:hAnsi="宋体" w:cs="宋体"/>
          <w:b/>
          <w:bCs/>
          <w:kern w:val="0"/>
          <w:sz w:val="36"/>
          <w:szCs w:val="36"/>
          <w:highlight w:val="none"/>
        </w:rPr>
      </w:pPr>
    </w:p>
    <w:p>
      <w:pPr>
        <w:wordWrap w:val="0"/>
        <w:topLinePunct/>
        <w:snapToGrid w:val="0"/>
        <w:spacing w:line="360" w:lineRule="auto"/>
        <w:jc w:val="center"/>
        <w:rPr>
          <w:rFonts w:hint="eastAsia" w:ascii="宋体" w:hAnsi="宋体" w:cs="宋体"/>
          <w:b/>
          <w:bCs/>
          <w:kern w:val="0"/>
          <w:sz w:val="36"/>
          <w:szCs w:val="36"/>
          <w:highlight w:val="none"/>
        </w:rPr>
      </w:pPr>
    </w:p>
    <w:p>
      <w:pPr>
        <w:autoSpaceDE w:val="0"/>
        <w:spacing w:line="600" w:lineRule="exact"/>
        <w:ind w:firstLine="630" w:firstLineChars="300"/>
        <w:rPr>
          <w:rFonts w:ascii="宋体" w:hAnsi="宋体"/>
          <w:sz w:val="21"/>
          <w:szCs w:val="21"/>
          <w:highlight w:val="none"/>
        </w:rPr>
      </w:pPr>
      <w:r>
        <w:rPr>
          <w:rFonts w:hint="eastAsia" w:ascii="宋体" w:hAnsi="宋体"/>
          <w:sz w:val="21"/>
          <w:szCs w:val="21"/>
          <w:highlight w:val="none"/>
        </w:rPr>
        <w:t>采购计划号：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p>
    <w:p>
      <w:pPr>
        <w:autoSpaceDE w:val="0"/>
        <w:spacing w:line="600" w:lineRule="exact"/>
        <w:ind w:firstLine="630" w:firstLineChars="300"/>
        <w:rPr>
          <w:rFonts w:hint="eastAsia" w:ascii="宋体" w:hAnsi="宋体"/>
          <w:sz w:val="21"/>
          <w:szCs w:val="21"/>
          <w:highlight w:val="none"/>
        </w:rPr>
      </w:pPr>
      <w:r>
        <w:rPr>
          <w:rFonts w:hint="eastAsia" w:ascii="宋体" w:hAnsi="宋体"/>
          <w:sz w:val="21"/>
          <w:szCs w:val="21"/>
          <w:highlight w:val="none"/>
        </w:rPr>
        <w:t>项目名称：</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专用设备购置                           </w:t>
      </w:r>
      <w:r>
        <w:rPr>
          <w:rFonts w:hint="eastAsia" w:ascii="宋体" w:hAnsi="宋体"/>
          <w:sz w:val="21"/>
          <w:szCs w:val="21"/>
          <w:highlight w:val="none"/>
          <w:u w:val="single"/>
        </w:rPr>
        <w:t xml:space="preserve"> </w:t>
      </w:r>
    </w:p>
    <w:p>
      <w:pPr>
        <w:autoSpaceDE w:val="0"/>
        <w:spacing w:line="600" w:lineRule="exact"/>
        <w:ind w:firstLine="630" w:firstLineChars="300"/>
        <w:rPr>
          <w:rFonts w:hint="eastAsia" w:ascii="宋体" w:hAnsi="宋体"/>
          <w:sz w:val="21"/>
          <w:szCs w:val="21"/>
          <w:highlight w:val="none"/>
          <w:u w:val="single"/>
        </w:rPr>
      </w:pPr>
      <w:r>
        <w:rPr>
          <w:rFonts w:hint="eastAsia" w:ascii="宋体" w:hAnsi="宋体"/>
          <w:sz w:val="21"/>
          <w:szCs w:val="21"/>
          <w:highlight w:val="none"/>
        </w:rPr>
        <w:t>项目编号：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p>
    <w:p>
      <w:pPr>
        <w:autoSpaceDE w:val="0"/>
        <w:spacing w:line="600" w:lineRule="exact"/>
        <w:ind w:firstLine="630" w:firstLineChars="300"/>
        <w:rPr>
          <w:rFonts w:hint="eastAsia" w:ascii="宋体" w:hAnsi="宋体"/>
          <w:sz w:val="21"/>
          <w:szCs w:val="21"/>
          <w:highlight w:val="none"/>
        </w:rPr>
      </w:pPr>
      <w:r>
        <w:rPr>
          <w:rFonts w:hint="eastAsia" w:ascii="宋体" w:hAnsi="宋体"/>
          <w:sz w:val="21"/>
          <w:szCs w:val="21"/>
          <w:highlight w:val="none"/>
        </w:rPr>
        <w:t>签订地点：</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广西北海市                     </w:t>
      </w:r>
      <w:r>
        <w:rPr>
          <w:rFonts w:hint="eastAsia" w:ascii="宋体" w:hAnsi="宋体"/>
          <w:sz w:val="21"/>
          <w:szCs w:val="21"/>
          <w:highlight w:val="none"/>
          <w:u w:val="single"/>
        </w:rPr>
        <w:t xml:space="preserve"> </w:t>
      </w:r>
    </w:p>
    <w:p>
      <w:pPr>
        <w:autoSpaceDE w:val="0"/>
        <w:spacing w:line="600" w:lineRule="exact"/>
        <w:ind w:firstLine="630" w:firstLineChars="300"/>
        <w:rPr>
          <w:rFonts w:hint="eastAsia" w:ascii="宋体" w:hAnsi="宋体"/>
          <w:sz w:val="21"/>
          <w:szCs w:val="21"/>
          <w:highlight w:val="none"/>
        </w:rPr>
      </w:pPr>
      <w:r>
        <w:rPr>
          <w:rFonts w:hint="eastAsia" w:ascii="宋体" w:hAnsi="宋体"/>
          <w:sz w:val="21"/>
          <w:szCs w:val="21"/>
          <w:highlight w:val="none"/>
        </w:rPr>
        <w:t>签订时间：</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2026年     月      日</w:t>
      </w:r>
      <w:r>
        <w:rPr>
          <w:rFonts w:hint="eastAsia" w:ascii="宋体" w:hAnsi="宋体"/>
          <w:sz w:val="21"/>
          <w:szCs w:val="21"/>
          <w:highlight w:val="none"/>
          <w:u w:val="single"/>
        </w:rPr>
        <w:t xml:space="preserve">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kern w:val="0"/>
          <w:sz w:val="21"/>
          <w:szCs w:val="21"/>
          <w:highlight w:val="none"/>
        </w:rPr>
        <w:t>甲方（采购人）：</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kern w:val="0"/>
          <w:sz w:val="21"/>
          <w:szCs w:val="21"/>
          <w:highlight w:val="none"/>
          <w:u w:val="single"/>
        </w:rPr>
        <w:t xml:space="preserve">广西壮族自治区海洋环境监测中心站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kern w:val="0"/>
          <w:sz w:val="21"/>
          <w:szCs w:val="21"/>
          <w:highlight w:val="none"/>
        </w:rPr>
        <w:t>住所地：</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广西北海市公园路49号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kern w:val="0"/>
          <w:sz w:val="21"/>
          <w:szCs w:val="21"/>
          <w:highlight w:val="none"/>
        </w:rPr>
        <w:t>法定代表人：</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sz w:val="21"/>
          <w:szCs w:val="21"/>
          <w:highlight w:val="none"/>
        </w:rPr>
        <w:t>通讯地址</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广西北海市公园路49号                </w:t>
      </w:r>
    </w:p>
    <w:p>
      <w:pPr>
        <w:autoSpaceDE w:val="0"/>
        <w:spacing w:line="600" w:lineRule="exact"/>
        <w:ind w:firstLine="630" w:firstLineChars="300"/>
        <w:rPr>
          <w:rFonts w:hint="eastAsia" w:ascii="宋体" w:hAnsi="宋体"/>
          <w:sz w:val="21"/>
          <w:szCs w:val="21"/>
          <w:highlight w:val="none"/>
          <w:u w:val="single"/>
        </w:rPr>
      </w:pPr>
      <w:r>
        <w:rPr>
          <w:rFonts w:hint="eastAsia" w:ascii="宋体" w:hAnsi="宋体"/>
          <w:sz w:val="21"/>
          <w:szCs w:val="21"/>
          <w:highlight w:val="none"/>
        </w:rPr>
        <w:t>联系电话：</w:t>
      </w:r>
      <w:r>
        <w:rPr>
          <w:rFonts w:hint="eastAsia" w:ascii="宋体" w:hAnsi="宋体"/>
          <w:kern w:val="0"/>
          <w:sz w:val="21"/>
          <w:szCs w:val="21"/>
          <w:highlight w:val="none"/>
          <w:u w:val="single"/>
        </w:rPr>
        <w:t xml:space="preserve">                  </w:t>
      </w:r>
      <w:r>
        <w:rPr>
          <w:rFonts w:hint="eastAsia" w:ascii="宋体" w:hAnsi="宋体"/>
          <w:sz w:val="21"/>
          <w:szCs w:val="21"/>
          <w:highlight w:val="none"/>
          <w:u w:val="single"/>
        </w:rPr>
        <w:t>0779-6801868</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sz w:val="21"/>
          <w:szCs w:val="21"/>
          <w:highlight w:val="none"/>
        </w:rPr>
        <w:t>电子邮箱：</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kern w:val="0"/>
          <w:sz w:val="21"/>
          <w:szCs w:val="21"/>
          <w:highlight w:val="none"/>
        </w:rPr>
        <w:t>乙方（供应商）：</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kern w:val="0"/>
          <w:sz w:val="21"/>
          <w:szCs w:val="21"/>
          <w:highlight w:val="none"/>
        </w:rPr>
        <w:t>住所地：</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kern w:val="0"/>
          <w:sz w:val="21"/>
          <w:szCs w:val="21"/>
          <w:highlight w:val="none"/>
        </w:rPr>
        <w:t>法定代表人：</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                     </w:t>
      </w:r>
    </w:p>
    <w:p>
      <w:pPr>
        <w:autoSpaceDE w:val="0"/>
        <w:spacing w:line="600" w:lineRule="exact"/>
        <w:ind w:firstLine="630" w:firstLineChars="300"/>
        <w:rPr>
          <w:rFonts w:hint="eastAsia" w:ascii="宋体" w:hAnsi="宋体"/>
          <w:kern w:val="0"/>
          <w:sz w:val="21"/>
          <w:szCs w:val="21"/>
          <w:highlight w:val="none"/>
          <w:u w:val="single"/>
        </w:rPr>
      </w:pPr>
      <w:r>
        <w:rPr>
          <w:rFonts w:hint="eastAsia" w:ascii="宋体" w:hAnsi="宋体"/>
          <w:sz w:val="21"/>
          <w:szCs w:val="21"/>
          <w:highlight w:val="none"/>
        </w:rPr>
        <w:t>通讯地址：</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p>
    <w:p>
      <w:pPr>
        <w:autoSpaceDE w:val="0"/>
        <w:spacing w:line="600" w:lineRule="exact"/>
        <w:ind w:firstLine="630" w:firstLineChars="300"/>
        <w:rPr>
          <w:rFonts w:hint="eastAsia" w:ascii="宋体" w:hAnsi="宋体"/>
          <w:sz w:val="21"/>
          <w:szCs w:val="21"/>
          <w:highlight w:val="none"/>
          <w:u w:val="single"/>
        </w:rPr>
      </w:pPr>
      <w:r>
        <w:rPr>
          <w:rFonts w:hint="eastAsia" w:ascii="宋体" w:hAnsi="宋体"/>
          <w:sz w:val="21"/>
          <w:szCs w:val="21"/>
          <w:highlight w:val="none"/>
        </w:rPr>
        <w:t>联系电话：</w:t>
      </w:r>
      <w:r>
        <w:rPr>
          <w:rFonts w:hint="eastAsia" w:ascii="宋体" w:hAnsi="宋体"/>
          <w:kern w:val="0"/>
          <w:sz w:val="21"/>
          <w:szCs w:val="21"/>
          <w:highlight w:val="none"/>
          <w:u w:val="single"/>
        </w:rPr>
        <w:t xml:space="preserve">               </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p>
    <w:p>
      <w:pPr>
        <w:autoSpaceDE w:val="0"/>
        <w:spacing w:line="600" w:lineRule="exact"/>
        <w:ind w:firstLine="630" w:firstLineChars="300"/>
        <w:rPr>
          <w:rFonts w:hint="eastAsia" w:ascii="宋体" w:hAnsi="宋体"/>
          <w:sz w:val="21"/>
          <w:szCs w:val="21"/>
          <w:highlight w:val="none"/>
        </w:rPr>
      </w:pPr>
      <w:r>
        <w:rPr>
          <w:rFonts w:hint="eastAsia" w:ascii="宋体" w:hAnsi="宋体"/>
          <w:sz w:val="21"/>
          <w:szCs w:val="21"/>
          <w:highlight w:val="none"/>
        </w:rPr>
        <w:t>电子邮箱：</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hint="eastAsia" w:ascii="宋体" w:hAnsi="宋体"/>
          <w:kern w:val="0"/>
          <w:sz w:val="21"/>
          <w:szCs w:val="21"/>
          <w:highlight w:val="none"/>
          <w:u w:val="single"/>
        </w:rPr>
        <w:t xml:space="preserve">                            </w:t>
      </w:r>
    </w:p>
    <w:p>
      <w:pPr>
        <w:adjustRightInd/>
        <w:spacing w:line="340" w:lineRule="exact"/>
        <w:ind w:firstLine="420" w:firstLineChars="200"/>
        <w:rPr>
          <w:rFonts w:hint="eastAsia" w:ascii="宋体" w:hAnsi="宋体" w:cs="宋体"/>
          <w:szCs w:val="21"/>
          <w:highlight w:val="none"/>
        </w:rPr>
      </w:pP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根据《中华人民共和国政府采购法》、《中华人民共和国民法典》等法律、法规规定，按照竞争性谈判文件规定条款和响应文件及承诺，甲乙双方签订本合同。</w:t>
      </w:r>
    </w:p>
    <w:p>
      <w:pPr>
        <w:adjustRightInd/>
        <w:spacing w:line="340" w:lineRule="exact"/>
        <w:ind w:firstLine="422" w:firstLineChars="200"/>
        <w:rPr>
          <w:rFonts w:ascii="宋体" w:hAnsi="宋体" w:cs="宋体"/>
          <w:b/>
          <w:szCs w:val="21"/>
          <w:highlight w:val="none"/>
        </w:rPr>
      </w:pPr>
      <w:r>
        <w:rPr>
          <w:rFonts w:hint="eastAsia" w:ascii="宋体" w:hAnsi="宋体" w:cs="宋体"/>
          <w:b/>
          <w:szCs w:val="21"/>
          <w:highlight w:val="none"/>
        </w:rPr>
        <w:t>第一条　合同标的</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供货一览表</w:t>
      </w:r>
    </w:p>
    <w:tbl>
      <w:tblPr>
        <w:tblStyle w:val="71"/>
        <w:tblW w:w="9277"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671"/>
        <w:gridCol w:w="994"/>
        <w:gridCol w:w="937"/>
        <w:gridCol w:w="915"/>
        <w:gridCol w:w="645"/>
        <w:gridCol w:w="102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atLeast"/>
        </w:trPr>
        <w:tc>
          <w:tcPr>
            <w:tcW w:w="472"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序号</w:t>
            </w:r>
          </w:p>
        </w:tc>
        <w:tc>
          <w:tcPr>
            <w:tcW w:w="2671"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产品名称</w:t>
            </w:r>
          </w:p>
        </w:tc>
        <w:tc>
          <w:tcPr>
            <w:tcW w:w="994" w:type="dxa"/>
            <w:vAlign w:val="center"/>
          </w:tcPr>
          <w:p>
            <w:pPr>
              <w:adjustRightInd/>
              <w:spacing w:line="360" w:lineRule="exact"/>
              <w:jc w:val="center"/>
              <w:rPr>
                <w:rFonts w:ascii="宋体" w:hAnsi="宋体" w:cs="宋体"/>
                <w:szCs w:val="21"/>
                <w:highlight w:val="none"/>
              </w:rPr>
            </w:pPr>
            <w:r>
              <w:rPr>
                <w:rFonts w:hint="eastAsia" w:ascii="宋体" w:hAnsi="宋体" w:cs="宋体"/>
                <w:spacing w:val="-17"/>
                <w:szCs w:val="21"/>
                <w:highlight w:val="none"/>
              </w:rPr>
              <w:t>生产厂家</w:t>
            </w:r>
          </w:p>
        </w:tc>
        <w:tc>
          <w:tcPr>
            <w:tcW w:w="937"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品牌</w:t>
            </w:r>
          </w:p>
        </w:tc>
        <w:tc>
          <w:tcPr>
            <w:tcW w:w="915"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规格</w:t>
            </w:r>
          </w:p>
          <w:p>
            <w:pPr>
              <w:adjustRightInd/>
              <w:spacing w:line="360" w:lineRule="exact"/>
              <w:jc w:val="center"/>
              <w:rPr>
                <w:rFonts w:ascii="宋体" w:hAnsi="宋体" w:cs="宋体"/>
                <w:szCs w:val="21"/>
                <w:highlight w:val="none"/>
              </w:rPr>
            </w:pPr>
            <w:r>
              <w:rPr>
                <w:rFonts w:hint="eastAsia" w:ascii="宋体" w:hAnsi="宋体" w:cs="宋体"/>
                <w:szCs w:val="21"/>
                <w:highlight w:val="none"/>
              </w:rPr>
              <w:t>型号</w:t>
            </w:r>
          </w:p>
        </w:tc>
        <w:tc>
          <w:tcPr>
            <w:tcW w:w="645"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数量</w:t>
            </w:r>
          </w:p>
        </w:tc>
        <w:tc>
          <w:tcPr>
            <w:tcW w:w="1026"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单位</w:t>
            </w:r>
          </w:p>
        </w:tc>
        <w:tc>
          <w:tcPr>
            <w:tcW w:w="1617"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472"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1</w:t>
            </w:r>
          </w:p>
        </w:tc>
        <w:tc>
          <w:tcPr>
            <w:tcW w:w="2671"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大体积高通量全自动固相萃取仪</w:t>
            </w:r>
          </w:p>
        </w:tc>
        <w:tc>
          <w:tcPr>
            <w:tcW w:w="994" w:type="dxa"/>
            <w:vAlign w:val="center"/>
          </w:tcPr>
          <w:p>
            <w:pPr>
              <w:adjustRightInd/>
              <w:spacing w:line="360" w:lineRule="exact"/>
              <w:jc w:val="center"/>
              <w:textAlignment w:val="center"/>
              <w:rPr>
                <w:rFonts w:ascii="宋体" w:hAnsi="宋体" w:cs="宋体"/>
                <w:szCs w:val="21"/>
                <w:highlight w:val="none"/>
              </w:rPr>
            </w:pPr>
          </w:p>
        </w:tc>
        <w:tc>
          <w:tcPr>
            <w:tcW w:w="937" w:type="dxa"/>
            <w:vAlign w:val="center"/>
          </w:tcPr>
          <w:p>
            <w:pPr>
              <w:adjustRightInd/>
              <w:spacing w:line="360" w:lineRule="exact"/>
              <w:jc w:val="center"/>
              <w:textAlignment w:val="center"/>
              <w:rPr>
                <w:rFonts w:ascii="宋体" w:hAnsi="宋体" w:cs="宋体"/>
                <w:szCs w:val="21"/>
                <w:highlight w:val="none"/>
              </w:rPr>
            </w:pPr>
          </w:p>
        </w:tc>
        <w:tc>
          <w:tcPr>
            <w:tcW w:w="915" w:type="dxa"/>
            <w:vAlign w:val="center"/>
          </w:tcPr>
          <w:p>
            <w:pPr>
              <w:adjustRightInd/>
              <w:spacing w:line="360" w:lineRule="exact"/>
              <w:jc w:val="center"/>
              <w:textAlignment w:val="center"/>
              <w:rPr>
                <w:rFonts w:ascii="宋体" w:hAnsi="宋体" w:cs="宋体"/>
                <w:szCs w:val="21"/>
                <w:highlight w:val="none"/>
              </w:rPr>
            </w:pPr>
          </w:p>
        </w:tc>
        <w:tc>
          <w:tcPr>
            <w:tcW w:w="645" w:type="dxa"/>
            <w:vAlign w:val="center"/>
          </w:tcPr>
          <w:p>
            <w:pPr>
              <w:adjustRightInd/>
              <w:spacing w:line="360" w:lineRule="exact"/>
              <w:jc w:val="center"/>
              <w:textAlignment w:val="center"/>
              <w:rPr>
                <w:rFonts w:ascii="宋体" w:hAnsi="宋体" w:cs="宋体"/>
                <w:szCs w:val="21"/>
                <w:highlight w:val="none"/>
              </w:rPr>
            </w:pPr>
          </w:p>
        </w:tc>
        <w:tc>
          <w:tcPr>
            <w:tcW w:w="1026" w:type="dxa"/>
            <w:vAlign w:val="center"/>
          </w:tcPr>
          <w:p>
            <w:pPr>
              <w:adjustRightInd/>
              <w:spacing w:line="360" w:lineRule="exact"/>
              <w:jc w:val="center"/>
              <w:textAlignment w:val="center"/>
              <w:rPr>
                <w:rFonts w:ascii="宋体" w:hAnsi="宋体" w:cs="宋体"/>
                <w:szCs w:val="21"/>
                <w:highlight w:val="none"/>
              </w:rPr>
            </w:pPr>
          </w:p>
        </w:tc>
        <w:tc>
          <w:tcPr>
            <w:tcW w:w="1617" w:type="dxa"/>
            <w:vAlign w:val="center"/>
          </w:tcPr>
          <w:p>
            <w:pPr>
              <w:adjustRightInd/>
              <w:spacing w:line="360" w:lineRule="exact"/>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472"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2</w:t>
            </w:r>
          </w:p>
        </w:tc>
        <w:tc>
          <w:tcPr>
            <w:tcW w:w="2671" w:type="dxa"/>
            <w:shd w:val="clear" w:color="auto" w:fill="auto"/>
            <w:vAlign w:val="center"/>
          </w:tcPr>
          <w:p>
            <w:pPr>
              <w:adjustRightInd/>
              <w:spacing w:line="360" w:lineRule="exact"/>
              <w:jc w:val="center"/>
              <w:rPr>
                <w:rFonts w:ascii="宋体" w:hAnsi="宋体" w:cs="宋体"/>
                <w:szCs w:val="21"/>
                <w:highlight w:val="none"/>
              </w:rPr>
            </w:pPr>
            <w:r>
              <w:rPr>
                <w:rFonts w:hint="eastAsia" w:asciiTheme="minorEastAsia" w:hAnsiTheme="minorEastAsia" w:eastAsiaTheme="minorEastAsia"/>
                <w:szCs w:val="21"/>
                <w:highlight w:val="none"/>
              </w:rPr>
              <w:t>便携式重金属测定仪</w:t>
            </w:r>
          </w:p>
        </w:tc>
        <w:tc>
          <w:tcPr>
            <w:tcW w:w="994" w:type="dxa"/>
            <w:vAlign w:val="center"/>
          </w:tcPr>
          <w:p>
            <w:pPr>
              <w:adjustRightInd/>
              <w:spacing w:line="360" w:lineRule="exact"/>
              <w:jc w:val="center"/>
              <w:textAlignment w:val="center"/>
              <w:rPr>
                <w:rFonts w:ascii="宋体" w:hAnsi="宋体" w:cs="宋体"/>
                <w:szCs w:val="21"/>
                <w:highlight w:val="none"/>
              </w:rPr>
            </w:pPr>
          </w:p>
        </w:tc>
        <w:tc>
          <w:tcPr>
            <w:tcW w:w="937" w:type="dxa"/>
            <w:vAlign w:val="center"/>
          </w:tcPr>
          <w:p>
            <w:pPr>
              <w:adjustRightInd/>
              <w:spacing w:line="360" w:lineRule="exact"/>
              <w:jc w:val="center"/>
              <w:textAlignment w:val="center"/>
              <w:rPr>
                <w:rFonts w:ascii="宋体" w:hAnsi="宋体" w:cs="宋体"/>
                <w:szCs w:val="21"/>
                <w:highlight w:val="none"/>
              </w:rPr>
            </w:pPr>
          </w:p>
        </w:tc>
        <w:tc>
          <w:tcPr>
            <w:tcW w:w="915" w:type="dxa"/>
            <w:vAlign w:val="center"/>
          </w:tcPr>
          <w:p>
            <w:pPr>
              <w:adjustRightInd/>
              <w:spacing w:line="360" w:lineRule="exact"/>
              <w:jc w:val="center"/>
              <w:textAlignment w:val="center"/>
              <w:rPr>
                <w:rFonts w:ascii="宋体" w:hAnsi="宋体" w:cs="宋体"/>
                <w:szCs w:val="21"/>
                <w:highlight w:val="none"/>
              </w:rPr>
            </w:pPr>
          </w:p>
        </w:tc>
        <w:tc>
          <w:tcPr>
            <w:tcW w:w="645" w:type="dxa"/>
            <w:vAlign w:val="center"/>
          </w:tcPr>
          <w:p>
            <w:pPr>
              <w:adjustRightInd/>
              <w:spacing w:line="360" w:lineRule="exact"/>
              <w:jc w:val="center"/>
              <w:textAlignment w:val="center"/>
              <w:rPr>
                <w:rFonts w:ascii="宋体" w:hAnsi="宋体" w:cs="宋体"/>
                <w:szCs w:val="21"/>
                <w:highlight w:val="none"/>
              </w:rPr>
            </w:pPr>
          </w:p>
        </w:tc>
        <w:tc>
          <w:tcPr>
            <w:tcW w:w="1026" w:type="dxa"/>
            <w:vAlign w:val="center"/>
          </w:tcPr>
          <w:p>
            <w:pPr>
              <w:adjustRightInd/>
              <w:spacing w:line="360" w:lineRule="exact"/>
              <w:jc w:val="center"/>
              <w:textAlignment w:val="center"/>
              <w:rPr>
                <w:rFonts w:ascii="宋体" w:hAnsi="宋体" w:cs="宋体"/>
                <w:szCs w:val="21"/>
                <w:highlight w:val="none"/>
              </w:rPr>
            </w:pPr>
          </w:p>
        </w:tc>
        <w:tc>
          <w:tcPr>
            <w:tcW w:w="1617" w:type="dxa"/>
            <w:vAlign w:val="center"/>
          </w:tcPr>
          <w:p>
            <w:pPr>
              <w:adjustRightInd/>
              <w:spacing w:line="360" w:lineRule="exact"/>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472"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3</w:t>
            </w:r>
          </w:p>
        </w:tc>
        <w:tc>
          <w:tcPr>
            <w:tcW w:w="2671" w:type="dxa"/>
            <w:shd w:val="clear" w:color="auto" w:fill="auto"/>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连续流动分析仪</w:t>
            </w:r>
          </w:p>
        </w:tc>
        <w:tc>
          <w:tcPr>
            <w:tcW w:w="994" w:type="dxa"/>
            <w:vAlign w:val="center"/>
          </w:tcPr>
          <w:p>
            <w:pPr>
              <w:adjustRightInd/>
              <w:spacing w:line="360" w:lineRule="exact"/>
              <w:jc w:val="center"/>
              <w:textAlignment w:val="center"/>
              <w:rPr>
                <w:rFonts w:ascii="宋体" w:hAnsi="宋体" w:cs="宋体"/>
                <w:szCs w:val="21"/>
                <w:highlight w:val="none"/>
              </w:rPr>
            </w:pPr>
          </w:p>
        </w:tc>
        <w:tc>
          <w:tcPr>
            <w:tcW w:w="937" w:type="dxa"/>
            <w:vAlign w:val="center"/>
          </w:tcPr>
          <w:p>
            <w:pPr>
              <w:adjustRightInd/>
              <w:spacing w:line="360" w:lineRule="exact"/>
              <w:jc w:val="center"/>
              <w:textAlignment w:val="center"/>
              <w:rPr>
                <w:rFonts w:ascii="宋体" w:hAnsi="宋体" w:cs="宋体"/>
                <w:szCs w:val="21"/>
                <w:highlight w:val="none"/>
              </w:rPr>
            </w:pPr>
          </w:p>
        </w:tc>
        <w:tc>
          <w:tcPr>
            <w:tcW w:w="915" w:type="dxa"/>
            <w:vAlign w:val="center"/>
          </w:tcPr>
          <w:p>
            <w:pPr>
              <w:adjustRightInd/>
              <w:spacing w:line="360" w:lineRule="exact"/>
              <w:jc w:val="center"/>
              <w:textAlignment w:val="center"/>
              <w:rPr>
                <w:rFonts w:ascii="宋体" w:hAnsi="宋体" w:cs="宋体"/>
                <w:szCs w:val="21"/>
                <w:highlight w:val="none"/>
              </w:rPr>
            </w:pPr>
          </w:p>
        </w:tc>
        <w:tc>
          <w:tcPr>
            <w:tcW w:w="645" w:type="dxa"/>
            <w:vAlign w:val="center"/>
          </w:tcPr>
          <w:p>
            <w:pPr>
              <w:adjustRightInd/>
              <w:spacing w:line="360" w:lineRule="exact"/>
              <w:jc w:val="center"/>
              <w:textAlignment w:val="center"/>
              <w:rPr>
                <w:rFonts w:ascii="宋体" w:hAnsi="宋体" w:cs="宋体"/>
                <w:szCs w:val="21"/>
                <w:highlight w:val="none"/>
              </w:rPr>
            </w:pPr>
          </w:p>
        </w:tc>
        <w:tc>
          <w:tcPr>
            <w:tcW w:w="1026" w:type="dxa"/>
            <w:vAlign w:val="center"/>
          </w:tcPr>
          <w:p>
            <w:pPr>
              <w:adjustRightInd/>
              <w:spacing w:line="360" w:lineRule="exact"/>
              <w:jc w:val="center"/>
              <w:textAlignment w:val="center"/>
              <w:rPr>
                <w:rFonts w:ascii="宋体" w:hAnsi="宋体" w:cs="宋体"/>
                <w:szCs w:val="21"/>
                <w:highlight w:val="none"/>
              </w:rPr>
            </w:pPr>
          </w:p>
        </w:tc>
        <w:tc>
          <w:tcPr>
            <w:tcW w:w="1617" w:type="dxa"/>
            <w:vAlign w:val="center"/>
          </w:tcPr>
          <w:p>
            <w:pPr>
              <w:adjustRightInd/>
              <w:spacing w:line="360" w:lineRule="exact"/>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472"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4</w:t>
            </w:r>
          </w:p>
        </w:tc>
        <w:tc>
          <w:tcPr>
            <w:tcW w:w="2671" w:type="dxa"/>
            <w:vAlign w:val="center"/>
          </w:tcPr>
          <w:p>
            <w:pPr>
              <w:adjustRightInd/>
              <w:spacing w:line="360" w:lineRule="exact"/>
              <w:jc w:val="center"/>
              <w:rPr>
                <w:rFonts w:ascii="宋体" w:hAnsi="宋体" w:cs="宋体"/>
                <w:szCs w:val="21"/>
                <w:highlight w:val="none"/>
              </w:rPr>
            </w:pPr>
            <w:r>
              <w:rPr>
                <w:rFonts w:hint="eastAsia" w:ascii="宋体" w:hAnsi="宋体" w:cs="宋体"/>
                <w:szCs w:val="21"/>
                <w:highlight w:val="none"/>
              </w:rPr>
              <w:t>纯水/超纯水一体化机</w:t>
            </w:r>
          </w:p>
        </w:tc>
        <w:tc>
          <w:tcPr>
            <w:tcW w:w="994" w:type="dxa"/>
            <w:vAlign w:val="center"/>
          </w:tcPr>
          <w:p>
            <w:pPr>
              <w:adjustRightInd/>
              <w:spacing w:line="360" w:lineRule="exact"/>
              <w:jc w:val="center"/>
              <w:textAlignment w:val="center"/>
              <w:rPr>
                <w:rFonts w:ascii="宋体" w:hAnsi="宋体" w:cs="宋体"/>
                <w:szCs w:val="21"/>
                <w:highlight w:val="none"/>
              </w:rPr>
            </w:pPr>
          </w:p>
        </w:tc>
        <w:tc>
          <w:tcPr>
            <w:tcW w:w="937" w:type="dxa"/>
            <w:vAlign w:val="center"/>
          </w:tcPr>
          <w:p>
            <w:pPr>
              <w:adjustRightInd/>
              <w:spacing w:line="360" w:lineRule="exact"/>
              <w:jc w:val="center"/>
              <w:textAlignment w:val="center"/>
              <w:rPr>
                <w:rFonts w:ascii="宋体" w:hAnsi="宋体" w:cs="宋体"/>
                <w:szCs w:val="21"/>
                <w:highlight w:val="none"/>
              </w:rPr>
            </w:pPr>
          </w:p>
        </w:tc>
        <w:tc>
          <w:tcPr>
            <w:tcW w:w="915" w:type="dxa"/>
            <w:vAlign w:val="center"/>
          </w:tcPr>
          <w:p>
            <w:pPr>
              <w:adjustRightInd/>
              <w:spacing w:line="360" w:lineRule="exact"/>
              <w:jc w:val="center"/>
              <w:textAlignment w:val="center"/>
              <w:rPr>
                <w:rFonts w:ascii="宋体" w:hAnsi="宋体" w:cs="宋体"/>
                <w:szCs w:val="21"/>
                <w:highlight w:val="none"/>
              </w:rPr>
            </w:pPr>
          </w:p>
        </w:tc>
        <w:tc>
          <w:tcPr>
            <w:tcW w:w="645" w:type="dxa"/>
            <w:vAlign w:val="center"/>
          </w:tcPr>
          <w:p>
            <w:pPr>
              <w:adjustRightInd/>
              <w:spacing w:line="360" w:lineRule="exact"/>
              <w:jc w:val="center"/>
              <w:textAlignment w:val="center"/>
              <w:rPr>
                <w:rFonts w:ascii="宋体" w:hAnsi="宋体" w:cs="宋体"/>
                <w:szCs w:val="21"/>
                <w:highlight w:val="none"/>
              </w:rPr>
            </w:pPr>
          </w:p>
        </w:tc>
        <w:tc>
          <w:tcPr>
            <w:tcW w:w="1026" w:type="dxa"/>
            <w:vAlign w:val="center"/>
          </w:tcPr>
          <w:p>
            <w:pPr>
              <w:adjustRightInd/>
              <w:spacing w:line="360" w:lineRule="exact"/>
              <w:jc w:val="center"/>
              <w:textAlignment w:val="center"/>
              <w:rPr>
                <w:rFonts w:ascii="宋体" w:hAnsi="宋体" w:cs="宋体"/>
                <w:szCs w:val="21"/>
                <w:highlight w:val="none"/>
              </w:rPr>
            </w:pPr>
          </w:p>
        </w:tc>
        <w:tc>
          <w:tcPr>
            <w:tcW w:w="1617" w:type="dxa"/>
            <w:vAlign w:val="center"/>
          </w:tcPr>
          <w:p>
            <w:pPr>
              <w:adjustRightInd/>
              <w:spacing w:line="360" w:lineRule="exact"/>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277" w:type="dxa"/>
            <w:gridSpan w:val="8"/>
            <w:vAlign w:val="center"/>
          </w:tcPr>
          <w:p>
            <w:pPr>
              <w:adjustRightInd/>
              <w:spacing w:line="360" w:lineRule="exact"/>
              <w:rPr>
                <w:rFonts w:ascii="宋体" w:hAnsi="宋体" w:cs="宋体"/>
                <w:szCs w:val="21"/>
                <w:highlight w:val="none"/>
              </w:rPr>
            </w:pPr>
            <w:r>
              <w:rPr>
                <w:rFonts w:hint="eastAsia" w:ascii="宋体" w:hAnsi="宋体" w:cs="宋体"/>
                <w:szCs w:val="21"/>
                <w:highlight w:val="none"/>
              </w:rPr>
              <w:t>合同</w:t>
            </w:r>
            <w:r>
              <w:rPr>
                <w:rFonts w:hint="eastAsia" w:ascii="宋体" w:hAnsi="宋体" w:cs="宋体"/>
                <w:szCs w:val="21"/>
                <w:highlight w:val="none"/>
                <w:lang w:eastAsia="zh-CN"/>
              </w:rPr>
              <w:t>合计</w:t>
            </w:r>
            <w:r>
              <w:rPr>
                <w:rFonts w:hint="eastAsia" w:ascii="宋体" w:hAnsi="宋体" w:cs="宋体"/>
                <w:szCs w:val="21"/>
                <w:highlight w:val="none"/>
              </w:rPr>
              <w:t>金额：人民币</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p>
        </w:tc>
      </w:tr>
    </w:tbl>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合同合计金额包括货物到达甲方并能正常使用所需的一切费用，包括但不限于采购货物的货物购置费、质保费</w:t>
      </w:r>
      <w:r>
        <w:rPr>
          <w:rFonts w:hint="eastAsia" w:ascii="宋体" w:hAnsi="宋体" w:cs="宋体"/>
          <w:bCs/>
          <w:szCs w:val="21"/>
          <w:highlight w:val="none"/>
        </w:rPr>
        <w:t>、</w:t>
      </w:r>
      <w:r>
        <w:rPr>
          <w:rFonts w:hint="eastAsia" w:ascii="宋体" w:hAnsi="宋体" w:cs="宋体"/>
          <w:szCs w:val="21"/>
          <w:highlight w:val="none"/>
        </w:rPr>
        <w:t>软件</w:t>
      </w:r>
      <w:r>
        <w:rPr>
          <w:rFonts w:hint="eastAsia" w:ascii="宋体" w:hAnsi="宋体" w:cs="宋体"/>
          <w:bCs/>
          <w:szCs w:val="21"/>
          <w:highlight w:val="none"/>
        </w:rPr>
        <w:t>升级服务</w:t>
      </w:r>
      <w:r>
        <w:rPr>
          <w:rFonts w:hint="eastAsia" w:ascii="宋体" w:hAnsi="宋体" w:cs="宋体"/>
          <w:szCs w:val="21"/>
          <w:highlight w:val="none"/>
        </w:rPr>
        <w:t>费</w:t>
      </w:r>
      <w:r>
        <w:rPr>
          <w:rFonts w:hint="eastAsia" w:ascii="宋体" w:hAnsi="宋体" w:cs="宋体"/>
          <w:bCs/>
          <w:szCs w:val="21"/>
          <w:highlight w:val="none"/>
        </w:rPr>
        <w:t>、</w:t>
      </w:r>
      <w:r>
        <w:rPr>
          <w:rFonts w:hint="eastAsia" w:ascii="宋体" w:hAnsi="宋体" w:cs="宋体"/>
          <w:szCs w:val="21"/>
          <w:highlight w:val="none"/>
        </w:rPr>
        <w:t>售后服务费及将货物运至指定地点所发生的运输费、装卸费、安装调试费、人工费等货物伴随服务的费用以及辅助服务费用、包装费、保险费、技术服务费、</w:t>
      </w:r>
      <w:r>
        <w:rPr>
          <w:rFonts w:hint="eastAsia" w:ascii="宋体" w:hAnsi="宋体" w:cs="宋体"/>
          <w:szCs w:val="21"/>
          <w:highlight w:val="none"/>
          <w:lang w:val="zh-CN"/>
        </w:rPr>
        <w:t>验收、</w:t>
      </w:r>
      <w:r>
        <w:rPr>
          <w:rFonts w:hint="eastAsia" w:ascii="宋体" w:hAnsi="宋体" w:cs="宋体"/>
          <w:szCs w:val="21"/>
          <w:highlight w:val="none"/>
        </w:rPr>
        <w:t>培训费、保修费、售后服务、采购代理服务费和所需缴纳的一切相关税、费等与本项目有关的可预见及不可预见的一切成本和费用的总合。除本项目合同价款及甲方认可的特殊情况外，甲方不再为本项目另付任何费用给乙方。</w:t>
      </w:r>
    </w:p>
    <w:p>
      <w:pPr>
        <w:adjustRightInd/>
        <w:spacing w:line="340" w:lineRule="exact"/>
        <w:ind w:firstLine="422" w:firstLineChars="200"/>
        <w:rPr>
          <w:rFonts w:ascii="宋体" w:hAnsi="宋体" w:cs="宋体"/>
          <w:b/>
          <w:szCs w:val="21"/>
          <w:highlight w:val="none"/>
        </w:rPr>
      </w:pPr>
      <w:r>
        <w:rPr>
          <w:rFonts w:hint="eastAsia" w:ascii="宋体" w:hAnsi="宋体" w:cs="宋体"/>
          <w:b/>
          <w:szCs w:val="21"/>
          <w:highlight w:val="none"/>
        </w:rPr>
        <w:t>第二条　质量保证</w:t>
      </w:r>
    </w:p>
    <w:p>
      <w:pPr>
        <w:adjustRightInd/>
        <w:spacing w:line="340" w:lineRule="exact"/>
        <w:ind w:firstLine="420" w:firstLineChars="200"/>
        <w:rPr>
          <w:rFonts w:hint="eastAsia" w:ascii="宋体" w:hAnsi="宋体" w:cs="宋体"/>
          <w:b w:val="0"/>
          <w:bCs/>
          <w:szCs w:val="21"/>
          <w:highlight w:val="none"/>
          <w:lang w:val="en-US" w:eastAsia="zh-CN"/>
        </w:rPr>
      </w:pPr>
      <w:r>
        <w:rPr>
          <w:rFonts w:hint="eastAsia" w:ascii="宋体" w:hAnsi="宋体" w:cs="宋体"/>
          <w:b w:val="0"/>
          <w:bCs/>
          <w:szCs w:val="21"/>
          <w:highlight w:val="none"/>
          <w:lang w:val="en-US" w:eastAsia="zh-CN"/>
        </w:rPr>
        <w:t>1.质量达到国家验收合格标准。</w:t>
      </w:r>
    </w:p>
    <w:p>
      <w:pPr>
        <w:adjustRightInd/>
        <w:spacing w:line="340" w:lineRule="exact"/>
        <w:ind w:firstLine="420" w:firstLineChars="200"/>
        <w:rPr>
          <w:rFonts w:hint="eastAsia" w:ascii="宋体" w:hAnsi="宋体" w:cs="宋体"/>
          <w:b w:val="0"/>
          <w:bCs/>
          <w:szCs w:val="21"/>
          <w:highlight w:val="none"/>
          <w:lang w:val="en-US" w:eastAsia="zh-CN"/>
        </w:rPr>
      </w:pPr>
      <w:r>
        <w:rPr>
          <w:rFonts w:hint="eastAsia" w:ascii="宋体" w:hAnsi="宋体" w:cs="宋体"/>
          <w:b w:val="0"/>
          <w:bCs/>
          <w:szCs w:val="21"/>
          <w:highlight w:val="none"/>
          <w:lang w:val="en-US" w:eastAsia="zh-CN"/>
        </w:rPr>
        <w:t>2.乙方所提供的货物型号、技术规格、技术参数等质量必须与采购文件要求、响应文件和承诺相一致，并符合国家标准和行业标准对货物质量的规定。未制定国家标准、行业标准的，按照通常标准或者符合合同目的的特定标准确定，符合保障人体健康和人身、财产安全的要求。</w:t>
      </w:r>
    </w:p>
    <w:p>
      <w:pPr>
        <w:adjustRightInd/>
        <w:spacing w:line="340" w:lineRule="exact"/>
        <w:ind w:firstLine="420" w:firstLineChars="200"/>
        <w:rPr>
          <w:rFonts w:hint="eastAsia" w:ascii="宋体" w:hAnsi="宋体" w:cs="宋体"/>
          <w:b w:val="0"/>
          <w:bCs/>
          <w:szCs w:val="21"/>
          <w:highlight w:val="none"/>
          <w:lang w:val="en-US" w:eastAsia="zh-CN"/>
        </w:rPr>
      </w:pPr>
      <w:r>
        <w:rPr>
          <w:rFonts w:hint="eastAsia" w:ascii="宋体" w:hAnsi="宋体" w:cs="宋体"/>
          <w:b w:val="0"/>
          <w:bCs/>
          <w:szCs w:val="21"/>
          <w:highlight w:val="none"/>
          <w:lang w:val="en-US" w:eastAsia="zh-CN"/>
        </w:rPr>
        <w:t>3.乙方所提供的货物必须是全新、未使用的原装产品，且在正常安装、使用和保养条件下，其使用寿命期内各项指标均达到质量要求。</w:t>
      </w:r>
    </w:p>
    <w:p>
      <w:pPr>
        <w:adjustRightInd/>
        <w:spacing w:line="340" w:lineRule="exact"/>
        <w:ind w:firstLine="420" w:firstLineChars="200"/>
        <w:rPr>
          <w:rFonts w:hint="eastAsia" w:ascii="宋体" w:hAnsi="宋体" w:cs="宋体"/>
          <w:b w:val="0"/>
          <w:bCs/>
          <w:szCs w:val="21"/>
          <w:highlight w:val="none"/>
          <w:lang w:val="en-US" w:eastAsia="zh-CN"/>
        </w:rPr>
      </w:pPr>
      <w:r>
        <w:rPr>
          <w:rFonts w:hint="eastAsia" w:ascii="宋体" w:hAnsi="宋体" w:cs="宋体"/>
          <w:b w:val="0"/>
          <w:bCs/>
          <w:szCs w:val="21"/>
          <w:highlight w:val="none"/>
          <w:lang w:val="en-US" w:eastAsia="zh-CN"/>
        </w:rPr>
        <w:t>4.测试及检验：检验和测试在产品使用地进行；如果任何被检验或测试的产品不能满足采购要求的，甲方可以拒绝接受该产品，乙方需承担被甲方终止合同的一切风险和费用。</w:t>
      </w:r>
    </w:p>
    <w:p>
      <w:pPr>
        <w:adjustRightInd/>
        <w:spacing w:line="340" w:lineRule="exact"/>
        <w:ind w:firstLine="422" w:firstLineChars="200"/>
        <w:rPr>
          <w:rFonts w:ascii="宋体" w:hAnsi="宋体" w:cs="宋体"/>
          <w:bCs/>
          <w:szCs w:val="21"/>
          <w:highlight w:val="none"/>
        </w:rPr>
      </w:pPr>
      <w:r>
        <w:rPr>
          <w:rFonts w:hint="eastAsia" w:ascii="宋体" w:hAnsi="宋体" w:cs="宋体"/>
          <w:b/>
          <w:szCs w:val="21"/>
          <w:highlight w:val="none"/>
        </w:rPr>
        <w:t>第三条　权利保证</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乙方应保证所提供货物在使用时不会侵犯任何第三方的专利权、商标权、工业设计权或者其他权利。如乙方违反上述规定，则乙方应负责消除甲方拥有并使用乙方交付的货物、软件、技术资料等所存在的全部法律障碍，并赔偿甲方的损失。如甲方因使用乙方交付的货物构成侵权的，则由乙方承担全部责任。</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2.乙方应按招标文件规定或者投标文件承诺的时间向甲方提供使用货物的有关技术资料。</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4.乙方保证将要交付的货物的所有权完全属于乙方且无任何抵押、质押、查封等产权瑕疵。</w:t>
      </w:r>
    </w:p>
    <w:p>
      <w:pPr>
        <w:adjustRightInd/>
        <w:spacing w:line="340" w:lineRule="exact"/>
        <w:ind w:firstLine="422" w:firstLineChars="200"/>
        <w:rPr>
          <w:rFonts w:ascii="宋体" w:hAnsi="宋体" w:cs="宋体"/>
          <w:b/>
          <w:bCs/>
          <w:szCs w:val="21"/>
          <w:highlight w:val="none"/>
        </w:rPr>
      </w:pPr>
      <w:r>
        <w:rPr>
          <w:rFonts w:hint="eastAsia" w:ascii="宋体" w:hAnsi="宋体" w:cs="宋体"/>
          <w:b/>
          <w:bCs/>
          <w:szCs w:val="21"/>
          <w:highlight w:val="none"/>
        </w:rPr>
        <w:t>第四条　包装和运输</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乙方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乙方承担由于其包装或其防护措施不妥而引起货物锈蚀、损坏或丢失的任何损失的责任或费用。乙方提供的货物均应按招标文件规定或者投标文件承诺的要求的包装材料、包装标准、包装方式进行包装，有原厂家包装的均应采用原厂家包装，每一包装单元内应附详细的装箱单和质量合格证。</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2.货物的运输方式：不限，乙方应采用保证货物安全的运输方式进行运输，运费、装卸费等由乙方承担，由于包装或运输不当所造成的损坏或损失均由乙方承担。</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3.货物的包装应适于长途运输和反复装卸，并且乙方应根据货物不同的特性和要求采取防潮、防雨、防锈、防震、防腐等保护措施，以保证货物安全无损地到达甲方指定地点。</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4.乙方在货物发运手续办理完毕后24小时内或者货到甲方48小时前通知甲方，以准备接货。</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5.货物应在规定的交付期限内由乙方送达甲方指定的地点，乙方同时需通知甲方货物已送达。</w:t>
      </w:r>
    </w:p>
    <w:p>
      <w:pPr>
        <w:adjustRightInd/>
        <w:spacing w:line="340" w:lineRule="exact"/>
        <w:ind w:firstLine="422" w:firstLineChars="200"/>
        <w:rPr>
          <w:rFonts w:ascii="宋体" w:hAnsi="宋体" w:cs="宋体"/>
          <w:szCs w:val="21"/>
          <w:highlight w:val="none"/>
        </w:rPr>
      </w:pPr>
      <w:r>
        <w:rPr>
          <w:rFonts w:hint="eastAsia" w:ascii="宋体" w:hAnsi="宋体" w:cs="宋体"/>
          <w:b/>
          <w:bCs/>
          <w:szCs w:val="21"/>
          <w:highlight w:val="none"/>
        </w:rPr>
        <w:t>第五条　交付和验收</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交付时间：</w:t>
      </w:r>
      <w:r>
        <w:rPr>
          <w:rFonts w:hint="eastAsia" w:ascii="宋体" w:hAnsi="宋体" w:cs="宋体"/>
          <w:szCs w:val="21"/>
          <w:highlight w:val="none"/>
          <w:u w:val="single"/>
        </w:rPr>
        <w:t>自签订合同之日起</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天内完成货物采购及安装、调试，通过验收并交付使用。</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交付地点：</w:t>
      </w:r>
      <w:r>
        <w:rPr>
          <w:rFonts w:hint="eastAsia" w:ascii="宋体" w:hAnsi="宋体" w:cs="宋体"/>
          <w:szCs w:val="21"/>
          <w:highlight w:val="none"/>
          <w:u w:val="single"/>
        </w:rPr>
        <w:t xml:space="preserve"> 甲方指定地点</w:t>
      </w:r>
      <w:bookmarkStart w:id="93" w:name="_GoBack"/>
      <w:bookmarkEnd w:id="93"/>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3.本合同中所称的交付，指货物安装调试完毕后的交付。如无需安装调试，货物运至甲方指定地点，甲方或甲方指定的第三人签署接收单后即为交付。</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4.乙方提供不符合招标文件规定或者投标文件承诺的和本合同规定的货物，甲方有权拒绝接受。</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5.乙方在交付货物的同时需向甲方提供有关货物的附随资料，包括但不限于：货物目录、装箱清单、用户手册、质量合格证书、质保证书、安装图纸、使用说明书、技术资料、原厂保修卡、工具和备品、备件等，货物属于进口产品的，供货时应同时附上货物原装进口的有关凭证和中文使用说明书，如有缺失应在合理的规定时间内补齐，否则视为逾期交货。</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6.货物需要安装调试的，乙方应在货物运到甲方指定地点后3个工作日内，按照甲方的要求完成货物的安装调试并向甲方交付。</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7.甲方应当在到货（安装、调试完）后七个工作日内进行验收，逾期不验收的，乙方可视同验收合格。验收合格后由甲乙双方签署货物验收合格单并加盖甲方公章，甲乙双方各执一份。</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8.甲方对乙方提交的货物依据招标文件上的技术规格要求、投标文件及承诺、国家有关质量标准进行现场初步验收，外观、说明书符合要求的，给予签收，初步验收不合格的不予签收。</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9.乙方交货前应对货物作出全面检查和对验收文件进行整理，并列出清单，作为甲方收货验收和使用的技术条件依据，检验的结果应随货物交甲方。</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10.甲方对乙方提供的货物在使用前进行调试时，乙方需负责安装并培训甲方的使用操作人员，并协助甲方一起调试，直到符合技术要求，甲方才做最终验收。</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11.对技术复杂的货物，甲方应请国家认可的专业检测机构参与初步验收及最终验收，并由其出具质量检测报告。</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12.验收时乙方必须在现场，验收完毕后作出验收结果报告；验收费用由乙方负责承担。</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13.甲方在验收过程中发现乙方提供的货物不满足招标文件、投标文件及合同规定的，可暂缓资金结算，直到乙方及时改正并经甲方验收合格后，方可办理资金结算事宜。</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14.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第六条 售后服务、服务质量保证期及培训</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1.乙方应按招标文件规定的产品名称、商标品牌、生产厂家、规格型号、技术参数、质量标准向甲方提供未经使用的全新产品。不符合要求的，根据实际情况，经甲乙双方协商，可按以下办法处理：</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（1）更换：由乙方承担所发生的全部费用。</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（2）贬值处理：由甲乙双方合议定价。</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（3）退货处理：乙方应退还甲方支付的合同款，同时应承担该货物的直接费用（运输、保险、检验、货款利息及银行手续费等）。</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2.乙方应按照国家有关法律法规、投标文件和合同所附的《售后服务承诺》要求为甲方提供相应的售后服务。</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3.在质保期内，乙方应对货物出现的质量及安全问题负责处理解决并承担一切费用。</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质保期为自货物交付并验收合格签署验收合格单之日起365日。货物自身有质保期且该质保期超过约定质保期的，按照货物质保期计算，货物自身的质保期比约定的质保期短的，按约定的质保期计算。</w:t>
      </w:r>
    </w:p>
    <w:p>
      <w:pPr>
        <w:adjustRightInd/>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4.大型或复杂的采购项目，其质保期限自动适用国家有关规定中最长的质保期限。</w:t>
      </w:r>
    </w:p>
    <w:p>
      <w:pPr>
        <w:adjustRightInd/>
        <w:spacing w:line="340" w:lineRule="exact"/>
        <w:ind w:firstLine="420" w:firstLineChars="200"/>
        <w:rPr>
          <w:rFonts w:hint="eastAsia" w:ascii="宋体" w:hAnsi="宋体" w:cs="宋体"/>
          <w:b w:val="0"/>
          <w:bCs/>
          <w:szCs w:val="21"/>
          <w:highlight w:val="none"/>
        </w:rPr>
      </w:pPr>
      <w:r>
        <w:rPr>
          <w:rFonts w:hint="eastAsia" w:ascii="宋体" w:hAnsi="宋体" w:cs="宋体"/>
          <w:b w:val="0"/>
          <w:bCs/>
          <w:szCs w:val="21"/>
          <w:highlight w:val="none"/>
        </w:rPr>
        <w:t>5.质保期内，乙方应当提供每周7天、每天24小时的电话支持服务。乙方接到甲方保修通知后</w:t>
      </w:r>
      <w:r>
        <w:rPr>
          <w:rFonts w:hint="eastAsia" w:ascii="宋体" w:hAnsi="宋体" w:cs="宋体"/>
          <w:b w:val="0"/>
          <w:bCs/>
          <w:szCs w:val="21"/>
          <w:highlight w:val="none"/>
          <w:u w:val="single"/>
          <w:lang w:val="en-US" w:eastAsia="zh-CN"/>
        </w:rPr>
        <w:t xml:space="preserve">    </w:t>
      </w:r>
      <w:r>
        <w:rPr>
          <w:rFonts w:hint="eastAsia" w:ascii="宋体" w:hAnsi="宋体" w:cs="宋体"/>
          <w:b w:val="0"/>
          <w:bCs/>
          <w:szCs w:val="21"/>
          <w:highlight w:val="none"/>
        </w:rPr>
        <w:t>个小时内响应，</w:t>
      </w:r>
      <w:r>
        <w:rPr>
          <w:rFonts w:hint="eastAsia" w:ascii="宋体" w:hAnsi="宋体" w:cs="宋体"/>
          <w:b w:val="0"/>
          <w:bCs/>
          <w:szCs w:val="21"/>
          <w:highlight w:val="none"/>
          <w:u w:val="single"/>
          <w:lang w:val="en-US" w:eastAsia="zh-CN"/>
        </w:rPr>
        <w:t xml:space="preserve">    </w:t>
      </w:r>
      <w:r>
        <w:rPr>
          <w:rFonts w:hint="eastAsia" w:ascii="宋体" w:hAnsi="宋体" w:cs="宋体"/>
          <w:b w:val="0"/>
          <w:bCs/>
          <w:szCs w:val="21"/>
          <w:highlight w:val="none"/>
        </w:rPr>
        <w:t>个小时内排除故障。货物出现重大故障或维修时限超过2日的，乙方应在</w:t>
      </w:r>
      <w:r>
        <w:rPr>
          <w:rFonts w:hint="eastAsia" w:ascii="宋体" w:hAnsi="宋体" w:cs="宋体"/>
          <w:b w:val="0"/>
          <w:bCs/>
          <w:szCs w:val="21"/>
          <w:highlight w:val="none"/>
          <w:lang w:val="en-US" w:eastAsia="zh-CN"/>
        </w:rPr>
        <w:t xml:space="preserve"> </w:t>
      </w:r>
      <w:r>
        <w:rPr>
          <w:rFonts w:hint="eastAsia" w:ascii="宋体" w:hAnsi="宋体" w:cs="宋体"/>
          <w:b w:val="0"/>
          <w:bCs/>
          <w:szCs w:val="21"/>
          <w:highlight w:val="none"/>
          <w:u w:val="single"/>
          <w:lang w:val="en-US" w:eastAsia="zh-CN"/>
        </w:rPr>
        <w:t xml:space="preserve">   </w:t>
      </w:r>
      <w:r>
        <w:rPr>
          <w:rFonts w:hint="eastAsia" w:ascii="宋体" w:hAnsi="宋体" w:cs="宋体"/>
          <w:b w:val="0"/>
          <w:bCs/>
          <w:szCs w:val="21"/>
          <w:highlight w:val="none"/>
        </w:rPr>
        <w:t>个小时内免费更换备品备件。</w:t>
      </w:r>
    </w:p>
    <w:p>
      <w:pPr>
        <w:adjustRightInd/>
        <w:spacing w:line="340" w:lineRule="exact"/>
        <w:ind w:firstLine="420" w:firstLineChars="200"/>
        <w:rPr>
          <w:rFonts w:hint="eastAsia" w:ascii="宋体" w:hAnsi="宋体" w:cs="宋体"/>
          <w:b w:val="0"/>
          <w:bCs/>
          <w:szCs w:val="21"/>
          <w:highlight w:val="none"/>
        </w:rPr>
      </w:pPr>
      <w:r>
        <w:rPr>
          <w:rFonts w:hint="eastAsia" w:ascii="宋体" w:hAnsi="宋体" w:cs="宋体"/>
          <w:b w:val="0"/>
          <w:bCs/>
          <w:szCs w:val="21"/>
          <w:highlight w:val="none"/>
        </w:rPr>
        <w:t>6.质保期届满后，乙方对本合同项下货物提供终身维修服务，且维修时只收取所需维修部件的成本费，服务内容应与质保期内的要求相一致。</w:t>
      </w:r>
    </w:p>
    <w:p>
      <w:pPr>
        <w:adjustRightInd/>
        <w:spacing w:line="340" w:lineRule="exact"/>
        <w:ind w:firstLine="420" w:firstLineChars="200"/>
        <w:rPr>
          <w:rFonts w:hint="eastAsia" w:ascii="宋体" w:hAnsi="宋体" w:cs="宋体"/>
          <w:b w:val="0"/>
          <w:bCs/>
          <w:szCs w:val="21"/>
          <w:highlight w:val="none"/>
        </w:rPr>
      </w:pPr>
      <w:r>
        <w:rPr>
          <w:rFonts w:hint="eastAsia" w:ascii="宋体" w:hAnsi="宋体" w:cs="宋体"/>
          <w:b w:val="0"/>
          <w:bCs/>
          <w:szCs w:val="21"/>
          <w:highlight w:val="none"/>
        </w:rPr>
        <w:t>7.甲方应提供必要安装条件（如场地、电源、水源等）。</w:t>
      </w:r>
    </w:p>
    <w:p>
      <w:pPr>
        <w:adjustRightInd/>
        <w:spacing w:line="340" w:lineRule="exact"/>
        <w:ind w:firstLine="420" w:firstLineChars="200"/>
        <w:rPr>
          <w:rFonts w:hint="eastAsia" w:ascii="宋体" w:hAnsi="宋体" w:cs="宋体"/>
          <w:b w:val="0"/>
          <w:bCs/>
          <w:szCs w:val="21"/>
          <w:highlight w:val="none"/>
        </w:rPr>
      </w:pPr>
      <w:r>
        <w:rPr>
          <w:rFonts w:hint="eastAsia" w:ascii="宋体" w:hAnsi="宋体" w:cs="宋体"/>
          <w:b w:val="0"/>
          <w:bCs/>
          <w:szCs w:val="21"/>
          <w:highlight w:val="none"/>
        </w:rPr>
        <w:t>8.乙方投标文件承诺负责甲方有关人员的培训。</w:t>
      </w:r>
    </w:p>
    <w:p>
      <w:pPr>
        <w:adjustRightInd/>
        <w:spacing w:line="340" w:lineRule="exact"/>
        <w:ind w:firstLine="420" w:firstLineChars="200"/>
        <w:rPr>
          <w:rFonts w:hint="eastAsia" w:ascii="宋体" w:hAnsi="宋体" w:cs="宋体"/>
          <w:b w:val="0"/>
          <w:bCs/>
          <w:szCs w:val="21"/>
          <w:highlight w:val="none"/>
        </w:rPr>
      </w:pPr>
      <w:r>
        <w:rPr>
          <w:rFonts w:hint="eastAsia" w:ascii="宋体" w:hAnsi="宋体" w:cs="宋体"/>
          <w:b w:val="0"/>
          <w:bCs/>
          <w:szCs w:val="21"/>
          <w:highlight w:val="none"/>
        </w:rPr>
        <w:t>培训时间</w:t>
      </w:r>
      <w:r>
        <w:rPr>
          <w:rFonts w:hint="eastAsia" w:ascii="宋体" w:hAnsi="宋体" w:cs="宋体"/>
          <w:b w:val="0"/>
          <w:bCs/>
          <w:szCs w:val="21"/>
          <w:highlight w:val="none"/>
          <w:u w:val="single"/>
        </w:rPr>
        <w:t xml:space="preserve">：                              </w:t>
      </w:r>
      <w:r>
        <w:rPr>
          <w:rFonts w:hint="eastAsia" w:ascii="宋体" w:hAnsi="宋体" w:cs="宋体"/>
          <w:b w:val="0"/>
          <w:bCs/>
          <w:szCs w:val="21"/>
          <w:highlight w:val="none"/>
        </w:rPr>
        <w:t>。</w:t>
      </w:r>
    </w:p>
    <w:p>
      <w:pPr>
        <w:adjustRightInd/>
        <w:spacing w:line="340" w:lineRule="exact"/>
        <w:ind w:firstLine="420" w:firstLineChars="200"/>
        <w:rPr>
          <w:rFonts w:hint="eastAsia" w:ascii="宋体" w:hAnsi="宋体" w:cs="宋体"/>
          <w:b w:val="0"/>
          <w:bCs/>
          <w:szCs w:val="21"/>
          <w:highlight w:val="none"/>
        </w:rPr>
      </w:pPr>
      <w:r>
        <w:rPr>
          <w:rFonts w:hint="eastAsia" w:ascii="宋体" w:hAnsi="宋体" w:cs="宋体"/>
          <w:b w:val="0"/>
          <w:bCs/>
          <w:szCs w:val="21"/>
          <w:highlight w:val="none"/>
        </w:rPr>
        <w:t>培训地点：</w:t>
      </w:r>
      <w:r>
        <w:rPr>
          <w:rFonts w:hint="eastAsia" w:ascii="宋体" w:hAnsi="宋体" w:cs="宋体"/>
          <w:b w:val="0"/>
          <w:bCs/>
          <w:szCs w:val="21"/>
          <w:highlight w:val="none"/>
          <w:u w:val="single"/>
        </w:rPr>
        <w:t xml:space="preserve">                             </w:t>
      </w:r>
      <w:r>
        <w:rPr>
          <w:rFonts w:hint="eastAsia" w:ascii="宋体" w:hAnsi="宋体" w:cs="宋体"/>
          <w:b w:val="0"/>
          <w:bCs/>
          <w:szCs w:val="21"/>
          <w:highlight w:val="none"/>
        </w:rPr>
        <w:t xml:space="preserve"> 。</w:t>
      </w:r>
    </w:p>
    <w:p>
      <w:pPr>
        <w:adjustRightInd/>
        <w:spacing w:line="340" w:lineRule="exact"/>
        <w:ind w:firstLine="422" w:firstLineChars="200"/>
        <w:rPr>
          <w:rFonts w:ascii="宋体" w:hAnsi="宋体" w:cs="宋体"/>
          <w:b/>
          <w:szCs w:val="21"/>
          <w:highlight w:val="none"/>
        </w:rPr>
      </w:pPr>
      <w:r>
        <w:rPr>
          <w:rFonts w:hint="eastAsia" w:ascii="宋体" w:hAnsi="宋体" w:cs="宋体"/>
          <w:b/>
          <w:szCs w:val="21"/>
          <w:highlight w:val="none"/>
        </w:rPr>
        <w:t>第七条　辅助服务</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乙方应提供下列服务：</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（1）货物的现场移动、安装、调试、启动监督及技术支持；</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（2）提供货物组装和维修所需的专用工具和辅助材料；</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（3）在甲方指定的期限内对所有的货物实施运行监督、维修，但该服务并不能免除乙方在质量保证期内所承担的义务；</w:t>
      </w:r>
    </w:p>
    <w:p>
      <w:pPr>
        <w:autoSpaceDE/>
        <w:adjustRightInd/>
        <w:spacing w:line="3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（4）就货物的</w:t>
      </w:r>
      <w:r>
        <w:rPr>
          <w:rFonts w:hint="eastAsia" w:ascii="宋体" w:hAnsi="宋体" w:cs="宋体"/>
          <w:sz w:val="21"/>
          <w:szCs w:val="21"/>
          <w:highlight w:val="none"/>
          <w:lang w:eastAsia="zh-CN"/>
        </w:rPr>
        <w:t>安装、调试、</w:t>
      </w:r>
      <w:r>
        <w:rPr>
          <w:rFonts w:hint="eastAsia" w:ascii="宋体" w:hAnsi="宋体" w:cs="宋体"/>
          <w:sz w:val="21"/>
          <w:szCs w:val="21"/>
          <w:highlight w:val="none"/>
        </w:rPr>
        <w:t>启动、运营</w:t>
      </w:r>
      <w:r>
        <w:rPr>
          <w:rFonts w:hint="eastAsia" w:ascii="宋体" w:hAnsi="宋体" w:cs="宋体"/>
          <w:sz w:val="21"/>
          <w:szCs w:val="21"/>
          <w:highlight w:val="none"/>
          <w:lang w:eastAsia="zh-CN"/>
        </w:rPr>
        <w:t>使用</w:t>
      </w:r>
      <w:r>
        <w:rPr>
          <w:rFonts w:hint="eastAsia" w:ascii="宋体" w:hAnsi="宋体" w:cs="宋体"/>
          <w:sz w:val="21"/>
          <w:szCs w:val="21"/>
          <w:highlight w:val="none"/>
        </w:rPr>
        <w:t>、维护</w:t>
      </w:r>
      <w:r>
        <w:rPr>
          <w:rFonts w:hint="eastAsia" w:ascii="宋体" w:hAnsi="宋体" w:cs="宋体"/>
          <w:sz w:val="21"/>
          <w:szCs w:val="21"/>
          <w:highlight w:val="none"/>
          <w:lang w:eastAsia="zh-CN"/>
        </w:rPr>
        <w:t>等</w:t>
      </w:r>
      <w:r>
        <w:rPr>
          <w:rFonts w:hint="eastAsia" w:ascii="宋体" w:hAnsi="宋体" w:cs="宋体"/>
          <w:sz w:val="21"/>
          <w:szCs w:val="21"/>
          <w:highlight w:val="none"/>
        </w:rPr>
        <w:t>，按照甲方的要求，对甲方的相关人员进行必要的培训。培训目标为受训者能够独立、熟练地完成操作，实现货物的使用目标和功能。</w:t>
      </w:r>
    </w:p>
    <w:p>
      <w:pPr>
        <w:tabs>
          <w:tab w:val="left" w:pos="2310"/>
        </w:tabs>
        <w:adjustRightInd/>
        <w:spacing w:line="320" w:lineRule="exact"/>
        <w:ind w:firstLine="420" w:firstLineChars="200"/>
        <w:rPr>
          <w:rFonts w:ascii="宋体" w:hAnsi="宋体" w:cs="宋体"/>
          <w:bCs/>
          <w:szCs w:val="21"/>
          <w:highlight w:val="none"/>
        </w:rPr>
      </w:pPr>
      <w:r>
        <w:rPr>
          <w:rFonts w:hint="eastAsia" w:ascii="宋体" w:hAnsi="宋体" w:cs="宋体"/>
          <w:bCs/>
          <w:szCs w:val="21"/>
          <w:highlight w:val="none"/>
        </w:rPr>
        <w:t>2</w:t>
      </w:r>
      <w:r>
        <w:rPr>
          <w:rFonts w:hint="eastAsia" w:ascii="宋体" w:hAnsi="宋体" w:cs="宋体"/>
          <w:bCs/>
          <w:szCs w:val="21"/>
          <w:highlight w:val="none"/>
          <w:lang w:val="en-US" w:eastAsia="zh-CN"/>
        </w:rPr>
        <w:t>.乙方</w:t>
      </w:r>
      <w:r>
        <w:rPr>
          <w:rFonts w:hint="eastAsia" w:ascii="宋体" w:hAnsi="宋体" w:cs="宋体"/>
          <w:bCs/>
          <w:szCs w:val="21"/>
          <w:highlight w:val="none"/>
        </w:rPr>
        <w:t>需在合同签订生效后2年内，为</w:t>
      </w:r>
      <w:r>
        <w:rPr>
          <w:rFonts w:hint="eastAsia" w:ascii="宋体" w:hAnsi="宋体" w:cs="宋体"/>
          <w:bCs/>
          <w:szCs w:val="21"/>
          <w:highlight w:val="none"/>
          <w:lang w:eastAsia="zh-CN"/>
        </w:rPr>
        <w:t>甲方</w:t>
      </w:r>
      <w:r>
        <w:rPr>
          <w:rFonts w:hint="eastAsia" w:ascii="宋体" w:hAnsi="宋体" w:cs="宋体"/>
          <w:bCs/>
          <w:szCs w:val="21"/>
          <w:highlight w:val="none"/>
        </w:rPr>
        <w:t>提供连续流动分析仪及大体积高通量全自动固相萃取仪2个前往仪器厂商参加培训的名额，并为所有仪器提供培训资料。</w:t>
      </w:r>
    </w:p>
    <w:p>
      <w:pPr>
        <w:autoSpaceDE/>
        <w:adjustRightInd/>
        <w:spacing w:line="34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.辅助服务的费用已经包含在合同总价中，甲方不再另行支付。</w:t>
      </w:r>
    </w:p>
    <w:p>
      <w:pPr>
        <w:adjustRightInd/>
        <w:spacing w:line="340" w:lineRule="exact"/>
        <w:ind w:firstLine="422" w:firstLineChars="200"/>
        <w:rPr>
          <w:rFonts w:ascii="宋体" w:hAnsi="宋体" w:cs="宋体"/>
          <w:b/>
          <w:szCs w:val="21"/>
          <w:highlight w:val="none"/>
        </w:rPr>
      </w:pPr>
      <w:r>
        <w:rPr>
          <w:rFonts w:hint="eastAsia" w:ascii="宋体" w:hAnsi="宋体" w:cs="宋体"/>
          <w:b/>
          <w:szCs w:val="21"/>
          <w:highlight w:val="none"/>
        </w:rPr>
        <w:t>第八条　货物保管及风险承担</w:t>
      </w:r>
    </w:p>
    <w:p>
      <w:pPr>
        <w:adjustRightInd/>
        <w:spacing w:line="340" w:lineRule="exact"/>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在货物交付前，货物保管责任及损毁、灭失的风险由乙方承担，货物验收合格后的风险转由甲方承担。</w:t>
      </w:r>
    </w:p>
    <w:p>
      <w:pPr>
        <w:adjustRightInd/>
        <w:spacing w:line="340" w:lineRule="exact"/>
        <w:ind w:firstLine="422" w:firstLineChars="200"/>
        <w:rPr>
          <w:rFonts w:ascii="宋体" w:hAnsi="宋体" w:cs="宋体"/>
          <w:b/>
          <w:bCs/>
          <w:szCs w:val="21"/>
          <w:highlight w:val="none"/>
        </w:rPr>
      </w:pPr>
      <w:r>
        <w:rPr>
          <w:rFonts w:hint="eastAsia" w:ascii="宋体" w:hAnsi="宋体" w:cs="宋体"/>
          <w:b/>
          <w:bCs/>
          <w:szCs w:val="21"/>
          <w:highlight w:val="none"/>
        </w:rPr>
        <w:t>第九条　付款方式</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1.本项目合同签订生效后7个工作日内，支付合同总金额的50%。</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2.甲方每验收合格一台设备后7个工作日内，按该设备成交单价的50%支付。</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
        </w:rPr>
        <w:t>.每次结算乙方</w:t>
      </w:r>
      <w:r>
        <w:rPr>
          <w:rFonts w:hint="eastAsia" w:ascii="宋体" w:hAnsi="宋体" w:cs="宋体"/>
          <w:szCs w:val="21"/>
          <w:highlight w:val="none"/>
        </w:rPr>
        <w:t>应持甲方签字确认的验收合格单结算货款。</w:t>
      </w:r>
    </w:p>
    <w:p>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
        </w:rPr>
        <w:t>.</w:t>
      </w:r>
      <w:r>
        <w:rPr>
          <w:rFonts w:hint="eastAsia" w:ascii="宋体" w:hAnsi="宋体" w:cs="宋体"/>
          <w:szCs w:val="21"/>
          <w:highlight w:val="none"/>
        </w:rPr>
        <w:t>甲方在支付每笔款项前，</w:t>
      </w:r>
      <w:r>
        <w:rPr>
          <w:rFonts w:hint="eastAsia" w:ascii="宋体" w:hAnsi="宋体" w:cs="宋体"/>
          <w:szCs w:val="21"/>
          <w:highlight w:val="none"/>
          <w:lang w:val="en"/>
        </w:rPr>
        <w:t>乙方</w:t>
      </w:r>
      <w:r>
        <w:rPr>
          <w:rFonts w:hint="eastAsia" w:ascii="宋体" w:hAnsi="宋体" w:cs="宋体"/>
          <w:szCs w:val="21"/>
          <w:highlight w:val="none"/>
        </w:rPr>
        <w:t>应当提供可供政府审计并且符合税务规定的正式发票，否则甲方有权拒付相应款项直至</w:t>
      </w:r>
      <w:r>
        <w:rPr>
          <w:rFonts w:hint="eastAsia" w:ascii="宋体" w:hAnsi="宋体" w:cs="宋体"/>
          <w:szCs w:val="21"/>
          <w:highlight w:val="none"/>
          <w:lang w:val="en"/>
        </w:rPr>
        <w:t>乙方</w:t>
      </w:r>
      <w:r>
        <w:rPr>
          <w:rFonts w:hint="eastAsia" w:ascii="宋体" w:hAnsi="宋体" w:cs="宋体"/>
          <w:szCs w:val="21"/>
          <w:highlight w:val="none"/>
        </w:rPr>
        <w:t>能提供符合规定的发票为止。（发票信息必须与合同登记的内容相符）</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5.以上付款均不计息。每期付款均需财政资金到位后执行。</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
        </w:rPr>
        <w:t>.</w:t>
      </w:r>
      <w:r>
        <w:rPr>
          <w:rFonts w:hint="eastAsia" w:ascii="宋体" w:hAnsi="宋体" w:cs="宋体"/>
          <w:szCs w:val="21"/>
          <w:highlight w:val="none"/>
        </w:rPr>
        <w:t>乙方指定以下账户为接受本合同价款的账户，并对其指定的下列账户信息真实性、安全性、准确性负责。</w:t>
      </w:r>
    </w:p>
    <w:p>
      <w:pPr>
        <w:adjustRightInd/>
        <w:spacing w:line="340" w:lineRule="exact"/>
        <w:ind w:firstLine="420" w:firstLineChars="200"/>
        <w:rPr>
          <w:rFonts w:ascii="宋体" w:hAnsi="宋体" w:cs="宋体"/>
          <w:szCs w:val="21"/>
          <w:highlight w:val="none"/>
          <w:u w:val="single"/>
        </w:rPr>
      </w:pPr>
      <w:r>
        <w:rPr>
          <w:rFonts w:hint="eastAsia" w:ascii="宋体" w:hAnsi="宋体" w:cs="宋体"/>
          <w:szCs w:val="21"/>
          <w:highlight w:val="none"/>
        </w:rPr>
        <w:t>账户名称：</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ascii="宋体" w:hAnsi="宋体" w:cs="宋体"/>
          <w:szCs w:val="21"/>
          <w:highlight w:val="none"/>
          <w:u w:val="singl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ascii="宋体" w:hAnsi="宋体" w:cs="宋体"/>
          <w:szCs w:val="21"/>
          <w:highlight w:val="none"/>
          <w:u w:val="single"/>
        </w:rPr>
      </w:pPr>
      <w:r>
        <w:rPr>
          <w:rFonts w:hint="eastAsia" w:ascii="宋体" w:hAnsi="宋体" w:cs="宋体"/>
          <w:szCs w:val="21"/>
          <w:highlight w:val="none"/>
        </w:rPr>
        <w:t>联系人：</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如乙方上述账户信息发生变更，乙方应提前向甲方发送书面通知，未能提前书面通知而产生的不利后果由乙方自行承担。</w:t>
      </w:r>
    </w:p>
    <w:p>
      <w:pPr>
        <w:adjustRightInd/>
        <w:spacing w:line="340" w:lineRule="exact"/>
        <w:ind w:firstLine="422" w:firstLineChars="200"/>
        <w:rPr>
          <w:rFonts w:ascii="宋体" w:hAnsi="宋体" w:cs="宋体"/>
          <w:szCs w:val="21"/>
          <w:highlight w:val="none"/>
        </w:rPr>
      </w:pPr>
      <w:r>
        <w:rPr>
          <w:rFonts w:hint="eastAsia" w:ascii="宋体" w:hAnsi="宋体" w:cs="宋体"/>
          <w:b/>
          <w:bCs/>
          <w:szCs w:val="21"/>
          <w:highlight w:val="none"/>
        </w:rPr>
        <w:t>第十条　履约保证金</w:t>
      </w:r>
      <w:r>
        <w:rPr>
          <w:rFonts w:hint="eastAsia" w:ascii="宋体" w:hAnsi="宋体" w:cs="宋体"/>
          <w:szCs w:val="21"/>
          <w:highlight w:val="none"/>
        </w:rPr>
        <w:t>：</w:t>
      </w:r>
      <w:r>
        <w:rPr>
          <w:rFonts w:hint="eastAsia" w:ascii="宋体" w:hAnsi="宋体" w:cs="宋体"/>
          <w:szCs w:val="21"/>
          <w:highlight w:val="none"/>
          <w:lang w:eastAsia="zh-CN"/>
        </w:rPr>
        <w:t>本项目</w:t>
      </w:r>
      <w:r>
        <w:rPr>
          <w:rFonts w:hint="eastAsia" w:ascii="宋体" w:hAnsi="宋体" w:cs="宋体"/>
          <w:szCs w:val="21"/>
          <w:highlight w:val="none"/>
        </w:rPr>
        <w:t>不收取</w:t>
      </w:r>
      <w:r>
        <w:rPr>
          <w:rFonts w:hint="eastAsia" w:ascii="宋体" w:hAnsi="宋体" w:cs="宋体"/>
          <w:szCs w:val="21"/>
          <w:highlight w:val="none"/>
          <w:lang w:eastAsia="zh-CN"/>
        </w:rPr>
        <w:t>履约保证金</w:t>
      </w:r>
      <w:r>
        <w:rPr>
          <w:rFonts w:hint="eastAsia" w:ascii="宋体" w:hAnsi="宋体" w:cs="宋体"/>
          <w:szCs w:val="21"/>
          <w:highlight w:val="none"/>
        </w:rPr>
        <w:t>。</w:t>
      </w:r>
    </w:p>
    <w:p>
      <w:pPr>
        <w:adjustRightInd/>
        <w:spacing w:line="340" w:lineRule="exact"/>
        <w:ind w:firstLine="422" w:firstLineChars="200"/>
        <w:rPr>
          <w:rFonts w:ascii="宋体" w:hAnsi="宋体" w:cs="宋体"/>
          <w:b/>
          <w:bCs/>
          <w:szCs w:val="21"/>
          <w:highlight w:val="none"/>
        </w:rPr>
      </w:pPr>
      <w:r>
        <w:rPr>
          <w:rFonts w:hint="eastAsia" w:ascii="宋体" w:hAnsi="宋体" w:cs="宋体"/>
          <w:b/>
          <w:bCs/>
          <w:szCs w:val="21"/>
          <w:highlight w:val="none"/>
        </w:rPr>
        <w:t>第十一条　税费</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本合同执行中相关的一切税费均由乙方负担。</w:t>
      </w:r>
    </w:p>
    <w:p>
      <w:pPr>
        <w:adjustRightInd/>
        <w:spacing w:line="340" w:lineRule="exact"/>
        <w:ind w:firstLine="422" w:firstLineChars="200"/>
        <w:rPr>
          <w:rFonts w:ascii="宋体" w:hAnsi="宋体" w:cs="宋体"/>
          <w:b/>
          <w:bCs/>
          <w:szCs w:val="21"/>
          <w:highlight w:val="none"/>
        </w:rPr>
      </w:pPr>
      <w:r>
        <w:rPr>
          <w:rFonts w:hint="eastAsia" w:ascii="宋体" w:hAnsi="宋体" w:cs="宋体"/>
          <w:b/>
          <w:bCs/>
          <w:szCs w:val="21"/>
          <w:highlight w:val="none"/>
        </w:rPr>
        <w:t>第十二条　违约责任</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乙方仅交付部分货物的，甲方有权解除合同，退还已收货物，乙方应退还已经收取的货款，并按合同合计金额的</w:t>
      </w:r>
      <w:r>
        <w:rPr>
          <w:rFonts w:hint="eastAsia" w:ascii="宋体" w:hAnsi="宋体" w:cs="宋体"/>
          <w:szCs w:val="21"/>
          <w:highlight w:val="none"/>
          <w:lang w:val="en-US" w:eastAsia="zh-CN"/>
        </w:rPr>
        <w:t>2</w:t>
      </w:r>
      <w:r>
        <w:rPr>
          <w:rFonts w:hint="eastAsia" w:ascii="宋体" w:hAnsi="宋体" w:cs="宋体"/>
          <w:szCs w:val="21"/>
          <w:highlight w:val="none"/>
        </w:rPr>
        <w:t>0％承担违约金；甲方不退还已收货物的，有权要求乙方退还已收取的未交付货物的货款，并要求乙方按合同合计金额的</w:t>
      </w:r>
      <w:r>
        <w:rPr>
          <w:rFonts w:hint="eastAsia" w:ascii="宋体" w:hAnsi="宋体" w:cs="宋体"/>
          <w:szCs w:val="21"/>
          <w:highlight w:val="none"/>
          <w:lang w:val="en-US" w:eastAsia="zh-CN"/>
        </w:rPr>
        <w:t>1</w:t>
      </w:r>
      <w:r>
        <w:rPr>
          <w:rFonts w:hint="eastAsia" w:ascii="宋体" w:hAnsi="宋体" w:cs="宋体"/>
          <w:szCs w:val="21"/>
          <w:highlight w:val="none"/>
        </w:rPr>
        <w:t>0％承担违约金。</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乙方逾期交付货物的，每逾期一日，应按合同合计金额的3</w:t>
      </w:r>
      <w:r>
        <w:rPr>
          <w:rFonts w:hint="eastAsia" w:ascii="宋体" w:hAnsi="宋体" w:cs="宋体"/>
          <w:szCs w:val="21"/>
          <w:highlight w:val="none"/>
          <w:lang w:eastAsia="zh-CN"/>
        </w:rPr>
        <w:t>‰</w:t>
      </w:r>
      <w:r>
        <w:rPr>
          <w:rFonts w:hint="eastAsia" w:ascii="宋体" w:hAnsi="宋体" w:cs="宋体"/>
          <w:szCs w:val="21"/>
          <w:highlight w:val="none"/>
        </w:rPr>
        <w:t>向甲方支付逾期交付的违约金；逾期超过</w:t>
      </w:r>
      <w:r>
        <w:rPr>
          <w:rFonts w:hint="eastAsia" w:ascii="宋体" w:hAnsi="宋体" w:cs="宋体"/>
          <w:szCs w:val="21"/>
          <w:highlight w:val="none"/>
          <w:lang w:eastAsia="zh-CN"/>
        </w:rPr>
        <w:t>二</w:t>
      </w:r>
      <w:r>
        <w:rPr>
          <w:rFonts w:hint="eastAsia" w:ascii="宋体" w:hAnsi="宋体" w:cs="宋体"/>
          <w:szCs w:val="21"/>
          <w:highlight w:val="none"/>
        </w:rPr>
        <w:t>十日的，甲方有权单方解除合同，并要求乙方退还已收取的款项，同时乙方应按照合同合计金额的</w:t>
      </w:r>
      <w:r>
        <w:rPr>
          <w:rFonts w:hint="eastAsia" w:ascii="宋体" w:hAnsi="宋体" w:cs="宋体"/>
          <w:szCs w:val="21"/>
          <w:highlight w:val="none"/>
          <w:lang w:val="en-US" w:eastAsia="zh-CN"/>
        </w:rPr>
        <w:t>2</w:t>
      </w:r>
      <w:r>
        <w:rPr>
          <w:rFonts w:hint="eastAsia" w:ascii="宋体" w:hAnsi="宋体" w:cs="宋体"/>
          <w:szCs w:val="21"/>
          <w:highlight w:val="none"/>
        </w:rPr>
        <w:t>0%向甲方支付违约金并承担因此给甲方造成的经济损失。</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
        </w:rPr>
        <w:t>.</w:t>
      </w:r>
      <w:r>
        <w:rPr>
          <w:rFonts w:hint="eastAsia" w:ascii="宋体" w:hAnsi="宋体" w:cs="宋体"/>
          <w:szCs w:val="21"/>
          <w:highlight w:val="none"/>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w:t>
      </w:r>
      <w:r>
        <w:rPr>
          <w:rFonts w:hint="eastAsia" w:ascii="宋体" w:hAnsi="宋体" w:cs="宋体"/>
          <w:szCs w:val="21"/>
          <w:highlight w:val="none"/>
          <w:lang w:val="en-US" w:eastAsia="zh-CN"/>
        </w:rPr>
        <w:t>2</w:t>
      </w:r>
      <w:r>
        <w:rPr>
          <w:rFonts w:hint="eastAsia" w:ascii="宋体" w:hAnsi="宋体" w:cs="宋体"/>
          <w:szCs w:val="21"/>
          <w:highlight w:val="none"/>
        </w:rPr>
        <w:t>0％的违约金并赔偿甲方经济损失。</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
        </w:rPr>
        <w:t>.</w:t>
      </w:r>
      <w:r>
        <w:rPr>
          <w:rFonts w:hint="eastAsia" w:ascii="宋体" w:hAnsi="宋体" w:cs="宋体"/>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
        </w:rPr>
        <w:t>.</w:t>
      </w:r>
      <w:r>
        <w:rPr>
          <w:rFonts w:hint="eastAsia" w:ascii="宋体" w:hAnsi="宋体" w:cs="宋体"/>
          <w:szCs w:val="21"/>
          <w:highlight w:val="none"/>
        </w:rPr>
        <w:t>乙方明示不履行或不能履行合同，或交付的货物存在严重瑕疵，不具有正常使用功能或不能满足本合同目的，甲方有权解除合同，要求乙方退还已收取的货款，并要求乙方按合同合计金额的</w:t>
      </w:r>
      <w:r>
        <w:rPr>
          <w:rFonts w:hint="eastAsia" w:ascii="宋体" w:hAnsi="宋体" w:cs="宋体"/>
          <w:szCs w:val="21"/>
          <w:highlight w:val="none"/>
          <w:lang w:val="en-US" w:eastAsia="zh-CN"/>
        </w:rPr>
        <w:t>2</w:t>
      </w:r>
      <w:r>
        <w:rPr>
          <w:rFonts w:hint="eastAsia" w:ascii="宋体" w:hAnsi="宋体" w:cs="宋体"/>
          <w:szCs w:val="21"/>
          <w:highlight w:val="none"/>
        </w:rPr>
        <w:t>0％支付违约金。</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lang w:val="en"/>
        </w:rPr>
        <w:t>.</w:t>
      </w:r>
      <w:r>
        <w:rPr>
          <w:rFonts w:hint="eastAsia" w:ascii="宋体" w:hAnsi="宋体" w:cs="宋体"/>
          <w:szCs w:val="21"/>
          <w:highlight w:val="none"/>
        </w:rPr>
        <w:t>因包装、运输引起的货物损坏，按质量不合格处罚。</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lang w:val="en"/>
        </w:rPr>
        <w:t>.</w:t>
      </w:r>
      <w:r>
        <w:rPr>
          <w:rFonts w:hint="eastAsia" w:ascii="宋体" w:hAnsi="宋体" w:cs="宋体"/>
          <w:szCs w:val="21"/>
          <w:highlight w:val="none"/>
        </w:rPr>
        <w:t>乙方未按本合同和竞争性谈判文件、响应文件中规定的服务承诺提供售后服务的，每违约一次，应按合同合计金额的</w:t>
      </w:r>
      <w:r>
        <w:rPr>
          <w:rFonts w:hint="eastAsia" w:ascii="宋体" w:hAnsi="宋体" w:cs="宋体"/>
          <w:szCs w:val="21"/>
          <w:highlight w:val="none"/>
          <w:lang w:val="en-US" w:eastAsia="zh-CN"/>
        </w:rPr>
        <w:t>5</w:t>
      </w:r>
      <w:r>
        <w:rPr>
          <w:rFonts w:hint="eastAsia" w:ascii="宋体" w:hAnsi="宋体" w:cs="宋体"/>
          <w:szCs w:val="21"/>
          <w:highlight w:val="none"/>
        </w:rPr>
        <w:t>%向甲方支付违约金。</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8</w:t>
      </w:r>
      <w:r>
        <w:rPr>
          <w:rFonts w:hint="eastAsia" w:ascii="宋体" w:hAnsi="宋体" w:cs="宋体"/>
          <w:szCs w:val="21"/>
          <w:highlight w:val="none"/>
          <w:lang w:val="en"/>
        </w:rPr>
        <w:t>.</w:t>
      </w:r>
      <w:r>
        <w:rPr>
          <w:rFonts w:hint="eastAsia" w:ascii="宋体" w:hAnsi="宋体" w:cs="宋体"/>
          <w:szCs w:val="21"/>
          <w:highlight w:val="none"/>
        </w:rPr>
        <w:t>乙方提供的货物在质量保证期内，因设计、工艺或者材料的缺陷和其它质量原因造成的问题，由乙方负责，费用从余款或者履约保证金中扣除，不足另补。</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9</w:t>
      </w:r>
      <w:r>
        <w:rPr>
          <w:rFonts w:hint="eastAsia" w:ascii="宋体" w:hAnsi="宋体" w:cs="宋体"/>
          <w:szCs w:val="21"/>
          <w:highlight w:val="none"/>
          <w:lang w:val="en"/>
        </w:rPr>
        <w:t>.</w:t>
      </w:r>
      <w:r>
        <w:rPr>
          <w:rFonts w:hint="eastAsia" w:ascii="宋体" w:hAnsi="宋体" w:cs="宋体"/>
          <w:szCs w:val="21"/>
          <w:highlight w:val="none"/>
        </w:rPr>
        <w:t>乙方支付的违约金不足以弥补甲方损失的，应承担赔偿责任，甲方有权继续向乙方追偿。乙方应支付给甲方的任何款项，甲方有权从任何应支付未支付给乙方的款项中直接抵扣。</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10</w:t>
      </w:r>
      <w:r>
        <w:rPr>
          <w:rFonts w:hint="eastAsia" w:ascii="宋体" w:hAnsi="宋体" w:cs="宋体"/>
          <w:szCs w:val="21"/>
          <w:highlight w:val="none"/>
          <w:lang w:val="en"/>
        </w:rPr>
        <w:t>.</w:t>
      </w:r>
      <w:r>
        <w:rPr>
          <w:rFonts w:hint="eastAsia" w:ascii="宋体" w:hAnsi="宋体" w:cs="宋体"/>
          <w:szCs w:val="21"/>
          <w:highlight w:val="none"/>
        </w:rPr>
        <w:t>甲方延期付货款的，每天向乙方偿付延期货款额3‰的违约金，但违约金累计不得超过延期货款额的5%。</w:t>
      </w:r>
    </w:p>
    <w:p>
      <w:pPr>
        <w:adjustRightInd/>
        <w:spacing w:line="340" w:lineRule="exact"/>
        <w:ind w:firstLine="420" w:firstLineChars="200"/>
        <w:rPr>
          <w:rFonts w:ascii="宋体" w:hAnsi="宋体" w:cs="宋体"/>
          <w:bCs/>
          <w:szCs w:val="21"/>
          <w:highlight w:val="none"/>
        </w:rPr>
      </w:pPr>
      <w:r>
        <w:rPr>
          <w:rFonts w:hint="eastAsia" w:ascii="宋体" w:hAnsi="宋体" w:cs="宋体"/>
          <w:szCs w:val="21"/>
          <w:highlight w:val="none"/>
        </w:rPr>
        <w:t>11</w:t>
      </w:r>
      <w:r>
        <w:rPr>
          <w:rFonts w:hint="eastAsia" w:ascii="宋体" w:hAnsi="宋体" w:cs="宋体"/>
          <w:szCs w:val="21"/>
          <w:highlight w:val="none"/>
          <w:lang w:val="en"/>
        </w:rPr>
        <w:t>.</w:t>
      </w:r>
      <w:r>
        <w:rPr>
          <w:rFonts w:hint="eastAsia" w:ascii="宋体" w:hAnsi="宋体" w:cs="宋体"/>
          <w:szCs w:val="21"/>
          <w:highlight w:val="none"/>
        </w:rPr>
        <w:t>本合同所称的甲方经济损失或者甲方损失，包括甲方遭受的全部直接经济损失及为此支出的合理费用（包括但不限于为此支出的调查费、诉讼费、保全费、律师费、差旅费等）。</w:t>
      </w:r>
    </w:p>
    <w:p>
      <w:pPr>
        <w:adjustRightInd/>
        <w:spacing w:line="3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第十三条　不可抗力事件处理</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在合同有效期内，任何一方因不可抗力事件导致不能履行合同，则合同履行期可延长，其延长期与不可抗力影响期相同。</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不可抗力事件发生后，应立即通知对方，并寄送有关权威机构出具的证明。</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
        </w:rPr>
        <w:t>.</w:t>
      </w:r>
      <w:r>
        <w:rPr>
          <w:rFonts w:hint="eastAsia" w:ascii="宋体" w:hAnsi="宋体" w:cs="宋体"/>
          <w:szCs w:val="21"/>
          <w:highlight w:val="none"/>
        </w:rPr>
        <w:t>不可抗力事件延续一百二十天以上，甲乙双方应通过友好协商，确定是否继续履行合同。</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
        </w:rPr>
        <w:t>.</w:t>
      </w:r>
      <w:r>
        <w:rPr>
          <w:rFonts w:hint="eastAsia" w:ascii="宋体" w:hAnsi="宋体" w:cs="宋体"/>
          <w:szCs w:val="21"/>
          <w:highlight w:val="none"/>
        </w:rPr>
        <w:t>合同履行过程中，因接受政府行政指令而无法履行的，接受政府行政指令的一方可以免除责任。</w:t>
      </w:r>
    </w:p>
    <w:p>
      <w:pPr>
        <w:adjustRightInd/>
        <w:spacing w:line="3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第十四条　合同争议解决</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因货物质量问题发生争议的，应提交具有相应资质的机构进行鉴定。货物符合标准的，鉴定费由甲方承担；货物不符合标准的，鉴定费由乙方承担。</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因履行本合同引起的或者与本合同有关的争议，甲乙双方应首先通过友好协商解决，如果协商不能解决，可向甲方所在地有管辖权的人民法院提起诉讼。</w:t>
      </w:r>
    </w:p>
    <w:p>
      <w:pPr>
        <w:adjustRightInd/>
        <w:spacing w:line="3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第十五条　合同生效及其他</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合同经甲乙双方法定代表人或者授权代表签字并加盖单位公章后生效。</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lang w:val="en"/>
        </w:rPr>
        <w:t>.</w:t>
      </w:r>
      <w:r>
        <w:rPr>
          <w:rFonts w:hint="eastAsia" w:ascii="宋体" w:hAnsi="宋体" w:cs="宋体"/>
          <w:szCs w:val="21"/>
          <w:highlight w:val="none"/>
        </w:rPr>
        <w:t>合同未尽事宜，遵照《中华人民共和国民法典》等相关法律、法规规定有关条文执行。</w:t>
      </w:r>
    </w:p>
    <w:p>
      <w:pPr>
        <w:adjustRightInd/>
        <w:spacing w:line="340" w:lineRule="exact"/>
        <w:ind w:firstLine="422" w:firstLineChars="200"/>
        <w:rPr>
          <w:rFonts w:ascii="宋体" w:hAnsi="宋体" w:cs="宋体"/>
          <w:b/>
          <w:bCs/>
          <w:kern w:val="0"/>
          <w:szCs w:val="21"/>
          <w:highlight w:val="none"/>
        </w:rPr>
      </w:pPr>
      <w:r>
        <w:rPr>
          <w:rFonts w:hint="eastAsia" w:ascii="宋体" w:hAnsi="宋体" w:cs="宋体"/>
          <w:b/>
          <w:bCs/>
          <w:kern w:val="0"/>
          <w:szCs w:val="21"/>
          <w:highlight w:val="none"/>
        </w:rPr>
        <w:t>第十六条　合同的变更、终止与转让</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除《中华人民共和国政府采购法》第五十条规定的情形外，本合同一经签订，甲乙双方不得擅自变更、中止或者终止。</w:t>
      </w:r>
    </w:p>
    <w:p>
      <w:pPr>
        <w:adjustRightInd/>
        <w:spacing w:line="340" w:lineRule="exact"/>
        <w:ind w:firstLine="420" w:firstLineChars="200"/>
        <w:rPr>
          <w:rFonts w:ascii="宋体" w:hAnsi="宋体" w:cs="宋体"/>
          <w:bCs/>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未经甲方书面同意，乙方不得擅自转让其应履行的合同义务。</w:t>
      </w:r>
    </w:p>
    <w:p>
      <w:pPr>
        <w:adjustRightInd/>
        <w:spacing w:line="340" w:lineRule="exact"/>
        <w:ind w:firstLine="422" w:firstLineChars="200"/>
        <w:rPr>
          <w:rFonts w:ascii="宋体" w:hAnsi="宋体" w:cs="宋体"/>
          <w:kern w:val="0"/>
          <w:szCs w:val="21"/>
          <w:highlight w:val="none"/>
        </w:rPr>
      </w:pPr>
      <w:r>
        <w:rPr>
          <w:rFonts w:hint="eastAsia" w:ascii="宋体" w:hAnsi="宋体" w:cs="宋体"/>
          <w:b/>
          <w:bCs/>
          <w:kern w:val="0"/>
          <w:szCs w:val="21"/>
          <w:highlight w:val="none"/>
        </w:rPr>
        <w:t>第十七条　本合同与下列文件一起构成合同文件</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成交通知书；</w:t>
      </w:r>
    </w:p>
    <w:p>
      <w:pPr>
        <w:adjustRightInd/>
        <w:spacing w:line="340" w:lineRule="exact"/>
        <w:ind w:firstLine="420" w:firstLineChars="200"/>
        <w:rPr>
          <w:rFonts w:hint="eastAsia" w:ascii="宋体" w:hAnsi="宋体" w:eastAsia="宋体" w:cs="宋体"/>
          <w:szCs w:val="21"/>
          <w:highlight w:val="none"/>
          <w:lang w:val="en" w:eastAsia="zh-CN"/>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lang w:val="en" w:eastAsia="zh-CN"/>
        </w:rPr>
        <w:t>报价表</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lang w:eastAsia="zh-CN"/>
        </w:rPr>
        <w:t>采购</w:t>
      </w:r>
      <w:r>
        <w:rPr>
          <w:rFonts w:hint="eastAsia" w:ascii="宋体" w:hAnsi="宋体" w:cs="宋体"/>
          <w:szCs w:val="21"/>
          <w:highlight w:val="none"/>
        </w:rPr>
        <w:t>需求；</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lang w:val="en"/>
        </w:rPr>
        <w:t>.</w:t>
      </w:r>
      <w:r>
        <w:rPr>
          <w:rFonts w:hint="eastAsia" w:ascii="宋体" w:hAnsi="宋体" w:cs="宋体"/>
          <w:szCs w:val="21"/>
          <w:highlight w:val="none"/>
        </w:rPr>
        <w:t>响应函；</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lang w:val="en"/>
        </w:rPr>
        <w:t>.</w:t>
      </w:r>
      <w:r>
        <w:rPr>
          <w:rFonts w:hint="eastAsia" w:ascii="宋体" w:hAnsi="宋体" w:cs="宋体"/>
          <w:szCs w:val="21"/>
          <w:highlight w:val="none"/>
        </w:rPr>
        <w:t>商务、技术响应偏离情况说明表；</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.响应文件中的其他相关文件</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上述合同文件互相补充和解释。如果合同文件之间存在矛盾或者不一致之处，以本合同、上述文件的排列顺序在先者为准。</w:t>
      </w:r>
    </w:p>
    <w:p>
      <w:pPr>
        <w:adjustRightInd/>
        <w:spacing w:line="340" w:lineRule="exact"/>
        <w:ind w:firstLine="420" w:firstLineChars="200"/>
        <w:rPr>
          <w:rFonts w:ascii="宋体" w:hAnsi="宋体" w:cs="宋体"/>
          <w:kern w:val="0"/>
          <w:szCs w:val="21"/>
          <w:highlight w:val="none"/>
        </w:rPr>
      </w:pPr>
      <w:r>
        <w:rPr>
          <w:rFonts w:hint="eastAsia" w:ascii="宋体" w:hAnsi="宋体" w:cs="宋体"/>
          <w:kern w:val="0"/>
          <w:szCs w:val="21"/>
          <w:highlight w:val="none"/>
        </w:rPr>
        <w:t>第十八条　其他约定事项</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
        </w:rPr>
        <w:t>.</w:t>
      </w:r>
      <w:r>
        <w:rPr>
          <w:rFonts w:hint="eastAsia" w:ascii="宋体" w:hAnsi="宋体" w:cs="宋体"/>
          <w:szCs w:val="21"/>
          <w:highlight w:val="none"/>
        </w:rPr>
        <w:t>本合同所有附件及相关文件均为本合同的有效组成部分，与本合同具有同等法律效力。若合同附件与本合同存在不一致的，则以本合同为准。</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
        </w:rPr>
        <w:t>.</w:t>
      </w:r>
      <w:r>
        <w:rPr>
          <w:rFonts w:hint="eastAsia" w:ascii="宋体" w:hAnsi="宋体" w:cs="宋体"/>
          <w:szCs w:val="21"/>
          <w:highlight w:val="none"/>
        </w:rPr>
        <w:t>在履行本合同过程中，所有经甲乙双方签署确认的文件（包括会议纪要、补充协议、往来信函、电子邮件等）即成为本合同的有效组成部分。</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
        </w:rPr>
        <w:t>.甲乙</w:t>
      </w:r>
      <w:r>
        <w:rPr>
          <w:rFonts w:hint="eastAsia" w:ascii="宋体" w:hAnsi="宋体" w:cs="宋体"/>
          <w:szCs w:val="21"/>
          <w:highlight w:val="none"/>
        </w:rPr>
        <w:t>双方确认，以下为各方真实有效通讯地址：</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甲方：</w:t>
      </w:r>
      <w:r>
        <w:rPr>
          <w:rFonts w:hint="eastAsia" w:ascii="宋体" w:hAnsi="宋体" w:cs="宋体"/>
          <w:szCs w:val="21"/>
          <w:highlight w:val="none"/>
          <w:u w:val="single"/>
        </w:rPr>
        <w:t>广西壮族自治区海洋环境监测中心站</w:t>
      </w:r>
      <w:r>
        <w:rPr>
          <w:rFonts w:hint="eastAsia" w:ascii="宋体" w:hAnsi="宋体" w:cs="宋体"/>
          <w:szCs w:val="21"/>
          <w:highlight w:val="none"/>
        </w:rPr>
        <w:t>，地址：</w:t>
      </w:r>
      <w:r>
        <w:rPr>
          <w:rFonts w:hint="eastAsia" w:ascii="宋体" w:hAnsi="宋体" w:cs="宋体"/>
          <w:szCs w:val="21"/>
          <w:highlight w:val="none"/>
          <w:u w:val="single"/>
        </w:rPr>
        <w:t>广西北海市海城区公园路49号</w:t>
      </w:r>
      <w:r>
        <w:rPr>
          <w:rFonts w:hint="eastAsia" w:ascii="宋体" w:hAnsi="宋体" w:cs="宋体"/>
          <w:szCs w:val="21"/>
          <w:highlight w:val="none"/>
        </w:rPr>
        <w:t>，收件人：</w:t>
      </w:r>
      <w:r>
        <w:rPr>
          <w:rFonts w:hint="eastAsia" w:ascii="宋体" w:hAnsi="宋体" w:cs="宋体"/>
          <w:szCs w:val="21"/>
          <w:highlight w:val="none"/>
          <w:u w:val="single"/>
        </w:rPr>
        <w:t xml:space="preserve">              </w:t>
      </w: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，电子邮箱：</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乙方：</w:t>
      </w:r>
      <w:r>
        <w:rPr>
          <w:rFonts w:hint="eastAsia" w:ascii="宋体" w:hAnsi="宋体" w:cs="宋体"/>
          <w:szCs w:val="21"/>
          <w:highlight w:val="none"/>
          <w:u w:val="single"/>
        </w:rPr>
        <w:t xml:space="preserve">                        </w:t>
      </w: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，收件人：</w:t>
      </w:r>
      <w:r>
        <w:rPr>
          <w:rFonts w:hint="eastAsia" w:ascii="宋体" w:hAnsi="宋体" w:cs="宋体"/>
          <w:szCs w:val="21"/>
          <w:highlight w:val="none"/>
          <w:u w:val="single"/>
        </w:rPr>
        <w:t xml:space="preserve">          </w:t>
      </w:r>
      <w:r>
        <w:rPr>
          <w:rFonts w:hint="eastAsia" w:ascii="宋体" w:hAnsi="宋体" w:cs="宋体"/>
          <w:szCs w:val="21"/>
          <w:highlight w:val="none"/>
        </w:rPr>
        <w:t>，联系电话：</w:t>
      </w:r>
      <w:r>
        <w:rPr>
          <w:rFonts w:hint="eastAsia" w:ascii="宋体" w:hAnsi="宋体" w:cs="宋体"/>
          <w:szCs w:val="21"/>
          <w:highlight w:val="none"/>
          <w:u w:val="single"/>
        </w:rPr>
        <w:t xml:space="preserve">             </w:t>
      </w:r>
      <w:r>
        <w:rPr>
          <w:rFonts w:hint="eastAsia" w:ascii="宋体" w:hAnsi="宋体" w:cs="宋体"/>
          <w:szCs w:val="21"/>
          <w:highlight w:val="none"/>
        </w:rPr>
        <w:t>，电子邮箱：</w:t>
      </w:r>
      <w:r>
        <w:rPr>
          <w:rFonts w:hint="eastAsia" w:ascii="宋体" w:hAnsi="宋体" w:cs="宋体"/>
          <w:szCs w:val="21"/>
          <w:highlight w:val="none"/>
          <w:u w:val="single"/>
        </w:rPr>
        <w:t xml:space="preserve">                   </w:t>
      </w:r>
      <w:r>
        <w:rPr>
          <w:rFonts w:hint="eastAsia" w:ascii="宋体" w:hAnsi="宋体" w:cs="宋体"/>
          <w:szCs w:val="21"/>
          <w:highlight w:val="none"/>
        </w:rPr>
        <w:t>。</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adjustRightInd/>
        <w:spacing w:line="340" w:lineRule="exact"/>
        <w:ind w:firstLine="420" w:firstLineChars="200"/>
        <w:rPr>
          <w:rFonts w:ascii="宋体" w:hAnsi="宋体" w:cs="宋体"/>
          <w:szCs w:val="21"/>
          <w:highlight w:val="none"/>
        </w:rPr>
      </w:pPr>
      <w:r>
        <w:rPr>
          <w:rFonts w:hint="eastAsia" w:ascii="宋体" w:hAnsi="宋体" w:cs="宋体"/>
          <w:szCs w:val="21"/>
          <w:highlight w:val="none"/>
          <w:lang w:val="en"/>
        </w:rPr>
        <w:t>4.</w:t>
      </w:r>
      <w:r>
        <w:rPr>
          <w:rFonts w:hint="eastAsia" w:ascii="宋体" w:hAnsi="宋体" w:cs="宋体"/>
          <w:szCs w:val="21"/>
          <w:highlight w:val="none"/>
        </w:rPr>
        <w:t>本合同一式</w:t>
      </w:r>
      <w:r>
        <w:rPr>
          <w:rFonts w:hint="eastAsia" w:ascii="宋体" w:hAnsi="宋体" w:cs="宋体"/>
          <w:szCs w:val="21"/>
          <w:highlight w:val="none"/>
          <w:lang w:eastAsia="zh-CN"/>
        </w:rPr>
        <w:t>七</w:t>
      </w:r>
      <w:r>
        <w:rPr>
          <w:rFonts w:hint="eastAsia" w:ascii="宋体" w:hAnsi="宋体" w:cs="宋体"/>
          <w:szCs w:val="21"/>
          <w:highlight w:val="none"/>
        </w:rPr>
        <w:t>份，具有同等法律效力，</w:t>
      </w:r>
      <w:r>
        <w:rPr>
          <w:rFonts w:hint="eastAsia" w:ascii="宋体" w:hAnsi="宋体" w:cs="宋体"/>
          <w:sz w:val="21"/>
          <w:szCs w:val="21"/>
          <w:highlight w:val="none"/>
        </w:rPr>
        <w:t>政府采购监管部门</w:t>
      </w:r>
      <w:r>
        <w:rPr>
          <w:rFonts w:hint="eastAsia" w:ascii="宋体" w:hAnsi="宋体" w:cs="宋体"/>
          <w:sz w:val="21"/>
          <w:szCs w:val="21"/>
          <w:highlight w:val="none"/>
          <w:lang w:eastAsia="zh-CN"/>
        </w:rPr>
        <w:t>一份</w:t>
      </w:r>
      <w:r>
        <w:rPr>
          <w:rFonts w:hint="eastAsia" w:ascii="宋体" w:hAnsi="宋体" w:cs="宋体"/>
          <w:sz w:val="21"/>
          <w:szCs w:val="21"/>
          <w:highlight w:val="none"/>
        </w:rPr>
        <w:t>、</w:t>
      </w:r>
      <w:r>
        <w:rPr>
          <w:rFonts w:hint="eastAsia" w:ascii="宋体" w:hAnsi="宋体" w:cs="宋体"/>
          <w:sz w:val="21"/>
          <w:szCs w:val="21"/>
          <w:highlight w:val="none"/>
          <w:lang w:eastAsia="zh-CN"/>
        </w:rPr>
        <w:t>甲、乙双方及</w:t>
      </w:r>
      <w:r>
        <w:rPr>
          <w:rFonts w:hint="eastAsia" w:ascii="宋体" w:hAnsi="宋体" w:cs="宋体"/>
          <w:szCs w:val="21"/>
          <w:highlight w:val="none"/>
        </w:rPr>
        <w:t>采购代理机构</w:t>
      </w:r>
      <w:r>
        <w:rPr>
          <w:rFonts w:hint="eastAsia" w:ascii="宋体" w:hAnsi="宋体" w:cs="宋体"/>
          <w:szCs w:val="21"/>
          <w:highlight w:val="none"/>
          <w:lang w:eastAsia="zh-CN"/>
        </w:rPr>
        <w:t>各</w:t>
      </w:r>
      <w:r>
        <w:rPr>
          <w:rFonts w:hint="eastAsia" w:ascii="宋体" w:hAnsi="宋体" w:cs="宋体"/>
          <w:szCs w:val="21"/>
          <w:highlight w:val="none"/>
          <w:u w:val="single"/>
        </w:rPr>
        <w:t>二</w:t>
      </w:r>
      <w:r>
        <w:rPr>
          <w:rFonts w:hint="eastAsia" w:ascii="宋体" w:hAnsi="宋体" w:cs="宋体"/>
          <w:szCs w:val="21"/>
          <w:highlight w:val="none"/>
        </w:rPr>
        <w:t>份。</w:t>
      </w:r>
    </w:p>
    <w:p>
      <w:pPr>
        <w:autoSpaceDE w:val="0"/>
        <w:spacing w:line="400" w:lineRule="exact"/>
        <w:ind w:firstLine="420" w:firstLineChars="200"/>
        <w:rPr>
          <w:rFonts w:ascii="宋体" w:hAnsi="宋体" w:cs="宋体"/>
          <w:szCs w:val="21"/>
          <w:highlight w:val="none"/>
        </w:rPr>
      </w:pPr>
      <w:r>
        <w:rPr>
          <w:rFonts w:hint="eastAsia" w:ascii="宋体" w:hAnsi="宋体" w:cs="宋体"/>
          <w:szCs w:val="21"/>
          <w:highlight w:val="none"/>
        </w:rPr>
        <w:t>5.本条款不因合同的变更、解除和终止而失效。</w:t>
      </w:r>
    </w:p>
    <w:tbl>
      <w:tblPr>
        <w:tblStyle w:val="71"/>
        <w:tblW w:w="896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600"/>
        <w:gridCol w:w="3103"/>
        <w:gridCol w:w="1579"/>
        <w:gridCol w:w="267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811" w:hRule="atLeast"/>
        </w:trPr>
        <w:tc>
          <w:tcPr>
            <w:tcW w:w="4703" w:type="dxa"/>
            <w:gridSpan w:val="2"/>
            <w:tcBorders>
              <w:top w:val="single" w:color="auto" w:sz="4"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甲方</w:t>
            </w:r>
            <w:r>
              <w:rPr>
                <w:rFonts w:hint="eastAsia" w:ascii="宋体" w:hAnsi="宋体" w:cs="宋体"/>
                <w:sz w:val="21"/>
                <w:szCs w:val="21"/>
                <w:highlight w:val="none"/>
                <w:lang w:eastAsia="zh-CN"/>
              </w:rPr>
              <w:t>：广西壮族自治区海洋环境监测中心站</w:t>
            </w:r>
          </w:p>
        </w:tc>
        <w:tc>
          <w:tcPr>
            <w:tcW w:w="4258" w:type="dxa"/>
            <w:gridSpan w:val="2"/>
            <w:tcBorders>
              <w:top w:val="single" w:color="auto" w:sz="4"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乙方</w:t>
            </w:r>
            <w:r>
              <w:rPr>
                <w:rFonts w:hint="eastAsia" w:ascii="宋体" w:hAnsi="宋体" w:cs="宋体"/>
                <w:sz w:val="21"/>
                <w:szCs w:val="21"/>
                <w:highlight w:val="none"/>
                <w:lang w:eastAsia="zh-CN"/>
              </w:rPr>
              <w:t>：</w:t>
            </w:r>
            <w:r>
              <w:rPr>
                <w:rFonts w:hint="eastAsia" w:ascii="宋体" w:hAnsi="宋体" w:cs="宋体"/>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52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单位名称（公章或合同章）</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单位名称（公章或合同章）</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600" w:type="dxa"/>
            <w:vMerge w:val="restart"/>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法定代表人</w:t>
            </w:r>
          </w:p>
          <w:p>
            <w:pPr>
              <w:pStyle w:val="2"/>
              <w:rPr>
                <w:rFonts w:ascii="宋体" w:hAnsi="宋体" w:cs="宋体"/>
                <w:sz w:val="21"/>
                <w:szCs w:val="21"/>
                <w:highlight w:val="none"/>
              </w:rPr>
            </w:pPr>
            <w:r>
              <w:rPr>
                <w:rFonts w:hint="eastAsia" w:ascii="宋体" w:hAnsi="宋体" w:cs="宋体"/>
                <w:sz w:val="21"/>
                <w:szCs w:val="21"/>
                <w:highlight w:val="none"/>
              </w:rPr>
              <w:t>或其委托代理人（签章）</w:t>
            </w:r>
          </w:p>
        </w:tc>
        <w:tc>
          <w:tcPr>
            <w:tcW w:w="3103" w:type="dxa"/>
            <w:vMerge w:val="restart"/>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法定代表人</w:t>
            </w:r>
          </w:p>
          <w:p>
            <w:pPr>
              <w:pStyle w:val="2"/>
              <w:rPr>
                <w:rFonts w:ascii="宋体" w:hAnsi="宋体" w:cs="宋体"/>
                <w:sz w:val="21"/>
                <w:szCs w:val="21"/>
                <w:highlight w:val="none"/>
              </w:rPr>
            </w:pPr>
            <w:r>
              <w:rPr>
                <w:rFonts w:hint="eastAsia" w:ascii="宋体" w:hAnsi="宋体" w:cs="宋体"/>
                <w:sz w:val="21"/>
                <w:szCs w:val="21"/>
                <w:highlight w:val="none"/>
              </w:rPr>
              <w:t>或其委托代理人（签章）</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vMerge w:val="continue"/>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p>
        </w:tc>
        <w:tc>
          <w:tcPr>
            <w:tcW w:w="3103" w:type="dxa"/>
            <w:vMerge w:val="continue"/>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拥有者性别</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住</w:t>
            </w:r>
            <w:r>
              <w:rPr>
                <w:rFonts w:ascii="宋体" w:hAnsi="宋体" w:cs="宋体"/>
                <w:sz w:val="21"/>
                <w:szCs w:val="21"/>
                <w:highlight w:val="none"/>
              </w:rPr>
              <w:t xml:space="preserve">  </w:t>
            </w:r>
            <w:r>
              <w:rPr>
                <w:rFonts w:hint="eastAsia" w:ascii="宋体" w:hAnsi="宋体" w:cs="宋体"/>
                <w:sz w:val="21"/>
                <w:szCs w:val="21"/>
                <w:highlight w:val="none"/>
              </w:rPr>
              <w:t>所</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广西北海市海城区公园路49号</w:t>
            </w: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住</w:t>
            </w:r>
            <w:r>
              <w:rPr>
                <w:rFonts w:ascii="宋体" w:hAnsi="宋体" w:cs="宋体"/>
                <w:sz w:val="21"/>
                <w:szCs w:val="21"/>
                <w:highlight w:val="none"/>
              </w:rPr>
              <w:t xml:space="preserve">  </w:t>
            </w:r>
            <w:r>
              <w:rPr>
                <w:rFonts w:hint="eastAsia" w:ascii="宋体" w:hAnsi="宋体" w:cs="宋体"/>
                <w:sz w:val="21"/>
                <w:szCs w:val="21"/>
                <w:highlight w:val="none"/>
              </w:rPr>
              <w:t>所</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联</w:t>
            </w:r>
            <w:r>
              <w:rPr>
                <w:rFonts w:ascii="宋体" w:hAnsi="宋体" w:cs="宋体"/>
                <w:sz w:val="21"/>
                <w:szCs w:val="21"/>
                <w:highlight w:val="none"/>
              </w:rPr>
              <w:t xml:space="preserve"> </w:t>
            </w:r>
            <w:r>
              <w:rPr>
                <w:rFonts w:hint="eastAsia" w:ascii="宋体" w:hAnsi="宋体" w:cs="宋体"/>
                <w:sz w:val="21"/>
                <w:szCs w:val="21"/>
                <w:highlight w:val="none"/>
              </w:rPr>
              <w:t>系</w:t>
            </w:r>
            <w:r>
              <w:rPr>
                <w:rFonts w:ascii="宋体" w:hAnsi="宋体" w:cs="宋体"/>
                <w:sz w:val="21"/>
                <w:szCs w:val="21"/>
                <w:highlight w:val="none"/>
              </w:rPr>
              <w:t xml:space="preserve"> </w:t>
            </w:r>
            <w:r>
              <w:rPr>
                <w:rFonts w:hint="eastAsia" w:ascii="宋体" w:hAnsi="宋体" w:cs="宋体"/>
                <w:sz w:val="21"/>
                <w:szCs w:val="21"/>
                <w:highlight w:val="none"/>
              </w:rPr>
              <w:t>人</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联</w:t>
            </w:r>
            <w:r>
              <w:rPr>
                <w:rFonts w:ascii="宋体" w:hAnsi="宋体" w:cs="宋体"/>
                <w:sz w:val="21"/>
                <w:szCs w:val="21"/>
                <w:highlight w:val="none"/>
              </w:rPr>
              <w:t xml:space="preserve"> </w:t>
            </w:r>
            <w:r>
              <w:rPr>
                <w:rFonts w:hint="eastAsia" w:ascii="宋体" w:hAnsi="宋体" w:cs="宋体"/>
                <w:sz w:val="21"/>
                <w:szCs w:val="21"/>
                <w:highlight w:val="none"/>
              </w:rPr>
              <w:t>系</w:t>
            </w:r>
            <w:r>
              <w:rPr>
                <w:rFonts w:ascii="宋体" w:hAnsi="宋体" w:cs="宋体"/>
                <w:sz w:val="21"/>
                <w:szCs w:val="21"/>
                <w:highlight w:val="none"/>
              </w:rPr>
              <w:t xml:space="preserve"> </w:t>
            </w:r>
            <w:r>
              <w:rPr>
                <w:rFonts w:hint="eastAsia" w:ascii="宋体" w:hAnsi="宋体" w:cs="宋体"/>
                <w:sz w:val="21"/>
                <w:szCs w:val="21"/>
                <w:highlight w:val="none"/>
              </w:rPr>
              <w:t>人</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联系电话</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 xml:space="preserve"> 0779-6801868</w:t>
            </w: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联系电话</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通信地址</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广西北海市海城区公园路49号</w:t>
            </w: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通信地址</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邮政编码</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536000</w:t>
            </w: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邮政编码</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电子邮箱</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电子邮箱</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统一社会信用代码</w:t>
            </w: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12450500753725700U</w:t>
            </w: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统一社会信用代码</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开户名称</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开户银行</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600" w:type="dxa"/>
            <w:tcBorders>
              <w:top w:val="single" w:color="auto" w:sz="2" w:space="0"/>
              <w:left w:val="single" w:color="auto" w:sz="4" w:space="0"/>
              <w:bottom w:val="single" w:color="auto" w:sz="2" w:space="0"/>
              <w:right w:val="single" w:color="auto" w:sz="2" w:space="0"/>
            </w:tcBorders>
            <w:vAlign w:val="center"/>
          </w:tcPr>
          <w:p>
            <w:pPr>
              <w:pStyle w:val="2"/>
              <w:rPr>
                <w:rFonts w:ascii="宋体" w:hAnsi="宋体" w:cs="宋体"/>
                <w:sz w:val="21"/>
                <w:szCs w:val="21"/>
                <w:highlight w:val="none"/>
              </w:rPr>
            </w:pPr>
          </w:p>
        </w:tc>
        <w:tc>
          <w:tcPr>
            <w:tcW w:w="3103"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p>
        </w:tc>
        <w:tc>
          <w:tcPr>
            <w:tcW w:w="1579" w:type="dxa"/>
            <w:tcBorders>
              <w:top w:val="single" w:color="auto" w:sz="2" w:space="0"/>
              <w:left w:val="single" w:color="auto" w:sz="2" w:space="0"/>
              <w:bottom w:val="single" w:color="auto" w:sz="2" w:space="0"/>
              <w:right w:val="single" w:color="auto" w:sz="2" w:space="0"/>
            </w:tcBorders>
            <w:vAlign w:val="center"/>
          </w:tcPr>
          <w:p>
            <w:pPr>
              <w:pStyle w:val="2"/>
              <w:rPr>
                <w:rFonts w:ascii="宋体" w:hAnsi="宋体" w:cs="宋体"/>
                <w:sz w:val="21"/>
                <w:szCs w:val="21"/>
                <w:highlight w:val="none"/>
              </w:rPr>
            </w:pPr>
            <w:r>
              <w:rPr>
                <w:rFonts w:hint="eastAsia" w:ascii="宋体" w:hAnsi="宋体" w:cs="宋体"/>
                <w:sz w:val="21"/>
                <w:szCs w:val="21"/>
                <w:highlight w:val="none"/>
              </w:rPr>
              <w:t>银行账号</w:t>
            </w:r>
          </w:p>
        </w:tc>
        <w:tc>
          <w:tcPr>
            <w:tcW w:w="2679" w:type="dxa"/>
            <w:tcBorders>
              <w:top w:val="single" w:color="auto" w:sz="2" w:space="0"/>
              <w:left w:val="single" w:color="auto" w:sz="2" w:space="0"/>
              <w:bottom w:val="single" w:color="auto" w:sz="2" w:space="0"/>
              <w:right w:val="single" w:color="auto" w:sz="4" w:space="0"/>
            </w:tcBorders>
            <w:vAlign w:val="center"/>
          </w:tcPr>
          <w:p>
            <w:pPr>
              <w:pStyle w:val="2"/>
              <w:rPr>
                <w:rFonts w:ascii="宋体" w:hAnsi="宋体" w:cs="宋体"/>
                <w:sz w:val="21"/>
                <w:szCs w:val="21"/>
                <w:highlight w:val="none"/>
              </w:rPr>
            </w:pPr>
          </w:p>
        </w:tc>
      </w:tr>
    </w:tbl>
    <w:p>
      <w:pPr>
        <w:rPr>
          <w:highlight w:val="none"/>
        </w:rPr>
      </w:pPr>
    </w:p>
    <w:bookmarkEnd w:id="79"/>
    <w:p>
      <w:pPr>
        <w:snapToGrid w:val="0"/>
        <w:spacing w:line="350" w:lineRule="exact"/>
        <w:rPr>
          <w:rFonts w:ascii="宋体" w:hAnsi="宋体" w:cs="宋体"/>
          <w:b/>
          <w:szCs w:val="21"/>
          <w:highlight w:val="none"/>
        </w:rPr>
      </w:pPr>
      <w:r>
        <w:rPr>
          <w:rFonts w:hint="eastAsia" w:ascii="宋体" w:hAnsi="宋体" w:cs="宋体"/>
          <w:b/>
          <w:szCs w:val="21"/>
          <w:highlight w:val="none"/>
        </w:rPr>
        <w:t>注：1.非法定代表人（负责人）签署本合同时，需附法定代表人（负责人）授权委托书；</w:t>
      </w:r>
    </w:p>
    <w:p>
      <w:pPr>
        <w:keepNext/>
        <w:keepLines/>
        <w:widowControl/>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2.本合同中已注明处、合同骑缝处及合同封面均需加盖单位公章。</w:t>
      </w:r>
    </w:p>
    <w:p>
      <w:pPr>
        <w:pStyle w:val="16"/>
        <w:widowControl/>
        <w:rPr>
          <w:rFonts w:hAnsi="宋体" w:cs="宋体"/>
          <w:b/>
          <w:bCs/>
          <w:sz w:val="21"/>
          <w:highlight w:val="none"/>
        </w:rPr>
      </w:pPr>
    </w:p>
    <w:p>
      <w:pPr>
        <w:pStyle w:val="16"/>
        <w:widowControl/>
        <w:rPr>
          <w:rFonts w:hAnsi="宋体" w:cs="宋体"/>
          <w:b/>
          <w:bCs/>
          <w:sz w:val="21"/>
          <w:highlight w:val="none"/>
        </w:rPr>
      </w:pPr>
    </w:p>
    <w:p>
      <w:pPr>
        <w:pStyle w:val="16"/>
        <w:widowControl/>
        <w:rPr>
          <w:rFonts w:hAnsi="宋体" w:cs="宋体"/>
          <w:b/>
          <w:bCs/>
          <w:sz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p>
      <w:pPr>
        <w:pStyle w:val="15"/>
        <w:rPr>
          <w:rFonts w:hAnsi="宋体" w:cs="宋体"/>
          <w:b/>
          <w:bCs/>
          <w:sz w:val="21"/>
          <w:szCs w:val="21"/>
          <w:highlight w:val="none"/>
        </w:rPr>
      </w:pPr>
    </w:p>
    <w:bookmarkEnd w:id="77"/>
    <w:bookmarkEnd w:id="78"/>
    <w:p>
      <w:pPr>
        <w:adjustRightInd/>
        <w:spacing w:line="360" w:lineRule="auto"/>
        <w:jc w:val="center"/>
        <w:outlineLvl w:val="0"/>
        <w:rPr>
          <w:rFonts w:cs="仿宋_GB2312" w:asciiTheme="minorEastAsia" w:hAnsiTheme="minorEastAsia" w:eastAsiaTheme="minorEastAsia"/>
          <w:b/>
          <w:sz w:val="32"/>
          <w:szCs w:val="32"/>
          <w:highlight w:val="none"/>
        </w:rPr>
      </w:pPr>
      <w:bookmarkStart w:id="80" w:name="_Toc181203100"/>
      <w:bookmarkStart w:id="81" w:name="_Toc181203101"/>
      <w:r>
        <w:rPr>
          <w:rFonts w:hint="eastAsia" w:cs="仿宋_GB2312" w:asciiTheme="minorEastAsia" w:hAnsiTheme="minorEastAsia" w:eastAsiaTheme="minorEastAsia"/>
          <w:b/>
          <w:sz w:val="32"/>
          <w:szCs w:val="32"/>
          <w:highlight w:val="none"/>
        </w:rPr>
        <w:t>第七部分  应提交的有关格式范例</w:t>
      </w:r>
      <w:bookmarkEnd w:id="80"/>
    </w:p>
    <w:p>
      <w:pPr>
        <w:pStyle w:val="2"/>
        <w:rPr>
          <w:highlight w:val="none"/>
        </w:rPr>
      </w:pPr>
    </w:p>
    <w:p>
      <w:pPr>
        <w:snapToGrid w:val="0"/>
        <w:spacing w:before="120" w:beforeLines="50" w:after="50" w:line="360" w:lineRule="exact"/>
        <w:jc w:val="center"/>
        <w:outlineLvl w:val="1"/>
        <w:rPr>
          <w:rFonts w:ascii="宋体" w:hAnsi="宋体" w:cs="宋体"/>
          <w:b/>
          <w:bCs/>
          <w:sz w:val="28"/>
          <w:szCs w:val="28"/>
          <w:highlight w:val="none"/>
        </w:rPr>
      </w:pPr>
      <w:r>
        <w:rPr>
          <w:rFonts w:hint="eastAsia" w:ascii="宋体" w:hAnsi="宋体" w:cs="宋体"/>
          <w:b/>
          <w:bCs/>
          <w:sz w:val="28"/>
          <w:szCs w:val="28"/>
          <w:highlight w:val="none"/>
        </w:rPr>
        <w:t>电子备份响应文件外包装封面及响应文件封面格式</w:t>
      </w:r>
    </w:p>
    <w:p>
      <w:pPr>
        <w:snapToGrid w:val="0"/>
        <w:spacing w:before="120" w:beforeLines="50" w:after="50" w:line="360" w:lineRule="exact"/>
        <w:jc w:val="center"/>
        <w:outlineLvl w:val="1"/>
        <w:rPr>
          <w:rFonts w:ascii="宋体" w:hAnsi="宋体" w:cs="宋体"/>
          <w:b/>
          <w:bCs/>
          <w:sz w:val="28"/>
          <w:szCs w:val="28"/>
          <w:highlight w:val="none"/>
        </w:rPr>
      </w:pPr>
    </w:p>
    <w:p>
      <w:pPr>
        <w:snapToGrid w:val="0"/>
        <w:spacing w:before="120" w:beforeLines="50" w:after="50" w:line="360" w:lineRule="exact"/>
        <w:ind w:firstLine="422" w:firstLineChars="200"/>
        <w:rPr>
          <w:rFonts w:ascii="宋体" w:hAnsi="宋体" w:cs="宋体"/>
          <w:b/>
          <w:szCs w:val="21"/>
          <w:highlight w:val="none"/>
        </w:rPr>
      </w:pPr>
    </w:p>
    <w:p>
      <w:pPr>
        <w:snapToGrid w:val="0"/>
        <w:spacing w:before="120" w:beforeLines="50" w:after="50" w:line="360" w:lineRule="exact"/>
        <w:jc w:val="center"/>
        <w:rPr>
          <w:rFonts w:ascii="宋体" w:hAnsi="宋体" w:cs="宋体"/>
          <w:b/>
          <w:bCs/>
          <w:sz w:val="24"/>
          <w:highlight w:val="none"/>
        </w:rPr>
      </w:pPr>
      <w:r>
        <w:rPr>
          <w:rFonts w:hint="eastAsia" w:ascii="宋体" w:hAnsi="宋体" w:cs="宋体"/>
          <w:b/>
          <w:bCs/>
          <w:sz w:val="24"/>
          <w:highlight w:val="none"/>
        </w:rPr>
        <w:t>（一）竞争性谈判响应文件的外包装封面格式</w:t>
      </w:r>
    </w:p>
    <w:p>
      <w:pPr>
        <w:snapToGrid w:val="0"/>
        <w:spacing w:before="120" w:beforeLines="50" w:after="50" w:line="360" w:lineRule="exact"/>
        <w:rPr>
          <w:rFonts w:ascii="宋体" w:hAnsi="宋体" w:cs="宋体"/>
          <w:szCs w:val="21"/>
          <w:highlight w:val="none"/>
        </w:rPr>
      </w:pPr>
    </w:p>
    <w:p>
      <w:pPr>
        <w:snapToGrid w:val="0"/>
        <w:spacing w:before="120" w:beforeLines="50" w:after="50" w:line="360" w:lineRule="exact"/>
        <w:jc w:val="center"/>
        <w:rPr>
          <w:rFonts w:ascii="宋体" w:hAnsi="宋体" w:cs="宋体"/>
          <w:sz w:val="32"/>
          <w:szCs w:val="32"/>
          <w:highlight w:val="none"/>
        </w:rPr>
      </w:pPr>
      <w:r>
        <w:rPr>
          <w:rFonts w:hint="eastAsia" w:ascii="宋体" w:hAnsi="宋体" w:cs="宋体"/>
          <w:sz w:val="32"/>
          <w:szCs w:val="32"/>
          <w:highlight w:val="none"/>
        </w:rPr>
        <w:t>竞争性谈判响应文件</w:t>
      </w:r>
    </w:p>
    <w:p>
      <w:pPr>
        <w:snapToGrid w:val="0"/>
        <w:spacing w:before="120" w:beforeLines="50" w:after="50" w:line="360" w:lineRule="exact"/>
        <w:ind w:firstLine="840" w:firstLineChars="400"/>
        <w:rPr>
          <w:rFonts w:ascii="宋体" w:hAnsi="宋体" w:cs="宋体"/>
          <w:bCs/>
          <w:szCs w:val="21"/>
          <w:highlight w:val="none"/>
        </w:rPr>
      </w:pPr>
      <w:r>
        <w:rPr>
          <w:rFonts w:hint="eastAsia" w:ascii="宋体" w:hAnsi="宋体" w:cs="宋体"/>
          <w:szCs w:val="21"/>
          <w:highlight w:val="none"/>
        </w:rPr>
        <w:t>项目名称</w:t>
      </w:r>
      <w:r>
        <w:rPr>
          <w:rFonts w:hint="eastAsia" w:ascii="宋体" w:hAnsi="宋体" w:cs="宋体"/>
          <w:bCs/>
          <w:szCs w:val="21"/>
          <w:highlight w:val="none"/>
          <w:u w:val="single"/>
        </w:rPr>
        <w:t xml:space="preserve">：                      </w:t>
      </w:r>
    </w:p>
    <w:p>
      <w:pPr>
        <w:snapToGrid w:val="0"/>
        <w:spacing w:before="120" w:beforeLines="50" w:after="50" w:line="360" w:lineRule="exact"/>
        <w:ind w:firstLine="840" w:firstLineChars="400"/>
        <w:rPr>
          <w:rFonts w:ascii="宋体" w:hAnsi="宋体" w:cs="宋体"/>
          <w:bCs/>
          <w:szCs w:val="21"/>
          <w:highlight w:val="none"/>
          <w:u w:val="single"/>
        </w:rPr>
      </w:pPr>
      <w:r>
        <w:rPr>
          <w:rFonts w:hint="eastAsia" w:ascii="宋体" w:hAnsi="宋体" w:cs="宋体"/>
          <w:szCs w:val="21"/>
          <w:highlight w:val="none"/>
        </w:rPr>
        <w:t>项目编号</w:t>
      </w:r>
      <w:r>
        <w:rPr>
          <w:rFonts w:hint="eastAsia" w:ascii="宋体" w:hAnsi="宋体" w:cs="宋体"/>
          <w:bCs/>
          <w:szCs w:val="21"/>
          <w:highlight w:val="none"/>
        </w:rPr>
        <w:t>：</w:t>
      </w:r>
      <w:r>
        <w:rPr>
          <w:rFonts w:hint="eastAsia" w:ascii="宋体" w:hAnsi="宋体" w:cs="宋体"/>
          <w:bCs/>
          <w:szCs w:val="21"/>
          <w:highlight w:val="none"/>
          <w:u w:val="single"/>
        </w:rPr>
        <w:t xml:space="preserve">                         </w:t>
      </w:r>
    </w:p>
    <w:p>
      <w:pPr>
        <w:snapToGrid w:val="0"/>
        <w:spacing w:before="120" w:beforeLines="50" w:after="50" w:line="360" w:lineRule="exact"/>
        <w:ind w:firstLine="843" w:firstLineChars="400"/>
        <w:rPr>
          <w:rFonts w:ascii="宋体" w:hAnsi="宋体" w:cs="宋体"/>
          <w:bCs/>
          <w:szCs w:val="21"/>
          <w:highlight w:val="none"/>
        </w:rPr>
      </w:pPr>
      <w:r>
        <w:rPr>
          <w:rFonts w:hint="eastAsia" w:ascii="宋体" w:hAnsi="宋体" w:cs="宋体"/>
          <w:b/>
          <w:bCs/>
          <w:szCs w:val="21"/>
          <w:highlight w:val="none"/>
        </w:rPr>
        <w:t>响应文件名称：</w:t>
      </w:r>
      <w:r>
        <w:rPr>
          <w:rFonts w:hint="eastAsia" w:ascii="宋体" w:hAnsi="宋体" w:cs="宋体"/>
          <w:b/>
          <w:bCs/>
          <w:szCs w:val="21"/>
          <w:highlight w:val="none"/>
          <w:u w:val="single"/>
        </w:rPr>
        <w:t>电子备份响应文件</w:t>
      </w:r>
      <w:r>
        <w:rPr>
          <w:rFonts w:hint="eastAsia" w:ascii="宋体" w:hAnsi="宋体" w:cs="宋体"/>
          <w:b/>
          <w:bCs/>
          <w:szCs w:val="21"/>
          <w:highlight w:val="none"/>
        </w:rPr>
        <w:t xml:space="preserve">  </w:t>
      </w:r>
    </w:p>
    <w:p>
      <w:pPr>
        <w:snapToGrid w:val="0"/>
        <w:spacing w:before="120" w:beforeLines="50" w:after="50" w:line="360" w:lineRule="exact"/>
        <w:ind w:firstLine="840" w:firstLineChars="400"/>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bCs/>
          <w:szCs w:val="21"/>
          <w:highlight w:val="none"/>
          <w:u w:val="single"/>
        </w:rPr>
        <w:t xml:space="preserve">                        </w:t>
      </w:r>
      <w:r>
        <w:rPr>
          <w:rFonts w:hint="eastAsia" w:ascii="宋体" w:hAnsi="宋体" w:cs="宋体"/>
          <w:szCs w:val="21"/>
          <w:highlight w:val="none"/>
        </w:rPr>
        <w:t xml:space="preserve">                         </w:t>
      </w:r>
    </w:p>
    <w:p>
      <w:pPr>
        <w:snapToGrid w:val="0"/>
        <w:spacing w:before="120" w:beforeLines="50" w:after="50" w:line="360" w:lineRule="exact"/>
        <w:ind w:firstLine="840" w:firstLineChars="400"/>
        <w:rPr>
          <w:rFonts w:ascii="宋体" w:hAnsi="宋体" w:cs="宋体"/>
          <w:szCs w:val="21"/>
          <w:highlight w:val="none"/>
        </w:rPr>
      </w:pPr>
      <w:r>
        <w:rPr>
          <w:rFonts w:hint="eastAsia" w:ascii="宋体" w:hAnsi="宋体" w:cs="宋体"/>
          <w:szCs w:val="21"/>
          <w:highlight w:val="none"/>
        </w:rPr>
        <w:t>供应商地址：</w:t>
      </w:r>
      <w:r>
        <w:rPr>
          <w:rFonts w:hint="eastAsia" w:ascii="宋体" w:hAnsi="宋体" w:cs="宋体"/>
          <w:bCs/>
          <w:szCs w:val="21"/>
          <w:highlight w:val="none"/>
          <w:u w:val="single"/>
        </w:rPr>
        <w:t xml:space="preserve">                         </w:t>
      </w:r>
      <w:r>
        <w:rPr>
          <w:rFonts w:hint="eastAsia" w:ascii="宋体" w:hAnsi="宋体" w:cs="宋体"/>
          <w:szCs w:val="21"/>
          <w:highlight w:val="none"/>
        </w:rPr>
        <w:t xml:space="preserve">                                      </w:t>
      </w:r>
    </w:p>
    <w:p>
      <w:pPr>
        <w:snapToGrid w:val="0"/>
        <w:spacing w:before="120" w:beforeLines="50" w:after="50" w:line="360" w:lineRule="exact"/>
        <w:ind w:firstLine="840" w:firstLineChars="400"/>
        <w:rPr>
          <w:rFonts w:ascii="宋体" w:hAnsi="宋体" w:cs="宋体"/>
          <w:szCs w:val="21"/>
          <w:highlight w:val="none"/>
        </w:rPr>
      </w:pPr>
      <w:r>
        <w:rPr>
          <w:rFonts w:hint="eastAsia" w:ascii="宋体" w:hAnsi="宋体" w:cs="宋体"/>
          <w:szCs w:val="21"/>
          <w:highlight w:val="none"/>
        </w:rPr>
        <w:t>（响应文件开启会开始时才能启封）</w:t>
      </w:r>
    </w:p>
    <w:p>
      <w:pPr>
        <w:pStyle w:val="20"/>
        <w:spacing w:before="50" w:after="50" w:line="360" w:lineRule="exact"/>
        <w:ind w:firstLine="0"/>
        <w:jc w:val="left"/>
        <w:rPr>
          <w:rFonts w:hAnsi="宋体" w:cs="宋体"/>
          <w:bCs/>
          <w:color w:val="auto"/>
          <w:szCs w:val="21"/>
          <w:highlight w:val="none"/>
        </w:rPr>
      </w:pPr>
    </w:p>
    <w:p>
      <w:pPr>
        <w:snapToGrid w:val="0"/>
        <w:spacing w:after="50" w:line="360" w:lineRule="exact"/>
        <w:rPr>
          <w:rFonts w:ascii="宋体" w:hAnsi="宋体" w:cs="宋体"/>
          <w:b/>
          <w:sz w:val="24"/>
          <w:highlight w:val="none"/>
        </w:rPr>
      </w:pPr>
      <w:r>
        <w:rPr>
          <w:rFonts w:hint="eastAsia" w:ascii="宋体" w:hAnsi="宋体" w:cs="宋体"/>
          <w:bCs/>
          <w:szCs w:val="21"/>
          <w:highlight w:val="none"/>
          <w:u w:val="single"/>
        </w:rPr>
        <w:t xml:space="preserve">                                                                                                   </w:t>
      </w:r>
    </w:p>
    <w:p>
      <w:pPr>
        <w:snapToGrid w:val="0"/>
        <w:spacing w:after="50" w:line="360" w:lineRule="exact"/>
        <w:ind w:firstLine="3614" w:firstLineChars="1500"/>
        <w:rPr>
          <w:rFonts w:ascii="宋体" w:hAnsi="宋体" w:cs="宋体"/>
          <w:b/>
          <w:sz w:val="24"/>
          <w:highlight w:val="none"/>
        </w:rPr>
      </w:pPr>
      <w:r>
        <w:rPr>
          <w:rFonts w:hint="eastAsia" w:ascii="宋体" w:hAnsi="宋体" w:cs="宋体"/>
          <w:b/>
          <w:sz w:val="24"/>
          <w:highlight w:val="none"/>
        </w:rPr>
        <w:t>（二）电子备份响应文件封面格式</w:t>
      </w:r>
    </w:p>
    <w:p>
      <w:pPr>
        <w:snapToGrid w:val="0"/>
        <w:spacing w:before="120" w:beforeLines="50" w:after="50" w:line="360" w:lineRule="exact"/>
        <w:jc w:val="center"/>
        <w:outlineLvl w:val="1"/>
        <w:rPr>
          <w:rFonts w:ascii="宋体" w:hAnsi="宋体"/>
          <w:b/>
          <w:sz w:val="36"/>
          <w:szCs w:val="36"/>
          <w:highlight w:val="none"/>
        </w:rPr>
      </w:pPr>
    </w:p>
    <w:p>
      <w:pPr>
        <w:snapToGrid w:val="0"/>
        <w:spacing w:before="120" w:beforeLines="50" w:after="50" w:line="360" w:lineRule="exact"/>
        <w:jc w:val="center"/>
        <w:rPr>
          <w:rFonts w:ascii="宋体" w:hAnsi="宋体" w:cs="宋体"/>
          <w:b/>
          <w:bCs/>
          <w:sz w:val="32"/>
          <w:szCs w:val="32"/>
          <w:highlight w:val="none"/>
        </w:rPr>
      </w:pPr>
      <w:r>
        <w:rPr>
          <w:rFonts w:hint="eastAsia" w:ascii="宋体" w:hAnsi="宋体" w:cs="宋体"/>
          <w:b/>
          <w:bCs/>
          <w:sz w:val="32"/>
          <w:szCs w:val="32"/>
          <w:highlight w:val="none"/>
        </w:rPr>
        <w:t>响应文件</w:t>
      </w:r>
    </w:p>
    <w:p>
      <w:pPr>
        <w:snapToGrid w:val="0"/>
        <w:spacing w:after="50" w:line="360" w:lineRule="exact"/>
        <w:jc w:val="center"/>
        <w:rPr>
          <w:rFonts w:ascii="宋体"/>
          <w:b/>
          <w:sz w:val="28"/>
          <w:szCs w:val="28"/>
          <w:highlight w:val="none"/>
        </w:rPr>
      </w:pPr>
    </w:p>
    <w:p>
      <w:pPr>
        <w:snapToGrid w:val="0"/>
        <w:spacing w:after="50" w:line="360" w:lineRule="exact"/>
        <w:jc w:val="center"/>
        <w:rPr>
          <w:rFonts w:ascii="宋体"/>
          <w:b/>
          <w:sz w:val="28"/>
          <w:szCs w:val="28"/>
          <w:highlight w:val="none"/>
        </w:rPr>
      </w:pPr>
      <w:r>
        <w:rPr>
          <w:rFonts w:ascii="宋体" w:hAnsi="宋体"/>
          <w:b/>
          <w:sz w:val="28"/>
          <w:szCs w:val="28"/>
          <w:highlight w:val="none"/>
        </w:rPr>
        <w:t>(</w:t>
      </w:r>
      <w:r>
        <w:rPr>
          <w:rFonts w:hint="eastAsia" w:ascii="宋体" w:hAnsi="宋体"/>
          <w:b/>
          <w:sz w:val="28"/>
          <w:szCs w:val="28"/>
          <w:highlight w:val="none"/>
        </w:rPr>
        <w:t>资格文件、商务技术文件、报价文件</w:t>
      </w:r>
      <w:r>
        <w:rPr>
          <w:rFonts w:ascii="宋体" w:hAnsi="宋体"/>
          <w:b/>
          <w:sz w:val="28"/>
          <w:szCs w:val="28"/>
          <w:highlight w:val="none"/>
        </w:rPr>
        <w:t>)</w:t>
      </w:r>
    </w:p>
    <w:p>
      <w:pPr>
        <w:snapToGrid w:val="0"/>
        <w:spacing w:after="50" w:line="360" w:lineRule="exact"/>
        <w:jc w:val="center"/>
        <w:rPr>
          <w:rFonts w:ascii="宋体"/>
          <w:bCs/>
          <w:sz w:val="24"/>
          <w:highlight w:val="none"/>
        </w:rPr>
      </w:pPr>
    </w:p>
    <w:p>
      <w:pPr>
        <w:snapToGrid w:val="0"/>
        <w:spacing w:after="50" w:line="360" w:lineRule="exact"/>
        <w:ind w:firstLine="630" w:firstLineChars="300"/>
        <w:rPr>
          <w:rFonts w:ascii="宋体"/>
          <w:bCs/>
          <w:szCs w:val="21"/>
          <w:highlight w:val="none"/>
        </w:rPr>
      </w:pPr>
      <w:r>
        <w:rPr>
          <w:rFonts w:hint="eastAsia" w:ascii="宋体" w:hAnsi="宋体"/>
          <w:bCs/>
          <w:szCs w:val="21"/>
          <w:highlight w:val="none"/>
        </w:rPr>
        <w:t>项目名称：</w:t>
      </w:r>
    </w:p>
    <w:p>
      <w:pPr>
        <w:snapToGrid w:val="0"/>
        <w:spacing w:after="50" w:line="360" w:lineRule="exact"/>
        <w:ind w:firstLine="630" w:firstLineChars="300"/>
        <w:rPr>
          <w:rFonts w:ascii="宋体"/>
          <w:bCs/>
          <w:szCs w:val="21"/>
          <w:highlight w:val="none"/>
        </w:rPr>
      </w:pPr>
      <w:r>
        <w:rPr>
          <w:rFonts w:hint="eastAsia" w:ascii="宋体" w:hAnsi="宋体"/>
          <w:bCs/>
          <w:szCs w:val="21"/>
          <w:highlight w:val="none"/>
        </w:rPr>
        <w:t>项目编号：</w:t>
      </w:r>
    </w:p>
    <w:p>
      <w:pPr>
        <w:snapToGrid w:val="0"/>
        <w:spacing w:after="50" w:line="360" w:lineRule="exact"/>
        <w:ind w:firstLine="630" w:firstLineChars="300"/>
        <w:rPr>
          <w:rFonts w:ascii="宋体"/>
          <w:bCs/>
          <w:szCs w:val="21"/>
          <w:highlight w:val="none"/>
        </w:rPr>
      </w:pPr>
      <w:r>
        <w:rPr>
          <w:rFonts w:hint="eastAsia" w:ascii="宋体" w:hAnsi="宋体"/>
          <w:szCs w:val="21"/>
          <w:highlight w:val="none"/>
        </w:rPr>
        <w:t>供应商</w:t>
      </w:r>
      <w:r>
        <w:rPr>
          <w:rFonts w:hint="eastAsia" w:ascii="宋体" w:hAnsi="宋体"/>
          <w:bCs/>
          <w:szCs w:val="21"/>
          <w:highlight w:val="none"/>
        </w:rPr>
        <w:t>名称：</w:t>
      </w:r>
    </w:p>
    <w:p>
      <w:pPr>
        <w:snapToGrid w:val="0"/>
        <w:spacing w:after="50" w:line="360" w:lineRule="exact"/>
        <w:ind w:firstLine="6930" w:firstLineChars="3300"/>
        <w:outlineLvl w:val="1"/>
        <w:rPr>
          <w:rFonts w:ascii="宋体"/>
          <w:szCs w:val="21"/>
          <w:highlight w:val="none"/>
        </w:rPr>
      </w:pPr>
      <w:r>
        <w:rPr>
          <w:rFonts w:ascii="宋体" w:hAnsi="宋体"/>
          <w:szCs w:val="21"/>
          <w:highlight w:val="non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rPr>
        <w:t>日</w:t>
      </w:r>
    </w:p>
    <w:p>
      <w:pPr>
        <w:spacing w:line="360" w:lineRule="auto"/>
        <w:ind w:firstLine="422" w:firstLineChars="200"/>
        <w:rPr>
          <w:rFonts w:cs="仿宋_GB2312" w:asciiTheme="minorEastAsia" w:hAnsiTheme="minorEastAsia" w:eastAsiaTheme="minorEastAsia"/>
          <w:b/>
          <w:bCs/>
          <w:szCs w:val="21"/>
          <w:highlight w:val="none"/>
        </w:rPr>
      </w:pPr>
    </w:p>
    <w:p>
      <w:pPr>
        <w:spacing w:line="360" w:lineRule="auto"/>
        <w:ind w:firstLine="422" w:firstLineChars="200"/>
        <w:rPr>
          <w:rFonts w:cs="仿宋_GB2312" w:asciiTheme="minorEastAsia" w:hAnsiTheme="minorEastAsia" w:eastAsiaTheme="minorEastAsia"/>
          <w:b/>
          <w:bCs/>
          <w:szCs w:val="21"/>
          <w:highlight w:val="none"/>
        </w:rPr>
      </w:pPr>
    </w:p>
    <w:p>
      <w:pPr>
        <w:spacing w:line="360" w:lineRule="auto"/>
        <w:ind w:firstLine="422" w:firstLineChars="200"/>
        <w:rPr>
          <w:rFonts w:cs="仿宋_GB2312" w:asciiTheme="minorEastAsia" w:hAnsiTheme="minorEastAsia" w:eastAsiaTheme="minorEastAsia"/>
          <w:b/>
          <w:bCs/>
          <w:szCs w:val="21"/>
          <w:highlight w:val="none"/>
        </w:rPr>
      </w:pPr>
    </w:p>
    <w:p>
      <w:pPr>
        <w:pStyle w:val="73"/>
        <w:spacing w:before="120" w:after="120"/>
        <w:ind w:firstLine="560"/>
        <w:rPr>
          <w:color w:val="auto"/>
          <w:highlight w:val="none"/>
        </w:rPr>
      </w:pPr>
    </w:p>
    <w:p>
      <w:pPr>
        <w:spacing w:line="360" w:lineRule="auto"/>
        <w:ind w:firstLine="422"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b/>
          <w:bCs/>
          <w:szCs w:val="21"/>
          <w:highlight w:val="none"/>
        </w:rPr>
        <w:t>供应商须按照以下格式编制响应文件。</w:t>
      </w:r>
    </w:p>
    <w:p>
      <w:pPr>
        <w:widowControl/>
        <w:adjustRightInd/>
        <w:jc w:val="center"/>
        <w:rPr>
          <w:rFonts w:hint="eastAsia" w:cs="仿宋_GB2312" w:asciiTheme="minorEastAsia" w:hAnsiTheme="minorEastAsia" w:eastAsiaTheme="minorEastAsia"/>
          <w:b/>
          <w:kern w:val="0"/>
          <w:sz w:val="32"/>
          <w:szCs w:val="32"/>
          <w:highlight w:val="none"/>
          <w:lang w:val="zh-CN"/>
        </w:rPr>
      </w:pPr>
    </w:p>
    <w:p>
      <w:pPr>
        <w:widowControl/>
        <w:adjustRightInd/>
        <w:jc w:val="center"/>
        <w:rPr>
          <w:rFonts w:hint="eastAsia" w:cs="仿宋_GB2312" w:asciiTheme="minorEastAsia" w:hAnsiTheme="minorEastAsia" w:eastAsiaTheme="minorEastAsia"/>
          <w:b/>
          <w:kern w:val="0"/>
          <w:sz w:val="32"/>
          <w:szCs w:val="32"/>
          <w:highlight w:val="none"/>
          <w:lang w:val="zh-CN"/>
        </w:rPr>
      </w:pPr>
    </w:p>
    <w:p>
      <w:pPr>
        <w:widowControl/>
        <w:adjustRightInd/>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kern w:val="0"/>
          <w:sz w:val="32"/>
          <w:szCs w:val="32"/>
          <w:highlight w:val="none"/>
          <w:lang w:val="zh-CN"/>
        </w:rPr>
        <w:t>一、资格文件</w:t>
      </w:r>
    </w:p>
    <w:p>
      <w:pPr>
        <w:pStyle w:val="2"/>
        <w:rPr>
          <w:rFonts w:cs="仿宋_GB2312" w:asciiTheme="minorEastAsia" w:hAnsiTheme="minorEastAsia" w:eastAsiaTheme="minorEastAsia"/>
          <w:b/>
          <w:sz w:val="32"/>
          <w:szCs w:val="32"/>
          <w:highlight w:val="none"/>
        </w:rPr>
      </w:pPr>
    </w:p>
    <w:p>
      <w:pPr>
        <w:jc w:val="center"/>
        <w:rPr>
          <w:rFonts w:ascii="宋体" w:hAnsi="宋体" w:cs="宋体"/>
          <w:b/>
          <w:spacing w:val="-11"/>
          <w:kern w:val="0"/>
          <w:sz w:val="30"/>
          <w:szCs w:val="30"/>
          <w:highlight w:val="none"/>
          <w:lang w:val="zh-CN"/>
        </w:rPr>
      </w:pPr>
      <w:r>
        <w:rPr>
          <w:rFonts w:hint="eastAsia" w:ascii="宋体" w:hAnsi="宋体" w:cs="宋体"/>
          <w:b/>
          <w:kern w:val="0"/>
          <w:sz w:val="30"/>
          <w:szCs w:val="30"/>
          <w:highlight w:val="none"/>
        </w:rPr>
        <w:t>1</w:t>
      </w:r>
      <w:r>
        <w:rPr>
          <w:rFonts w:hint="eastAsia" w:ascii="宋体" w:hAnsi="宋体" w:cs="宋体"/>
          <w:b/>
          <w:spacing w:val="-11"/>
          <w:kern w:val="0"/>
          <w:sz w:val="30"/>
          <w:szCs w:val="30"/>
          <w:highlight w:val="none"/>
        </w:rPr>
        <w:t>.</w:t>
      </w:r>
      <w:r>
        <w:rPr>
          <w:rFonts w:hint="eastAsia" w:ascii="宋体" w:hAnsi="宋体" w:cs="宋体"/>
          <w:b/>
          <w:spacing w:val="-11"/>
          <w:kern w:val="0"/>
          <w:sz w:val="30"/>
          <w:szCs w:val="30"/>
          <w:highlight w:val="none"/>
          <w:lang w:val="zh-CN"/>
        </w:rPr>
        <w:t>授权委托书或法定代表人（单位负责人、自然人本人）身份证明</w:t>
      </w:r>
    </w:p>
    <w:p>
      <w:pPr>
        <w:snapToGrid w:val="0"/>
        <w:spacing w:line="360" w:lineRule="auto"/>
        <w:rPr>
          <w:rFonts w:ascii="宋体" w:hAnsi="宋体" w:cs="宋体"/>
          <w:sz w:val="30"/>
          <w:szCs w:val="30"/>
          <w:highlight w:val="none"/>
        </w:rPr>
      </w:pPr>
      <w:r>
        <w:rPr>
          <w:rFonts w:hint="eastAsia" w:ascii="宋体" w:hAnsi="宋体" w:cs="宋体"/>
          <w:sz w:val="30"/>
          <w:szCs w:val="30"/>
          <w:highlight w:val="none"/>
        </w:rPr>
        <w:t xml:space="preserve">                                </w:t>
      </w:r>
    </w:p>
    <w:p>
      <w:pPr>
        <w:snapToGrid w:val="0"/>
        <w:spacing w:line="360" w:lineRule="auto"/>
        <w:jc w:val="center"/>
        <w:rPr>
          <w:rFonts w:ascii="宋体" w:hAnsi="宋体" w:cs="宋体"/>
          <w:sz w:val="30"/>
          <w:szCs w:val="30"/>
          <w:highlight w:val="none"/>
        </w:rPr>
      </w:pPr>
      <w:r>
        <w:rPr>
          <w:rFonts w:hint="eastAsia" w:ascii="宋体" w:hAnsi="宋体" w:cs="宋体"/>
          <w:b/>
          <w:kern w:val="0"/>
          <w:sz w:val="30"/>
          <w:szCs w:val="30"/>
          <w:highlight w:val="none"/>
          <w:lang w:val="zh-CN"/>
        </w:rPr>
        <w:t>授权委托书</w:t>
      </w:r>
    </w:p>
    <w:p>
      <w:pPr>
        <w:snapToGrid w:val="0"/>
        <w:spacing w:line="360" w:lineRule="auto"/>
        <w:rPr>
          <w:rFonts w:ascii="宋体" w:hAnsi="宋体" w:cs="宋体"/>
          <w:kern w:val="0"/>
          <w:szCs w:val="21"/>
          <w:highlight w:val="none"/>
        </w:rPr>
      </w:pPr>
      <w:r>
        <w:rPr>
          <w:rFonts w:hint="eastAsia" w:ascii="宋体" w:hAnsi="宋体" w:cs="宋体"/>
          <w:szCs w:val="21"/>
          <w:highlight w:val="none"/>
        </w:rPr>
        <w:t>（采购人）、（采购代理机构）</w:t>
      </w:r>
      <w:r>
        <w:rPr>
          <w:rFonts w:hint="eastAsia" w:ascii="宋体" w:hAnsi="宋体" w:cs="宋体"/>
          <w:kern w:val="0"/>
          <w:szCs w:val="21"/>
          <w:highlight w:val="none"/>
          <w:lang w:val="zh-CN"/>
        </w:rPr>
        <w:t>：</w:t>
      </w:r>
    </w:p>
    <w:p>
      <w:pPr>
        <w:snapToGrid w:val="0"/>
        <w:spacing w:line="360" w:lineRule="auto"/>
        <w:ind w:firstLine="576"/>
        <w:rPr>
          <w:rFonts w:ascii="宋体" w:hAnsi="宋体" w:cs="宋体"/>
          <w:kern w:val="0"/>
          <w:szCs w:val="21"/>
          <w:highlight w:val="none"/>
        </w:rPr>
      </w:pPr>
      <w:r>
        <w:rPr>
          <w:rFonts w:hint="eastAsia" w:ascii="宋体" w:hAnsi="宋体" w:cs="宋体"/>
          <w:kern w:val="0"/>
          <w:szCs w:val="21"/>
          <w:highlight w:val="none"/>
        </w:rPr>
        <w:t>现</w:t>
      </w:r>
      <w:r>
        <w:rPr>
          <w:rFonts w:hint="eastAsia" w:ascii="宋体" w:hAnsi="宋体" w:cs="宋体"/>
          <w:kern w:val="0"/>
          <w:szCs w:val="21"/>
          <w:highlight w:val="none"/>
          <w:lang w:val="zh-CN"/>
        </w:rPr>
        <w:t>委托</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lang w:val="zh-CN"/>
        </w:rPr>
        <w:t>（姓名）为我方代理人（身份证号码：</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lang w:val="zh-CN"/>
        </w:rPr>
        <w:t>，手机：</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lang w:val="zh-CN"/>
        </w:rPr>
        <w:t>），以我方名义处理</w:t>
      </w:r>
      <w:r>
        <w:rPr>
          <w:rFonts w:hint="eastAsia" w:ascii="宋体" w:hAnsi="宋体" w:cs="宋体"/>
          <w:szCs w:val="21"/>
          <w:highlight w:val="none"/>
          <w:u w:val="single"/>
        </w:rPr>
        <w:t>（项目名称、项目编号）</w:t>
      </w:r>
      <w:r>
        <w:rPr>
          <w:rFonts w:hint="eastAsia" w:ascii="宋体" w:hAnsi="宋体" w:cs="宋体"/>
          <w:kern w:val="0"/>
          <w:szCs w:val="21"/>
          <w:highlight w:val="none"/>
          <w:lang w:val="zh-CN"/>
        </w:rPr>
        <w:t>政府采购谈判的一切事项，其法律后果由我方承担。</w:t>
      </w:r>
    </w:p>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lang w:val="zh-CN"/>
        </w:rPr>
        <w:t>委托期限</w:t>
      </w:r>
      <w:r>
        <w:rPr>
          <w:rFonts w:hint="eastAsia" w:ascii="宋体" w:hAnsi="宋体" w:cs="宋体"/>
          <w:kern w:val="0"/>
          <w:szCs w:val="21"/>
          <w:highlight w:val="none"/>
        </w:rPr>
        <w:t>：</w:t>
      </w:r>
      <w:r>
        <w:rPr>
          <w:rFonts w:hint="eastAsia" w:ascii="宋体" w:hAnsi="宋体" w:cs="宋体"/>
          <w:kern w:val="0"/>
          <w:szCs w:val="21"/>
          <w:highlight w:val="none"/>
          <w:lang w:val="zh-CN"/>
        </w:rPr>
        <w:t>自</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年</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月</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日起至</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年</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月</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日止。</w:t>
      </w:r>
    </w:p>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lang w:val="zh-CN"/>
        </w:rPr>
        <w:t>特此告知。</w:t>
      </w:r>
    </w:p>
    <w:p>
      <w:pPr>
        <w:spacing w:line="360" w:lineRule="auto"/>
        <w:ind w:left="4649" w:leftChars="2214" w:firstLine="3150" w:firstLineChars="1500"/>
        <w:rPr>
          <w:rFonts w:ascii="宋体" w:hAnsi="宋体" w:cs="宋体"/>
          <w:szCs w:val="21"/>
          <w:highlight w:val="none"/>
        </w:rPr>
      </w:pPr>
      <w:r>
        <w:rPr>
          <w:rFonts w:hint="eastAsia" w:ascii="宋体" w:hAnsi="宋体" w:cs="宋体"/>
          <w:kern w:val="0"/>
          <w:szCs w:val="21"/>
          <w:highlight w:val="none"/>
          <w:lang w:val="zh-CN"/>
        </w:rPr>
        <w:t xml:space="preserve">                                                 </w:t>
      </w:r>
      <w:r>
        <w:rPr>
          <w:rFonts w:hint="eastAsia" w:ascii="宋体" w:hAnsi="宋体" w:cs="宋体"/>
          <w:szCs w:val="21"/>
          <w:highlight w:val="none"/>
        </w:rPr>
        <w:t>谈判供应商名称（公章）：</w:t>
      </w:r>
    </w:p>
    <w:p>
      <w:pPr>
        <w:snapToGrid w:val="0"/>
        <w:spacing w:line="360" w:lineRule="auto"/>
        <w:ind w:left="4649" w:leftChars="2214"/>
        <w:rPr>
          <w:rFonts w:ascii="宋体" w:hAnsi="宋体" w:cs="宋体"/>
          <w:kern w:val="0"/>
          <w:szCs w:val="21"/>
          <w:highlight w:val="none"/>
        </w:rPr>
      </w:pPr>
      <w:r>
        <w:rPr>
          <w:rFonts w:hint="eastAsia" w:ascii="宋体" w:hAnsi="宋体" w:cs="宋体"/>
          <w:szCs w:val="21"/>
          <w:highlight w:val="none"/>
        </w:rPr>
        <w:t>法定代表人（负责人） (签名)：</w:t>
      </w:r>
    </w:p>
    <w:p>
      <w:pPr>
        <w:snapToGrid w:val="0"/>
        <w:spacing w:line="360" w:lineRule="auto"/>
        <w:rPr>
          <w:rFonts w:ascii="宋体" w:hAnsi="宋体" w:cs="宋体"/>
          <w:kern w:val="0"/>
          <w:szCs w:val="21"/>
          <w:highlight w:val="none"/>
          <w:lang w:val="zh-CN"/>
        </w:rPr>
      </w:pPr>
      <w:r>
        <w:rPr>
          <w:rFonts w:hint="eastAsia" w:ascii="宋体" w:hAnsi="宋体" w:cs="宋体"/>
          <w:kern w:val="0"/>
          <w:szCs w:val="21"/>
          <w:highlight w:val="none"/>
          <w:lang w:val="zh-CN"/>
        </w:rPr>
        <w:t xml:space="preserve">                                       </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签发日期：  年  月   日</w:t>
      </w:r>
    </w:p>
    <w:p>
      <w:pPr>
        <w:adjustRightInd/>
        <w:spacing w:line="360" w:lineRule="auto"/>
        <w:rPr>
          <w:rFonts w:ascii="宋体" w:hAnsi="宋体"/>
          <w:szCs w:val="21"/>
          <w:highlight w:val="none"/>
        </w:rPr>
      </w:pPr>
    </w:p>
    <w:p>
      <w:pPr>
        <w:adjustRightInd/>
        <w:spacing w:line="360" w:lineRule="auto"/>
        <w:rPr>
          <w:rFonts w:ascii="宋体" w:hAnsi="宋体" w:cs="宋体"/>
          <w:bCs/>
          <w:szCs w:val="21"/>
          <w:highlight w:val="none"/>
        </w:rPr>
      </w:pPr>
      <w:r>
        <w:rPr>
          <w:rFonts w:hint="eastAsia" w:ascii="宋体" w:hAnsi="宋体"/>
          <w:szCs w:val="21"/>
          <w:highlight w:val="none"/>
        </w:rPr>
        <w:t>委托代理人和法定代表人</w:t>
      </w:r>
      <w:r>
        <w:rPr>
          <w:rFonts w:hint="eastAsia" w:ascii="宋体" w:hAnsi="宋体" w:cs="宋体"/>
          <w:kern w:val="0"/>
          <w:szCs w:val="21"/>
          <w:highlight w:val="none"/>
        </w:rPr>
        <w:t>（负责人）</w:t>
      </w:r>
      <w:r>
        <w:rPr>
          <w:rFonts w:hint="eastAsia" w:ascii="宋体" w:hAnsi="宋体" w:cs="宋体"/>
          <w:bCs/>
          <w:szCs w:val="21"/>
          <w:highlight w:val="none"/>
        </w:rPr>
        <w:t>身份证件扫描件：</w:t>
      </w:r>
    </w:p>
    <w:tbl>
      <w:tblPr>
        <w:tblStyle w:val="71"/>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Cs w:val="21"/>
                <w:highlight w:val="none"/>
              </w:rPr>
            </w:pPr>
            <w:r>
              <w:rPr>
                <w:rFonts w:hint="eastAsia" w:ascii="宋体" w:hAnsi="宋体" w:cs="宋体"/>
                <w:bCs/>
                <w:szCs w:val="21"/>
                <w:highlight w:val="none"/>
              </w:rPr>
              <w:t>正面：                                 反面：</w:t>
            </w:r>
          </w:p>
          <w:p>
            <w:pPr>
              <w:spacing w:line="360" w:lineRule="auto"/>
              <w:rPr>
                <w:rFonts w:ascii="宋体" w:hAnsi="宋体" w:cs="宋体"/>
                <w:bCs/>
                <w:szCs w:val="21"/>
                <w:highlight w:val="none"/>
              </w:rPr>
            </w:pPr>
          </w:p>
          <w:p>
            <w:pPr>
              <w:spacing w:line="360" w:lineRule="auto"/>
              <w:rPr>
                <w:rFonts w:ascii="宋体" w:hAnsi="宋体" w:cs="宋体"/>
                <w:bCs/>
                <w:szCs w:val="21"/>
                <w:highlight w:val="none"/>
              </w:rPr>
            </w:pPr>
          </w:p>
          <w:p>
            <w:pPr>
              <w:spacing w:line="360" w:lineRule="auto"/>
              <w:rPr>
                <w:rFonts w:ascii="宋体" w:hAnsi="宋体" w:cs="宋体"/>
                <w:bCs/>
                <w:szCs w:val="21"/>
                <w:highlight w:val="none"/>
              </w:rPr>
            </w:pPr>
          </w:p>
          <w:p>
            <w:pPr>
              <w:spacing w:line="360" w:lineRule="auto"/>
              <w:rPr>
                <w:rFonts w:ascii="宋体" w:hAnsi="宋体" w:cs="宋体"/>
                <w:bCs/>
                <w:szCs w:val="21"/>
                <w:highlight w:val="none"/>
              </w:rPr>
            </w:pPr>
            <w:r>
              <w:rPr>
                <w:rFonts w:hint="eastAsia" w:ascii="宋体" w:hAnsi="宋体" w:cs="宋体"/>
                <w:bCs/>
                <w:szCs w:val="21"/>
                <w:highlight w:val="none"/>
              </w:rPr>
              <w:t>正面：                                 反面：</w:t>
            </w:r>
          </w:p>
          <w:p>
            <w:pPr>
              <w:spacing w:line="360" w:lineRule="auto"/>
              <w:rPr>
                <w:rFonts w:ascii="宋体" w:hAnsi="宋体" w:cs="宋体"/>
                <w:bCs/>
                <w:szCs w:val="21"/>
                <w:highlight w:val="none"/>
              </w:rPr>
            </w:pPr>
          </w:p>
        </w:tc>
      </w:tr>
    </w:tbl>
    <w:p>
      <w:pPr>
        <w:pStyle w:val="2"/>
        <w:rPr>
          <w:sz w:val="21"/>
          <w:szCs w:val="21"/>
          <w:highlight w:val="none"/>
        </w:rPr>
      </w:pPr>
    </w:p>
    <w:p>
      <w:pPr>
        <w:snapToGrid w:val="0"/>
        <w:spacing w:line="360" w:lineRule="auto"/>
        <w:jc w:val="center"/>
        <w:rPr>
          <w:rFonts w:cs="仿宋_GB2312" w:asciiTheme="minorEastAsia" w:hAnsiTheme="minorEastAsia" w:eastAsiaTheme="minorEastAsia"/>
          <w:b/>
          <w:kern w:val="0"/>
          <w:sz w:val="32"/>
          <w:szCs w:val="32"/>
          <w:highlight w:val="none"/>
        </w:rPr>
      </w:pPr>
    </w:p>
    <w:p>
      <w:pPr>
        <w:autoSpaceDE w:val="0"/>
        <w:autoSpaceDN w:val="0"/>
        <w:spacing w:line="360" w:lineRule="auto"/>
        <w:jc w:val="center"/>
        <w:rPr>
          <w:rFonts w:ascii="宋体" w:hAnsi="宋体" w:cs="宋体"/>
          <w:b/>
          <w:kern w:val="0"/>
          <w:sz w:val="32"/>
          <w:szCs w:val="32"/>
          <w:highlight w:val="none"/>
        </w:rPr>
      </w:pPr>
    </w:p>
    <w:p>
      <w:pPr>
        <w:autoSpaceDE w:val="0"/>
        <w:autoSpaceDN w:val="0"/>
        <w:spacing w:line="360" w:lineRule="auto"/>
        <w:jc w:val="center"/>
        <w:rPr>
          <w:rFonts w:ascii="宋体" w:hAnsi="宋体" w:cs="宋体"/>
          <w:b/>
          <w:kern w:val="0"/>
          <w:sz w:val="32"/>
          <w:szCs w:val="32"/>
          <w:highlight w:val="none"/>
        </w:rPr>
      </w:pPr>
    </w:p>
    <w:p>
      <w:pPr>
        <w:pStyle w:val="20"/>
        <w:rPr>
          <w:color w:val="auto"/>
          <w:highlight w:val="none"/>
        </w:rPr>
      </w:pPr>
    </w:p>
    <w:p>
      <w:pPr>
        <w:autoSpaceDE w:val="0"/>
        <w:autoSpaceDN w:val="0"/>
        <w:spacing w:line="360" w:lineRule="auto"/>
        <w:jc w:val="center"/>
        <w:rPr>
          <w:rFonts w:ascii="宋体" w:hAnsi="宋体" w:cs="宋体"/>
          <w:b/>
          <w:kern w:val="0"/>
          <w:sz w:val="32"/>
          <w:szCs w:val="32"/>
          <w:highlight w:val="none"/>
        </w:rPr>
      </w:pPr>
    </w:p>
    <w:p>
      <w:pPr>
        <w:autoSpaceDE w:val="0"/>
        <w:autoSpaceDN w:val="0"/>
        <w:spacing w:line="360" w:lineRule="auto"/>
        <w:jc w:val="center"/>
        <w:rPr>
          <w:rFonts w:ascii="宋体" w:hAnsi="宋体" w:cs="宋体"/>
          <w:b/>
          <w:kern w:val="0"/>
          <w:sz w:val="32"/>
          <w:szCs w:val="32"/>
          <w:highlight w:val="none"/>
        </w:rPr>
      </w:pPr>
    </w:p>
    <w:p>
      <w:pPr>
        <w:pStyle w:val="73"/>
        <w:spacing w:before="120" w:after="120"/>
        <w:ind w:firstLine="560"/>
        <w:rPr>
          <w:highlight w:val="none"/>
        </w:rPr>
      </w:pPr>
    </w:p>
    <w:p>
      <w:pPr>
        <w:autoSpaceDE w:val="0"/>
        <w:autoSpaceDN w:val="0"/>
        <w:spacing w:line="360" w:lineRule="auto"/>
        <w:jc w:val="center"/>
        <w:rPr>
          <w:rFonts w:ascii="宋体" w:hAnsi="宋体" w:cs="宋体"/>
          <w:b/>
          <w:sz w:val="24"/>
          <w:highlight w:val="none"/>
        </w:rPr>
      </w:pPr>
      <w:r>
        <w:rPr>
          <w:rFonts w:hint="eastAsia" w:ascii="宋体" w:hAnsi="宋体" w:cs="宋体"/>
          <w:b/>
          <w:kern w:val="0"/>
          <w:sz w:val="30"/>
          <w:szCs w:val="30"/>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的身份证明（适用于法定代表人、单位负责人或者自然人本人代表谈判供应商参加谈判）</w:t>
      </w:r>
    </w:p>
    <w:p>
      <w:pPr>
        <w:adjustRightInd/>
        <w:spacing w:line="360" w:lineRule="auto"/>
        <w:rPr>
          <w:rFonts w:ascii="宋体" w:hAnsi="宋体" w:cs="宋体"/>
          <w:bCs/>
          <w:sz w:val="24"/>
          <w:szCs w:val="21"/>
          <w:highlight w:val="none"/>
        </w:rPr>
      </w:pPr>
    </w:p>
    <w:p>
      <w:pPr>
        <w:adjustRightInd/>
        <w:snapToGrid w:val="0"/>
        <w:spacing w:before="120" w:beforeLines="50" w:after="50" w:line="600" w:lineRule="exact"/>
        <w:jc w:val="center"/>
        <w:rPr>
          <w:rFonts w:ascii="宋体" w:hAnsi="宋体"/>
          <w:b/>
          <w:sz w:val="30"/>
          <w:szCs w:val="30"/>
          <w:highlight w:val="none"/>
        </w:rPr>
      </w:pPr>
      <w:r>
        <w:rPr>
          <w:rFonts w:hint="eastAsia" w:ascii="宋体" w:hAnsi="宋体"/>
          <w:b/>
          <w:sz w:val="30"/>
          <w:szCs w:val="30"/>
          <w:highlight w:val="none"/>
        </w:rPr>
        <w:t>法定代表人、单位负责人或自然人身份证明书</w:t>
      </w:r>
    </w:p>
    <w:p>
      <w:pPr>
        <w:snapToGrid w:val="0"/>
        <w:spacing w:line="276" w:lineRule="auto"/>
        <w:ind w:firstLine="960" w:firstLineChars="400"/>
        <w:rPr>
          <w:rFonts w:ascii="宋体" w:hAnsi="宋体"/>
          <w:sz w:val="24"/>
          <w:highlight w:val="none"/>
          <w:u w:val="single"/>
        </w:rPr>
      </w:pPr>
    </w:p>
    <w:p>
      <w:pPr>
        <w:snapToGrid w:val="0"/>
        <w:spacing w:line="720" w:lineRule="exact"/>
        <w:ind w:firstLine="840" w:firstLineChars="400"/>
        <w:rPr>
          <w:rFonts w:ascii="宋体" w:hAnsi="宋体"/>
          <w:szCs w:val="21"/>
          <w:highlight w:val="none"/>
        </w:rPr>
      </w:pP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lang w:val="zh-CN"/>
        </w:rPr>
        <w:t>（姓名）（身份证号码：</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lang w:val="zh-CN"/>
        </w:rPr>
        <w:t>，手机：</w:t>
      </w:r>
      <w:r>
        <w:rPr>
          <w:rFonts w:hint="eastAsia" w:ascii="宋体" w:hAnsi="宋体" w:cs="宋体"/>
          <w:kern w:val="0"/>
          <w:szCs w:val="21"/>
          <w:highlight w:val="none"/>
          <w:u w:val="single"/>
          <w:lang w:val="zh-CN"/>
        </w:rPr>
        <w:t xml:space="preserve">          </w:t>
      </w:r>
      <w:r>
        <w:rPr>
          <w:rFonts w:hint="eastAsia" w:ascii="宋体" w:hAnsi="宋体" w:cs="宋体"/>
          <w:kern w:val="0"/>
          <w:szCs w:val="21"/>
          <w:highlight w:val="none"/>
          <w:lang w:val="zh-CN"/>
        </w:rPr>
        <w:t>）</w:t>
      </w:r>
      <w:r>
        <w:rPr>
          <w:rFonts w:hint="eastAsia" w:ascii="宋体" w:hAnsi="宋体"/>
          <w:szCs w:val="21"/>
          <w:highlight w:val="none"/>
        </w:rPr>
        <w:t>在我公司（单位）任</w:t>
      </w:r>
      <w:r>
        <w:rPr>
          <w:rFonts w:hint="eastAsia" w:ascii="宋体" w:hAnsi="宋体"/>
          <w:szCs w:val="21"/>
          <w:highlight w:val="none"/>
          <w:u w:val="single"/>
        </w:rPr>
        <w:t xml:space="preserve">          </w:t>
      </w:r>
      <w:r>
        <w:rPr>
          <w:rFonts w:hint="eastAsia" w:ascii="宋体" w:hAnsi="宋体"/>
          <w:szCs w:val="21"/>
          <w:highlight w:val="none"/>
        </w:rPr>
        <w:t>职务，是我公司（单位）</w:t>
      </w:r>
      <w:r>
        <w:rPr>
          <w:rFonts w:hint="eastAsia" w:ascii="宋体" w:hAnsi="宋体"/>
          <w:szCs w:val="21"/>
          <w:highlight w:val="none"/>
          <w:u w:val="single"/>
        </w:rPr>
        <w:t xml:space="preserve">          </w:t>
      </w:r>
      <w:r>
        <w:rPr>
          <w:rFonts w:hint="eastAsia" w:ascii="宋体" w:hAnsi="宋体"/>
          <w:szCs w:val="21"/>
          <w:highlight w:val="none"/>
        </w:rPr>
        <w:t>的法定代表人</w:t>
      </w:r>
      <w:r>
        <w:rPr>
          <w:rFonts w:hint="eastAsia" w:ascii="宋体" w:hAnsi="宋体" w:cs="宋体"/>
          <w:kern w:val="0"/>
          <w:szCs w:val="21"/>
          <w:highlight w:val="none"/>
        </w:rPr>
        <w:t>（负责人）</w:t>
      </w:r>
      <w:r>
        <w:rPr>
          <w:rFonts w:hint="eastAsia" w:ascii="宋体" w:hAnsi="宋体"/>
          <w:szCs w:val="21"/>
          <w:highlight w:val="none"/>
        </w:rPr>
        <w:t>。</w:t>
      </w:r>
    </w:p>
    <w:p>
      <w:pPr>
        <w:snapToGrid w:val="0"/>
        <w:spacing w:line="720" w:lineRule="exact"/>
        <w:ind w:firstLine="735" w:firstLineChars="350"/>
        <w:rPr>
          <w:rFonts w:ascii="宋体" w:hAnsi="宋体"/>
          <w:szCs w:val="21"/>
          <w:highlight w:val="none"/>
        </w:rPr>
      </w:pPr>
      <w:r>
        <w:rPr>
          <w:rFonts w:hint="eastAsia" w:ascii="宋体" w:hAnsi="宋体"/>
          <w:szCs w:val="21"/>
          <w:highlight w:val="none"/>
        </w:rPr>
        <w:t>特此证明。</w:t>
      </w:r>
    </w:p>
    <w:p>
      <w:pPr>
        <w:snapToGrid w:val="0"/>
        <w:spacing w:line="276" w:lineRule="auto"/>
        <w:rPr>
          <w:rFonts w:ascii="宋体" w:hAnsi="宋体"/>
          <w:szCs w:val="21"/>
          <w:highlight w:val="none"/>
        </w:rPr>
      </w:pPr>
    </w:p>
    <w:p>
      <w:pPr>
        <w:snapToGrid w:val="0"/>
        <w:spacing w:line="276" w:lineRule="auto"/>
        <w:rPr>
          <w:rFonts w:ascii="宋体" w:hAnsi="宋体"/>
          <w:szCs w:val="21"/>
          <w:highlight w:val="none"/>
        </w:rPr>
      </w:pPr>
      <w:r>
        <w:rPr>
          <w:rFonts w:hint="eastAsia" w:ascii="宋体" w:hAnsi="宋体"/>
          <w:szCs w:val="21"/>
          <w:highlight w:val="none"/>
        </w:rPr>
        <w:t xml:space="preserve">                        </w:t>
      </w:r>
    </w:p>
    <w:p>
      <w:pPr>
        <w:snapToGrid w:val="0"/>
        <w:spacing w:line="276" w:lineRule="auto"/>
        <w:rPr>
          <w:rFonts w:ascii="宋体" w:hAnsi="宋体"/>
          <w:szCs w:val="21"/>
          <w:highlight w:val="none"/>
        </w:rPr>
      </w:pPr>
    </w:p>
    <w:p>
      <w:pPr>
        <w:snapToGrid w:val="0"/>
        <w:spacing w:line="360" w:lineRule="auto"/>
        <w:ind w:firstLine="576"/>
        <w:jc w:val="center"/>
        <w:rPr>
          <w:rFonts w:ascii="宋体" w:hAnsi="宋体" w:cs="宋体"/>
          <w:kern w:val="0"/>
          <w:szCs w:val="21"/>
          <w:highlight w:val="none"/>
          <w:lang w:val="zh-CN"/>
        </w:rPr>
      </w:pPr>
      <w:r>
        <w:rPr>
          <w:rFonts w:hint="eastAsia" w:ascii="宋体" w:hAnsi="宋体" w:cs="宋体"/>
          <w:szCs w:val="21"/>
          <w:highlight w:val="none"/>
        </w:rPr>
        <w:t xml:space="preserve">   谈判供应商名称</w:t>
      </w:r>
      <w:r>
        <w:rPr>
          <w:rFonts w:hint="eastAsia" w:ascii="宋体" w:hAnsi="宋体" w:cs="宋体"/>
          <w:kern w:val="0"/>
          <w:szCs w:val="21"/>
          <w:highlight w:val="none"/>
          <w:lang w:val="zh-CN"/>
        </w:rPr>
        <w:t xml:space="preserve">(公章)：                              </w:t>
      </w:r>
    </w:p>
    <w:p>
      <w:pPr>
        <w:adjustRightInd/>
        <w:spacing w:line="360" w:lineRule="auto"/>
        <w:rPr>
          <w:rFonts w:ascii="宋体" w:hAnsi="宋体" w:cs="宋体"/>
          <w:bCs/>
          <w:szCs w:val="21"/>
          <w:highlight w:val="none"/>
        </w:rPr>
      </w:pPr>
      <w:r>
        <w:rPr>
          <w:rFonts w:hint="eastAsia" w:ascii="宋体" w:hAnsi="宋体" w:cs="宋体"/>
          <w:kern w:val="0"/>
          <w:szCs w:val="21"/>
          <w:highlight w:val="none"/>
          <w:lang w:val="zh-CN"/>
        </w:rPr>
        <w:t xml:space="preserve">                              </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 xml:space="preserve"> 日</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期：  年  月  日</w:t>
      </w:r>
    </w:p>
    <w:p>
      <w:pPr>
        <w:adjustRightInd/>
        <w:spacing w:line="360" w:lineRule="auto"/>
        <w:rPr>
          <w:rFonts w:ascii="宋体" w:hAnsi="宋体" w:cs="宋体"/>
          <w:bCs/>
          <w:szCs w:val="21"/>
          <w:highlight w:val="none"/>
        </w:rPr>
      </w:pPr>
    </w:p>
    <w:p>
      <w:pPr>
        <w:adjustRightInd/>
        <w:spacing w:line="360" w:lineRule="auto"/>
        <w:rPr>
          <w:rFonts w:ascii="宋体" w:hAnsi="宋体" w:cs="宋体"/>
          <w:bCs/>
          <w:szCs w:val="21"/>
          <w:highlight w:val="none"/>
        </w:rPr>
      </w:pPr>
      <w:r>
        <w:rPr>
          <w:rFonts w:hint="eastAsia" w:ascii="宋体" w:hAnsi="宋体"/>
          <w:szCs w:val="21"/>
          <w:highlight w:val="none"/>
        </w:rPr>
        <w:t>法定代表人</w:t>
      </w:r>
      <w:r>
        <w:rPr>
          <w:rFonts w:hint="eastAsia" w:ascii="宋体" w:hAnsi="宋体" w:cs="宋体"/>
          <w:kern w:val="0"/>
          <w:szCs w:val="21"/>
          <w:highlight w:val="none"/>
        </w:rPr>
        <w:t>（负责人）</w:t>
      </w:r>
      <w:r>
        <w:rPr>
          <w:rFonts w:hint="eastAsia" w:ascii="宋体" w:hAnsi="宋体" w:cs="宋体"/>
          <w:bCs/>
          <w:szCs w:val="21"/>
          <w:highlight w:val="none"/>
        </w:rPr>
        <w:t>身份证件扫描件：</w:t>
      </w:r>
    </w:p>
    <w:tbl>
      <w:tblPr>
        <w:tblStyle w:val="71"/>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Cs w:val="21"/>
                <w:highlight w:val="none"/>
              </w:rPr>
            </w:pPr>
            <w:r>
              <w:rPr>
                <w:rFonts w:hint="eastAsia" w:ascii="宋体" w:hAnsi="宋体" w:cs="宋体"/>
                <w:bCs/>
                <w:szCs w:val="21"/>
                <w:highlight w:val="none"/>
              </w:rPr>
              <w:t>正面：                                 反面：</w:t>
            </w:r>
          </w:p>
          <w:p>
            <w:pPr>
              <w:spacing w:line="360" w:lineRule="auto"/>
              <w:rPr>
                <w:rFonts w:ascii="宋体" w:hAnsi="宋体" w:cs="宋体"/>
                <w:bCs/>
                <w:szCs w:val="21"/>
                <w:highlight w:val="none"/>
              </w:rPr>
            </w:pPr>
          </w:p>
        </w:tc>
      </w:tr>
    </w:tbl>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21"/>
          <w:szCs w:val="21"/>
          <w:highlight w:val="none"/>
        </w:rPr>
      </w:pP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21"/>
          <w:szCs w:val="21"/>
          <w:highlight w:val="none"/>
        </w:rPr>
      </w:pP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21"/>
          <w:szCs w:val="21"/>
          <w:highlight w:val="none"/>
        </w:rPr>
      </w:pP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21"/>
          <w:szCs w:val="21"/>
          <w:highlight w:val="none"/>
        </w:rPr>
      </w:pP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21"/>
          <w:szCs w:val="21"/>
          <w:highlight w:val="none"/>
        </w:rPr>
      </w:pP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21"/>
          <w:szCs w:val="21"/>
          <w:highlight w:val="none"/>
        </w:rPr>
      </w:pP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highlight w:val="none"/>
        </w:rPr>
      </w:pPr>
    </w:p>
    <w:p>
      <w:pPr>
        <w:pStyle w:val="108"/>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highlight w:val="none"/>
        </w:rPr>
      </w:pPr>
    </w:p>
    <w:p>
      <w:pPr>
        <w:snapToGrid w:val="0"/>
        <w:spacing w:line="360" w:lineRule="auto"/>
        <w:ind w:right="480"/>
        <w:jc w:val="center"/>
        <w:rPr>
          <w:rFonts w:cs="宋体" w:asciiTheme="minorEastAsia" w:hAnsiTheme="minorEastAsia" w:eastAsiaTheme="minorEastAsia"/>
          <w:b/>
          <w:kern w:val="0"/>
          <w:sz w:val="30"/>
          <w:szCs w:val="30"/>
          <w:highlight w:val="none"/>
        </w:rPr>
      </w:pPr>
      <w:r>
        <w:rPr>
          <w:rFonts w:hint="eastAsia" w:cs="宋体" w:asciiTheme="minorEastAsia" w:hAnsiTheme="minorEastAsia" w:eastAsiaTheme="minorEastAsia"/>
          <w:b/>
          <w:kern w:val="0"/>
          <w:sz w:val="30"/>
          <w:szCs w:val="30"/>
          <w:highlight w:val="none"/>
        </w:rPr>
        <w:t>2.符合参加政府采购活动应当具备的一般条件的承诺函</w:t>
      </w:r>
    </w:p>
    <w:p>
      <w:pPr>
        <w:snapToGrid w:val="0"/>
        <w:spacing w:line="360" w:lineRule="auto"/>
        <w:ind w:right="480"/>
        <w:jc w:val="center"/>
        <w:rPr>
          <w:rFonts w:ascii="宋体" w:hAnsi="宋体" w:cs="宋体"/>
          <w:sz w:val="24"/>
          <w:highlight w:val="none"/>
        </w:rPr>
      </w:pPr>
    </w:p>
    <w:p>
      <w:pPr>
        <w:snapToGrid w:val="0"/>
        <w:spacing w:line="360" w:lineRule="auto"/>
        <w:ind w:right="480"/>
        <w:jc w:val="center"/>
        <w:rPr>
          <w:rFonts w:ascii="宋体" w:hAnsi="宋体" w:cs="宋体"/>
          <w:sz w:val="30"/>
          <w:szCs w:val="30"/>
          <w:highlight w:val="none"/>
        </w:rPr>
      </w:pPr>
      <w:r>
        <w:rPr>
          <w:rFonts w:hint="eastAsia" w:ascii="宋体" w:hAnsi="宋体" w:cs="宋体"/>
          <w:sz w:val="30"/>
          <w:szCs w:val="30"/>
          <w:highlight w:val="none"/>
        </w:rPr>
        <w:t>北海市政府采购供应商信用承诺函</w:t>
      </w:r>
    </w:p>
    <w:p>
      <w:pPr>
        <w:snapToGrid w:val="0"/>
        <w:spacing w:line="360" w:lineRule="auto"/>
        <w:rPr>
          <w:rFonts w:ascii="宋体" w:hAnsi="宋体" w:cs="宋体"/>
          <w:sz w:val="24"/>
          <w:highlight w:val="none"/>
        </w:rPr>
      </w:pPr>
    </w:p>
    <w:p>
      <w:pPr>
        <w:snapToGrid w:val="0"/>
        <w:spacing w:line="360" w:lineRule="auto"/>
        <w:ind w:right="480"/>
        <w:rPr>
          <w:rFonts w:ascii="宋体" w:hAnsi="宋体" w:cs="宋体"/>
          <w:szCs w:val="21"/>
          <w:highlight w:val="none"/>
        </w:rPr>
      </w:pPr>
      <w:r>
        <w:rPr>
          <w:rFonts w:hint="eastAsia" w:ascii="宋体" w:hAnsi="宋体" w:cs="宋体"/>
          <w:sz w:val="24"/>
          <w:highlight w:val="none"/>
        </w:rPr>
        <w:t>（</w:t>
      </w:r>
      <w:r>
        <w:rPr>
          <w:rFonts w:hint="eastAsia" w:ascii="宋体" w:hAnsi="宋体" w:cs="宋体"/>
          <w:szCs w:val="21"/>
          <w:highlight w:val="none"/>
        </w:rPr>
        <w:t>采购人）、（采购代理机构） ：</w:t>
      </w:r>
    </w:p>
    <w:p>
      <w:pPr>
        <w:snapToGrid w:val="0"/>
        <w:spacing w:line="360" w:lineRule="auto"/>
        <w:ind w:right="480"/>
        <w:rPr>
          <w:rFonts w:ascii="宋体" w:hAnsi="宋体" w:cs="宋体"/>
          <w:szCs w:val="21"/>
          <w:highlight w:val="none"/>
        </w:rPr>
      </w:pPr>
      <w:r>
        <w:rPr>
          <w:rFonts w:hint="eastAsia" w:ascii="宋体" w:hAnsi="宋体" w:cs="宋体"/>
          <w:szCs w:val="21"/>
          <w:highlight w:val="none"/>
        </w:rPr>
        <w:t>供应商名称：</w:t>
      </w:r>
    </w:p>
    <w:p>
      <w:pPr>
        <w:snapToGrid w:val="0"/>
        <w:spacing w:line="360" w:lineRule="auto"/>
        <w:ind w:right="480"/>
        <w:rPr>
          <w:rFonts w:ascii="宋体" w:hAnsi="宋体" w:cs="宋体"/>
          <w:szCs w:val="21"/>
          <w:highlight w:val="none"/>
        </w:rPr>
      </w:pPr>
      <w:r>
        <w:rPr>
          <w:rFonts w:hint="eastAsia" w:ascii="宋体" w:hAnsi="宋体" w:cs="宋体"/>
          <w:szCs w:val="21"/>
          <w:highlight w:val="none"/>
        </w:rPr>
        <w:t>统一社会信用代码：</w:t>
      </w:r>
    </w:p>
    <w:p>
      <w:pPr>
        <w:snapToGrid w:val="0"/>
        <w:spacing w:line="360" w:lineRule="auto"/>
        <w:ind w:right="480"/>
        <w:rPr>
          <w:rFonts w:ascii="宋体" w:hAnsi="宋体" w:cs="宋体"/>
          <w:szCs w:val="21"/>
          <w:highlight w:val="none"/>
        </w:rPr>
      </w:pPr>
      <w:r>
        <w:rPr>
          <w:rFonts w:hint="eastAsia" w:ascii="宋体" w:hAnsi="宋体" w:cs="宋体"/>
          <w:szCs w:val="21"/>
          <w:highlight w:val="none"/>
        </w:rPr>
        <w:t>供应商地址：</w:t>
      </w:r>
    </w:p>
    <w:p>
      <w:pPr>
        <w:snapToGrid w:val="0"/>
        <w:spacing w:line="360" w:lineRule="auto"/>
        <w:ind w:right="482" w:firstLine="420" w:firstLineChars="200"/>
        <w:rPr>
          <w:rFonts w:ascii="宋体" w:hAnsi="宋体" w:cs="宋体"/>
          <w:szCs w:val="21"/>
          <w:highlight w:val="none"/>
        </w:rPr>
      </w:pPr>
      <w:r>
        <w:rPr>
          <w:rFonts w:hint="eastAsia" w:ascii="宋体" w:hAnsi="宋体" w:cs="宋体"/>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hAnsi="宋体" w:cs="宋体"/>
          <w:szCs w:val="21"/>
          <w:highlight w:val="none"/>
        </w:rPr>
      </w:pPr>
      <w:r>
        <w:rPr>
          <w:rFonts w:hint="eastAsia" w:ascii="宋体" w:hAnsi="宋体" w:cs="宋体"/>
          <w:szCs w:val="21"/>
          <w:highlight w:val="none"/>
        </w:rPr>
        <w:t>1.我单位具有符合谈判文件资格要求独立承担民事责任的能力。</w:t>
      </w:r>
    </w:p>
    <w:p>
      <w:pPr>
        <w:snapToGrid w:val="0"/>
        <w:spacing w:line="360" w:lineRule="auto"/>
        <w:ind w:right="482" w:firstLine="420" w:firstLineChars="200"/>
        <w:rPr>
          <w:rFonts w:ascii="宋体" w:hAnsi="宋体" w:cs="宋体"/>
          <w:szCs w:val="21"/>
          <w:highlight w:val="none"/>
        </w:rPr>
      </w:pPr>
      <w:r>
        <w:rPr>
          <w:rFonts w:hint="eastAsia" w:ascii="宋体" w:hAnsi="宋体" w:cs="宋体"/>
          <w:szCs w:val="21"/>
          <w:highlight w:val="none"/>
        </w:rPr>
        <w:t>2.我单位具有符合谈判文件资格要求的财务状况报告。</w:t>
      </w:r>
    </w:p>
    <w:p>
      <w:pPr>
        <w:snapToGrid w:val="0"/>
        <w:spacing w:line="360" w:lineRule="auto"/>
        <w:ind w:right="482" w:firstLine="420" w:firstLineChars="200"/>
        <w:rPr>
          <w:rFonts w:ascii="宋体" w:hAnsi="宋体" w:cs="宋体"/>
          <w:szCs w:val="21"/>
          <w:highlight w:val="none"/>
        </w:rPr>
      </w:pPr>
      <w:r>
        <w:rPr>
          <w:rFonts w:hint="eastAsia" w:ascii="宋体" w:hAnsi="宋体" w:cs="宋体"/>
          <w:szCs w:val="21"/>
          <w:highlight w:val="none"/>
        </w:rPr>
        <w:t>3.我单位具有符合谈判文件资格要求的依法缴纳税收和社会保障记录的良好记录。</w:t>
      </w:r>
    </w:p>
    <w:p>
      <w:pPr>
        <w:snapToGrid w:val="0"/>
        <w:spacing w:line="360" w:lineRule="auto"/>
        <w:ind w:right="482" w:firstLine="420" w:firstLineChars="200"/>
        <w:rPr>
          <w:rFonts w:ascii="宋体" w:hAnsi="宋体" w:cs="宋体"/>
          <w:szCs w:val="21"/>
          <w:highlight w:val="none"/>
        </w:rPr>
      </w:pPr>
      <w:r>
        <w:rPr>
          <w:rFonts w:hint="eastAsia" w:ascii="宋体" w:hAnsi="宋体" w:cs="宋体"/>
          <w:szCs w:val="21"/>
          <w:highlight w:val="none"/>
        </w:rPr>
        <w:t>4.我单位具有符合谈判文件资格要求履行合同所必需的设备和专业技术能力。</w:t>
      </w:r>
    </w:p>
    <w:p>
      <w:pPr>
        <w:snapToGrid w:val="0"/>
        <w:spacing w:line="360" w:lineRule="auto"/>
        <w:ind w:right="482" w:firstLine="420" w:firstLineChars="200"/>
        <w:rPr>
          <w:rFonts w:ascii="宋体" w:hAnsi="宋体" w:cs="宋体"/>
          <w:szCs w:val="21"/>
          <w:highlight w:val="none"/>
        </w:rPr>
      </w:pPr>
      <w:r>
        <w:rPr>
          <w:rFonts w:hint="eastAsia" w:ascii="宋体" w:hAnsi="宋体" w:cs="宋体"/>
          <w:szCs w:val="21"/>
          <w:highlight w:val="none"/>
        </w:rPr>
        <w:t>5.参加政府采购活动前三年内，在经营活动中没有重大违法记录。</w:t>
      </w:r>
    </w:p>
    <w:p>
      <w:pPr>
        <w:snapToGrid w:val="0"/>
        <w:spacing w:line="360" w:lineRule="auto"/>
        <w:ind w:right="482" w:firstLine="420" w:firstLineChars="200"/>
        <w:rPr>
          <w:rFonts w:ascii="宋体" w:hAnsi="宋体" w:cs="宋体"/>
          <w:szCs w:val="21"/>
          <w:highlight w:val="none"/>
        </w:rPr>
      </w:pPr>
      <w:r>
        <w:rPr>
          <w:rFonts w:hint="eastAsia" w:ascii="宋体" w:hAnsi="宋体" w:cs="宋体"/>
          <w:szCs w:val="21"/>
          <w:highlight w:val="none"/>
        </w:rPr>
        <w:t>若我单位承诺不实，自愿承担提供虚假材料谋取中标、成交的法律责任。</w:t>
      </w:r>
    </w:p>
    <w:p>
      <w:pPr>
        <w:snapToGrid w:val="0"/>
        <w:spacing w:line="360" w:lineRule="auto"/>
        <w:ind w:right="480"/>
        <w:rPr>
          <w:rFonts w:ascii="宋体" w:hAnsi="宋体" w:cs="宋体"/>
          <w:szCs w:val="21"/>
          <w:highlight w:val="none"/>
        </w:rPr>
      </w:pP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谈判供应商名称（公章）：</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 xml:space="preserve">法定代表人（负责人）或委托代理人(签名)：                          </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日  期：    年   月   日</w:t>
      </w:r>
    </w:p>
    <w:p>
      <w:pPr>
        <w:snapToGrid w:val="0"/>
        <w:spacing w:line="360" w:lineRule="auto"/>
        <w:ind w:right="480"/>
        <w:rPr>
          <w:rFonts w:ascii="宋体" w:hAnsi="宋体" w:cs="宋体"/>
          <w:sz w:val="24"/>
          <w:highlight w:val="none"/>
        </w:rPr>
      </w:pPr>
    </w:p>
    <w:p>
      <w:pPr>
        <w:spacing w:line="360" w:lineRule="auto"/>
        <w:jc w:val="center"/>
        <w:rPr>
          <w:rFonts w:cs="仿宋_GB2312" w:asciiTheme="minorEastAsia" w:hAnsiTheme="minorEastAsia" w:eastAsiaTheme="minorEastAsia"/>
          <w:b/>
          <w:sz w:val="32"/>
          <w:szCs w:val="32"/>
          <w:highlight w:val="none"/>
        </w:rPr>
      </w:pPr>
    </w:p>
    <w:p>
      <w:pPr>
        <w:spacing w:line="360" w:lineRule="auto"/>
        <w:jc w:val="center"/>
        <w:rPr>
          <w:rFonts w:cs="仿宋_GB2312" w:asciiTheme="minorEastAsia" w:hAnsiTheme="minorEastAsia" w:eastAsiaTheme="minorEastAsia"/>
          <w:b/>
          <w:sz w:val="32"/>
          <w:szCs w:val="32"/>
          <w:highlight w:val="none"/>
        </w:rPr>
      </w:pPr>
    </w:p>
    <w:p>
      <w:pPr>
        <w:pStyle w:val="2"/>
        <w:rPr>
          <w:rFonts w:cs="仿宋_GB2312" w:asciiTheme="minorEastAsia" w:hAnsiTheme="minorEastAsia" w:eastAsiaTheme="minorEastAsia"/>
          <w:b/>
          <w:sz w:val="32"/>
          <w:szCs w:val="32"/>
          <w:highlight w:val="none"/>
        </w:rPr>
      </w:pPr>
    </w:p>
    <w:p>
      <w:pPr>
        <w:pStyle w:val="2"/>
        <w:rPr>
          <w:rFonts w:cs="仿宋_GB2312" w:asciiTheme="minorEastAsia" w:hAnsiTheme="minorEastAsia" w:eastAsiaTheme="minorEastAsia"/>
          <w:b/>
          <w:sz w:val="32"/>
          <w:szCs w:val="32"/>
          <w:highlight w:val="none"/>
        </w:rPr>
      </w:pPr>
    </w:p>
    <w:p>
      <w:pPr>
        <w:pStyle w:val="2"/>
        <w:rPr>
          <w:rFonts w:cs="仿宋_GB2312" w:asciiTheme="minorEastAsia" w:hAnsiTheme="minorEastAsia" w:eastAsiaTheme="minorEastAsia"/>
          <w:b/>
          <w:sz w:val="32"/>
          <w:szCs w:val="32"/>
          <w:highlight w:val="none"/>
        </w:rPr>
      </w:pPr>
    </w:p>
    <w:p>
      <w:pPr>
        <w:widowControl/>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3、供应商直接控股、管理关系信息表</w:t>
      </w:r>
    </w:p>
    <w:p>
      <w:pPr>
        <w:snapToGrid w:val="0"/>
        <w:spacing w:line="360" w:lineRule="auto"/>
        <w:jc w:val="center"/>
        <w:rPr>
          <w:rFonts w:ascii="宋体" w:hAnsi="宋体"/>
          <w:b/>
          <w:sz w:val="30"/>
          <w:szCs w:val="30"/>
          <w:highlight w:val="none"/>
        </w:rPr>
      </w:pPr>
    </w:p>
    <w:p>
      <w:pPr>
        <w:snapToGrid w:val="0"/>
        <w:spacing w:line="360" w:lineRule="auto"/>
        <w:jc w:val="center"/>
        <w:rPr>
          <w:rFonts w:ascii="宋体" w:hAnsi="宋体"/>
          <w:b/>
          <w:sz w:val="30"/>
          <w:szCs w:val="30"/>
          <w:highlight w:val="none"/>
        </w:rPr>
      </w:pPr>
      <w:r>
        <w:rPr>
          <w:rFonts w:hint="eastAsia" w:ascii="宋体" w:hAnsi="宋体"/>
          <w:b/>
          <w:sz w:val="30"/>
          <w:szCs w:val="30"/>
          <w:highlight w:val="none"/>
        </w:rPr>
        <w:t>供应商直接控股股东信息表</w:t>
      </w:r>
    </w:p>
    <w:tbl>
      <w:tblPr>
        <w:tblStyle w:val="71"/>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Layout w:type="fixed"/>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tblPrEx>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r>
              <w:rPr>
                <w:rFonts w:hint="eastAsia" w:ascii="宋体" w:hAnsi="宋体" w:cs="宋体"/>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r>
      <w:tr>
        <w:tblPrEx>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r>
              <w:rPr>
                <w:rFonts w:hint="eastAsia" w:ascii="宋体" w:hAnsi="宋体" w:cs="宋体"/>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r>
      <w:tr>
        <w:tblPrEx>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r>
              <w:rPr>
                <w:rFonts w:hint="eastAsia" w:ascii="宋体" w:hAnsi="宋体" w:cs="宋体"/>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Cs w:val="21"/>
                <w:highlight w:val="none"/>
              </w:rPr>
            </w:pPr>
          </w:p>
        </w:tc>
      </w:tr>
    </w:tbl>
    <w:p>
      <w:pPr>
        <w:snapToGrid w:val="0"/>
        <w:spacing w:line="360" w:lineRule="exact"/>
        <w:jc w:val="left"/>
        <w:rPr>
          <w:rFonts w:ascii="宋体" w:hAnsi="宋体"/>
          <w:szCs w:val="21"/>
          <w:highlight w:val="none"/>
        </w:rPr>
      </w:pPr>
      <w:r>
        <w:rPr>
          <w:rFonts w:hint="eastAsia" w:ascii="宋体" w:hAnsi="宋体"/>
          <w:szCs w:val="21"/>
          <w:highlight w:val="none"/>
        </w:rPr>
        <w:t>注：</w:t>
      </w:r>
    </w:p>
    <w:p>
      <w:pPr>
        <w:snapToGrid w:val="0"/>
        <w:spacing w:line="360" w:lineRule="exact"/>
        <w:ind w:left="210" w:hanging="210" w:hangingChars="100"/>
        <w:jc w:val="left"/>
        <w:rPr>
          <w:rFonts w:ascii="宋体" w:hAnsi="宋体"/>
          <w:szCs w:val="21"/>
          <w:highlight w:val="none"/>
        </w:rPr>
      </w:pPr>
      <w:r>
        <w:rPr>
          <w:rFonts w:hint="eastAsia" w:ascii="宋体" w:hAnsi="宋体"/>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exact"/>
        <w:ind w:left="210" w:hanging="210" w:hangingChars="100"/>
        <w:jc w:val="left"/>
        <w:rPr>
          <w:rFonts w:ascii="宋体" w:hAnsi="宋体"/>
          <w:szCs w:val="21"/>
          <w:highlight w:val="none"/>
        </w:rPr>
      </w:pPr>
      <w:r>
        <w:rPr>
          <w:rFonts w:hint="eastAsia" w:ascii="宋体" w:hAnsi="宋体"/>
          <w:szCs w:val="21"/>
          <w:highlight w:val="none"/>
        </w:rPr>
        <w:t>2.本表所指的控股关系仅限于直接控股关系，不包括间接的控股关系。公司实际控制人与公司之间的关系不属于本表所指的直接控股关系。</w:t>
      </w:r>
    </w:p>
    <w:p>
      <w:pPr>
        <w:snapToGrid w:val="0"/>
        <w:spacing w:line="360" w:lineRule="exact"/>
        <w:jc w:val="left"/>
        <w:rPr>
          <w:rFonts w:ascii="宋体" w:hAnsi="宋体"/>
          <w:szCs w:val="21"/>
          <w:highlight w:val="none"/>
        </w:rPr>
      </w:pPr>
      <w:r>
        <w:rPr>
          <w:rFonts w:hint="eastAsia" w:ascii="宋体" w:hAnsi="宋体"/>
          <w:szCs w:val="21"/>
          <w:highlight w:val="none"/>
        </w:rPr>
        <w:t>3.供应商不存在直接控股股东的，则填“无”。</w:t>
      </w:r>
    </w:p>
    <w:p>
      <w:pPr>
        <w:pStyle w:val="2"/>
        <w:rPr>
          <w:rFonts w:ascii="宋体" w:hAnsi="宋体"/>
          <w:sz w:val="21"/>
          <w:szCs w:val="21"/>
          <w:highlight w:val="none"/>
        </w:rPr>
      </w:pP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谈判供应商名称（公章）：</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 xml:space="preserve">法定代表人（负责人）或委托代理人(签名)：                          </w:t>
      </w:r>
    </w:p>
    <w:p>
      <w:pPr>
        <w:pStyle w:val="2"/>
        <w:ind w:firstLine="3150" w:firstLineChars="1500"/>
        <w:rPr>
          <w:rFonts w:ascii="宋体" w:hAnsi="宋体"/>
          <w:b/>
          <w:sz w:val="24"/>
          <w:highlight w:val="none"/>
        </w:rPr>
      </w:pPr>
      <w:r>
        <w:rPr>
          <w:rFonts w:hint="eastAsia" w:ascii="宋体" w:hAnsi="宋体" w:cs="宋体"/>
          <w:sz w:val="21"/>
          <w:szCs w:val="21"/>
          <w:highlight w:val="none"/>
        </w:rPr>
        <w:t>日  期：    年   月   日</w:t>
      </w:r>
      <w:r>
        <w:rPr>
          <w:rFonts w:hint="eastAsia" w:ascii="宋体" w:hAnsi="宋体"/>
          <w:b/>
          <w:sz w:val="24"/>
          <w:highlight w:val="none"/>
        </w:rPr>
        <w:t xml:space="preserve"> </w:t>
      </w:r>
    </w:p>
    <w:p>
      <w:pPr>
        <w:snapToGrid w:val="0"/>
        <w:spacing w:line="360" w:lineRule="auto"/>
        <w:jc w:val="center"/>
        <w:rPr>
          <w:rFonts w:ascii="宋体" w:hAnsi="宋体"/>
          <w:b/>
          <w:sz w:val="30"/>
          <w:szCs w:val="30"/>
          <w:highlight w:val="none"/>
        </w:rPr>
      </w:pPr>
    </w:p>
    <w:p>
      <w:pPr>
        <w:snapToGrid w:val="0"/>
        <w:spacing w:line="360" w:lineRule="auto"/>
        <w:jc w:val="center"/>
        <w:rPr>
          <w:rFonts w:ascii="宋体" w:hAnsi="宋体"/>
          <w:sz w:val="32"/>
          <w:szCs w:val="32"/>
          <w:highlight w:val="none"/>
        </w:rPr>
      </w:pPr>
      <w:r>
        <w:rPr>
          <w:rFonts w:hint="eastAsia" w:ascii="宋体" w:hAnsi="宋体"/>
          <w:b/>
          <w:sz w:val="30"/>
          <w:szCs w:val="30"/>
          <w:highlight w:val="none"/>
        </w:rPr>
        <w:t>供应商直接管理关系信息表</w:t>
      </w:r>
    </w:p>
    <w:tbl>
      <w:tblPr>
        <w:tblStyle w:val="7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Layout w:type="fixed"/>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spacing w:line="240" w:lineRule="exact"/>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tblPrEx>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r>
      <w:tr>
        <w:tblPrEx>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r>
      <w:tr>
        <w:tblPrEx>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240" w:lineRule="exact"/>
              <w:jc w:val="center"/>
              <w:rPr>
                <w:rFonts w:ascii="宋体" w:hAnsi="宋体" w:cs="宋体"/>
                <w:kern w:val="0"/>
                <w:sz w:val="24"/>
                <w:highlight w:val="none"/>
              </w:rPr>
            </w:pPr>
          </w:p>
        </w:tc>
      </w:tr>
    </w:tbl>
    <w:p>
      <w:pPr>
        <w:snapToGrid w:val="0"/>
        <w:spacing w:line="320" w:lineRule="exact"/>
        <w:jc w:val="left"/>
        <w:rPr>
          <w:rFonts w:ascii="宋体" w:hAnsi="宋体" w:cs="宋体"/>
          <w:szCs w:val="21"/>
          <w:highlight w:val="none"/>
        </w:rPr>
      </w:pPr>
      <w:r>
        <w:rPr>
          <w:rFonts w:hint="eastAsia" w:ascii="宋体" w:hAnsi="宋体" w:cs="宋体"/>
          <w:szCs w:val="21"/>
          <w:highlight w:val="none"/>
        </w:rPr>
        <w:t>注：</w:t>
      </w:r>
    </w:p>
    <w:p>
      <w:pPr>
        <w:snapToGrid w:val="0"/>
        <w:spacing w:line="320" w:lineRule="exact"/>
        <w:ind w:firstLine="420" w:firstLineChars="200"/>
        <w:jc w:val="left"/>
        <w:rPr>
          <w:rFonts w:ascii="宋体" w:hAnsi="宋体" w:cs="宋体"/>
          <w:szCs w:val="21"/>
          <w:highlight w:val="none"/>
        </w:rPr>
      </w:pPr>
      <w:r>
        <w:rPr>
          <w:rFonts w:hint="eastAsia" w:ascii="宋体" w:hAnsi="宋体" w:cs="宋体"/>
          <w:szCs w:val="21"/>
          <w:highlight w:val="none"/>
        </w:rPr>
        <w:t>1.管理关系：是指不具有出资持股关系的其他单位之间存在的管理与被管理关系，如一些上下级关系的事业单位和团体组织。</w:t>
      </w:r>
    </w:p>
    <w:p>
      <w:pPr>
        <w:snapToGrid w:val="0"/>
        <w:spacing w:line="320" w:lineRule="exact"/>
        <w:ind w:firstLine="420" w:firstLineChars="200"/>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pacing w:val="-6"/>
          <w:szCs w:val="21"/>
          <w:highlight w:val="none"/>
        </w:rPr>
        <w:t>本表所指的管理关系仅限于直接管理关系，不包括间接的管理关系。</w:t>
      </w:r>
    </w:p>
    <w:p>
      <w:pPr>
        <w:snapToGrid w:val="0"/>
        <w:spacing w:line="320" w:lineRule="exact"/>
        <w:ind w:firstLine="420" w:firstLineChars="200"/>
        <w:jc w:val="left"/>
        <w:rPr>
          <w:rFonts w:ascii="宋体" w:hAnsi="宋体" w:cs="宋体"/>
          <w:szCs w:val="21"/>
          <w:highlight w:val="none"/>
        </w:rPr>
      </w:pPr>
      <w:r>
        <w:rPr>
          <w:rFonts w:hint="eastAsia" w:ascii="宋体" w:hAnsi="宋体" w:cs="宋体"/>
          <w:szCs w:val="21"/>
          <w:highlight w:val="none"/>
        </w:rPr>
        <w:t>3.供应商不存在直接管理关系的，则填“无”。</w:t>
      </w:r>
    </w:p>
    <w:p>
      <w:pPr>
        <w:spacing w:line="360" w:lineRule="auto"/>
        <w:ind w:firstLine="3570" w:firstLineChars="1700"/>
        <w:rPr>
          <w:rFonts w:ascii="宋体" w:hAnsi="宋体" w:cs="宋体"/>
          <w:szCs w:val="21"/>
          <w:highlight w:val="none"/>
        </w:rPr>
      </w:pP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谈判供应商名称（公章）：</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 xml:space="preserve">法定代表人（负责人）或委托代理人(签名)：                          </w:t>
      </w:r>
    </w:p>
    <w:p>
      <w:pPr>
        <w:pStyle w:val="2"/>
        <w:ind w:firstLine="3150" w:firstLineChars="1500"/>
        <w:rPr>
          <w:rFonts w:ascii="宋体" w:hAnsi="宋体" w:cs="仿宋_GB2312"/>
          <w:b/>
          <w:sz w:val="32"/>
          <w:szCs w:val="32"/>
          <w:highlight w:val="none"/>
        </w:rPr>
      </w:pPr>
      <w:r>
        <w:rPr>
          <w:rFonts w:hint="eastAsia" w:ascii="宋体" w:hAnsi="宋体" w:cs="宋体"/>
          <w:sz w:val="21"/>
          <w:szCs w:val="21"/>
          <w:highlight w:val="none"/>
        </w:rPr>
        <w:t>日  期：    年   月   日</w:t>
      </w:r>
    </w:p>
    <w:p>
      <w:pPr>
        <w:spacing w:line="520" w:lineRule="exact"/>
        <w:jc w:val="center"/>
        <w:rPr>
          <w:rFonts w:ascii="宋体" w:hAnsi="宋体" w:cs="宋体"/>
          <w:b/>
          <w:bCs/>
          <w:sz w:val="32"/>
          <w:szCs w:val="32"/>
          <w:highlight w:val="none"/>
        </w:rPr>
      </w:pPr>
      <w:r>
        <w:rPr>
          <w:rFonts w:hint="eastAsia" w:ascii="宋体" w:hAnsi="宋体" w:cs="宋体"/>
          <w:b/>
          <w:bCs/>
          <w:sz w:val="32"/>
          <w:szCs w:val="32"/>
          <w:highlight w:val="none"/>
        </w:rPr>
        <w:t>4、无串通竞标行为的承诺函</w:t>
      </w:r>
    </w:p>
    <w:p>
      <w:pPr>
        <w:spacing w:line="520" w:lineRule="exact"/>
        <w:jc w:val="center"/>
        <w:rPr>
          <w:rFonts w:ascii="宋体" w:hAnsi="宋体" w:cs="宋体"/>
          <w:b/>
          <w:bCs/>
          <w:sz w:val="32"/>
          <w:szCs w:val="32"/>
          <w:highlight w:val="none"/>
        </w:rPr>
      </w:pPr>
    </w:p>
    <w:p>
      <w:pPr>
        <w:spacing w:line="360" w:lineRule="auto"/>
        <w:ind w:firstLine="422" w:firstLineChars="200"/>
        <w:contextualSpacing/>
        <w:rPr>
          <w:rFonts w:ascii="宋体" w:hAnsi="宋体" w:cs="仿宋_GB2312"/>
          <w:b/>
          <w:bCs/>
          <w:szCs w:val="21"/>
          <w:highlight w:val="none"/>
        </w:rPr>
      </w:pPr>
      <w:r>
        <w:rPr>
          <w:rFonts w:hint="eastAsia" w:ascii="宋体" w:hAnsi="宋体" w:cs="仿宋_GB2312"/>
          <w:b/>
          <w:bCs/>
          <w:szCs w:val="21"/>
          <w:highlight w:val="none"/>
          <w:u w:val="single"/>
        </w:rPr>
        <w:t>（采购人）</w:t>
      </w:r>
      <w:r>
        <w:rPr>
          <w:rFonts w:hint="eastAsia" w:ascii="宋体" w:hAnsi="宋体" w:cs="仿宋_GB2312"/>
          <w:b/>
          <w:bCs/>
          <w:szCs w:val="21"/>
          <w:highlight w:val="none"/>
        </w:rPr>
        <w:t>：</w:t>
      </w:r>
    </w:p>
    <w:p>
      <w:pPr>
        <w:spacing w:line="360" w:lineRule="auto"/>
        <w:ind w:firstLine="641" w:firstLineChars="304"/>
        <w:contextualSpacing/>
        <w:rPr>
          <w:rFonts w:ascii="宋体" w:hAnsi="宋体" w:cs="仿宋_GB2312"/>
          <w:b/>
          <w:bCs/>
          <w:szCs w:val="21"/>
          <w:highlight w:val="none"/>
        </w:rPr>
      </w:pPr>
      <w:r>
        <w:rPr>
          <w:rFonts w:hint="eastAsia" w:ascii="宋体" w:hAnsi="宋体" w:cs="仿宋_GB2312"/>
          <w:b/>
          <w:bCs/>
          <w:szCs w:val="21"/>
          <w:highlight w:val="none"/>
        </w:rPr>
        <w:t>一、我方承诺无下列相互串通竞标的情形：</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1.不同供应商的响应文件由同一单位或者个人编制，或不同供应商报名使用的IP地址一致的；</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2.不同供应商委托同一单位或者个人办理竞标事宜；</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3.不同的供应商的响应文件载明的项目管理员或者联系人员为同一人；</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4.不</w:t>
      </w:r>
      <w:r>
        <w:rPr>
          <w:rFonts w:hint="eastAsia" w:ascii="宋体" w:hAnsi="宋体" w:cs="仿宋_GB2312"/>
          <w:spacing w:val="-6"/>
          <w:szCs w:val="21"/>
          <w:highlight w:val="none"/>
        </w:rPr>
        <w:t>同供应商的响应文件异常一致或者竞标报价呈规律性差异；</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5.不同供应商的响应文件相互混装；</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6.不同供应商的竞标保证金从同一单位或者个人账户转出。</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7.不同供应商的电子响应文件上传计算机的网卡MAC地址或硬盘序列号等硬件信息相同的；</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8.上传的电子响应文件存在使用本项目其他响应供应商的数字证书加密的，或者加盖本项目其他响应供应商的电子印章的；</w:t>
      </w:r>
    </w:p>
    <w:p>
      <w:pPr>
        <w:spacing w:line="360" w:lineRule="auto"/>
        <w:ind w:firstLine="641" w:firstLineChars="304"/>
        <w:contextualSpacing/>
        <w:rPr>
          <w:rFonts w:ascii="宋体" w:hAnsi="宋体" w:cs="仿宋_GB2312"/>
          <w:b/>
          <w:bCs/>
          <w:szCs w:val="21"/>
          <w:highlight w:val="none"/>
        </w:rPr>
      </w:pPr>
      <w:r>
        <w:rPr>
          <w:rFonts w:hint="eastAsia" w:ascii="宋体" w:hAnsi="宋体" w:cs="仿宋_GB2312"/>
          <w:b/>
          <w:bCs/>
          <w:szCs w:val="21"/>
          <w:highlight w:val="none"/>
        </w:rPr>
        <w:t>二、我方承诺无下列恶意串通的情形：</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1.供应商直接或者间接从采购人或者采购代理机构处获得其他供应商的相关信息并修改其响应文件；</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2.供应商按照采购人或者采购代理机构的授意撤换、修改响应文件；</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3.供</w:t>
      </w:r>
      <w:r>
        <w:rPr>
          <w:rFonts w:hint="eastAsia" w:ascii="宋体" w:hAnsi="宋体" w:cs="仿宋_GB2312"/>
          <w:spacing w:val="-6"/>
          <w:szCs w:val="21"/>
          <w:highlight w:val="none"/>
        </w:rPr>
        <w:t>应商之间协商报价、技术方案等响应文件的实质性内容；</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4.属于同一集团、协会、商会等组织成员的供应商按照该组织要求协同参加政府采购活动；</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6.供应商之间商定部分供应商放弃参加政府采购活动或者放弃成交；</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7.供应商与采购人或者采购代理机构之间、供应商相互之间，为</w:t>
      </w:r>
      <w:r>
        <w:rPr>
          <w:rFonts w:hint="eastAsia" w:ascii="宋体" w:hAnsi="宋体" w:cs="仿宋_GB2312"/>
          <w:spacing w:val="-6"/>
          <w:szCs w:val="21"/>
          <w:highlight w:val="none"/>
        </w:rPr>
        <w:t>谋求特定供应商成交或者排斥其他供应商的其他串通行为。</w:t>
      </w:r>
    </w:p>
    <w:p>
      <w:pPr>
        <w:spacing w:line="360" w:lineRule="auto"/>
        <w:ind w:firstLine="641" w:firstLineChars="304"/>
        <w:contextualSpacing/>
        <w:rPr>
          <w:rFonts w:ascii="宋体" w:hAnsi="宋体" w:cs="仿宋_GB2312"/>
          <w:b/>
          <w:bCs/>
          <w:szCs w:val="21"/>
          <w:highlight w:val="none"/>
        </w:rPr>
      </w:pPr>
      <w:r>
        <w:rPr>
          <w:rFonts w:hint="eastAsia" w:ascii="宋体" w:hAnsi="宋体" w:cs="仿宋_GB2312"/>
          <w:b/>
          <w:bCs/>
          <w:szCs w:val="21"/>
          <w:highlight w:val="none"/>
        </w:rPr>
        <w:t>三、法律责任</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若我方违反上述承诺，我方愿意承担一切后果，给贵单位造成损失的，我方愿承担全部赔偿责任，并接受相关行政监督部门的处罚。并不再寻求任何旨在减轻或者免除法律责任的辩解。</w:t>
      </w:r>
    </w:p>
    <w:p>
      <w:pPr>
        <w:spacing w:line="360" w:lineRule="auto"/>
        <w:ind w:firstLine="638" w:firstLineChars="304"/>
        <w:contextualSpacing/>
        <w:rPr>
          <w:rFonts w:ascii="宋体" w:hAnsi="宋体" w:cs="仿宋_GB2312"/>
          <w:szCs w:val="21"/>
          <w:highlight w:val="none"/>
        </w:rPr>
      </w:pPr>
      <w:r>
        <w:rPr>
          <w:rFonts w:hint="eastAsia" w:ascii="宋体" w:hAnsi="宋体" w:cs="仿宋_GB2312"/>
          <w:szCs w:val="21"/>
          <w:highlight w:val="none"/>
        </w:rPr>
        <w:t>本承诺函自签署之日起生效，长期有效。</w:t>
      </w:r>
    </w:p>
    <w:p>
      <w:pPr>
        <w:spacing w:line="360" w:lineRule="auto"/>
        <w:ind w:firstLine="420" w:firstLineChars="200"/>
        <w:contextualSpacing/>
        <w:rPr>
          <w:rFonts w:ascii="宋体" w:hAnsi="宋体" w:cs="仿宋_GB2312"/>
          <w:szCs w:val="21"/>
          <w:highlight w:val="none"/>
        </w:rPr>
      </w:pPr>
    </w:p>
    <w:p>
      <w:pPr>
        <w:spacing w:line="360" w:lineRule="auto"/>
        <w:contextualSpacing/>
        <w:rPr>
          <w:rFonts w:ascii="宋体" w:hAnsi="宋体" w:cs="仿宋_GB2312"/>
          <w:szCs w:val="21"/>
          <w:highlight w:val="none"/>
        </w:rPr>
      </w:pP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谈判供应商名称（公章）：</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 xml:space="preserve">法定代表人（负责人）或委托代理人(签名)：                          </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日  期：    年   月   日</w:t>
      </w:r>
    </w:p>
    <w:p>
      <w:pPr>
        <w:spacing w:line="360" w:lineRule="auto"/>
        <w:jc w:val="center"/>
        <w:rPr>
          <w:rFonts w:cs="仿宋_GB2312" w:asciiTheme="minorEastAsia" w:hAnsiTheme="minorEastAsia" w:eastAsiaTheme="minorEastAsia"/>
          <w:b/>
          <w:kern w:val="0"/>
          <w:sz w:val="32"/>
          <w:szCs w:val="32"/>
          <w:highlight w:val="none"/>
          <w:lang w:val="zh-CN"/>
        </w:rPr>
      </w:pPr>
    </w:p>
    <w:p>
      <w:pPr>
        <w:spacing w:line="360" w:lineRule="auto"/>
        <w:jc w:val="center"/>
        <w:rPr>
          <w:rFonts w:cs="仿宋_GB2312" w:asciiTheme="minorEastAsia" w:hAnsiTheme="minorEastAsia" w:eastAsiaTheme="minorEastAsia"/>
          <w:b/>
          <w:kern w:val="0"/>
          <w:sz w:val="32"/>
          <w:szCs w:val="32"/>
          <w:highlight w:val="none"/>
        </w:rPr>
      </w:pPr>
      <w:r>
        <w:rPr>
          <w:rFonts w:hint="eastAsia" w:cs="仿宋_GB2312" w:asciiTheme="minorEastAsia" w:hAnsiTheme="minorEastAsia" w:eastAsiaTheme="minorEastAsia"/>
          <w:b/>
          <w:kern w:val="0"/>
          <w:sz w:val="32"/>
          <w:szCs w:val="32"/>
          <w:highlight w:val="none"/>
          <w:lang w:val="zh-CN"/>
        </w:rPr>
        <w:t>二、商务技术文件</w:t>
      </w:r>
    </w:p>
    <w:p>
      <w:pPr>
        <w:pStyle w:val="2"/>
        <w:jc w:val="center"/>
        <w:rPr>
          <w:sz w:val="30"/>
          <w:szCs w:val="30"/>
          <w:highlight w:val="none"/>
        </w:rPr>
      </w:pPr>
      <w:r>
        <w:rPr>
          <w:rFonts w:hint="eastAsia" w:cs="仿宋_GB2312" w:asciiTheme="minorEastAsia" w:hAnsiTheme="minorEastAsia" w:eastAsiaTheme="minorEastAsia"/>
          <w:b/>
          <w:kern w:val="0"/>
          <w:sz w:val="30"/>
          <w:szCs w:val="30"/>
          <w:highlight w:val="none"/>
        </w:rPr>
        <w:t>1.响应</w:t>
      </w:r>
      <w:r>
        <w:rPr>
          <w:rFonts w:hint="eastAsia" w:cs="仿宋_GB2312" w:asciiTheme="minorEastAsia" w:hAnsiTheme="minorEastAsia" w:eastAsiaTheme="minorEastAsia"/>
          <w:b/>
          <w:sz w:val="30"/>
          <w:szCs w:val="30"/>
          <w:highlight w:val="none"/>
        </w:rPr>
        <w:t>函</w:t>
      </w:r>
    </w:p>
    <w:p>
      <w:pPr>
        <w:rPr>
          <w:highlight w:val="none"/>
        </w:rPr>
      </w:pPr>
    </w:p>
    <w:p>
      <w:pPr>
        <w:pStyle w:val="2"/>
        <w:rPr>
          <w:highlight w:val="none"/>
        </w:rPr>
      </w:pPr>
    </w:p>
    <w:p>
      <w:pPr>
        <w:spacing w:line="360" w:lineRule="auto"/>
        <w:rPr>
          <w:rFonts w:ascii="宋体" w:hAnsi="宋体" w:cs="宋体"/>
          <w:szCs w:val="21"/>
          <w:highlight w:val="none"/>
        </w:rPr>
      </w:pPr>
      <w:r>
        <w:rPr>
          <w:rFonts w:hint="eastAsia" w:ascii="宋体" w:hAnsi="宋体" w:cs="宋体"/>
          <w:szCs w:val="21"/>
          <w:highlight w:val="none"/>
        </w:rPr>
        <w:t>（采购人）、（采购代理机构）：</w:t>
      </w:r>
    </w:p>
    <w:p>
      <w:pPr>
        <w:spacing w:line="360" w:lineRule="auto"/>
        <w:rPr>
          <w:rFonts w:ascii="宋体" w:hAnsi="宋体" w:cs="宋体"/>
          <w:szCs w:val="21"/>
          <w:highlight w:val="none"/>
        </w:rPr>
      </w:pPr>
      <w:r>
        <w:rPr>
          <w:rFonts w:hint="eastAsia" w:ascii="宋体" w:hAnsi="宋体" w:cs="宋体"/>
          <w:kern w:val="0"/>
          <w:szCs w:val="21"/>
          <w:highlight w:val="none"/>
          <w:u w:val="single"/>
          <w:lang w:val="zh-CN"/>
        </w:rPr>
        <w:t xml:space="preserve">                          </w:t>
      </w:r>
      <w:r>
        <w:rPr>
          <w:rFonts w:hint="eastAsia" w:ascii="宋体" w:hAnsi="宋体" w:cs="宋体"/>
          <w:szCs w:val="21"/>
          <w:highlight w:val="none"/>
        </w:rPr>
        <w:t>(供应商全称)授权</w:t>
      </w:r>
      <w:r>
        <w:rPr>
          <w:rFonts w:hint="eastAsia" w:ascii="宋体" w:hAnsi="宋体" w:cs="宋体"/>
          <w:kern w:val="0"/>
          <w:szCs w:val="21"/>
          <w:highlight w:val="none"/>
          <w:u w:val="single"/>
          <w:lang w:val="zh-CN"/>
        </w:rPr>
        <w:t xml:space="preserve">   </w:t>
      </w:r>
      <w:r>
        <w:rPr>
          <w:rFonts w:hint="eastAsia" w:ascii="宋体" w:hAnsi="宋体" w:cs="宋体"/>
          <w:szCs w:val="21"/>
          <w:highlight w:val="none"/>
          <w:u w:val="single"/>
        </w:rPr>
        <w:t>(全权代表姓名) (职务、职称)</w:t>
      </w:r>
      <w:r>
        <w:rPr>
          <w:rFonts w:hint="eastAsia" w:ascii="宋体" w:hAnsi="宋体" w:cs="宋体"/>
          <w:kern w:val="0"/>
          <w:szCs w:val="21"/>
          <w:highlight w:val="none"/>
          <w:u w:val="single"/>
          <w:lang w:val="zh-CN"/>
        </w:rPr>
        <w:t xml:space="preserve"> </w:t>
      </w:r>
      <w:r>
        <w:rPr>
          <w:rFonts w:hint="eastAsia" w:ascii="宋体" w:hAnsi="宋体" w:cs="宋体"/>
          <w:szCs w:val="21"/>
          <w:highlight w:val="none"/>
        </w:rPr>
        <w:t>为全权代表，参加贵方组织的</w:t>
      </w:r>
      <w:r>
        <w:rPr>
          <w:rFonts w:hint="eastAsia" w:ascii="宋体" w:hAnsi="宋体" w:cs="宋体"/>
          <w:szCs w:val="21"/>
          <w:highlight w:val="none"/>
          <w:u w:val="single"/>
        </w:rPr>
        <w:t>（项目名称、项目编号）</w:t>
      </w:r>
      <w:r>
        <w:rPr>
          <w:rFonts w:hint="eastAsia" w:ascii="宋体" w:hAnsi="宋体" w:cs="宋体"/>
          <w:szCs w:val="21"/>
          <w:highlight w:val="none"/>
        </w:rPr>
        <w:t>的有关活动，并对此项目进行响应。为此：</w:t>
      </w:r>
    </w:p>
    <w:p>
      <w:pPr>
        <w:pStyle w:val="108"/>
        <w:numPr>
          <w:ilvl w:val="0"/>
          <w:numId w:val="10"/>
        </w:numPr>
        <w:snapToGrid w:val="0"/>
        <w:ind w:firstLineChars="0"/>
        <w:rPr>
          <w:rFonts w:ascii="宋体" w:hAnsi="宋体" w:eastAsia="宋体" w:cs="宋体"/>
          <w:sz w:val="21"/>
          <w:szCs w:val="21"/>
          <w:highlight w:val="none"/>
        </w:rPr>
      </w:pPr>
      <w:r>
        <w:rPr>
          <w:rFonts w:hint="eastAsia" w:ascii="宋体" w:hAnsi="宋体" w:eastAsia="宋体" w:cs="宋体"/>
          <w:sz w:val="21"/>
          <w:szCs w:val="21"/>
          <w:highlight w:val="none"/>
        </w:rPr>
        <w:t>我方承诺响应有效期从提交响应文件的截止之日起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天，（不少于60天），本响应文件在响应有效期满之前均具有约束力。</w:t>
      </w:r>
    </w:p>
    <w:p>
      <w:pPr>
        <w:numPr>
          <w:ilvl w:val="0"/>
          <w:numId w:val="10"/>
        </w:numPr>
        <w:adjustRightInd/>
        <w:spacing w:line="360" w:lineRule="auto"/>
        <w:rPr>
          <w:rFonts w:ascii="宋体" w:hAnsi="宋体" w:cs="宋体"/>
          <w:szCs w:val="21"/>
          <w:highlight w:val="none"/>
        </w:rPr>
      </w:pPr>
      <w:r>
        <w:rPr>
          <w:rFonts w:hint="eastAsia" w:ascii="宋体" w:hAnsi="宋体" w:cs="宋体"/>
          <w:szCs w:val="21"/>
          <w:highlight w:val="none"/>
        </w:rPr>
        <w:t>提供</w:t>
      </w:r>
      <w:r>
        <w:rPr>
          <w:rFonts w:hint="eastAsia" w:ascii="宋体" w:hAnsi="宋体" w:cs="宋体"/>
          <w:bCs/>
          <w:kern w:val="44"/>
          <w:szCs w:val="21"/>
          <w:highlight w:val="none"/>
        </w:rPr>
        <w:t>谈判文件中</w:t>
      </w:r>
      <w:r>
        <w:rPr>
          <w:rFonts w:hint="eastAsia" w:ascii="宋体" w:hAnsi="宋体" w:cs="宋体"/>
          <w:szCs w:val="21"/>
          <w:highlight w:val="none"/>
        </w:rPr>
        <w:t>规定的全部响应文件。</w:t>
      </w:r>
    </w:p>
    <w:p>
      <w:pPr>
        <w:numPr>
          <w:ilvl w:val="0"/>
          <w:numId w:val="10"/>
        </w:numPr>
        <w:adjustRightInd/>
        <w:spacing w:line="360" w:lineRule="auto"/>
        <w:rPr>
          <w:rFonts w:ascii="宋体" w:hAnsi="宋体" w:cs="宋体"/>
          <w:szCs w:val="21"/>
          <w:highlight w:val="none"/>
        </w:rPr>
      </w:pPr>
      <w:r>
        <w:rPr>
          <w:rFonts w:hint="eastAsia" w:ascii="宋体" w:hAnsi="宋体" w:cs="宋体"/>
          <w:szCs w:val="21"/>
          <w:highlight w:val="none"/>
        </w:rPr>
        <w:t>我方承诺除响应文件列出的偏离外，我方响应谈判文件的全部要求。</w:t>
      </w:r>
    </w:p>
    <w:p>
      <w:pPr>
        <w:numPr>
          <w:ilvl w:val="0"/>
          <w:numId w:val="10"/>
        </w:numPr>
        <w:adjustRightInd/>
        <w:spacing w:line="360" w:lineRule="auto"/>
        <w:rPr>
          <w:rFonts w:ascii="宋体" w:hAnsi="宋体" w:cs="宋体"/>
          <w:szCs w:val="21"/>
          <w:highlight w:val="none"/>
        </w:rPr>
      </w:pPr>
      <w:r>
        <w:rPr>
          <w:rFonts w:hint="eastAsia" w:ascii="宋体" w:hAnsi="宋体" w:cs="宋体"/>
          <w:szCs w:val="21"/>
          <w:highlight w:val="none"/>
        </w:rPr>
        <w:t>保证遵守谈判文件中的其他有关规定。</w:t>
      </w:r>
    </w:p>
    <w:p>
      <w:pPr>
        <w:numPr>
          <w:ilvl w:val="0"/>
          <w:numId w:val="10"/>
        </w:numPr>
        <w:adjustRightInd/>
        <w:spacing w:line="360" w:lineRule="auto"/>
        <w:rPr>
          <w:rFonts w:ascii="宋体" w:hAnsi="宋体" w:cs="宋体"/>
          <w:szCs w:val="21"/>
          <w:highlight w:val="none"/>
        </w:rPr>
      </w:pPr>
      <w:r>
        <w:rPr>
          <w:rFonts w:hint="eastAsia" w:ascii="宋体" w:hAnsi="宋体" w:cs="宋体"/>
          <w:szCs w:val="21"/>
          <w:highlight w:val="none"/>
        </w:rPr>
        <w:t>我方愿意向贵方提供任何与该项目响应有关的数据、情况和技术资料。若贵方需要，我方愿意提供我方作出的一切承诺的证明材料。</w:t>
      </w:r>
    </w:p>
    <w:p>
      <w:pPr>
        <w:numPr>
          <w:ilvl w:val="0"/>
          <w:numId w:val="10"/>
        </w:numPr>
        <w:adjustRightInd/>
        <w:spacing w:line="360" w:lineRule="auto"/>
        <w:rPr>
          <w:rFonts w:ascii="宋体" w:hAnsi="宋体" w:cs="宋体"/>
          <w:szCs w:val="21"/>
          <w:highlight w:val="none"/>
        </w:rPr>
      </w:pPr>
      <w:r>
        <w:rPr>
          <w:rFonts w:hint="eastAsia" w:ascii="宋体" w:hAnsi="宋体" w:cs="宋体"/>
          <w:szCs w:val="21"/>
          <w:highlight w:val="none"/>
        </w:rPr>
        <w:t>我方已详细阅读全部谈判文件，包括谈判文件“更正（延期）公告”（如果有）、参考资料及有关附件，确认无误。</w:t>
      </w:r>
    </w:p>
    <w:p>
      <w:pPr>
        <w:numPr>
          <w:ilvl w:val="0"/>
          <w:numId w:val="10"/>
        </w:numPr>
        <w:adjustRightInd/>
        <w:spacing w:line="360" w:lineRule="auto"/>
        <w:rPr>
          <w:rFonts w:ascii="宋体" w:hAnsi="宋体" w:cs="宋体"/>
          <w:szCs w:val="21"/>
          <w:highlight w:val="none"/>
        </w:rPr>
      </w:pPr>
      <w:r>
        <w:rPr>
          <w:rFonts w:hint="eastAsia" w:ascii="宋体" w:hAnsi="宋体" w:cs="宋体"/>
          <w:szCs w:val="21"/>
          <w:highlight w:val="none"/>
        </w:rPr>
        <w:t>如我方成交，我方承诺：</w:t>
      </w:r>
    </w:p>
    <w:p>
      <w:pPr>
        <w:snapToGrid w:val="0"/>
        <w:spacing w:line="360" w:lineRule="auto"/>
        <w:ind w:left="210" w:leftChars="100" w:firstLine="420" w:firstLineChars="200"/>
        <w:rPr>
          <w:rFonts w:ascii="宋体" w:hAnsi="宋体" w:cs="宋体"/>
          <w:szCs w:val="21"/>
          <w:highlight w:val="none"/>
        </w:rPr>
      </w:pPr>
      <w:r>
        <w:rPr>
          <w:rFonts w:hint="eastAsia" w:ascii="宋体" w:hAnsi="宋体" w:cs="宋体"/>
          <w:szCs w:val="21"/>
          <w:highlight w:val="none"/>
        </w:rPr>
        <w:t xml:space="preserve">7.1在收到成交通知书后，在成交通知书规定的期限内与你方签订合同； </w:t>
      </w:r>
    </w:p>
    <w:p>
      <w:pPr>
        <w:snapToGrid w:val="0"/>
        <w:spacing w:line="360" w:lineRule="auto"/>
        <w:ind w:left="210" w:leftChars="100" w:firstLine="420" w:firstLineChars="200"/>
        <w:rPr>
          <w:rFonts w:ascii="宋体" w:hAnsi="宋体" w:cs="宋体"/>
          <w:szCs w:val="21"/>
          <w:highlight w:val="none"/>
        </w:rPr>
      </w:pPr>
      <w:r>
        <w:rPr>
          <w:rFonts w:hint="eastAsia" w:ascii="宋体" w:hAnsi="宋体" w:cs="宋体"/>
          <w:szCs w:val="21"/>
          <w:highlight w:val="none"/>
        </w:rPr>
        <w:t>7.2在签订合同时不向你方提出附加条件；</w:t>
      </w:r>
    </w:p>
    <w:p>
      <w:pPr>
        <w:snapToGrid w:val="0"/>
        <w:spacing w:line="360" w:lineRule="auto"/>
        <w:ind w:left="210" w:leftChars="100" w:firstLine="420" w:firstLineChars="200"/>
        <w:rPr>
          <w:rFonts w:cs="宋体" w:asciiTheme="minorEastAsia" w:hAnsiTheme="minorEastAsia" w:eastAsiaTheme="minorEastAsia"/>
          <w:sz w:val="24"/>
          <w:highlight w:val="none"/>
        </w:rPr>
      </w:pPr>
      <w:r>
        <w:rPr>
          <w:rFonts w:hint="eastAsia" w:ascii="宋体" w:hAnsi="宋体" w:cs="宋体"/>
          <w:szCs w:val="21"/>
          <w:highlight w:val="none"/>
        </w:rPr>
        <w:t>7.3按照谈判文件要求提交谈判保证金；</w:t>
      </w:r>
      <w:r>
        <w:rPr>
          <w:rFonts w:hint="eastAsia" w:cs="宋体" w:asciiTheme="minorEastAsia" w:hAnsiTheme="minorEastAsia" w:eastAsiaTheme="minorEastAsia"/>
          <w:sz w:val="24"/>
          <w:highlight w:val="none"/>
        </w:rPr>
        <w:t xml:space="preserve"> </w:t>
      </w:r>
    </w:p>
    <w:p>
      <w:pPr>
        <w:snapToGrid w:val="0"/>
        <w:spacing w:line="360" w:lineRule="auto"/>
        <w:ind w:left="210" w:leftChars="100" w:firstLine="420" w:firstLineChars="200"/>
        <w:rPr>
          <w:rFonts w:ascii="宋体" w:hAnsi="宋体" w:cs="宋体"/>
          <w:szCs w:val="21"/>
          <w:highlight w:val="none"/>
        </w:rPr>
      </w:pPr>
      <w:r>
        <w:rPr>
          <w:rFonts w:hint="eastAsia" w:ascii="宋体" w:hAnsi="宋体" w:cs="宋体"/>
          <w:szCs w:val="21"/>
          <w:highlight w:val="none"/>
        </w:rPr>
        <w:t xml:space="preserve">7.4在合同约定的期限内完成合同规定的全部义务。 </w:t>
      </w:r>
    </w:p>
    <w:p>
      <w:pPr>
        <w:snapToGrid w:val="0"/>
        <w:spacing w:line="360" w:lineRule="auto"/>
        <w:ind w:firstLine="478" w:firstLineChars="228"/>
        <w:rPr>
          <w:rFonts w:ascii="宋体" w:hAnsi="宋体" w:cs="宋体"/>
          <w:szCs w:val="21"/>
          <w:highlight w:val="none"/>
        </w:rPr>
      </w:pPr>
      <w:r>
        <w:rPr>
          <w:rFonts w:hint="eastAsia" w:ascii="宋体" w:hAnsi="宋体" w:cs="宋体"/>
          <w:szCs w:val="21"/>
          <w:highlight w:val="none"/>
        </w:rPr>
        <w:t>8、其他补充说明:  与本谈判有关的一切正式往来信函请寄：</w:t>
      </w:r>
    </w:p>
    <w:p>
      <w:pPr>
        <w:adjustRightInd/>
        <w:spacing w:line="360" w:lineRule="auto"/>
        <w:ind w:left="480" w:firstLine="210" w:firstLineChars="100"/>
        <w:rPr>
          <w:rFonts w:ascii="宋体" w:hAnsi="宋体" w:cs="宋体"/>
          <w:szCs w:val="21"/>
          <w:highlight w:val="none"/>
        </w:rPr>
      </w:pPr>
      <w:r>
        <w:rPr>
          <w:rFonts w:hint="eastAsia" w:ascii="宋体" w:hAnsi="宋体" w:cs="宋体"/>
          <w:szCs w:val="21"/>
          <w:highlight w:val="none"/>
        </w:rPr>
        <w:t>地址：                             邮政编码：</w:t>
      </w:r>
    </w:p>
    <w:p>
      <w:pPr>
        <w:adjustRightInd/>
        <w:spacing w:line="360" w:lineRule="auto"/>
        <w:ind w:left="480" w:firstLine="210" w:firstLineChars="100"/>
        <w:rPr>
          <w:rFonts w:ascii="宋体" w:hAnsi="宋体" w:cs="宋体"/>
          <w:szCs w:val="21"/>
          <w:highlight w:val="none"/>
        </w:rPr>
      </w:pPr>
      <w:r>
        <w:rPr>
          <w:rFonts w:hint="eastAsia" w:ascii="宋体" w:hAnsi="宋体" w:cs="宋体"/>
          <w:szCs w:val="21"/>
          <w:highlight w:val="none"/>
        </w:rPr>
        <w:t>统一社会信用代码：                 联系人：</w:t>
      </w:r>
    </w:p>
    <w:p>
      <w:pPr>
        <w:adjustRightInd/>
        <w:spacing w:line="360" w:lineRule="auto"/>
        <w:ind w:left="480" w:firstLine="210" w:firstLineChars="100"/>
        <w:rPr>
          <w:rFonts w:ascii="宋体" w:hAnsi="宋体" w:cs="宋体"/>
          <w:szCs w:val="21"/>
          <w:highlight w:val="none"/>
        </w:rPr>
      </w:pPr>
      <w:r>
        <w:rPr>
          <w:rFonts w:hint="eastAsia" w:ascii="宋体" w:hAnsi="宋体" w:cs="宋体"/>
          <w:szCs w:val="21"/>
          <w:highlight w:val="none"/>
        </w:rPr>
        <w:t>电话：                             电子邮箱：</w:t>
      </w:r>
    </w:p>
    <w:p>
      <w:pPr>
        <w:adjustRightInd/>
        <w:spacing w:line="360" w:lineRule="auto"/>
        <w:ind w:left="482" w:firstLine="210" w:firstLineChars="100"/>
        <w:jc w:val="left"/>
        <w:rPr>
          <w:rFonts w:ascii="宋体" w:hAnsi="宋体" w:cs="宋体"/>
          <w:szCs w:val="21"/>
          <w:highlight w:val="none"/>
        </w:rPr>
      </w:pPr>
      <w:r>
        <w:rPr>
          <w:rFonts w:hint="eastAsia" w:ascii="宋体" w:hAnsi="宋体" w:cs="宋体"/>
          <w:szCs w:val="21"/>
          <w:highlight w:val="none"/>
        </w:rPr>
        <w:t xml:space="preserve">开户银行：                         帐号/行号： </w:t>
      </w:r>
    </w:p>
    <w:p>
      <w:pPr>
        <w:autoSpaceDE w:val="0"/>
        <w:autoSpaceDN w:val="0"/>
        <w:spacing w:line="360" w:lineRule="auto"/>
        <w:ind w:firstLine="3465" w:firstLineChars="1650"/>
        <w:rPr>
          <w:rFonts w:ascii="宋体" w:hAnsi="宋体" w:cs="宋体"/>
          <w:kern w:val="0"/>
          <w:szCs w:val="21"/>
          <w:highlight w:val="none"/>
          <w:lang w:val="zh-CN"/>
        </w:rPr>
      </w:pP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谈判供应商名称（公章）：</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 xml:space="preserve">法定代表人（负责人）或委托代理人(签名)：                          </w:t>
      </w:r>
    </w:p>
    <w:p>
      <w:pPr>
        <w:spacing w:line="360" w:lineRule="auto"/>
        <w:ind w:firstLine="3150" w:firstLineChars="1500"/>
        <w:rPr>
          <w:rFonts w:ascii="宋体" w:hAnsi="宋体" w:cs="宋体"/>
          <w:szCs w:val="21"/>
          <w:highlight w:val="none"/>
        </w:rPr>
      </w:pPr>
      <w:r>
        <w:rPr>
          <w:rFonts w:hint="eastAsia" w:ascii="宋体" w:hAnsi="宋体" w:cs="宋体"/>
          <w:szCs w:val="21"/>
          <w:highlight w:val="none"/>
        </w:rPr>
        <w:t>日  期：    年   月   日</w:t>
      </w:r>
    </w:p>
    <w:p>
      <w:pPr>
        <w:spacing w:line="360" w:lineRule="auto"/>
        <w:ind w:right="420"/>
        <w:rPr>
          <w:rFonts w:ascii="宋体" w:hAnsi="宋体" w:cs="宋体"/>
          <w:szCs w:val="21"/>
          <w:highlight w:val="none"/>
        </w:rPr>
      </w:pPr>
    </w:p>
    <w:p>
      <w:pPr>
        <w:spacing w:line="360" w:lineRule="auto"/>
        <w:ind w:right="420"/>
        <w:rPr>
          <w:rFonts w:ascii="宋体" w:hAnsi="宋体" w:cs="宋体"/>
          <w:szCs w:val="21"/>
          <w:highlight w:val="none"/>
        </w:rPr>
      </w:pPr>
      <w:r>
        <w:rPr>
          <w:rFonts w:hint="eastAsia" w:ascii="宋体" w:hAnsi="宋体" w:cs="宋体"/>
          <w:szCs w:val="21"/>
          <w:highlight w:val="none"/>
        </w:rPr>
        <w:t>注：按本格式和要求提供。</w:t>
      </w:r>
    </w:p>
    <w:p>
      <w:pPr>
        <w:widowControl/>
        <w:adjustRightInd/>
        <w:jc w:val="center"/>
        <w:rPr>
          <w:rFonts w:cs="仿宋_GB2312" w:asciiTheme="minorEastAsia" w:hAnsiTheme="minorEastAsia" w:eastAsiaTheme="minorEastAsia"/>
          <w:b/>
          <w:kern w:val="0"/>
          <w:sz w:val="30"/>
          <w:szCs w:val="30"/>
          <w:highlight w:val="none"/>
        </w:rPr>
      </w:pPr>
    </w:p>
    <w:p>
      <w:pPr>
        <w:widowControl/>
        <w:adjustRightInd/>
        <w:jc w:val="center"/>
        <w:rPr>
          <w:rFonts w:cs="仿宋_GB2312" w:asciiTheme="minorEastAsia" w:hAnsiTheme="minorEastAsia" w:eastAsiaTheme="minorEastAsia"/>
          <w:b/>
          <w:kern w:val="0"/>
          <w:sz w:val="30"/>
          <w:szCs w:val="30"/>
          <w:highlight w:val="none"/>
        </w:rPr>
      </w:pPr>
    </w:p>
    <w:p>
      <w:pPr>
        <w:widowControl/>
        <w:adjustRightInd/>
        <w:jc w:val="center"/>
        <w:rPr>
          <w:rFonts w:cs="仿宋_GB2312" w:asciiTheme="minorEastAsia" w:hAnsiTheme="minorEastAsia" w:eastAsiaTheme="minorEastAsia"/>
          <w:b/>
          <w:kern w:val="0"/>
          <w:sz w:val="30"/>
          <w:szCs w:val="30"/>
          <w:highlight w:val="none"/>
        </w:rPr>
      </w:pPr>
    </w:p>
    <w:p>
      <w:pPr>
        <w:widowControl/>
        <w:adjustRightInd/>
        <w:jc w:val="center"/>
        <w:rPr>
          <w:rFonts w:cs="仿宋_GB2312" w:asciiTheme="minorEastAsia" w:hAnsiTheme="minorEastAsia" w:eastAsiaTheme="minorEastAsia"/>
          <w:b/>
          <w:kern w:val="0"/>
          <w:sz w:val="30"/>
          <w:szCs w:val="30"/>
          <w:highlight w:val="none"/>
        </w:rPr>
      </w:pPr>
    </w:p>
    <w:p>
      <w:pPr>
        <w:widowControl/>
        <w:adjustRightInd/>
        <w:jc w:val="center"/>
        <w:rPr>
          <w:rFonts w:cs="仿宋_GB2312" w:asciiTheme="minorEastAsia" w:hAnsiTheme="minorEastAsia" w:eastAsiaTheme="minorEastAsia"/>
          <w:b/>
          <w:kern w:val="0"/>
          <w:sz w:val="30"/>
          <w:szCs w:val="30"/>
          <w:highlight w:val="none"/>
          <w:lang w:val="zh-CN"/>
        </w:rPr>
      </w:pPr>
      <w:r>
        <w:rPr>
          <w:rFonts w:hint="eastAsia" w:cs="仿宋_GB2312" w:asciiTheme="minorEastAsia" w:hAnsiTheme="minorEastAsia" w:eastAsiaTheme="minorEastAsia"/>
          <w:b/>
          <w:kern w:val="0"/>
          <w:sz w:val="30"/>
          <w:szCs w:val="30"/>
          <w:highlight w:val="none"/>
        </w:rPr>
        <w:t>2.</w:t>
      </w:r>
      <w:r>
        <w:rPr>
          <w:rFonts w:hint="eastAsia" w:cs="仿宋_GB2312" w:asciiTheme="minorEastAsia" w:hAnsiTheme="minorEastAsia" w:eastAsiaTheme="minorEastAsia"/>
          <w:b/>
          <w:kern w:val="0"/>
          <w:sz w:val="30"/>
          <w:szCs w:val="30"/>
          <w:highlight w:val="none"/>
          <w:lang w:val="zh-CN"/>
        </w:rPr>
        <w:t>承诺函</w:t>
      </w:r>
    </w:p>
    <w:p>
      <w:pPr>
        <w:snapToGrid w:val="0"/>
        <w:spacing w:line="360" w:lineRule="exact"/>
        <w:rPr>
          <w:rFonts w:ascii="宋体" w:hAnsi="宋体" w:cs="宋体"/>
          <w:szCs w:val="21"/>
          <w:highlight w:val="none"/>
        </w:rPr>
      </w:pPr>
    </w:p>
    <w:p>
      <w:pPr>
        <w:snapToGrid w:val="0"/>
        <w:spacing w:line="360" w:lineRule="exact"/>
        <w:rPr>
          <w:rFonts w:ascii="宋体" w:hAnsi="宋体" w:cs="宋体"/>
          <w:kern w:val="0"/>
          <w:szCs w:val="21"/>
          <w:highlight w:val="none"/>
        </w:rPr>
      </w:pPr>
      <w:r>
        <w:rPr>
          <w:rFonts w:hint="eastAsia" w:ascii="宋体" w:hAnsi="宋体" w:cs="宋体"/>
          <w:szCs w:val="21"/>
          <w:highlight w:val="none"/>
        </w:rPr>
        <w:t>（采购人）、（采购代理机构）</w:t>
      </w:r>
      <w:r>
        <w:rPr>
          <w:rFonts w:hint="eastAsia" w:ascii="宋体" w:hAnsi="宋体" w:cs="宋体"/>
          <w:kern w:val="0"/>
          <w:szCs w:val="21"/>
          <w:highlight w:val="none"/>
          <w:lang w:val="zh-CN"/>
        </w:rPr>
        <w:t>：</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我方作为本次采购项目的供应商，根据谈判文件要求，现郑重承诺如下：</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二、参加本次谈判采购活动，不存在与单位负责人为同一人或者存在直接控股、管理关系的其他供应商参与同一合同项下的政府采购活动的行为。</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四、参加本次谈判采购活动，不存在和其他供应商在同一合同项下的采购项目中，同时委托同一个自然人、同一家庭的人员、同一单位的人员作为代理人的行为。</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五、响应文件中提供的能够给予我方带来优惠、好处的任何材料资料和技术、服务、商务、响应产品等响应承诺情况都是真实的、有效的、合法的。</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六、如本项目谈判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七、国家或行业主管部门对采购产品的技术标准、质量标准和资格资质条件等有强制性规定的，我方承诺符合其要求。</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八、参加本次谈判采购活动，我方完全同意谈判文件第三部分关于“谈判费用”、“合同分包”、“合同转包”、“履约保证金”的实质性要求，并承诺严格按照谈判文件要求履行。</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pPr>
        <w:widowControl/>
        <w:adjustRightInd/>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我方对上述承诺的内容事项真实性负责。如经查实上述承诺的内容事项存在虚假，我方愿意接受以提供虚假材料谋取成交追究法律责任。</w:t>
      </w:r>
    </w:p>
    <w:p>
      <w:pPr>
        <w:widowControl/>
        <w:adjustRightInd/>
        <w:spacing w:line="360" w:lineRule="exact"/>
        <w:ind w:firstLine="420" w:firstLineChars="200"/>
        <w:jc w:val="left"/>
        <w:rPr>
          <w:rFonts w:ascii="宋体" w:hAnsi="宋体" w:cs="宋体"/>
          <w:kern w:val="0"/>
          <w:szCs w:val="21"/>
          <w:highlight w:val="none"/>
        </w:rPr>
      </w:pPr>
    </w:p>
    <w:p>
      <w:pPr>
        <w:autoSpaceDE w:val="0"/>
        <w:autoSpaceDN w:val="0"/>
        <w:spacing w:line="360" w:lineRule="exact"/>
        <w:ind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谈判供应商名称(公章)： </w:t>
      </w:r>
    </w:p>
    <w:p>
      <w:pPr>
        <w:autoSpaceDE w:val="0"/>
        <w:autoSpaceDN w:val="0"/>
        <w:spacing w:line="360" w:lineRule="exact"/>
        <w:ind w:left="2" w:leftChars="1"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法定代表人（负责人）或委托代理人(签名)：              </w:t>
      </w:r>
    </w:p>
    <w:p>
      <w:pPr>
        <w:spacing w:line="360" w:lineRule="exact"/>
        <w:ind w:firstLine="3990" w:firstLineChars="1900"/>
        <w:rPr>
          <w:rFonts w:ascii="宋体" w:hAnsi="宋体" w:cs="宋体"/>
          <w:szCs w:val="21"/>
          <w:highlight w:val="none"/>
        </w:rPr>
      </w:pPr>
      <w:r>
        <w:rPr>
          <w:rFonts w:hint="eastAsia" w:ascii="宋体" w:hAnsi="宋体" w:cs="宋体"/>
          <w:kern w:val="0"/>
          <w:szCs w:val="21"/>
          <w:highlight w:val="none"/>
          <w:lang w:val="zh-CN"/>
        </w:rPr>
        <w:t>日</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期</w:t>
      </w:r>
      <w:r>
        <w:rPr>
          <w:rFonts w:hint="eastAsia" w:ascii="宋体" w:hAnsi="宋体" w:cs="宋体"/>
          <w:kern w:val="0"/>
          <w:szCs w:val="21"/>
          <w:highlight w:val="none"/>
        </w:rPr>
        <w:t>：</w:t>
      </w:r>
      <w:r>
        <w:rPr>
          <w:rFonts w:hint="eastAsia" w:ascii="宋体" w:hAnsi="宋体" w:cs="宋体"/>
          <w:kern w:val="0"/>
          <w:szCs w:val="21"/>
          <w:highlight w:val="none"/>
          <w:lang w:val="zh-CN"/>
        </w:rPr>
        <w:t xml:space="preserve">   年   月   日</w:t>
      </w:r>
    </w:p>
    <w:p>
      <w:pPr>
        <w:spacing w:line="360" w:lineRule="exact"/>
        <w:jc w:val="center"/>
        <w:rPr>
          <w:rFonts w:ascii="宋体" w:hAnsi="宋体" w:cs="宋体"/>
          <w:b/>
          <w:bCs/>
          <w:szCs w:val="21"/>
          <w:highlight w:val="none"/>
        </w:rPr>
      </w:pPr>
    </w:p>
    <w:p>
      <w:pPr>
        <w:widowControl/>
        <w:adjustRightInd/>
        <w:jc w:val="left"/>
        <w:rPr>
          <w:rFonts w:cs="仿宋_GB2312" w:asciiTheme="minorEastAsia" w:hAnsiTheme="minorEastAsia" w:eastAsiaTheme="minorEastAsia"/>
          <w:b/>
          <w:kern w:val="0"/>
          <w:sz w:val="32"/>
          <w:szCs w:val="32"/>
          <w:highlight w:val="none"/>
        </w:rPr>
      </w:pPr>
      <w:r>
        <w:rPr>
          <w:rFonts w:hint="eastAsia" w:ascii="宋体" w:hAnsi="宋体" w:cs="宋体"/>
          <w:szCs w:val="21"/>
          <w:highlight w:val="none"/>
        </w:rPr>
        <w:t>注：按本格式和要求提供。</w:t>
      </w:r>
    </w:p>
    <w:p>
      <w:pPr>
        <w:spacing w:line="300" w:lineRule="auto"/>
        <w:jc w:val="center"/>
        <w:rPr>
          <w:rFonts w:ascii="宋体" w:hAnsi="宋体"/>
          <w:b/>
          <w:bCs/>
          <w:sz w:val="32"/>
          <w:szCs w:val="32"/>
          <w:highlight w:val="none"/>
        </w:rPr>
      </w:pPr>
    </w:p>
    <w:p>
      <w:pPr>
        <w:pStyle w:val="20"/>
        <w:rPr>
          <w:color w:val="auto"/>
          <w:highlight w:val="none"/>
        </w:rPr>
      </w:pPr>
    </w:p>
    <w:p>
      <w:pPr>
        <w:pStyle w:val="21"/>
        <w:rPr>
          <w:highlight w:val="none"/>
        </w:rPr>
      </w:pPr>
    </w:p>
    <w:p>
      <w:pPr>
        <w:jc w:val="center"/>
        <w:rPr>
          <w:sz w:val="30"/>
          <w:szCs w:val="30"/>
          <w:highlight w:val="none"/>
          <w:lang w:val="zh-CN"/>
        </w:rPr>
      </w:pPr>
      <w:r>
        <w:rPr>
          <w:rFonts w:hint="eastAsia" w:cs="宋体" w:asciiTheme="minorEastAsia" w:hAnsiTheme="minorEastAsia" w:eastAsiaTheme="minorEastAsia"/>
          <w:b/>
          <w:kern w:val="0"/>
          <w:sz w:val="30"/>
          <w:szCs w:val="30"/>
          <w:highlight w:val="none"/>
        </w:rPr>
        <w:t>3.</w:t>
      </w:r>
      <w:r>
        <w:rPr>
          <w:rFonts w:hint="eastAsia" w:cs="宋体" w:asciiTheme="minorEastAsia" w:hAnsiTheme="minorEastAsia" w:eastAsiaTheme="minorEastAsia"/>
          <w:b/>
          <w:kern w:val="0"/>
          <w:sz w:val="30"/>
          <w:szCs w:val="30"/>
          <w:highlight w:val="none"/>
          <w:lang w:val="zh-CN"/>
        </w:rPr>
        <w:t>政府采购供应商廉洁自律承诺书</w:t>
      </w:r>
    </w:p>
    <w:p>
      <w:pPr>
        <w:rPr>
          <w:highlight w:val="none"/>
          <w:lang w:val="zh-CN"/>
        </w:rPr>
      </w:pPr>
    </w:p>
    <w:p>
      <w:pPr>
        <w:autoSpaceDE w:val="0"/>
        <w:autoSpaceDN w:val="0"/>
        <w:spacing w:line="400" w:lineRule="exact"/>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szCs w:val="21"/>
          <w:highlight w:val="none"/>
        </w:rPr>
        <w:t>（采购人）</w:t>
      </w:r>
      <w:r>
        <w:rPr>
          <w:rFonts w:hint="eastAsia" w:cs="仿宋_GB2312" w:asciiTheme="minorEastAsia" w:hAnsiTheme="minorEastAsia" w:eastAsiaTheme="minorEastAsia"/>
          <w:kern w:val="0"/>
          <w:szCs w:val="21"/>
          <w:highlight w:val="none"/>
          <w:lang w:val="zh-CN"/>
        </w:rPr>
        <w:t xml:space="preserve">：    </w:t>
      </w:r>
    </w:p>
    <w:p>
      <w:pPr>
        <w:autoSpaceDE w:val="0"/>
        <w:autoSpaceDN w:val="0"/>
        <w:spacing w:line="400" w:lineRule="exact"/>
        <w:ind w:left="2" w:leftChars="1" w:firstLine="420" w:firstLineChars="20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我单位响应你</w:t>
      </w:r>
      <w:r>
        <w:rPr>
          <w:rFonts w:hint="eastAsia" w:cs="仿宋_GB2312" w:asciiTheme="minorEastAsia" w:hAnsiTheme="minorEastAsia" w:eastAsiaTheme="minorEastAsia"/>
          <w:szCs w:val="21"/>
          <w:highlight w:val="none"/>
        </w:rPr>
        <w:t>单位</w:t>
      </w:r>
      <w:r>
        <w:rPr>
          <w:rFonts w:hint="eastAsia" w:cs="仿宋_GB2312" w:asciiTheme="minorEastAsia" w:hAnsiTheme="minorEastAsia" w:eastAsiaTheme="minorEastAsia"/>
          <w:kern w:val="0"/>
          <w:szCs w:val="21"/>
          <w:highlight w:val="none"/>
          <w:lang w:val="zh-CN"/>
        </w:rPr>
        <w:t>项目采购要求参加响应。在这次响应过程中和成交后，我们将严格遵守国家法律法规要求，并郑重承诺：</w:t>
      </w:r>
    </w:p>
    <w:p>
      <w:pPr>
        <w:autoSpaceDE w:val="0"/>
        <w:autoSpaceDN w:val="0"/>
        <w:spacing w:line="400" w:lineRule="exact"/>
        <w:ind w:left="2" w:leftChars="1" w:firstLine="420" w:firstLineChars="20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 xml:space="preserve">一、不向项目有关人员及部门赠送礼金礼物、有价证券、回扣以及中介费、介绍费、咨询费等好处费； </w:t>
      </w:r>
    </w:p>
    <w:p>
      <w:pPr>
        <w:autoSpaceDE w:val="0"/>
        <w:autoSpaceDN w:val="0"/>
        <w:spacing w:line="400" w:lineRule="exact"/>
        <w:ind w:left="2" w:leftChars="1" w:firstLine="420" w:firstLineChars="20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 xml:space="preserve">二、不为项目有关人员及部门报销应由你方单位或个人支付的费用； </w:t>
      </w:r>
    </w:p>
    <w:p>
      <w:pPr>
        <w:autoSpaceDE w:val="0"/>
        <w:autoSpaceDN w:val="0"/>
        <w:spacing w:line="400" w:lineRule="exact"/>
        <w:ind w:left="2" w:leftChars="1" w:firstLine="420" w:firstLineChars="20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 xml:space="preserve">三、不向项目有关人员及部门提供有可能影响公正的宴请和健身娱乐等活动； </w:t>
      </w:r>
    </w:p>
    <w:p>
      <w:pPr>
        <w:autoSpaceDE w:val="0"/>
        <w:autoSpaceDN w:val="0"/>
        <w:spacing w:line="400" w:lineRule="exact"/>
        <w:ind w:left="2" w:leftChars="1" w:firstLine="420" w:firstLineChars="20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四、不为项目有关人员及部门出国（境）、旅游等提供方便；</w:t>
      </w:r>
    </w:p>
    <w:p>
      <w:pPr>
        <w:autoSpaceDE w:val="0"/>
        <w:autoSpaceDN w:val="0"/>
        <w:spacing w:line="400" w:lineRule="exact"/>
        <w:ind w:left="481" w:leftChars="229"/>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五、不为项目有关人员个人装修住房、婚丧嫁娶、配偶子女工作安排等提供好处；</w:t>
      </w:r>
    </w:p>
    <w:p>
      <w:pPr>
        <w:autoSpaceDE w:val="0"/>
        <w:autoSpaceDN w:val="0"/>
        <w:spacing w:line="400" w:lineRule="exact"/>
        <w:ind w:left="2" w:leftChars="1" w:firstLine="420" w:firstLineChars="20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400" w:lineRule="exact"/>
        <w:ind w:firstLine="420" w:firstLineChars="20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如违反上述承诺，你</w:t>
      </w:r>
      <w:r>
        <w:rPr>
          <w:rFonts w:hint="eastAsia" w:cs="仿宋_GB2312" w:asciiTheme="minorEastAsia" w:hAnsiTheme="minorEastAsia" w:eastAsiaTheme="minorEastAsia"/>
          <w:szCs w:val="21"/>
          <w:highlight w:val="none"/>
        </w:rPr>
        <w:t>单位</w:t>
      </w:r>
      <w:r>
        <w:rPr>
          <w:rFonts w:hint="eastAsia" w:cs="仿宋_GB2312" w:asciiTheme="minorEastAsia" w:hAnsiTheme="minorEastAsia" w:eastAsiaTheme="minorEastAsia"/>
          <w:kern w:val="0"/>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szCs w:val="21"/>
          <w:highlight w:val="none"/>
        </w:rPr>
        <w:t>单位</w:t>
      </w:r>
      <w:r>
        <w:rPr>
          <w:rFonts w:hint="eastAsia" w:cs="仿宋_GB2312" w:asciiTheme="minorEastAsia" w:hAnsiTheme="minorEastAsia" w:eastAsiaTheme="minorEastAsia"/>
          <w:kern w:val="0"/>
          <w:szCs w:val="21"/>
          <w:highlight w:val="none"/>
          <w:lang w:val="zh-CN"/>
        </w:rPr>
        <w:t>进行项目建设或其他经营活动，并通报市财政局。由此引起的相应损失均由我单位承担。</w:t>
      </w:r>
    </w:p>
    <w:p>
      <w:pPr>
        <w:autoSpaceDE w:val="0"/>
        <w:autoSpaceDN w:val="0"/>
        <w:spacing w:line="400" w:lineRule="exact"/>
        <w:ind w:left="2"/>
        <w:jc w:val="left"/>
        <w:rPr>
          <w:rFonts w:cs="仿宋_GB2312" w:asciiTheme="minorEastAsia" w:hAnsiTheme="minorEastAsia" w:eastAsiaTheme="minorEastAsia"/>
          <w:kern w:val="0"/>
          <w:szCs w:val="21"/>
          <w:highlight w:val="none"/>
          <w:lang w:val="zh-CN"/>
        </w:rPr>
      </w:pPr>
    </w:p>
    <w:p>
      <w:pPr>
        <w:autoSpaceDE w:val="0"/>
        <w:autoSpaceDN w:val="0"/>
        <w:spacing w:line="400" w:lineRule="exact"/>
        <w:ind w:firstLine="3968" w:firstLineChars="189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 xml:space="preserve">谈判供应商名称(公章)： </w:t>
      </w:r>
    </w:p>
    <w:p>
      <w:pPr>
        <w:autoSpaceDE w:val="0"/>
        <w:autoSpaceDN w:val="0"/>
        <w:spacing w:line="400" w:lineRule="exact"/>
        <w:ind w:left="2" w:leftChars="1" w:firstLine="3968" w:firstLineChars="1890"/>
        <w:jc w:val="left"/>
        <w:rPr>
          <w:rFonts w:cs="仿宋_GB2312" w:asciiTheme="minorEastAsia" w:hAnsiTheme="minorEastAsia" w:eastAsiaTheme="minorEastAsia"/>
          <w:kern w:val="0"/>
          <w:szCs w:val="21"/>
          <w:highlight w:val="none"/>
          <w:lang w:val="zh-CN"/>
        </w:rPr>
      </w:pPr>
      <w:r>
        <w:rPr>
          <w:rFonts w:hint="eastAsia" w:cs="仿宋_GB2312" w:asciiTheme="minorEastAsia" w:hAnsiTheme="minorEastAsia" w:eastAsiaTheme="minorEastAsia"/>
          <w:kern w:val="0"/>
          <w:szCs w:val="21"/>
          <w:highlight w:val="none"/>
          <w:lang w:val="zh-CN"/>
        </w:rPr>
        <w:t xml:space="preserve">法定代表人（负责人）或委托代理人(签名)：              </w:t>
      </w:r>
    </w:p>
    <w:p>
      <w:pPr>
        <w:spacing w:line="400" w:lineRule="exact"/>
        <w:ind w:firstLine="3990" w:firstLineChars="1900"/>
        <w:rPr>
          <w:rFonts w:asciiTheme="minorEastAsia" w:hAnsiTheme="minorEastAsia" w:eastAsiaTheme="minorEastAsia"/>
          <w:szCs w:val="21"/>
          <w:highlight w:val="none"/>
        </w:rPr>
      </w:pPr>
      <w:r>
        <w:rPr>
          <w:rFonts w:hint="eastAsia" w:cs="仿宋_GB2312" w:asciiTheme="minorEastAsia" w:hAnsiTheme="minorEastAsia" w:eastAsiaTheme="minorEastAsia"/>
          <w:kern w:val="0"/>
          <w:szCs w:val="21"/>
          <w:highlight w:val="none"/>
          <w:lang w:val="zh-CN"/>
        </w:rPr>
        <w:t>日</w:t>
      </w:r>
      <w:r>
        <w:rPr>
          <w:rFonts w:hint="eastAsia" w:cs="仿宋_GB2312" w:asciiTheme="minorEastAsia" w:hAnsiTheme="minorEastAsia" w:eastAsiaTheme="minorEastAsia"/>
          <w:kern w:val="0"/>
          <w:szCs w:val="21"/>
          <w:highlight w:val="none"/>
        </w:rPr>
        <w:t xml:space="preserve"> </w:t>
      </w:r>
      <w:r>
        <w:rPr>
          <w:rFonts w:hint="eastAsia" w:cs="仿宋_GB2312" w:asciiTheme="minorEastAsia" w:hAnsiTheme="minorEastAsia" w:eastAsiaTheme="minorEastAsia"/>
          <w:kern w:val="0"/>
          <w:szCs w:val="21"/>
          <w:highlight w:val="none"/>
          <w:lang w:val="zh-CN"/>
        </w:rPr>
        <w:t>期</w:t>
      </w:r>
      <w:r>
        <w:rPr>
          <w:rFonts w:hint="eastAsia"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lang w:val="zh-CN"/>
        </w:rPr>
        <w:t xml:space="preserve">   年   月   日</w:t>
      </w:r>
    </w:p>
    <w:p>
      <w:pPr>
        <w:keepNext/>
        <w:keepLines/>
        <w:spacing w:line="300" w:lineRule="auto"/>
        <w:jc w:val="center"/>
        <w:rPr>
          <w:rFonts w:ascii="宋体" w:hAnsi="宋体" w:cs="宋体"/>
          <w:sz w:val="30"/>
          <w:szCs w:val="30"/>
          <w:highlight w:val="none"/>
        </w:rPr>
      </w:pPr>
      <w:r>
        <w:rPr>
          <w:rFonts w:hint="eastAsia" w:ascii="宋体" w:hAnsi="宋体" w:cs="宋体"/>
          <w:b/>
          <w:bCs/>
          <w:sz w:val="30"/>
          <w:szCs w:val="30"/>
          <w:highlight w:val="none"/>
        </w:rPr>
        <w:t>4.商务</w:t>
      </w:r>
      <w:r>
        <w:rPr>
          <w:rFonts w:hint="eastAsia" w:ascii="宋体" w:hAnsi="宋体" w:cs="宋体"/>
          <w:b/>
          <w:bCs/>
          <w:sz w:val="30"/>
          <w:szCs w:val="30"/>
          <w:highlight w:val="none"/>
          <w:lang w:eastAsia="zh-CN"/>
        </w:rPr>
        <w:t>、</w:t>
      </w:r>
      <w:r>
        <w:rPr>
          <w:rFonts w:hint="eastAsia" w:ascii="宋体" w:hAnsi="宋体" w:cs="宋体"/>
          <w:b/>
          <w:bCs/>
          <w:sz w:val="30"/>
          <w:szCs w:val="30"/>
          <w:highlight w:val="none"/>
        </w:rPr>
        <w:t>技术响应偏离情况说明表</w:t>
      </w:r>
    </w:p>
    <w:p>
      <w:pPr>
        <w:keepNext/>
        <w:keepLines/>
        <w:spacing w:line="300" w:lineRule="auto"/>
        <w:rPr>
          <w:rFonts w:ascii="宋体" w:hAnsi="宋体" w:cs="宋体"/>
          <w:szCs w:val="21"/>
          <w:highlight w:val="none"/>
        </w:rPr>
      </w:pPr>
    </w:p>
    <w:p>
      <w:pPr>
        <w:keepNext/>
        <w:keepLines/>
        <w:spacing w:line="320" w:lineRule="exact"/>
        <w:rPr>
          <w:rFonts w:ascii="宋体" w:hAnsi="宋体" w:cs="宋体"/>
          <w:szCs w:val="21"/>
          <w:highlight w:val="none"/>
        </w:rPr>
      </w:pPr>
      <w:r>
        <w:rPr>
          <w:rFonts w:hint="eastAsia" w:ascii="宋体" w:hAnsi="宋体" w:cs="宋体"/>
          <w:szCs w:val="21"/>
          <w:highlight w:val="none"/>
        </w:rPr>
        <w:t xml:space="preserve"> 项目名称:                 </w:t>
      </w:r>
    </w:p>
    <w:p>
      <w:pPr>
        <w:keepNext/>
        <w:keepLines/>
        <w:spacing w:line="320" w:lineRule="exact"/>
        <w:rPr>
          <w:rFonts w:ascii="宋体" w:hAnsi="宋体" w:cs="宋体"/>
          <w:szCs w:val="21"/>
          <w:highlight w:val="none"/>
        </w:rPr>
      </w:pPr>
      <w:r>
        <w:rPr>
          <w:rFonts w:hint="eastAsia" w:ascii="宋体" w:hAnsi="宋体" w:cs="宋体"/>
          <w:szCs w:val="21"/>
          <w:highlight w:val="none"/>
        </w:rPr>
        <w:t xml:space="preserve"> 项目编号:                </w:t>
      </w:r>
    </w:p>
    <w:tbl>
      <w:tblPr>
        <w:tblStyle w:val="71"/>
        <w:tblW w:w="910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2439"/>
        <w:gridCol w:w="1565"/>
        <w:gridCol w:w="1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43" w:hRule="atLeast"/>
          <w:jc w:val="center"/>
        </w:trPr>
        <w:tc>
          <w:tcPr>
            <w:tcW w:w="645" w:type="dxa"/>
            <w:vAlign w:val="center"/>
          </w:tcPr>
          <w:p>
            <w:pPr>
              <w:keepNext/>
              <w:keepLines/>
              <w:snapToGrid w:val="0"/>
              <w:spacing w:line="300" w:lineRule="auto"/>
              <w:jc w:val="center"/>
              <w:outlineLvl w:val="0"/>
              <w:rPr>
                <w:rFonts w:ascii="宋体" w:hAnsi="宋体" w:cs="宋体"/>
                <w:szCs w:val="21"/>
                <w:highlight w:val="none"/>
              </w:rPr>
            </w:pPr>
            <w:r>
              <w:rPr>
                <w:rFonts w:hint="eastAsia" w:ascii="宋体" w:hAnsi="宋体" w:cs="宋体"/>
                <w:szCs w:val="21"/>
                <w:highlight w:val="none"/>
              </w:rPr>
              <w:t>序号</w:t>
            </w:r>
          </w:p>
        </w:tc>
        <w:tc>
          <w:tcPr>
            <w:tcW w:w="3005" w:type="dxa"/>
            <w:vAlign w:val="center"/>
          </w:tcPr>
          <w:p>
            <w:pPr>
              <w:keepNext/>
              <w:keepLines/>
              <w:snapToGrid w:val="0"/>
              <w:spacing w:line="300" w:lineRule="auto"/>
              <w:jc w:val="center"/>
              <w:outlineLvl w:val="0"/>
              <w:rPr>
                <w:rFonts w:ascii="宋体" w:hAnsi="宋体" w:cs="宋体"/>
                <w:szCs w:val="21"/>
                <w:highlight w:val="none"/>
              </w:rPr>
            </w:pPr>
            <w:r>
              <w:rPr>
                <w:rFonts w:hint="eastAsia" w:ascii="宋体" w:hAnsi="宋体" w:cs="宋体"/>
                <w:szCs w:val="21"/>
                <w:highlight w:val="none"/>
              </w:rPr>
              <w:t>竞争性谈判文件要求</w:t>
            </w:r>
          </w:p>
        </w:tc>
        <w:tc>
          <w:tcPr>
            <w:tcW w:w="2439" w:type="dxa"/>
            <w:vAlign w:val="center"/>
          </w:tcPr>
          <w:p>
            <w:pPr>
              <w:keepNext/>
              <w:keepLines/>
              <w:snapToGrid w:val="0"/>
              <w:spacing w:line="300" w:lineRule="auto"/>
              <w:jc w:val="center"/>
              <w:outlineLvl w:val="0"/>
              <w:rPr>
                <w:rFonts w:ascii="宋体" w:hAnsi="宋体" w:cs="宋体"/>
                <w:szCs w:val="21"/>
                <w:highlight w:val="none"/>
              </w:rPr>
            </w:pPr>
            <w:r>
              <w:rPr>
                <w:rFonts w:hint="eastAsia" w:ascii="宋体" w:hAnsi="宋体" w:cs="宋体"/>
                <w:szCs w:val="21"/>
                <w:highlight w:val="none"/>
              </w:rPr>
              <w:t>响应文件具体响应</w:t>
            </w:r>
          </w:p>
        </w:tc>
        <w:tc>
          <w:tcPr>
            <w:tcW w:w="1565" w:type="dxa"/>
            <w:vAlign w:val="center"/>
          </w:tcPr>
          <w:p>
            <w:pPr>
              <w:keepNext/>
              <w:keepLines/>
              <w:snapToGrid w:val="0"/>
              <w:spacing w:line="300" w:lineRule="auto"/>
              <w:jc w:val="center"/>
              <w:outlineLvl w:val="0"/>
              <w:rPr>
                <w:rFonts w:ascii="宋体" w:hAnsi="宋体" w:cs="宋体"/>
                <w:szCs w:val="21"/>
                <w:highlight w:val="none"/>
              </w:rPr>
            </w:pPr>
            <w:r>
              <w:rPr>
                <w:rFonts w:hint="eastAsia" w:ascii="宋体" w:hAnsi="宋体" w:cs="宋体"/>
                <w:szCs w:val="21"/>
                <w:highlight w:val="none"/>
              </w:rPr>
              <w:t>响应/偏离</w:t>
            </w:r>
          </w:p>
        </w:tc>
        <w:tc>
          <w:tcPr>
            <w:tcW w:w="1454" w:type="dxa"/>
            <w:vAlign w:val="center"/>
          </w:tcPr>
          <w:p>
            <w:pPr>
              <w:keepNext/>
              <w:keepLines/>
              <w:snapToGrid w:val="0"/>
              <w:spacing w:line="300" w:lineRule="auto"/>
              <w:jc w:val="center"/>
              <w:outlineLvl w:val="0"/>
              <w:rPr>
                <w:rFonts w:ascii="宋体" w:hAnsi="宋体" w:cs="宋体"/>
                <w:szCs w:val="21"/>
                <w:highlight w:val="none"/>
              </w:rPr>
            </w:pPr>
            <w:bookmarkStart w:id="82" w:name="_Toc254970733"/>
            <w:bookmarkStart w:id="83" w:name="_Toc173211904"/>
            <w:bookmarkStart w:id="84" w:name="_Toc173066405"/>
            <w:bookmarkStart w:id="85" w:name="_Toc405905880"/>
            <w:bookmarkStart w:id="86" w:name="_Toc254970592"/>
            <w:r>
              <w:rPr>
                <w:rFonts w:hint="eastAsia" w:ascii="宋体" w:hAnsi="宋体" w:cs="宋体"/>
                <w:szCs w:val="21"/>
                <w:highlight w:val="none"/>
              </w:rPr>
              <w:t>说明</w:t>
            </w:r>
            <w:bookmarkEnd w:id="82"/>
            <w:bookmarkEnd w:id="83"/>
            <w:bookmarkEnd w:id="84"/>
            <w:bookmarkEnd w:id="85"/>
            <w:bookmarkEnd w:id="8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04" w:hRule="atLeast"/>
          <w:jc w:val="center"/>
        </w:trPr>
        <w:tc>
          <w:tcPr>
            <w:tcW w:w="9108" w:type="dxa"/>
            <w:gridSpan w:val="5"/>
            <w:vAlign w:val="center"/>
          </w:tcPr>
          <w:p>
            <w:pPr>
              <w:keepNext/>
              <w:keepLines/>
              <w:snapToGrid w:val="0"/>
              <w:spacing w:line="240" w:lineRule="exact"/>
              <w:jc w:val="center"/>
              <w:outlineLvl w:val="0"/>
              <w:rPr>
                <w:rFonts w:ascii="宋体" w:hAnsi="宋体" w:cs="宋体"/>
                <w:szCs w:val="21"/>
                <w:highlight w:val="none"/>
              </w:rPr>
            </w:pPr>
            <w:bookmarkStart w:id="87" w:name="_Toc405905881"/>
            <w:r>
              <w:rPr>
                <w:rFonts w:hint="eastAsia" w:ascii="宋体" w:hAnsi="宋体" w:cs="宋体"/>
                <w:szCs w:val="21"/>
                <w:highlight w:val="none"/>
              </w:rPr>
              <w:t>商务部分</w:t>
            </w:r>
            <w:bookmarkEnd w:id="8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04" w:hRule="atLeast"/>
          <w:jc w:val="center"/>
        </w:trPr>
        <w:tc>
          <w:tcPr>
            <w:tcW w:w="645" w:type="dxa"/>
            <w:vAlign w:val="center"/>
          </w:tcPr>
          <w:p>
            <w:pPr>
              <w:keepNext/>
              <w:keepLines/>
              <w:snapToGrid w:val="0"/>
              <w:spacing w:line="240" w:lineRule="exact"/>
              <w:jc w:val="center"/>
              <w:outlineLvl w:val="0"/>
              <w:rPr>
                <w:rFonts w:ascii="宋体" w:hAnsi="宋体" w:cs="宋体"/>
                <w:szCs w:val="21"/>
                <w:highlight w:val="none"/>
              </w:rPr>
            </w:pPr>
            <w:r>
              <w:rPr>
                <w:rFonts w:hint="eastAsia" w:ascii="宋体" w:hAnsi="宋体" w:cs="宋体"/>
                <w:szCs w:val="21"/>
                <w:highlight w:val="none"/>
              </w:rPr>
              <w:t>1</w:t>
            </w:r>
          </w:p>
        </w:tc>
        <w:tc>
          <w:tcPr>
            <w:tcW w:w="3005" w:type="dxa"/>
            <w:vAlign w:val="center"/>
          </w:tcPr>
          <w:p>
            <w:pPr>
              <w:keepNext/>
              <w:keepLines/>
              <w:snapToGrid w:val="0"/>
              <w:spacing w:line="240" w:lineRule="exact"/>
              <w:jc w:val="center"/>
              <w:outlineLvl w:val="0"/>
              <w:rPr>
                <w:rFonts w:ascii="宋体" w:hAnsi="宋体" w:cs="宋体"/>
                <w:szCs w:val="21"/>
                <w:highlight w:val="none"/>
              </w:rPr>
            </w:pPr>
          </w:p>
        </w:tc>
        <w:tc>
          <w:tcPr>
            <w:tcW w:w="2439" w:type="dxa"/>
            <w:vAlign w:val="center"/>
          </w:tcPr>
          <w:p>
            <w:pPr>
              <w:keepNext/>
              <w:keepLines/>
              <w:snapToGrid w:val="0"/>
              <w:spacing w:line="240" w:lineRule="exact"/>
              <w:jc w:val="center"/>
              <w:outlineLvl w:val="0"/>
              <w:rPr>
                <w:rFonts w:ascii="宋体" w:hAnsi="宋体" w:cs="宋体"/>
                <w:szCs w:val="21"/>
                <w:highlight w:val="none"/>
              </w:rPr>
            </w:pPr>
          </w:p>
        </w:tc>
        <w:tc>
          <w:tcPr>
            <w:tcW w:w="1565" w:type="dxa"/>
            <w:vAlign w:val="center"/>
          </w:tcPr>
          <w:p>
            <w:pPr>
              <w:keepNext/>
              <w:keepLines/>
              <w:snapToGrid w:val="0"/>
              <w:spacing w:line="240" w:lineRule="exact"/>
              <w:jc w:val="center"/>
              <w:outlineLvl w:val="0"/>
              <w:rPr>
                <w:rFonts w:ascii="宋体" w:hAnsi="宋体" w:cs="宋体"/>
                <w:szCs w:val="21"/>
                <w:highlight w:val="none"/>
              </w:rPr>
            </w:pPr>
          </w:p>
        </w:tc>
        <w:tc>
          <w:tcPr>
            <w:tcW w:w="1454" w:type="dxa"/>
            <w:vAlign w:val="center"/>
          </w:tcPr>
          <w:p>
            <w:pPr>
              <w:keepNext/>
              <w:keepLines/>
              <w:snapToGrid w:val="0"/>
              <w:spacing w:line="240" w:lineRule="exact"/>
              <w:jc w:val="center"/>
              <w:outlineLvl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04" w:hRule="atLeast"/>
          <w:jc w:val="center"/>
        </w:trPr>
        <w:tc>
          <w:tcPr>
            <w:tcW w:w="645" w:type="dxa"/>
            <w:vAlign w:val="center"/>
          </w:tcPr>
          <w:p>
            <w:pPr>
              <w:keepNext/>
              <w:keepLines/>
              <w:snapToGrid w:val="0"/>
              <w:spacing w:line="240" w:lineRule="exact"/>
              <w:jc w:val="center"/>
              <w:outlineLvl w:val="0"/>
              <w:rPr>
                <w:rFonts w:ascii="宋体" w:hAnsi="宋体" w:cs="宋体"/>
                <w:szCs w:val="21"/>
                <w:highlight w:val="none"/>
              </w:rPr>
            </w:pPr>
            <w:r>
              <w:rPr>
                <w:rFonts w:hint="eastAsia" w:ascii="宋体" w:hAnsi="宋体" w:cs="宋体"/>
                <w:szCs w:val="21"/>
                <w:highlight w:val="none"/>
              </w:rPr>
              <w:t>2</w:t>
            </w:r>
          </w:p>
        </w:tc>
        <w:tc>
          <w:tcPr>
            <w:tcW w:w="3005" w:type="dxa"/>
            <w:vAlign w:val="center"/>
          </w:tcPr>
          <w:p>
            <w:pPr>
              <w:keepNext/>
              <w:keepLines/>
              <w:snapToGrid w:val="0"/>
              <w:spacing w:line="240" w:lineRule="exact"/>
              <w:jc w:val="center"/>
              <w:outlineLvl w:val="0"/>
              <w:rPr>
                <w:rFonts w:ascii="宋体" w:hAnsi="宋体" w:cs="宋体"/>
                <w:szCs w:val="21"/>
                <w:highlight w:val="none"/>
              </w:rPr>
            </w:pPr>
          </w:p>
        </w:tc>
        <w:tc>
          <w:tcPr>
            <w:tcW w:w="2439" w:type="dxa"/>
            <w:vAlign w:val="center"/>
          </w:tcPr>
          <w:p>
            <w:pPr>
              <w:keepNext/>
              <w:keepLines/>
              <w:snapToGrid w:val="0"/>
              <w:spacing w:line="240" w:lineRule="exact"/>
              <w:jc w:val="center"/>
              <w:outlineLvl w:val="0"/>
              <w:rPr>
                <w:rFonts w:ascii="宋体" w:hAnsi="宋体" w:cs="宋体"/>
                <w:szCs w:val="21"/>
                <w:highlight w:val="none"/>
              </w:rPr>
            </w:pPr>
          </w:p>
        </w:tc>
        <w:tc>
          <w:tcPr>
            <w:tcW w:w="1565" w:type="dxa"/>
            <w:vAlign w:val="center"/>
          </w:tcPr>
          <w:p>
            <w:pPr>
              <w:keepNext/>
              <w:keepLines/>
              <w:snapToGrid w:val="0"/>
              <w:spacing w:line="240" w:lineRule="exact"/>
              <w:jc w:val="center"/>
              <w:outlineLvl w:val="0"/>
              <w:rPr>
                <w:rFonts w:ascii="宋体" w:hAnsi="宋体" w:cs="宋体"/>
                <w:szCs w:val="21"/>
                <w:highlight w:val="none"/>
              </w:rPr>
            </w:pPr>
          </w:p>
        </w:tc>
        <w:tc>
          <w:tcPr>
            <w:tcW w:w="1454" w:type="dxa"/>
            <w:vAlign w:val="center"/>
          </w:tcPr>
          <w:p>
            <w:pPr>
              <w:keepNext/>
              <w:keepLines/>
              <w:snapToGrid w:val="0"/>
              <w:spacing w:line="240" w:lineRule="exact"/>
              <w:jc w:val="center"/>
              <w:outlineLvl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04" w:hRule="atLeast"/>
          <w:jc w:val="center"/>
        </w:trPr>
        <w:tc>
          <w:tcPr>
            <w:tcW w:w="645" w:type="dxa"/>
            <w:vAlign w:val="center"/>
          </w:tcPr>
          <w:p>
            <w:pPr>
              <w:keepNext/>
              <w:keepLines/>
              <w:snapToGrid w:val="0"/>
              <w:spacing w:line="240" w:lineRule="exact"/>
              <w:jc w:val="center"/>
              <w:outlineLvl w:val="0"/>
              <w:rPr>
                <w:rFonts w:ascii="宋体" w:hAnsi="宋体" w:cs="宋体"/>
                <w:szCs w:val="21"/>
                <w:highlight w:val="none"/>
              </w:rPr>
            </w:pPr>
            <w:r>
              <w:rPr>
                <w:rFonts w:hint="eastAsia" w:ascii="宋体" w:hAnsi="宋体" w:cs="宋体"/>
                <w:szCs w:val="21"/>
                <w:highlight w:val="none"/>
              </w:rPr>
              <w:t>…</w:t>
            </w:r>
          </w:p>
        </w:tc>
        <w:tc>
          <w:tcPr>
            <w:tcW w:w="3005" w:type="dxa"/>
            <w:vAlign w:val="center"/>
          </w:tcPr>
          <w:p>
            <w:pPr>
              <w:keepNext/>
              <w:keepLines/>
              <w:snapToGrid w:val="0"/>
              <w:spacing w:line="240" w:lineRule="exact"/>
              <w:jc w:val="center"/>
              <w:outlineLvl w:val="0"/>
              <w:rPr>
                <w:rFonts w:ascii="宋体" w:hAnsi="宋体" w:cs="宋体"/>
                <w:szCs w:val="21"/>
                <w:highlight w:val="none"/>
              </w:rPr>
            </w:pPr>
          </w:p>
        </w:tc>
        <w:tc>
          <w:tcPr>
            <w:tcW w:w="2439" w:type="dxa"/>
            <w:vAlign w:val="center"/>
          </w:tcPr>
          <w:p>
            <w:pPr>
              <w:keepNext/>
              <w:keepLines/>
              <w:snapToGrid w:val="0"/>
              <w:spacing w:line="240" w:lineRule="exact"/>
              <w:jc w:val="center"/>
              <w:outlineLvl w:val="0"/>
              <w:rPr>
                <w:rFonts w:ascii="宋体" w:hAnsi="宋体" w:cs="宋体"/>
                <w:szCs w:val="21"/>
                <w:highlight w:val="none"/>
              </w:rPr>
            </w:pPr>
          </w:p>
        </w:tc>
        <w:tc>
          <w:tcPr>
            <w:tcW w:w="1565" w:type="dxa"/>
            <w:vAlign w:val="center"/>
          </w:tcPr>
          <w:p>
            <w:pPr>
              <w:keepNext/>
              <w:keepLines/>
              <w:snapToGrid w:val="0"/>
              <w:spacing w:line="240" w:lineRule="exact"/>
              <w:jc w:val="center"/>
              <w:outlineLvl w:val="0"/>
              <w:rPr>
                <w:rFonts w:ascii="宋体" w:hAnsi="宋体" w:cs="宋体"/>
                <w:szCs w:val="21"/>
                <w:highlight w:val="none"/>
              </w:rPr>
            </w:pPr>
          </w:p>
        </w:tc>
        <w:tc>
          <w:tcPr>
            <w:tcW w:w="1454" w:type="dxa"/>
            <w:vAlign w:val="center"/>
          </w:tcPr>
          <w:p>
            <w:pPr>
              <w:keepNext/>
              <w:keepLines/>
              <w:snapToGrid w:val="0"/>
              <w:spacing w:line="240" w:lineRule="exact"/>
              <w:jc w:val="center"/>
              <w:outlineLvl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04" w:hRule="atLeast"/>
          <w:jc w:val="center"/>
        </w:trPr>
        <w:tc>
          <w:tcPr>
            <w:tcW w:w="9108" w:type="dxa"/>
            <w:gridSpan w:val="5"/>
            <w:vAlign w:val="center"/>
          </w:tcPr>
          <w:p>
            <w:pPr>
              <w:keepNext/>
              <w:keepLines/>
              <w:snapToGrid w:val="0"/>
              <w:spacing w:line="240" w:lineRule="exact"/>
              <w:jc w:val="center"/>
              <w:outlineLvl w:val="0"/>
              <w:rPr>
                <w:rFonts w:ascii="宋体" w:hAnsi="宋体" w:cs="宋体"/>
                <w:szCs w:val="21"/>
                <w:highlight w:val="none"/>
              </w:rPr>
            </w:pPr>
            <w:bookmarkStart w:id="88" w:name="_Toc405905886"/>
            <w:r>
              <w:rPr>
                <w:rFonts w:hint="eastAsia" w:ascii="宋体" w:hAnsi="宋体" w:cs="宋体"/>
                <w:szCs w:val="21"/>
                <w:highlight w:val="none"/>
              </w:rPr>
              <w:t>技术部分</w:t>
            </w:r>
            <w:bookmarkEnd w:id="8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04" w:hRule="atLeast"/>
          <w:jc w:val="center"/>
        </w:trPr>
        <w:tc>
          <w:tcPr>
            <w:tcW w:w="645" w:type="dxa"/>
            <w:vAlign w:val="center"/>
          </w:tcPr>
          <w:p>
            <w:pPr>
              <w:keepNext/>
              <w:keepLines/>
              <w:snapToGrid w:val="0"/>
              <w:spacing w:line="240" w:lineRule="exact"/>
              <w:jc w:val="center"/>
              <w:outlineLvl w:val="0"/>
              <w:rPr>
                <w:rFonts w:ascii="宋体" w:hAnsi="宋体" w:cs="宋体"/>
                <w:szCs w:val="21"/>
                <w:highlight w:val="none"/>
              </w:rPr>
            </w:pPr>
            <w:bookmarkStart w:id="89" w:name="_Toc405905887"/>
            <w:r>
              <w:rPr>
                <w:rFonts w:hint="eastAsia" w:ascii="宋体" w:hAnsi="宋体" w:cs="宋体"/>
                <w:szCs w:val="21"/>
                <w:highlight w:val="none"/>
              </w:rPr>
              <w:t>1</w:t>
            </w:r>
            <w:bookmarkEnd w:id="89"/>
          </w:p>
        </w:tc>
        <w:tc>
          <w:tcPr>
            <w:tcW w:w="3005" w:type="dxa"/>
            <w:vAlign w:val="center"/>
          </w:tcPr>
          <w:p>
            <w:pPr>
              <w:keepNext/>
              <w:keepLines/>
              <w:snapToGrid w:val="0"/>
              <w:spacing w:line="240" w:lineRule="exact"/>
              <w:jc w:val="center"/>
              <w:outlineLvl w:val="0"/>
              <w:rPr>
                <w:rFonts w:ascii="宋体" w:hAnsi="宋体" w:cs="宋体"/>
                <w:szCs w:val="21"/>
                <w:highlight w:val="none"/>
              </w:rPr>
            </w:pPr>
          </w:p>
        </w:tc>
        <w:tc>
          <w:tcPr>
            <w:tcW w:w="2439" w:type="dxa"/>
            <w:vAlign w:val="center"/>
          </w:tcPr>
          <w:p>
            <w:pPr>
              <w:keepNext/>
              <w:keepLines/>
              <w:snapToGrid w:val="0"/>
              <w:spacing w:line="240" w:lineRule="exact"/>
              <w:jc w:val="center"/>
              <w:outlineLvl w:val="0"/>
              <w:rPr>
                <w:rFonts w:ascii="宋体" w:hAnsi="宋体" w:cs="宋体"/>
                <w:szCs w:val="21"/>
                <w:highlight w:val="none"/>
              </w:rPr>
            </w:pPr>
          </w:p>
        </w:tc>
        <w:tc>
          <w:tcPr>
            <w:tcW w:w="1565" w:type="dxa"/>
            <w:vAlign w:val="center"/>
          </w:tcPr>
          <w:p>
            <w:pPr>
              <w:keepNext/>
              <w:keepLines/>
              <w:snapToGrid w:val="0"/>
              <w:spacing w:line="240" w:lineRule="exact"/>
              <w:jc w:val="center"/>
              <w:outlineLvl w:val="0"/>
              <w:rPr>
                <w:rFonts w:ascii="宋体" w:hAnsi="宋体" w:cs="宋体"/>
                <w:szCs w:val="21"/>
                <w:highlight w:val="none"/>
              </w:rPr>
            </w:pPr>
          </w:p>
        </w:tc>
        <w:tc>
          <w:tcPr>
            <w:tcW w:w="1454" w:type="dxa"/>
            <w:vAlign w:val="center"/>
          </w:tcPr>
          <w:p>
            <w:pPr>
              <w:keepNext/>
              <w:keepLines/>
              <w:snapToGrid w:val="0"/>
              <w:spacing w:line="240" w:lineRule="exact"/>
              <w:jc w:val="center"/>
              <w:outlineLvl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704" w:hRule="atLeast"/>
          <w:jc w:val="center"/>
        </w:trPr>
        <w:tc>
          <w:tcPr>
            <w:tcW w:w="645" w:type="dxa"/>
            <w:vAlign w:val="center"/>
          </w:tcPr>
          <w:p>
            <w:pPr>
              <w:keepNext/>
              <w:keepLines/>
              <w:snapToGrid w:val="0"/>
              <w:spacing w:line="240" w:lineRule="exact"/>
              <w:jc w:val="center"/>
              <w:outlineLvl w:val="0"/>
              <w:rPr>
                <w:rFonts w:ascii="宋体" w:hAnsi="宋体" w:cs="宋体"/>
                <w:szCs w:val="21"/>
                <w:highlight w:val="none"/>
              </w:rPr>
            </w:pPr>
            <w:bookmarkStart w:id="90" w:name="_Toc405905888"/>
            <w:r>
              <w:rPr>
                <w:rFonts w:hint="eastAsia" w:ascii="宋体" w:hAnsi="宋体" w:cs="宋体"/>
                <w:szCs w:val="21"/>
                <w:highlight w:val="none"/>
              </w:rPr>
              <w:t>2</w:t>
            </w:r>
            <w:bookmarkEnd w:id="90"/>
          </w:p>
        </w:tc>
        <w:tc>
          <w:tcPr>
            <w:tcW w:w="3005" w:type="dxa"/>
            <w:vAlign w:val="center"/>
          </w:tcPr>
          <w:p>
            <w:pPr>
              <w:keepNext/>
              <w:keepLines/>
              <w:snapToGrid w:val="0"/>
              <w:spacing w:line="240" w:lineRule="exact"/>
              <w:jc w:val="center"/>
              <w:outlineLvl w:val="0"/>
              <w:rPr>
                <w:rFonts w:ascii="宋体" w:hAnsi="宋体" w:cs="宋体"/>
                <w:szCs w:val="21"/>
                <w:highlight w:val="none"/>
              </w:rPr>
            </w:pPr>
          </w:p>
        </w:tc>
        <w:tc>
          <w:tcPr>
            <w:tcW w:w="2439" w:type="dxa"/>
            <w:vAlign w:val="center"/>
          </w:tcPr>
          <w:p>
            <w:pPr>
              <w:keepNext/>
              <w:keepLines/>
              <w:snapToGrid w:val="0"/>
              <w:spacing w:line="240" w:lineRule="exact"/>
              <w:jc w:val="center"/>
              <w:outlineLvl w:val="0"/>
              <w:rPr>
                <w:rFonts w:ascii="宋体" w:hAnsi="宋体" w:cs="宋体"/>
                <w:szCs w:val="21"/>
                <w:highlight w:val="none"/>
              </w:rPr>
            </w:pPr>
          </w:p>
        </w:tc>
        <w:tc>
          <w:tcPr>
            <w:tcW w:w="1565" w:type="dxa"/>
            <w:vAlign w:val="center"/>
          </w:tcPr>
          <w:p>
            <w:pPr>
              <w:keepNext/>
              <w:keepLines/>
              <w:snapToGrid w:val="0"/>
              <w:spacing w:line="240" w:lineRule="exact"/>
              <w:jc w:val="center"/>
              <w:outlineLvl w:val="0"/>
              <w:rPr>
                <w:rFonts w:ascii="宋体" w:hAnsi="宋体" w:cs="宋体"/>
                <w:szCs w:val="21"/>
                <w:highlight w:val="none"/>
              </w:rPr>
            </w:pPr>
          </w:p>
        </w:tc>
        <w:tc>
          <w:tcPr>
            <w:tcW w:w="1454" w:type="dxa"/>
            <w:vAlign w:val="center"/>
          </w:tcPr>
          <w:p>
            <w:pPr>
              <w:keepNext/>
              <w:keepLines/>
              <w:snapToGrid w:val="0"/>
              <w:spacing w:line="240" w:lineRule="exact"/>
              <w:jc w:val="center"/>
              <w:outlineLvl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804" w:hRule="atLeast"/>
          <w:jc w:val="center"/>
        </w:trPr>
        <w:tc>
          <w:tcPr>
            <w:tcW w:w="645" w:type="dxa"/>
            <w:vAlign w:val="center"/>
          </w:tcPr>
          <w:p>
            <w:pPr>
              <w:keepNext/>
              <w:keepLines/>
              <w:snapToGrid w:val="0"/>
              <w:spacing w:line="240" w:lineRule="exact"/>
              <w:jc w:val="center"/>
              <w:outlineLvl w:val="0"/>
              <w:rPr>
                <w:rFonts w:ascii="宋体" w:hAnsi="宋体" w:cs="宋体"/>
                <w:szCs w:val="21"/>
                <w:highlight w:val="none"/>
              </w:rPr>
            </w:pPr>
            <w:bookmarkStart w:id="91" w:name="_Toc405905890"/>
            <w:r>
              <w:rPr>
                <w:rFonts w:hint="eastAsia" w:ascii="宋体" w:hAnsi="宋体" w:cs="宋体"/>
                <w:szCs w:val="21"/>
                <w:highlight w:val="none"/>
              </w:rPr>
              <w:t>…</w:t>
            </w:r>
            <w:bookmarkEnd w:id="91"/>
          </w:p>
        </w:tc>
        <w:tc>
          <w:tcPr>
            <w:tcW w:w="3005" w:type="dxa"/>
            <w:vAlign w:val="center"/>
          </w:tcPr>
          <w:p>
            <w:pPr>
              <w:keepNext/>
              <w:keepLines/>
              <w:snapToGrid w:val="0"/>
              <w:spacing w:line="240" w:lineRule="exact"/>
              <w:jc w:val="center"/>
              <w:outlineLvl w:val="0"/>
              <w:rPr>
                <w:rFonts w:ascii="宋体" w:hAnsi="宋体" w:cs="宋体"/>
                <w:szCs w:val="21"/>
                <w:highlight w:val="none"/>
              </w:rPr>
            </w:pPr>
          </w:p>
        </w:tc>
        <w:tc>
          <w:tcPr>
            <w:tcW w:w="2439" w:type="dxa"/>
            <w:vAlign w:val="center"/>
          </w:tcPr>
          <w:p>
            <w:pPr>
              <w:keepNext/>
              <w:keepLines/>
              <w:snapToGrid w:val="0"/>
              <w:spacing w:line="240" w:lineRule="exact"/>
              <w:jc w:val="center"/>
              <w:outlineLvl w:val="0"/>
              <w:rPr>
                <w:rFonts w:ascii="宋体" w:hAnsi="宋体" w:cs="宋体"/>
                <w:szCs w:val="21"/>
                <w:highlight w:val="none"/>
              </w:rPr>
            </w:pPr>
          </w:p>
        </w:tc>
        <w:tc>
          <w:tcPr>
            <w:tcW w:w="1565" w:type="dxa"/>
            <w:tcBorders>
              <w:right w:val="single" w:color="auto" w:sz="4" w:space="0"/>
            </w:tcBorders>
            <w:vAlign w:val="center"/>
          </w:tcPr>
          <w:p>
            <w:pPr>
              <w:keepNext/>
              <w:keepLines/>
              <w:snapToGrid w:val="0"/>
              <w:spacing w:line="240" w:lineRule="exact"/>
              <w:jc w:val="center"/>
              <w:outlineLvl w:val="0"/>
              <w:rPr>
                <w:rFonts w:ascii="宋体" w:hAnsi="宋体" w:cs="宋体"/>
                <w:szCs w:val="21"/>
                <w:highlight w:val="none"/>
              </w:rPr>
            </w:pPr>
          </w:p>
        </w:tc>
        <w:tc>
          <w:tcPr>
            <w:tcW w:w="1454" w:type="dxa"/>
            <w:tcBorders>
              <w:left w:val="single" w:color="auto" w:sz="4" w:space="0"/>
            </w:tcBorders>
            <w:vAlign w:val="center"/>
          </w:tcPr>
          <w:p>
            <w:pPr>
              <w:keepNext/>
              <w:keepLines/>
              <w:snapToGrid w:val="0"/>
              <w:spacing w:line="240" w:lineRule="exact"/>
              <w:jc w:val="center"/>
              <w:outlineLvl w:val="0"/>
              <w:rPr>
                <w:rFonts w:ascii="宋体" w:hAnsi="宋体" w:cs="宋体"/>
                <w:szCs w:val="21"/>
                <w:highlight w:val="none"/>
              </w:rPr>
            </w:pPr>
          </w:p>
        </w:tc>
      </w:tr>
    </w:tbl>
    <w:p>
      <w:pPr>
        <w:keepNext/>
        <w:keepLines/>
        <w:snapToGrid w:val="0"/>
        <w:spacing w:line="360" w:lineRule="exact"/>
        <w:rPr>
          <w:rFonts w:ascii="宋体" w:hAnsi="宋体" w:cs="宋体"/>
          <w:szCs w:val="21"/>
          <w:highlight w:val="none"/>
        </w:rPr>
      </w:pPr>
      <w:r>
        <w:rPr>
          <w:rFonts w:hint="eastAsia" w:ascii="宋体" w:hAnsi="宋体" w:cs="宋体"/>
          <w:szCs w:val="21"/>
          <w:highlight w:val="none"/>
        </w:rPr>
        <w:t>说明：</w:t>
      </w:r>
      <w:r>
        <w:rPr>
          <w:rFonts w:hint="eastAsia" w:ascii="宋体" w:hAnsi="宋体" w:cs="宋体"/>
          <w:highlight w:val="none"/>
        </w:rPr>
        <w:t>1.应写明响应文件</w:t>
      </w:r>
      <w:r>
        <w:rPr>
          <w:rFonts w:hint="eastAsia" w:ascii="宋体" w:hAnsi="宋体" w:cs="宋体"/>
          <w:szCs w:val="21"/>
          <w:highlight w:val="none"/>
        </w:rPr>
        <w:t>对</w:t>
      </w:r>
      <w:r>
        <w:rPr>
          <w:rFonts w:hint="eastAsia" w:ascii="宋体" w:hAnsi="宋体" w:cs="宋体"/>
          <w:highlight w:val="none"/>
        </w:rPr>
        <w:t>商务与技术要求的</w:t>
      </w:r>
      <w:r>
        <w:rPr>
          <w:rFonts w:hint="eastAsia" w:ascii="宋体" w:hAnsi="宋体" w:cs="宋体"/>
          <w:szCs w:val="21"/>
          <w:highlight w:val="none"/>
        </w:rPr>
        <w:t>响应和偏离情况</w:t>
      </w:r>
      <w:r>
        <w:rPr>
          <w:rFonts w:hint="eastAsia" w:ascii="宋体" w:hAnsi="宋体" w:cs="宋体"/>
          <w:bCs/>
          <w:szCs w:val="21"/>
          <w:highlight w:val="none"/>
        </w:rPr>
        <w:t>；</w:t>
      </w:r>
    </w:p>
    <w:p>
      <w:pPr>
        <w:pStyle w:val="27"/>
        <w:keepNext/>
        <w:keepLines/>
        <w:spacing w:line="360" w:lineRule="exact"/>
        <w:ind w:firstLine="630" w:firstLineChars="300"/>
        <w:rPr>
          <w:rFonts w:cs="宋体"/>
          <w:sz w:val="21"/>
          <w:szCs w:val="21"/>
          <w:highlight w:val="none"/>
        </w:rPr>
      </w:pPr>
      <w:r>
        <w:rPr>
          <w:rFonts w:hint="eastAsia" w:cs="宋体"/>
          <w:sz w:val="21"/>
          <w:szCs w:val="21"/>
          <w:highlight w:val="none"/>
        </w:rPr>
        <w:t>2.应对照竞争性谈判文件“第四部分  采购需求”，逐条说明所提供服务已对竞争性谈判文件的商务、技术做出了实质性的响应，并申明商务、技术条文的响应和偏离。特别对有具体商务、技术参数要求的，供应商必须提供对应的详细应答。</w:t>
      </w:r>
    </w:p>
    <w:p>
      <w:pPr>
        <w:pStyle w:val="36"/>
        <w:keepNext/>
        <w:keepLines/>
        <w:spacing w:line="360" w:lineRule="exact"/>
        <w:rPr>
          <w:rFonts w:hAnsi="宋体" w:cs="宋体"/>
          <w:highlight w:val="none"/>
        </w:rPr>
      </w:pPr>
    </w:p>
    <w:p>
      <w:pPr>
        <w:pStyle w:val="36"/>
        <w:keepNext/>
        <w:keepLines/>
        <w:spacing w:line="360" w:lineRule="exact"/>
        <w:rPr>
          <w:rFonts w:hAnsi="宋体" w:cs="宋体"/>
          <w:highlight w:val="none"/>
        </w:rPr>
      </w:pPr>
    </w:p>
    <w:p>
      <w:pPr>
        <w:keepNext/>
        <w:keepLines/>
        <w:autoSpaceDE w:val="0"/>
        <w:autoSpaceDN w:val="0"/>
        <w:spacing w:line="400" w:lineRule="exact"/>
        <w:ind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谈判供应商名称(公章)： </w:t>
      </w:r>
    </w:p>
    <w:p>
      <w:pPr>
        <w:keepNext/>
        <w:keepLines/>
        <w:autoSpaceDE w:val="0"/>
        <w:autoSpaceDN w:val="0"/>
        <w:spacing w:line="400" w:lineRule="exact"/>
        <w:ind w:left="2" w:leftChars="1"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法定代表人（负责人）或委托代理人(签名)：              </w:t>
      </w:r>
    </w:p>
    <w:p>
      <w:pPr>
        <w:keepNext/>
        <w:keepLines/>
        <w:spacing w:line="400" w:lineRule="exact"/>
        <w:ind w:firstLine="3990" w:firstLineChars="1900"/>
        <w:rPr>
          <w:rFonts w:ascii="宋体" w:hAnsi="宋体" w:cs="宋体"/>
          <w:szCs w:val="21"/>
          <w:highlight w:val="none"/>
        </w:rPr>
      </w:pPr>
      <w:r>
        <w:rPr>
          <w:rFonts w:hint="eastAsia" w:ascii="宋体" w:hAnsi="宋体" w:cs="宋体"/>
          <w:kern w:val="0"/>
          <w:szCs w:val="21"/>
          <w:highlight w:val="none"/>
          <w:lang w:val="zh-CN"/>
        </w:rPr>
        <w:t>日</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期</w:t>
      </w:r>
      <w:r>
        <w:rPr>
          <w:rFonts w:hint="eastAsia" w:ascii="宋体" w:hAnsi="宋体" w:cs="宋体"/>
          <w:kern w:val="0"/>
          <w:szCs w:val="21"/>
          <w:highlight w:val="none"/>
        </w:rPr>
        <w:t>：</w:t>
      </w:r>
      <w:r>
        <w:rPr>
          <w:rFonts w:hint="eastAsia" w:ascii="宋体" w:hAnsi="宋体" w:cs="宋体"/>
          <w:kern w:val="0"/>
          <w:szCs w:val="21"/>
          <w:highlight w:val="none"/>
          <w:lang w:val="zh-CN"/>
        </w:rPr>
        <w:t xml:space="preserve">   年   月   日</w:t>
      </w:r>
    </w:p>
    <w:p>
      <w:pPr>
        <w:pStyle w:val="36"/>
        <w:keepNext/>
        <w:keepLines/>
        <w:spacing w:line="360" w:lineRule="exact"/>
        <w:ind w:firstLine="6720" w:firstLineChars="3200"/>
        <w:rPr>
          <w:rFonts w:hAnsi="宋体" w:cs="宋体"/>
          <w:highlight w:val="none"/>
          <w:u w:val="singl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pStyle w:val="36"/>
        <w:wordWrap w:val="0"/>
        <w:topLinePunct/>
        <w:spacing w:line="400" w:lineRule="exact"/>
        <w:jc w:val="center"/>
        <w:rPr>
          <w:rFonts w:hAnsi="宋体" w:cs="宋体"/>
          <w:b/>
          <w:bCs/>
          <w:sz w:val="32"/>
          <w:szCs w:val="32"/>
          <w:highlight w:val="none"/>
          <w:lang w:val="zh-CN"/>
        </w:rPr>
      </w:pPr>
      <w:r>
        <w:rPr>
          <w:rFonts w:hint="eastAsia" w:hAnsi="宋体" w:cs="宋体"/>
          <w:b/>
          <w:bCs/>
          <w:sz w:val="32"/>
          <w:szCs w:val="32"/>
          <w:highlight w:val="none"/>
        </w:rPr>
        <w:t>5.</w:t>
      </w:r>
      <w:r>
        <w:rPr>
          <w:rFonts w:hint="eastAsia" w:hAnsi="宋体" w:cs="宋体"/>
          <w:b/>
          <w:bCs/>
          <w:sz w:val="32"/>
          <w:szCs w:val="32"/>
          <w:highlight w:val="none"/>
          <w:lang w:val="zh-CN"/>
        </w:rPr>
        <w:t>产品质量保证书</w:t>
      </w:r>
    </w:p>
    <w:p>
      <w:pPr>
        <w:pStyle w:val="6"/>
        <w:keepNext w:val="0"/>
        <w:keepLines w:val="0"/>
        <w:numPr>
          <w:ilvl w:val="3"/>
          <w:numId w:val="0"/>
        </w:numPr>
        <w:rPr>
          <w:rFonts w:ascii="宋体" w:hAnsi="宋体" w:eastAsia="宋体" w:cs="宋体"/>
          <w:highlight w:val="none"/>
        </w:rPr>
      </w:pPr>
    </w:p>
    <w:p>
      <w:pPr>
        <w:kinsoku w:val="0"/>
        <w:overflowPunct w:val="0"/>
        <w:spacing w:line="360" w:lineRule="exact"/>
        <w:ind w:left="420" w:hanging="420"/>
        <w:rPr>
          <w:rFonts w:ascii="宋体" w:hAnsi="宋体" w:cs="宋体"/>
          <w:kern w:val="0"/>
          <w:szCs w:val="21"/>
          <w:highlight w:val="none"/>
        </w:rPr>
      </w:pPr>
      <w:r>
        <w:rPr>
          <w:rFonts w:hint="eastAsia" w:ascii="宋体" w:hAnsi="宋体" w:cs="宋体"/>
          <w:kern w:val="0"/>
          <w:szCs w:val="21"/>
          <w:highlight w:val="none"/>
        </w:rPr>
        <w:t>致（采购人）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kinsoku w:val="0"/>
        <w:overflowPunct w:val="0"/>
        <w:spacing w:line="360" w:lineRule="exact"/>
        <w:ind w:firstLine="420" w:firstLineChars="200"/>
        <w:rPr>
          <w:rFonts w:ascii="宋体" w:hAnsi="宋体" w:cs="宋体"/>
          <w:kern w:val="0"/>
          <w:szCs w:val="21"/>
          <w:highlight w:val="none"/>
        </w:rPr>
      </w:pPr>
      <w:r>
        <w:rPr>
          <w:rFonts w:hint="eastAsia" w:ascii="宋体" w:hAnsi="宋体" w:cs="宋体"/>
          <w:kern w:val="0"/>
          <w:szCs w:val="21"/>
          <w:highlight w:val="none"/>
        </w:rPr>
        <w:t>我公司在此向贵方承诺：</w:t>
      </w:r>
    </w:p>
    <w:p>
      <w:pPr>
        <w:kinsoku w:val="0"/>
        <w:overflowPunct w:val="0"/>
        <w:spacing w:line="360" w:lineRule="exact"/>
        <w:ind w:firstLine="420" w:firstLineChars="200"/>
        <w:rPr>
          <w:rFonts w:ascii="宋体" w:hAnsi="宋体" w:cs="宋体"/>
          <w:kern w:val="0"/>
          <w:szCs w:val="21"/>
          <w:highlight w:val="none"/>
        </w:rPr>
      </w:pPr>
      <w:r>
        <w:rPr>
          <w:rFonts w:hint="eastAsia" w:ascii="宋体" w:hAnsi="宋体" w:cs="宋体"/>
          <w:kern w:val="0"/>
          <w:szCs w:val="21"/>
          <w:highlight w:val="none"/>
        </w:rPr>
        <w:t>我方参与谈判的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项目（编号：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一旦成交，我方保证按照谈判文件的要求和我方谈判响应文件的承诺提供合格的产品，如出现弄虚作假，包括掺杂、掺假、以假充真、以次充好、以不合格产品冒充合格产品的，我方愿按《政府采购法》、《民法典》、《产品质量法》、《消费者权益保护法》等法律法规规定，承担相应的经济责任和法律责任。</w:t>
      </w:r>
    </w:p>
    <w:p>
      <w:pPr>
        <w:kinsoku w:val="0"/>
        <w:overflowPunct w:val="0"/>
        <w:spacing w:line="360" w:lineRule="exact"/>
        <w:ind w:firstLine="420" w:firstLineChars="200"/>
        <w:rPr>
          <w:rFonts w:ascii="宋体" w:hAnsi="宋体" w:cs="宋体"/>
          <w:kern w:val="0"/>
          <w:szCs w:val="21"/>
          <w:highlight w:val="none"/>
        </w:rPr>
      </w:pPr>
    </w:p>
    <w:p>
      <w:pPr>
        <w:keepNext/>
        <w:keepLines/>
        <w:autoSpaceDE w:val="0"/>
        <w:autoSpaceDN w:val="0"/>
        <w:spacing w:line="400" w:lineRule="exact"/>
        <w:ind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谈判供应商名称(公章)： </w:t>
      </w:r>
    </w:p>
    <w:p>
      <w:pPr>
        <w:keepNext/>
        <w:keepLines/>
        <w:autoSpaceDE w:val="0"/>
        <w:autoSpaceDN w:val="0"/>
        <w:spacing w:line="400" w:lineRule="exact"/>
        <w:ind w:left="2" w:leftChars="1"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法定代表人（负责人）或委托代理人(签名)：              </w:t>
      </w:r>
    </w:p>
    <w:p>
      <w:pPr>
        <w:keepNext/>
        <w:keepLines/>
        <w:spacing w:line="400" w:lineRule="exact"/>
        <w:ind w:firstLine="3990" w:firstLineChars="1900"/>
        <w:rPr>
          <w:rFonts w:ascii="宋体" w:hAnsi="宋体" w:cs="宋体"/>
          <w:szCs w:val="21"/>
          <w:highlight w:val="none"/>
        </w:rPr>
      </w:pPr>
      <w:r>
        <w:rPr>
          <w:rFonts w:hint="eastAsia" w:ascii="宋体" w:hAnsi="宋体" w:cs="宋体"/>
          <w:kern w:val="0"/>
          <w:szCs w:val="21"/>
          <w:highlight w:val="none"/>
          <w:lang w:val="zh-CN"/>
        </w:rPr>
        <w:t>日</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期</w:t>
      </w:r>
      <w:r>
        <w:rPr>
          <w:rFonts w:hint="eastAsia" w:ascii="宋体" w:hAnsi="宋体" w:cs="宋体"/>
          <w:kern w:val="0"/>
          <w:szCs w:val="21"/>
          <w:highlight w:val="none"/>
        </w:rPr>
        <w:t>：</w:t>
      </w:r>
      <w:r>
        <w:rPr>
          <w:rFonts w:hint="eastAsia" w:ascii="宋体" w:hAnsi="宋体" w:cs="宋体"/>
          <w:kern w:val="0"/>
          <w:szCs w:val="21"/>
          <w:highlight w:val="none"/>
          <w:lang w:val="zh-CN"/>
        </w:rPr>
        <w:t xml:space="preserve">   年   月   日</w:t>
      </w:r>
    </w:p>
    <w:p>
      <w:pPr>
        <w:pStyle w:val="36"/>
        <w:wordWrap w:val="0"/>
        <w:topLinePunct/>
        <w:spacing w:line="400" w:lineRule="exact"/>
        <w:ind w:firstLine="3570" w:firstLineChars="1700"/>
        <w:rPr>
          <w:rFonts w:hAnsi="宋体" w:cs="宋体"/>
          <w:highlight w:val="none"/>
        </w:rPr>
      </w:pPr>
      <w:r>
        <w:rPr>
          <w:rFonts w:hint="eastAsia" w:hAnsi="宋体" w:cs="宋体"/>
          <w:highlight w:val="none"/>
        </w:rPr>
        <w:t xml:space="preserve">     </w:t>
      </w:r>
    </w:p>
    <w:p>
      <w:pPr>
        <w:kinsoku w:val="0"/>
        <w:overflowPunct w:val="0"/>
        <w:spacing w:line="400" w:lineRule="exact"/>
        <w:rPr>
          <w:rFonts w:ascii="宋体" w:hAnsi="宋体" w:cs="宋体"/>
          <w:kern w:val="0"/>
          <w:sz w:val="30"/>
          <w:szCs w:val="30"/>
          <w:highlight w:val="none"/>
        </w:rPr>
      </w:pPr>
    </w:p>
    <w:p>
      <w:pPr>
        <w:pStyle w:val="36"/>
        <w:wordWrap w:val="0"/>
        <w:topLinePunct/>
        <w:spacing w:line="400" w:lineRule="exact"/>
        <w:jc w:val="center"/>
        <w:rPr>
          <w:rFonts w:hAnsi="宋体" w:cs="宋体"/>
          <w:kern w:val="0"/>
          <w:sz w:val="30"/>
          <w:szCs w:val="30"/>
          <w:highlight w:val="none"/>
        </w:rPr>
      </w:pPr>
    </w:p>
    <w:p>
      <w:pPr>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rPr>
        <w:t>6.响应截止时间近三年以来供应商的主要业绩证明材料</w:t>
      </w:r>
    </w:p>
    <w:tbl>
      <w:tblPr>
        <w:tblStyle w:val="71"/>
        <w:tblW w:w="9518" w:type="dxa"/>
        <w:tblInd w:w="108" w:type="dxa"/>
        <w:tblLayout w:type="fixed"/>
        <w:tblCellMar>
          <w:top w:w="0" w:type="dxa"/>
          <w:left w:w="108" w:type="dxa"/>
          <w:bottom w:w="0" w:type="dxa"/>
          <w:right w:w="108" w:type="dxa"/>
        </w:tblCellMar>
      </w:tblPr>
      <w:tblGrid>
        <w:gridCol w:w="1917"/>
        <w:gridCol w:w="1013"/>
        <w:gridCol w:w="1444"/>
        <w:gridCol w:w="1217"/>
        <w:gridCol w:w="1230"/>
        <w:gridCol w:w="1615"/>
        <w:gridCol w:w="1082"/>
      </w:tblGrid>
      <w:tr>
        <w:tblPrEx>
          <w:tblLayout w:type="fixed"/>
          <w:tblCellMar>
            <w:top w:w="0" w:type="dxa"/>
            <w:left w:w="108" w:type="dxa"/>
            <w:bottom w:w="0" w:type="dxa"/>
            <w:right w:w="108" w:type="dxa"/>
          </w:tblCellMar>
        </w:tblPrEx>
        <w:trPr>
          <w:trHeight w:val="605" w:hRule="atLeast"/>
        </w:trPr>
        <w:tc>
          <w:tcPr>
            <w:tcW w:w="1917" w:type="dxa"/>
            <w:tcBorders>
              <w:top w:val="single" w:color="auto" w:sz="6" w:space="0"/>
              <w:left w:val="single" w:color="auto" w:sz="6" w:space="0"/>
              <w:bottom w:val="single" w:color="auto" w:sz="6" w:space="0"/>
              <w:right w:val="single" w:color="auto" w:sz="6" w:space="0"/>
            </w:tcBorders>
            <w:vAlign w:val="center"/>
          </w:tcPr>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项目名称</w:t>
            </w:r>
          </w:p>
        </w:tc>
        <w:tc>
          <w:tcPr>
            <w:tcW w:w="1013" w:type="dxa"/>
            <w:tcBorders>
              <w:top w:val="single" w:color="auto" w:sz="6" w:space="0"/>
              <w:left w:val="single" w:color="auto" w:sz="6" w:space="0"/>
              <w:bottom w:val="single" w:color="auto" w:sz="6" w:space="0"/>
              <w:right w:val="single" w:color="auto" w:sz="6" w:space="0"/>
            </w:tcBorders>
            <w:vAlign w:val="center"/>
          </w:tcPr>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项目</w:t>
            </w:r>
          </w:p>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类型</w:t>
            </w:r>
          </w:p>
        </w:tc>
        <w:tc>
          <w:tcPr>
            <w:tcW w:w="1444" w:type="dxa"/>
            <w:tcBorders>
              <w:top w:val="single" w:color="auto" w:sz="6" w:space="0"/>
              <w:left w:val="single" w:color="auto" w:sz="6" w:space="0"/>
              <w:bottom w:val="single" w:color="auto" w:sz="6" w:space="0"/>
              <w:right w:val="single" w:color="auto" w:sz="6" w:space="0"/>
            </w:tcBorders>
            <w:vAlign w:val="center"/>
          </w:tcPr>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简要描述</w:t>
            </w:r>
          </w:p>
        </w:tc>
        <w:tc>
          <w:tcPr>
            <w:tcW w:w="1217" w:type="dxa"/>
            <w:tcBorders>
              <w:top w:val="single" w:color="auto" w:sz="6" w:space="0"/>
              <w:left w:val="single" w:color="auto" w:sz="6" w:space="0"/>
              <w:bottom w:val="single" w:color="auto" w:sz="6" w:space="0"/>
              <w:right w:val="single" w:color="auto" w:sz="6" w:space="0"/>
            </w:tcBorders>
            <w:vAlign w:val="center"/>
          </w:tcPr>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项目金额</w:t>
            </w:r>
          </w:p>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（万元）</w:t>
            </w:r>
          </w:p>
        </w:tc>
        <w:tc>
          <w:tcPr>
            <w:tcW w:w="1230" w:type="dxa"/>
            <w:tcBorders>
              <w:top w:val="single" w:color="auto" w:sz="6" w:space="0"/>
              <w:left w:val="single" w:color="auto" w:sz="6" w:space="0"/>
              <w:bottom w:val="single" w:color="auto" w:sz="6" w:space="0"/>
              <w:right w:val="single" w:color="auto" w:sz="6" w:space="0"/>
            </w:tcBorders>
            <w:vAlign w:val="center"/>
          </w:tcPr>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项目起始时间</w:t>
            </w:r>
          </w:p>
        </w:tc>
        <w:tc>
          <w:tcPr>
            <w:tcW w:w="1615" w:type="dxa"/>
            <w:tcBorders>
              <w:top w:val="single" w:color="auto" w:sz="6" w:space="0"/>
              <w:left w:val="single" w:color="auto" w:sz="6" w:space="0"/>
              <w:bottom w:val="single" w:color="auto" w:sz="6" w:space="0"/>
              <w:right w:val="single" w:color="auto" w:sz="6" w:space="0"/>
            </w:tcBorders>
            <w:vAlign w:val="center"/>
          </w:tcPr>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用户单位联系电话</w:t>
            </w:r>
          </w:p>
        </w:tc>
        <w:tc>
          <w:tcPr>
            <w:tcW w:w="1082" w:type="dxa"/>
            <w:tcBorders>
              <w:top w:val="single" w:color="auto" w:sz="6" w:space="0"/>
              <w:left w:val="single" w:color="auto" w:sz="6" w:space="0"/>
              <w:bottom w:val="single" w:color="auto" w:sz="6" w:space="0"/>
              <w:right w:val="single" w:color="auto" w:sz="6" w:space="0"/>
            </w:tcBorders>
            <w:vAlign w:val="center"/>
          </w:tcPr>
          <w:p>
            <w:pPr>
              <w:wordWrap w:val="0"/>
              <w:topLinePunct/>
              <w:spacing w:line="240" w:lineRule="exact"/>
              <w:ind w:left="-105" w:leftChars="-50" w:right="-105" w:rightChars="-50"/>
              <w:jc w:val="center"/>
              <w:rPr>
                <w:rFonts w:ascii="宋体" w:hAnsi="宋体" w:cs="宋体"/>
                <w:szCs w:val="21"/>
                <w:highlight w:val="none"/>
              </w:rPr>
            </w:pPr>
            <w:r>
              <w:rPr>
                <w:rFonts w:hint="eastAsia" w:ascii="宋体" w:hAnsi="宋体" w:cs="宋体"/>
                <w:szCs w:val="21"/>
                <w:highlight w:val="none"/>
              </w:rPr>
              <w:t>所在页码</w:t>
            </w:r>
          </w:p>
        </w:tc>
      </w:tr>
      <w:tr>
        <w:tblPrEx>
          <w:tblLayout w:type="fixed"/>
          <w:tblCellMar>
            <w:top w:w="0" w:type="dxa"/>
            <w:left w:w="108" w:type="dxa"/>
            <w:bottom w:w="0" w:type="dxa"/>
            <w:right w:w="108" w:type="dxa"/>
          </w:tblCellMar>
        </w:tblPrEx>
        <w:trPr>
          <w:trHeight w:val="590" w:hRule="atLeast"/>
        </w:trPr>
        <w:tc>
          <w:tcPr>
            <w:tcW w:w="1917"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013"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444"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217"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230"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615"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082"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r>
      <w:tr>
        <w:tblPrEx>
          <w:tblLayout w:type="fixed"/>
          <w:tblCellMar>
            <w:top w:w="0" w:type="dxa"/>
            <w:left w:w="108" w:type="dxa"/>
            <w:bottom w:w="0" w:type="dxa"/>
            <w:right w:w="108" w:type="dxa"/>
          </w:tblCellMar>
        </w:tblPrEx>
        <w:trPr>
          <w:trHeight w:val="590" w:hRule="atLeast"/>
        </w:trPr>
        <w:tc>
          <w:tcPr>
            <w:tcW w:w="1917"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013"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444"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217"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230"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615"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082"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r>
      <w:tr>
        <w:tblPrEx>
          <w:tblLayout w:type="fixed"/>
          <w:tblCellMar>
            <w:top w:w="0" w:type="dxa"/>
            <w:left w:w="108" w:type="dxa"/>
            <w:bottom w:w="0" w:type="dxa"/>
            <w:right w:w="108" w:type="dxa"/>
          </w:tblCellMar>
        </w:tblPrEx>
        <w:trPr>
          <w:trHeight w:val="609" w:hRule="atLeast"/>
        </w:trPr>
        <w:tc>
          <w:tcPr>
            <w:tcW w:w="1917" w:type="dxa"/>
            <w:tcBorders>
              <w:top w:val="single" w:color="auto" w:sz="6" w:space="0"/>
              <w:left w:val="single" w:color="auto" w:sz="6" w:space="0"/>
              <w:bottom w:val="single" w:color="auto" w:sz="6" w:space="0"/>
              <w:right w:val="single" w:color="auto" w:sz="6" w:space="0"/>
            </w:tcBorders>
          </w:tcPr>
          <w:p>
            <w:pPr>
              <w:wordWrap w:val="0"/>
              <w:topLinePunct/>
              <w:spacing w:line="360" w:lineRule="auto"/>
              <w:jc w:val="center"/>
              <w:rPr>
                <w:rFonts w:ascii="宋体" w:hAnsi="宋体" w:cs="宋体"/>
                <w:szCs w:val="21"/>
                <w:highlight w:val="none"/>
              </w:rPr>
            </w:pPr>
            <w:r>
              <w:rPr>
                <w:rFonts w:hint="eastAsia" w:ascii="宋体" w:hAnsi="宋体" w:cs="宋体"/>
                <w:szCs w:val="21"/>
                <w:highlight w:val="none"/>
              </w:rPr>
              <w:t>...</w:t>
            </w:r>
          </w:p>
        </w:tc>
        <w:tc>
          <w:tcPr>
            <w:tcW w:w="1013"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444"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217"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230"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615"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c>
          <w:tcPr>
            <w:tcW w:w="1082" w:type="dxa"/>
            <w:tcBorders>
              <w:top w:val="single" w:color="auto" w:sz="6" w:space="0"/>
              <w:left w:val="single" w:color="auto" w:sz="6" w:space="0"/>
              <w:bottom w:val="single" w:color="auto" w:sz="6" w:space="0"/>
              <w:right w:val="single" w:color="auto" w:sz="6" w:space="0"/>
            </w:tcBorders>
          </w:tcPr>
          <w:p>
            <w:pPr>
              <w:wordWrap w:val="0"/>
              <w:topLinePunct/>
              <w:spacing w:line="360" w:lineRule="auto"/>
              <w:rPr>
                <w:rFonts w:ascii="宋体" w:hAnsi="宋体" w:cs="宋体"/>
                <w:szCs w:val="21"/>
                <w:highlight w:val="none"/>
              </w:rPr>
            </w:pPr>
          </w:p>
        </w:tc>
      </w:tr>
    </w:tbl>
    <w:p>
      <w:pPr>
        <w:pStyle w:val="36"/>
        <w:wordWrap w:val="0"/>
        <w:topLinePunct/>
        <w:spacing w:line="300" w:lineRule="exact"/>
        <w:ind w:firstLine="422" w:firstLineChars="200"/>
        <w:jc w:val="left"/>
        <w:rPr>
          <w:rFonts w:hAnsi="宋体" w:cs="宋体"/>
          <w:b/>
          <w:bCs/>
          <w:sz w:val="30"/>
          <w:szCs w:val="30"/>
          <w:highlight w:val="none"/>
        </w:rPr>
      </w:pPr>
      <w:r>
        <w:rPr>
          <w:rFonts w:hint="eastAsia" w:hAnsi="宋体" w:cs="宋体"/>
          <w:b/>
          <w:highlight w:val="none"/>
        </w:rPr>
        <w:t>注：</w:t>
      </w:r>
      <w:r>
        <w:rPr>
          <w:rFonts w:hint="eastAsia" w:hAnsi="宋体" w:cs="宋体"/>
          <w:b/>
          <w:highlight w:val="none"/>
          <w:lang w:val="zh-CN"/>
        </w:rPr>
        <w:t>谈判</w:t>
      </w:r>
      <w:r>
        <w:rPr>
          <w:rFonts w:hint="eastAsia" w:hAnsi="宋体" w:cs="宋体"/>
          <w:b/>
          <w:highlight w:val="none"/>
        </w:rPr>
        <w:t>供应商可按上述的格式自行编制，须随表提交相应的合同复印件并注明所在文件页码。</w:t>
      </w:r>
    </w:p>
    <w:p>
      <w:pPr>
        <w:wordWrap w:val="0"/>
        <w:topLinePunct/>
        <w:spacing w:line="320" w:lineRule="exact"/>
        <w:ind w:firstLine="5250" w:firstLineChars="2500"/>
        <w:rPr>
          <w:rFonts w:ascii="宋体" w:hAnsi="宋体" w:cs="宋体"/>
          <w:kern w:val="0"/>
          <w:szCs w:val="21"/>
          <w:highlight w:val="none"/>
          <w:lang w:val="zh-CN"/>
        </w:rPr>
      </w:pPr>
    </w:p>
    <w:p>
      <w:pPr>
        <w:wordWrap w:val="0"/>
        <w:topLinePunct/>
        <w:spacing w:line="320" w:lineRule="exact"/>
        <w:ind w:firstLine="5250" w:firstLineChars="2500"/>
        <w:rPr>
          <w:rFonts w:ascii="宋体" w:hAnsi="宋体" w:cs="宋体"/>
          <w:kern w:val="0"/>
          <w:szCs w:val="21"/>
          <w:highlight w:val="none"/>
          <w:lang w:val="zh-CN"/>
        </w:rPr>
      </w:pPr>
    </w:p>
    <w:p>
      <w:pPr>
        <w:keepNext/>
        <w:keepLines/>
        <w:autoSpaceDE w:val="0"/>
        <w:autoSpaceDN w:val="0"/>
        <w:spacing w:line="400" w:lineRule="exact"/>
        <w:ind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谈判供应商名称(公章)： </w:t>
      </w:r>
    </w:p>
    <w:p>
      <w:pPr>
        <w:keepNext/>
        <w:keepLines/>
        <w:autoSpaceDE w:val="0"/>
        <w:autoSpaceDN w:val="0"/>
        <w:spacing w:line="400" w:lineRule="exact"/>
        <w:ind w:left="2" w:leftChars="1"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法定代表人（负责人）或委托代理人(签名)：              </w:t>
      </w:r>
    </w:p>
    <w:p>
      <w:pPr>
        <w:keepNext/>
        <w:keepLines/>
        <w:spacing w:line="400" w:lineRule="exact"/>
        <w:ind w:firstLine="3990" w:firstLineChars="1900"/>
        <w:rPr>
          <w:rFonts w:ascii="宋体" w:hAnsi="宋体" w:cs="宋体"/>
          <w:szCs w:val="21"/>
          <w:highlight w:val="none"/>
        </w:rPr>
      </w:pPr>
      <w:r>
        <w:rPr>
          <w:rFonts w:hint="eastAsia" w:ascii="宋体" w:hAnsi="宋体" w:cs="宋体"/>
          <w:kern w:val="0"/>
          <w:szCs w:val="21"/>
          <w:highlight w:val="none"/>
          <w:lang w:val="zh-CN"/>
        </w:rPr>
        <w:t>日</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期</w:t>
      </w:r>
      <w:r>
        <w:rPr>
          <w:rFonts w:hint="eastAsia" w:ascii="宋体" w:hAnsi="宋体" w:cs="宋体"/>
          <w:kern w:val="0"/>
          <w:szCs w:val="21"/>
          <w:highlight w:val="none"/>
        </w:rPr>
        <w:t>：</w:t>
      </w:r>
      <w:r>
        <w:rPr>
          <w:rFonts w:hint="eastAsia" w:ascii="宋体" w:hAnsi="宋体" w:cs="宋体"/>
          <w:kern w:val="0"/>
          <w:szCs w:val="21"/>
          <w:highlight w:val="none"/>
          <w:lang w:val="zh-CN"/>
        </w:rPr>
        <w:t xml:space="preserve">   年   月   日</w:t>
      </w:r>
    </w:p>
    <w:p>
      <w:pPr>
        <w:pStyle w:val="36"/>
        <w:wordWrap w:val="0"/>
        <w:topLinePunct/>
        <w:spacing w:line="320" w:lineRule="exact"/>
        <w:jc w:val="center"/>
        <w:rPr>
          <w:rFonts w:hAnsi="宋体" w:cs="宋体"/>
          <w:kern w:val="0"/>
          <w:highlight w:val="none"/>
        </w:rPr>
      </w:pPr>
      <w:r>
        <w:rPr>
          <w:rFonts w:hint="eastAsia" w:hAnsi="宋体" w:cs="宋体"/>
          <w:kern w:val="0"/>
          <w:highlight w:val="none"/>
        </w:rPr>
        <w:t xml:space="preserve"> </w:t>
      </w:r>
    </w:p>
    <w:p>
      <w:pPr>
        <w:spacing w:line="300" w:lineRule="auto"/>
        <w:jc w:val="center"/>
        <w:rPr>
          <w:rFonts w:ascii="宋体" w:hAnsi="宋体"/>
          <w:b/>
          <w:bCs/>
          <w:sz w:val="32"/>
          <w:szCs w:val="32"/>
          <w:highlight w:val="none"/>
        </w:rPr>
      </w:pPr>
    </w:p>
    <w:p>
      <w:pPr>
        <w:rPr>
          <w:highlight w:val="none"/>
        </w:rPr>
      </w:pPr>
    </w:p>
    <w:p>
      <w:pPr>
        <w:pStyle w:val="36"/>
        <w:adjustRightInd/>
        <w:spacing w:line="400" w:lineRule="exact"/>
        <w:jc w:val="center"/>
        <w:rPr>
          <w:rFonts w:cs="仿宋_GB2312" w:asciiTheme="minorEastAsia" w:hAnsiTheme="minorEastAsia" w:eastAsiaTheme="minorEastAsia"/>
          <w:b/>
          <w:bCs/>
          <w:sz w:val="30"/>
          <w:szCs w:val="30"/>
          <w:highlight w:val="none"/>
        </w:rPr>
      </w:pPr>
    </w:p>
    <w:p>
      <w:pPr>
        <w:rPr>
          <w:highlight w:val="none"/>
        </w:rPr>
      </w:pPr>
    </w:p>
    <w:p>
      <w:pPr>
        <w:spacing w:line="360" w:lineRule="auto"/>
        <w:jc w:val="center"/>
        <w:rPr>
          <w:rFonts w:cs="仿宋_GB2312" w:asciiTheme="minorEastAsia" w:hAnsiTheme="minorEastAsia" w:eastAsiaTheme="minorEastAsia"/>
          <w:b/>
          <w:kern w:val="0"/>
          <w:sz w:val="32"/>
          <w:szCs w:val="32"/>
          <w:highlight w:val="none"/>
        </w:rPr>
      </w:pPr>
    </w:p>
    <w:p>
      <w:pPr>
        <w:pStyle w:val="20"/>
        <w:rPr>
          <w:color w:val="auto"/>
          <w:highlight w:val="none"/>
        </w:rPr>
      </w:pPr>
    </w:p>
    <w:p>
      <w:pPr>
        <w:spacing w:line="360" w:lineRule="auto"/>
        <w:jc w:val="center"/>
        <w:rPr>
          <w:rFonts w:ascii="宋体" w:hAnsi="宋体" w:cs="宋体"/>
          <w:b/>
          <w:sz w:val="30"/>
          <w:szCs w:val="30"/>
          <w:highlight w:val="none"/>
        </w:rPr>
      </w:pPr>
      <w:r>
        <w:rPr>
          <w:rFonts w:hint="eastAsia" w:ascii="宋体" w:hAnsi="宋体" w:cs="宋体"/>
          <w:b/>
          <w:bCs/>
          <w:sz w:val="30"/>
          <w:szCs w:val="30"/>
          <w:highlight w:val="none"/>
        </w:rPr>
        <w:t>7.中小企业声明函</w:t>
      </w:r>
    </w:p>
    <w:p>
      <w:pPr>
        <w:spacing w:line="340" w:lineRule="exact"/>
        <w:ind w:right="420" w:firstLine="420" w:firstLineChars="200"/>
        <w:rPr>
          <w:rFonts w:ascii="宋体" w:hAnsi="宋体" w:cs="宋体"/>
          <w:szCs w:val="21"/>
          <w:highlight w:val="none"/>
        </w:rPr>
      </w:pPr>
    </w:p>
    <w:p>
      <w:pPr>
        <w:kinsoku w:val="0"/>
        <w:overflowPunct w:val="0"/>
        <w:spacing w:line="360" w:lineRule="exact"/>
        <w:ind w:firstLine="420" w:firstLineChars="200"/>
        <w:rPr>
          <w:rFonts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本公司（联合体）郑重声明，根据《政府采购促进中小企业发展管理办法》（财库（2020）46号）的规定，本公司(联合体）参加</w:t>
      </w:r>
      <w:r>
        <w:rPr>
          <w:rFonts w:hint="eastAsia" w:ascii="宋体" w:hAnsi="宋体" w:cs="宋体"/>
          <w:szCs w:val="21"/>
          <w:highlight w:val="none"/>
          <w:u w:val="single"/>
        </w:rPr>
        <w:t xml:space="preserve">             </w:t>
      </w:r>
      <w:r>
        <w:rPr>
          <w:rFonts w:hint="eastAsia" w:ascii="宋体" w:hAnsi="宋体" w:cs="宋体"/>
          <w:szCs w:val="21"/>
          <w:highlight w:val="none"/>
        </w:rPr>
        <w:t>（单位名称）的</w:t>
      </w:r>
      <w:r>
        <w:rPr>
          <w:rFonts w:hint="eastAsia" w:ascii="宋体" w:hAnsi="宋体" w:cs="宋体"/>
          <w:szCs w:val="21"/>
          <w:highlight w:val="none"/>
          <w:u w:val="single"/>
        </w:rPr>
        <w:t xml:space="preserve">                 </w:t>
      </w:r>
      <w:r>
        <w:rPr>
          <w:rFonts w:hint="eastAsia" w:ascii="宋体" w:hAnsi="宋体" w:cs="宋体"/>
          <w:szCs w:val="21"/>
          <w:highlight w:val="none"/>
        </w:rPr>
        <w:t>（项目名称）采购活动，</w:t>
      </w:r>
      <w:r>
        <w:rPr>
          <w:rFonts w:hint="eastAsia" w:ascii="宋体" w:hAnsi="宋体" w:cs="宋体"/>
          <w:b/>
          <w:bCs/>
          <w:szCs w:val="21"/>
          <w:highlight w:val="none"/>
        </w:rPr>
        <w:t>提供的货物全部由符合政策要求的中小企业制造</w:t>
      </w:r>
      <w:r>
        <w:rPr>
          <w:rFonts w:hint="eastAsia" w:ascii="宋体" w:hAnsi="宋体" w:cs="宋体"/>
          <w:szCs w:val="21"/>
          <w:highlight w:val="none"/>
        </w:rPr>
        <w:t>。相关企业（含联合体中的中小企业、签订分包意向协议的中小企业）的具体情况如下：</w:t>
      </w:r>
    </w:p>
    <w:p>
      <w:pPr>
        <w:kinsoku w:val="0"/>
        <w:overflowPunct w:val="0"/>
        <w:spacing w:line="36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u w:val="single"/>
        </w:rPr>
        <w:t xml:space="preserve">  （标的名称） </w:t>
      </w:r>
      <w:r>
        <w:rPr>
          <w:rFonts w:hint="eastAsia" w:ascii="宋体" w:hAnsi="宋体" w:cs="宋体"/>
          <w:szCs w:val="21"/>
          <w:highlight w:val="none"/>
        </w:rPr>
        <w:t>，属于</w:t>
      </w:r>
      <w:r>
        <w:rPr>
          <w:rFonts w:hint="eastAsia" w:ascii="宋体" w:hAnsi="宋体" w:cs="宋体"/>
          <w:szCs w:val="21"/>
          <w:highlight w:val="none"/>
          <w:u w:val="single"/>
        </w:rPr>
        <w:t xml:space="preserve"> （竞争性谈判文件中明确的所属行业）</w:t>
      </w:r>
      <w:r>
        <w:rPr>
          <w:rFonts w:hint="eastAsia" w:ascii="宋体" w:hAnsi="宋体" w:cs="宋体"/>
          <w:szCs w:val="21"/>
          <w:highlight w:val="none"/>
        </w:rPr>
        <w:t>行业；制造商为</w:t>
      </w:r>
      <w:r>
        <w:rPr>
          <w:rFonts w:hint="eastAsia" w:ascii="宋体" w:hAnsi="宋体" w:cs="宋体"/>
          <w:szCs w:val="21"/>
          <w:highlight w:val="none"/>
          <w:u w:val="single"/>
        </w:rPr>
        <w:t xml:space="preserve"> （企业名称) </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 xml:space="preserve">人，营业收入为 </w:t>
      </w:r>
      <w:r>
        <w:rPr>
          <w:rFonts w:hint="eastAsia" w:ascii="宋体" w:hAnsi="宋体" w:cs="宋体"/>
          <w:szCs w:val="21"/>
          <w:highlight w:val="none"/>
          <w:u w:val="single"/>
        </w:rPr>
        <w:t xml:space="preserve">     </w:t>
      </w:r>
      <w:r>
        <w:rPr>
          <w:rFonts w:hint="eastAsia" w:ascii="宋体" w:hAnsi="宋体" w:cs="宋体"/>
          <w:szCs w:val="21"/>
          <w:highlight w:val="none"/>
        </w:rPr>
        <w:t>万元，资产总额为____万元，属于（中型企业、小型企业、微型企业)；</w:t>
      </w:r>
    </w:p>
    <w:p>
      <w:pPr>
        <w:kinsoku w:val="0"/>
        <w:overflowPunct w:val="0"/>
        <w:spacing w:line="36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 xml:space="preserve">  （标的名称） </w:t>
      </w:r>
      <w:r>
        <w:rPr>
          <w:rFonts w:hint="eastAsia" w:ascii="宋体" w:hAnsi="宋体" w:cs="宋体"/>
          <w:szCs w:val="21"/>
          <w:highlight w:val="none"/>
        </w:rPr>
        <w:t>，属于</w:t>
      </w:r>
      <w:r>
        <w:rPr>
          <w:rFonts w:hint="eastAsia" w:ascii="宋体" w:hAnsi="宋体" w:cs="宋体"/>
          <w:szCs w:val="21"/>
          <w:highlight w:val="none"/>
          <w:u w:val="single"/>
        </w:rPr>
        <w:t xml:space="preserve"> （竞争性谈判文件中明确的所属行业）</w:t>
      </w:r>
      <w:r>
        <w:rPr>
          <w:rFonts w:hint="eastAsia" w:ascii="宋体" w:hAnsi="宋体" w:cs="宋体"/>
          <w:szCs w:val="21"/>
          <w:highlight w:val="none"/>
        </w:rPr>
        <w:t>行业；制造商为</w:t>
      </w:r>
      <w:r>
        <w:rPr>
          <w:rFonts w:hint="eastAsia" w:ascii="宋体" w:hAnsi="宋体" w:cs="宋体"/>
          <w:szCs w:val="21"/>
          <w:highlight w:val="none"/>
          <w:u w:val="single"/>
        </w:rPr>
        <w:t xml:space="preserve"> （企业名称) </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 xml:space="preserve">人，营业收入为 </w:t>
      </w:r>
      <w:r>
        <w:rPr>
          <w:rFonts w:hint="eastAsia" w:ascii="宋体" w:hAnsi="宋体" w:cs="宋体"/>
          <w:szCs w:val="21"/>
          <w:highlight w:val="none"/>
          <w:u w:val="single"/>
        </w:rPr>
        <w:t xml:space="preserve">     </w:t>
      </w:r>
      <w:r>
        <w:rPr>
          <w:rFonts w:hint="eastAsia" w:ascii="宋体" w:hAnsi="宋体" w:cs="宋体"/>
          <w:szCs w:val="21"/>
          <w:highlight w:val="none"/>
        </w:rPr>
        <w:t>万元，资产总额为____万元，属于（中型企业、小型企业、微型企业)；</w:t>
      </w:r>
    </w:p>
    <w:p>
      <w:pPr>
        <w:kinsoku w:val="0"/>
        <w:overflowPunct w:val="0"/>
        <w:spacing w:line="360" w:lineRule="exact"/>
        <w:ind w:firstLine="420" w:firstLineChars="200"/>
        <w:rPr>
          <w:rFonts w:ascii="宋体" w:hAnsi="宋体" w:cs="宋体"/>
          <w:szCs w:val="21"/>
          <w:highlight w:val="none"/>
        </w:rPr>
      </w:pPr>
      <w:r>
        <w:rPr>
          <w:rFonts w:hint="eastAsia" w:ascii="宋体" w:hAnsi="宋体" w:cs="宋体"/>
          <w:szCs w:val="21"/>
          <w:highlight w:val="none"/>
        </w:rPr>
        <w:t>……</w:t>
      </w:r>
    </w:p>
    <w:p>
      <w:pPr>
        <w:kinsoku w:val="0"/>
        <w:overflowPunct w:val="0"/>
        <w:spacing w:line="360" w:lineRule="exact"/>
        <w:ind w:firstLine="420" w:firstLineChars="200"/>
        <w:rPr>
          <w:rFonts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pPr>
        <w:kinsoku w:val="0"/>
        <w:overflowPunct w:val="0"/>
        <w:spacing w:line="360" w:lineRule="exact"/>
        <w:ind w:firstLine="420" w:firstLineChars="200"/>
        <w:rPr>
          <w:rFonts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pPr>
        <w:pStyle w:val="60"/>
        <w:widowControl w:val="0"/>
        <w:kinsoku w:val="0"/>
        <w:overflowPunct w:val="0"/>
        <w:snapToGrid w:val="0"/>
        <w:spacing w:before="0" w:beforeAutospacing="0" w:after="0" w:afterAutospacing="0" w:line="360" w:lineRule="exact"/>
        <w:ind w:right="420"/>
        <w:jc w:val="center"/>
        <w:rPr>
          <w:rFonts w:cs="宋体"/>
          <w:kern w:val="2"/>
          <w:sz w:val="21"/>
          <w:szCs w:val="21"/>
          <w:highlight w:val="none"/>
        </w:rPr>
      </w:pPr>
    </w:p>
    <w:p>
      <w:pPr>
        <w:pStyle w:val="60"/>
        <w:widowControl w:val="0"/>
        <w:kinsoku w:val="0"/>
        <w:overflowPunct w:val="0"/>
        <w:snapToGrid w:val="0"/>
        <w:spacing w:before="0" w:beforeAutospacing="0" w:after="0" w:afterAutospacing="0" w:line="360" w:lineRule="exact"/>
        <w:ind w:right="420" w:firstLine="5376" w:firstLineChars="2560"/>
        <w:rPr>
          <w:rFonts w:cs="宋体"/>
          <w:kern w:val="2"/>
          <w:sz w:val="21"/>
          <w:szCs w:val="21"/>
          <w:highlight w:val="none"/>
        </w:rPr>
      </w:pPr>
      <w:r>
        <w:rPr>
          <w:rFonts w:hint="eastAsia" w:cs="宋体"/>
          <w:kern w:val="2"/>
          <w:sz w:val="21"/>
          <w:szCs w:val="21"/>
          <w:highlight w:val="none"/>
        </w:rPr>
        <w:t xml:space="preserve"> 谈判供应商名称(公章)：　</w:t>
      </w:r>
    </w:p>
    <w:p>
      <w:pPr>
        <w:tabs>
          <w:tab w:val="left" w:pos="4860"/>
        </w:tabs>
        <w:spacing w:line="360" w:lineRule="exact"/>
        <w:ind w:right="1560" w:firstLine="420" w:firstLineChars="200"/>
        <w:jc w:val="center"/>
        <w:rPr>
          <w:rFonts w:ascii="宋体" w:hAnsi="宋体" w:cs="宋体"/>
          <w:szCs w:val="21"/>
          <w:highlight w:val="none"/>
        </w:rPr>
      </w:pPr>
      <w:r>
        <w:rPr>
          <w:rFonts w:hint="eastAsia" w:ascii="宋体" w:hAnsi="宋体" w:cs="宋体"/>
          <w:szCs w:val="21"/>
          <w:highlight w:val="none"/>
        </w:rPr>
        <w:t xml:space="preserve">                                    日  期：</w:t>
      </w:r>
    </w:p>
    <w:p>
      <w:pPr>
        <w:pStyle w:val="20"/>
        <w:widowControl w:val="0"/>
        <w:kinsoku w:val="0"/>
        <w:overflowPunct w:val="0"/>
        <w:spacing w:line="360" w:lineRule="exact"/>
        <w:ind w:left="1413" w:leftChars="673" w:firstLine="7868" w:firstLineChars="2810"/>
        <w:rPr>
          <w:rFonts w:hAnsi="宋体" w:cs="宋体"/>
          <w:color w:val="auto"/>
          <w:highlight w:val="none"/>
        </w:rPr>
      </w:pPr>
    </w:p>
    <w:p>
      <w:pPr>
        <w:pStyle w:val="20"/>
        <w:widowControl w:val="0"/>
        <w:kinsoku w:val="0"/>
        <w:overflowPunct w:val="0"/>
        <w:spacing w:line="360" w:lineRule="exact"/>
        <w:ind w:left="632" w:hanging="632" w:hangingChars="300"/>
        <w:rPr>
          <w:rFonts w:hAnsi="宋体" w:cs="宋体"/>
          <w:color w:val="auto"/>
          <w:sz w:val="21"/>
          <w:szCs w:val="21"/>
          <w:highlight w:val="none"/>
        </w:rPr>
      </w:pPr>
      <w:r>
        <w:rPr>
          <w:rFonts w:hint="eastAsia" w:hAnsi="宋体" w:cs="宋体"/>
          <w:b/>
          <w:bCs/>
          <w:color w:val="auto"/>
          <w:sz w:val="21"/>
          <w:szCs w:val="21"/>
          <w:highlight w:val="none"/>
        </w:rPr>
        <w:t>说明：从业人员、营业收入、资产总额填报上一年度数据，无上一年度数据的新成立企业可不填报。</w:t>
      </w:r>
    </w:p>
    <w:p>
      <w:pPr>
        <w:pStyle w:val="20"/>
        <w:widowControl w:val="0"/>
        <w:rPr>
          <w:rFonts w:hAnsi="宋体" w:cs="宋体"/>
          <w:color w:val="auto"/>
          <w:sz w:val="21"/>
          <w:szCs w:val="21"/>
          <w:highlight w:val="none"/>
        </w:rPr>
      </w:pPr>
    </w:p>
    <w:p>
      <w:pPr>
        <w:spacing w:line="360" w:lineRule="auto"/>
        <w:jc w:val="center"/>
        <w:rPr>
          <w:rFonts w:ascii="宋体" w:hAnsi="宋体" w:cs="宋体"/>
          <w:b/>
          <w:spacing w:val="6"/>
          <w:sz w:val="30"/>
          <w:szCs w:val="30"/>
          <w:highlight w:val="none"/>
        </w:rPr>
      </w:pPr>
    </w:p>
    <w:p>
      <w:pPr>
        <w:rPr>
          <w:rFonts w:ascii="宋体" w:hAnsi="宋体" w:cs="宋体"/>
          <w:highlight w:val="none"/>
        </w:rPr>
      </w:pPr>
    </w:p>
    <w:p>
      <w:pPr>
        <w:pStyle w:val="20"/>
        <w:widowControl w:val="0"/>
        <w:rPr>
          <w:rFonts w:hAnsi="宋体" w:cs="宋体"/>
          <w:color w:val="auto"/>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p>
    <w:p>
      <w:pPr>
        <w:spacing w:line="360" w:lineRule="auto"/>
        <w:jc w:val="center"/>
        <w:rPr>
          <w:rFonts w:ascii="宋体" w:hAnsi="宋体" w:cs="宋体"/>
          <w:b/>
          <w:spacing w:val="6"/>
          <w:sz w:val="30"/>
          <w:szCs w:val="30"/>
          <w:highlight w:val="none"/>
        </w:rPr>
      </w:pPr>
      <w:r>
        <w:rPr>
          <w:rFonts w:hint="eastAsia" w:ascii="宋体" w:hAnsi="宋体" w:cs="宋体"/>
          <w:b/>
          <w:spacing w:val="6"/>
          <w:sz w:val="30"/>
          <w:szCs w:val="30"/>
          <w:highlight w:val="none"/>
        </w:rPr>
        <w:t>8.残疾人福利性单位声明函</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Cs w:val="21"/>
          <w:highlight w:val="none"/>
          <w:u w:val="single"/>
        </w:rPr>
        <w:t xml:space="preserve">   （采购人）    </w:t>
      </w:r>
      <w:r>
        <w:rPr>
          <w:rFonts w:hint="eastAsia" w:ascii="宋体" w:hAnsi="宋体" w:cs="宋体"/>
          <w:szCs w:val="21"/>
          <w:highlight w:val="none"/>
        </w:rPr>
        <w:t>单位的</w:t>
      </w:r>
      <w:r>
        <w:rPr>
          <w:rFonts w:hint="eastAsia" w:ascii="宋体" w:hAnsi="宋体" w:cs="宋体"/>
          <w:szCs w:val="21"/>
          <w:highlight w:val="none"/>
          <w:u w:val="single"/>
        </w:rPr>
        <w:t xml:space="preserve">     （项目名称）    </w:t>
      </w:r>
      <w:r>
        <w:rPr>
          <w:rFonts w:hint="eastAsia" w:ascii="宋体" w:hAnsi="宋体" w:cs="宋体"/>
          <w:szCs w:val="21"/>
          <w:highlight w:val="none"/>
        </w:rPr>
        <w:t>项目采购活动提供本单位制造的货物（由本单位承担工程/提供服务），或者提供其他残疾人福利性单位制造的货物（不包括使用非残疾人福利性单位注册商标的货物）。</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本单位对上述声明的真实性负责。如有虚假，将依法承担相应责任。</w:t>
      </w:r>
    </w:p>
    <w:p>
      <w:pPr>
        <w:spacing w:line="440" w:lineRule="exact"/>
        <w:ind w:firstLine="420" w:firstLineChars="200"/>
        <w:rPr>
          <w:rFonts w:ascii="宋体" w:hAnsi="宋体" w:cs="宋体"/>
          <w:szCs w:val="21"/>
          <w:highlight w:val="none"/>
        </w:rPr>
      </w:pPr>
    </w:p>
    <w:p>
      <w:pPr>
        <w:spacing w:line="440" w:lineRule="exact"/>
        <w:ind w:firstLine="420" w:firstLineChars="200"/>
        <w:rPr>
          <w:rFonts w:ascii="宋体" w:hAnsi="宋体" w:cs="宋体"/>
          <w:szCs w:val="21"/>
          <w:highlight w:val="none"/>
        </w:rPr>
      </w:pPr>
    </w:p>
    <w:p>
      <w:pPr>
        <w:tabs>
          <w:tab w:val="left" w:pos="4860"/>
        </w:tabs>
        <w:spacing w:line="440" w:lineRule="exact"/>
        <w:ind w:right="1560" w:firstLine="420" w:firstLineChars="200"/>
        <w:jc w:val="center"/>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highlight w:val="none"/>
        </w:rPr>
        <w:t>谈判</w:t>
      </w:r>
      <w:r>
        <w:rPr>
          <w:rFonts w:hint="eastAsia" w:ascii="宋体" w:hAnsi="宋体" w:cs="宋体"/>
          <w:kern w:val="0"/>
          <w:szCs w:val="21"/>
          <w:highlight w:val="none"/>
          <w:lang w:val="zh-CN"/>
        </w:rPr>
        <w:t>供应商名称(公章)</w:t>
      </w:r>
      <w:r>
        <w:rPr>
          <w:rFonts w:hint="eastAsia" w:ascii="宋体" w:hAnsi="宋体" w:cs="宋体"/>
          <w:szCs w:val="21"/>
          <w:highlight w:val="none"/>
        </w:rPr>
        <w:t xml:space="preserve">：                                             </w:t>
      </w:r>
    </w:p>
    <w:p>
      <w:pPr>
        <w:tabs>
          <w:tab w:val="left" w:pos="4860"/>
        </w:tabs>
        <w:spacing w:line="440" w:lineRule="exact"/>
        <w:ind w:right="1560" w:firstLine="420" w:firstLineChars="200"/>
        <w:jc w:val="center"/>
        <w:rPr>
          <w:rFonts w:ascii="宋体" w:hAnsi="宋体" w:cs="宋体"/>
          <w:szCs w:val="21"/>
          <w:highlight w:val="none"/>
        </w:rPr>
      </w:pPr>
      <w:r>
        <w:rPr>
          <w:rFonts w:hint="eastAsia" w:ascii="宋体" w:hAnsi="宋体" w:cs="宋体"/>
          <w:szCs w:val="21"/>
          <w:highlight w:val="none"/>
        </w:rPr>
        <w:t xml:space="preserve"> 日  期：</w:t>
      </w:r>
    </w:p>
    <w:p>
      <w:pPr>
        <w:tabs>
          <w:tab w:val="left" w:pos="4860"/>
        </w:tabs>
        <w:spacing w:line="360" w:lineRule="auto"/>
        <w:ind w:right="1560" w:firstLine="420" w:firstLineChars="200"/>
        <w:jc w:val="center"/>
        <w:rPr>
          <w:rFonts w:ascii="宋体" w:hAnsi="宋体" w:cs="宋体"/>
          <w:szCs w:val="21"/>
          <w:highlight w:val="none"/>
        </w:rPr>
      </w:pPr>
    </w:p>
    <w:p>
      <w:pPr>
        <w:pStyle w:val="2"/>
        <w:rPr>
          <w:rFonts w:ascii="宋体" w:hAnsi="宋体" w:cs="宋体"/>
          <w:highlight w:val="none"/>
        </w:rPr>
      </w:pPr>
    </w:p>
    <w:p>
      <w:pPr>
        <w:tabs>
          <w:tab w:val="left" w:pos="4860"/>
        </w:tabs>
        <w:spacing w:line="360" w:lineRule="auto"/>
        <w:ind w:right="1560"/>
        <w:jc w:val="center"/>
        <w:rPr>
          <w:rFonts w:ascii="宋体" w:hAnsi="宋体" w:cs="宋体"/>
          <w:b/>
          <w:spacing w:val="6"/>
          <w:sz w:val="30"/>
          <w:szCs w:val="30"/>
          <w:highlight w:val="none"/>
        </w:rPr>
      </w:pPr>
      <w:r>
        <w:rPr>
          <w:rFonts w:hint="eastAsia" w:ascii="宋体" w:hAnsi="宋体" w:cs="宋体"/>
          <w:b/>
          <w:spacing w:val="6"/>
          <w:sz w:val="30"/>
          <w:szCs w:val="30"/>
          <w:highlight w:val="none"/>
        </w:rPr>
        <w:t xml:space="preserve">        </w:t>
      </w:r>
    </w:p>
    <w:p>
      <w:pPr>
        <w:tabs>
          <w:tab w:val="left" w:pos="4860"/>
        </w:tabs>
        <w:spacing w:line="360" w:lineRule="auto"/>
        <w:ind w:right="1560"/>
        <w:jc w:val="center"/>
        <w:rPr>
          <w:rFonts w:ascii="宋体" w:hAnsi="宋体" w:cs="宋体"/>
          <w:b/>
          <w:spacing w:val="6"/>
          <w:sz w:val="30"/>
          <w:szCs w:val="30"/>
          <w:highlight w:val="none"/>
        </w:rPr>
      </w:pPr>
      <w:r>
        <w:rPr>
          <w:rFonts w:hint="eastAsia" w:ascii="宋体" w:hAnsi="宋体" w:cs="宋体"/>
          <w:b/>
          <w:spacing w:val="6"/>
          <w:sz w:val="30"/>
          <w:szCs w:val="30"/>
          <w:highlight w:val="none"/>
        </w:rPr>
        <w:t>9.监狱企业证明文件</w:t>
      </w:r>
    </w:p>
    <w:p>
      <w:pPr>
        <w:spacing w:line="36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pPr>
        <w:spacing w:line="36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本单位对提供的证明材料的真实性负责。如有虚假，将依法承担相应责任。</w:t>
      </w:r>
    </w:p>
    <w:p>
      <w:pPr>
        <w:spacing w:line="360" w:lineRule="exact"/>
        <w:ind w:firstLine="444" w:firstLineChars="200"/>
        <w:rPr>
          <w:rFonts w:ascii="宋体" w:hAnsi="宋体" w:cs="宋体"/>
          <w:spacing w:val="6"/>
          <w:szCs w:val="21"/>
          <w:highlight w:val="none"/>
        </w:rPr>
      </w:pPr>
    </w:p>
    <w:p>
      <w:pPr>
        <w:spacing w:line="36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附件：省级以上监狱管理局、戒毒管理局(含新疆生产建设兵团)出具的属于监狱企业的证明文件</w:t>
      </w:r>
    </w:p>
    <w:p>
      <w:pPr>
        <w:tabs>
          <w:tab w:val="left" w:pos="4860"/>
          <w:tab w:val="left" w:pos="7560"/>
          <w:tab w:val="left" w:pos="9040"/>
        </w:tabs>
        <w:spacing w:line="360" w:lineRule="exact"/>
        <w:ind w:right="1560" w:firstLine="3570" w:firstLineChars="1700"/>
        <w:rPr>
          <w:rFonts w:ascii="宋体" w:hAnsi="宋体" w:cs="宋体"/>
          <w:kern w:val="0"/>
          <w:szCs w:val="21"/>
          <w:highlight w:val="none"/>
          <w:lang w:val="zh-CN"/>
        </w:rPr>
      </w:pPr>
    </w:p>
    <w:p>
      <w:pPr>
        <w:tabs>
          <w:tab w:val="left" w:pos="4860"/>
          <w:tab w:val="left" w:pos="7560"/>
          <w:tab w:val="left" w:pos="9040"/>
        </w:tabs>
        <w:spacing w:line="360" w:lineRule="exact"/>
        <w:ind w:right="1560" w:firstLine="3570" w:firstLineChars="1700"/>
        <w:rPr>
          <w:rFonts w:ascii="宋体" w:hAnsi="宋体" w:cs="宋体"/>
          <w:szCs w:val="21"/>
          <w:highlight w:val="none"/>
        </w:rPr>
      </w:pPr>
      <w:bookmarkStart w:id="92" w:name="OLE_LINK16"/>
      <w:r>
        <w:rPr>
          <w:rFonts w:hint="eastAsia" w:ascii="宋体" w:hAnsi="宋体" w:cs="宋体"/>
          <w:highlight w:val="none"/>
        </w:rPr>
        <w:t>谈判</w:t>
      </w:r>
      <w:r>
        <w:rPr>
          <w:rFonts w:hint="eastAsia" w:ascii="宋体" w:hAnsi="宋体" w:cs="宋体"/>
          <w:kern w:val="0"/>
          <w:szCs w:val="21"/>
          <w:highlight w:val="none"/>
          <w:lang w:val="zh-CN"/>
        </w:rPr>
        <w:t>供应商</w:t>
      </w:r>
      <w:r>
        <w:rPr>
          <w:rFonts w:hint="eastAsia" w:ascii="宋体" w:hAnsi="宋体" w:cs="宋体"/>
          <w:szCs w:val="21"/>
          <w:highlight w:val="none"/>
        </w:rPr>
        <w:t>名称（盖章）：</w:t>
      </w:r>
    </w:p>
    <w:p>
      <w:pPr>
        <w:spacing w:line="360" w:lineRule="exact"/>
        <w:ind w:firstLine="3570" w:firstLineChars="1700"/>
        <w:rPr>
          <w:rFonts w:ascii="宋体" w:hAnsi="宋体" w:cs="宋体"/>
          <w:szCs w:val="21"/>
          <w:highlight w:val="none"/>
        </w:rPr>
      </w:pPr>
      <w:r>
        <w:rPr>
          <w:rFonts w:hint="eastAsia" w:ascii="宋体" w:hAnsi="宋体" w:cs="宋体"/>
          <w:szCs w:val="21"/>
          <w:highlight w:val="none"/>
        </w:rPr>
        <w:t xml:space="preserve">日  期：   </w:t>
      </w:r>
    </w:p>
    <w:bookmarkEnd w:id="92"/>
    <w:p>
      <w:pPr>
        <w:spacing w:line="360" w:lineRule="exact"/>
        <w:ind w:firstLine="420" w:firstLineChars="200"/>
        <w:jc w:val="left"/>
        <w:rPr>
          <w:rFonts w:ascii="宋体" w:hAnsi="宋体" w:cs="宋体"/>
          <w:b/>
          <w:sz w:val="32"/>
          <w:szCs w:val="32"/>
          <w:highlight w:val="none"/>
        </w:rPr>
      </w:pPr>
      <w:r>
        <w:rPr>
          <w:rFonts w:hint="eastAsia" w:ascii="宋体" w:hAnsi="宋体" w:cs="宋体"/>
          <w:szCs w:val="21"/>
          <w:highlight w:val="none"/>
        </w:rPr>
        <w:t>注：请根据自己的真实情况出具《监狱企业证明文件》。依法享受中小企业扶持政策的，采购人或采购代理机构在公告中标结果时，同时公告其省级以上监狱管理局、戒毒管理局(含新疆生产建设兵团)出具的属于监狱企业的证明文件，接受社会监督。</w:t>
      </w:r>
    </w:p>
    <w:p>
      <w:pPr>
        <w:pStyle w:val="2"/>
        <w:jc w:val="center"/>
        <w:rPr>
          <w:rFonts w:hint="eastAsia"/>
          <w:sz w:val="28"/>
          <w:szCs w:val="28"/>
          <w:highlight w:val="none"/>
        </w:rPr>
      </w:pPr>
    </w:p>
    <w:p>
      <w:pPr>
        <w:keepNext w:val="0"/>
        <w:keepLines w:val="0"/>
        <w:widowControl/>
        <w:suppressLineNumbers w:val="0"/>
        <w:jc w:val="center"/>
        <w:rPr>
          <w:rFonts w:hint="eastAsia" w:ascii="宋体" w:hAnsi="宋体" w:eastAsia="宋体" w:cs="宋体"/>
          <w:b/>
          <w:bCs/>
          <w:color w:val="000000"/>
          <w:kern w:val="0"/>
          <w:sz w:val="31"/>
          <w:szCs w:val="31"/>
          <w:highlight w:val="none"/>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highlight w:val="none"/>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highlight w:val="none"/>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highlight w:val="none"/>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highlight w:val="none"/>
          <w:lang w:val="en-US" w:eastAsia="zh-CN" w:bidi="ar"/>
        </w:rPr>
      </w:pPr>
      <w:r>
        <w:rPr>
          <w:rFonts w:hint="eastAsia" w:ascii="宋体" w:hAnsi="宋体" w:eastAsia="宋体" w:cs="宋体"/>
          <w:b/>
          <w:bCs/>
          <w:color w:val="000000"/>
          <w:kern w:val="0"/>
          <w:sz w:val="31"/>
          <w:szCs w:val="31"/>
          <w:highlight w:val="none"/>
          <w:lang w:val="en-US" w:eastAsia="zh-CN" w:bidi="ar"/>
        </w:rPr>
        <w:t>关于符合本国产品标准的声明函</w:t>
      </w:r>
    </w:p>
    <w:p>
      <w:pPr>
        <w:pStyle w:val="2"/>
        <w:rPr>
          <w:rFonts w:hint="eastAsia" w:ascii="宋体" w:hAnsi="宋体" w:cs="宋体"/>
          <w:highlight w:val="none"/>
        </w:rPr>
      </w:pP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本公司（单位）对上述声明内容的真实性负责。如有虚假，愿承担相应法律责任。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公司（单位）名称（盖章）：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2"/>
          <w:sz w:val="21"/>
          <w:szCs w:val="21"/>
          <w:highlight w:val="none"/>
          <w:lang w:val="en-US" w:eastAsia="zh-CN" w:bidi="ar-SA"/>
        </w:rPr>
        <w:t>日期：　     年　  月　  日  </w:t>
      </w:r>
      <w:r>
        <w:rPr>
          <w:rFonts w:hint="eastAsia" w:ascii="宋体" w:hAnsi="宋体" w:eastAsia="宋体" w:cs="宋体"/>
          <w:i w:val="0"/>
          <w:iCs w:val="0"/>
          <w:caps w:val="0"/>
          <w:color w:val="auto"/>
          <w:spacing w:val="0"/>
          <w:kern w:val="0"/>
          <w:sz w:val="28"/>
          <w:szCs w:val="28"/>
          <w:highlight w:val="none"/>
          <w:u w:val="none"/>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u w:val="none"/>
          <w:shd w:val="clear" w:fill="FFFFFF"/>
          <w:vertAlign w:val="baseline"/>
          <w:lang w:val="en-US" w:eastAsia="zh-CN" w:bidi="ar"/>
        </w:rPr>
        <w:t>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1.产品如有型号，请在“产品名称”栏一并填写。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2.生产厂名与厂址应与生产厂营业执照载明的相关信息保持一致。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3.该产品的中国境内生产的组件成本占比相关要求实施前，“规定比例”栏可不填，下同。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4.该产品的关键组件要求实施前，“关键组件”栏可不填，下同。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5.该产品的关键工序要求实施前，“关键工序”栏可不填，下同</w:t>
      </w:r>
      <w:r>
        <w:rPr>
          <w:rFonts w:hint="eastAsia" w:ascii="宋体" w:hAnsi="宋体" w:eastAsia="宋体" w:cs="宋体"/>
          <w:i w:val="0"/>
          <w:iCs w:val="0"/>
          <w:caps w:val="0"/>
          <w:color w:val="auto"/>
          <w:spacing w:val="0"/>
          <w:kern w:val="0"/>
          <w:sz w:val="21"/>
          <w:szCs w:val="21"/>
          <w:highlight w:val="none"/>
          <w:u w:val="none"/>
          <w:shd w:val="clear" w:fill="FFFFFF"/>
          <w:vertAlign w:val="baseline"/>
          <w:lang w:val="en-US" w:eastAsia="zh-CN" w:bidi="ar"/>
        </w:rPr>
        <w:t>。</w:t>
      </w:r>
    </w:p>
    <w:p>
      <w:pPr>
        <w:snapToGrid w:val="0"/>
        <w:spacing w:before="50" w:after="120" w:afterLines="50"/>
        <w:jc w:val="left"/>
        <w:rPr>
          <w:rFonts w:hint="eastAsia" w:ascii="宋体" w:hAnsi="宋体" w:eastAsia="宋体" w:cs="宋体"/>
          <w:color w:val="auto"/>
          <w:szCs w:val="21"/>
          <w:highlight w:val="none"/>
        </w:rPr>
        <w:sectPr>
          <w:headerReference r:id="rId5" w:type="default"/>
          <w:footerReference r:id="rId6" w:type="default"/>
          <w:pgSz w:w="11906" w:h="16838"/>
          <w:pgMar w:top="1418" w:right="1133" w:bottom="920" w:left="1418" w:header="851" w:footer="850" w:gutter="0"/>
          <w:pgBorders>
            <w:top w:val="none" w:sz="0" w:space="0"/>
            <w:left w:val="none" w:sz="0" w:space="0"/>
            <w:bottom w:val="none" w:sz="0" w:space="0"/>
            <w:right w:val="none" w:sz="0" w:space="0"/>
          </w:pgBorders>
          <w:pgNumType w:fmt="decimal" w:start="1"/>
          <w:cols w:space="720" w:num="1"/>
          <w:docGrid w:linePitch="312" w:charSpace="0"/>
        </w:sectPr>
      </w:pPr>
    </w:p>
    <w:p>
      <w:pPr>
        <w:spacing w:line="340" w:lineRule="exact"/>
        <w:jc w:val="center"/>
        <w:rPr>
          <w:rFonts w:ascii="宋体" w:hAnsi="宋体" w:cs="宋体"/>
          <w:b/>
          <w:kern w:val="0"/>
          <w:sz w:val="21"/>
          <w:szCs w:val="21"/>
          <w:highlight w:val="none"/>
        </w:rPr>
      </w:pPr>
    </w:p>
    <w:p>
      <w:pPr>
        <w:spacing w:line="360" w:lineRule="auto"/>
        <w:jc w:val="center"/>
        <w:rPr>
          <w:rFonts w:cs="仿宋_GB2312" w:asciiTheme="minorEastAsia" w:hAnsiTheme="minorEastAsia" w:eastAsiaTheme="minorEastAsia"/>
          <w:b/>
          <w:kern w:val="0"/>
          <w:sz w:val="32"/>
          <w:szCs w:val="32"/>
          <w:highlight w:val="none"/>
        </w:rPr>
      </w:pPr>
      <w:r>
        <w:rPr>
          <w:rFonts w:hint="eastAsia" w:cs="仿宋_GB2312" w:asciiTheme="minorEastAsia" w:hAnsiTheme="minorEastAsia" w:eastAsiaTheme="minorEastAsia"/>
          <w:b/>
          <w:kern w:val="0"/>
          <w:sz w:val="32"/>
          <w:szCs w:val="32"/>
          <w:highlight w:val="none"/>
        </w:rPr>
        <w:t>三、报价文件</w:t>
      </w:r>
    </w:p>
    <w:p>
      <w:pPr>
        <w:autoSpaceDE w:val="0"/>
        <w:autoSpaceDN w:val="0"/>
        <w:spacing w:line="360" w:lineRule="exact"/>
        <w:jc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报 价 表</w:t>
      </w:r>
      <w:r>
        <w:rPr>
          <w:rFonts w:hint="eastAsia" w:ascii="宋体" w:hAnsi="宋体" w:cs="宋体"/>
          <w:b/>
          <w:bCs/>
          <w:sz w:val="28"/>
          <w:szCs w:val="28"/>
          <w:highlight w:val="none"/>
          <w:lang w:eastAsia="zh-CN"/>
        </w:rPr>
        <w:t>（最后报价）</w:t>
      </w:r>
    </w:p>
    <w:p>
      <w:pPr>
        <w:autoSpaceDE w:val="0"/>
        <w:autoSpaceDN w:val="0"/>
        <w:spacing w:line="440" w:lineRule="exact"/>
        <w:rPr>
          <w:rFonts w:ascii="宋体" w:hAnsi="宋体" w:cs="宋体"/>
          <w:kern w:val="0"/>
          <w:szCs w:val="21"/>
          <w:highlight w:val="none"/>
        </w:rPr>
      </w:pPr>
      <w:r>
        <w:rPr>
          <w:rFonts w:hint="eastAsia" w:ascii="宋体" w:hAnsi="宋体" w:cs="宋体"/>
          <w:szCs w:val="21"/>
          <w:highlight w:val="none"/>
        </w:rPr>
        <w:t>（采购人）、（采购代理机构）</w:t>
      </w:r>
      <w:r>
        <w:rPr>
          <w:rFonts w:hint="eastAsia" w:ascii="宋体" w:hAnsi="宋体" w:cs="宋体"/>
          <w:kern w:val="0"/>
          <w:szCs w:val="21"/>
          <w:highlight w:val="none"/>
          <w:lang w:val="zh-CN"/>
        </w:rPr>
        <w:t>：</w:t>
      </w:r>
    </w:p>
    <w:p>
      <w:pPr>
        <w:autoSpaceDE w:val="0"/>
        <w:autoSpaceDN w:val="0"/>
        <w:spacing w:line="440" w:lineRule="exact"/>
        <w:ind w:firstLine="420" w:firstLineChars="200"/>
        <w:rPr>
          <w:rFonts w:ascii="宋体" w:hAnsi="宋体" w:cs="宋体"/>
          <w:szCs w:val="21"/>
          <w:highlight w:val="none"/>
          <w:lang w:val="zh-CN"/>
        </w:rPr>
      </w:pPr>
      <w:r>
        <w:rPr>
          <w:rFonts w:hint="eastAsia" w:ascii="宋体" w:hAnsi="宋体" w:cs="宋体"/>
          <w:szCs w:val="21"/>
          <w:highlight w:val="none"/>
          <w:lang w:val="zh-CN"/>
        </w:rPr>
        <w:t>按你方谈判文件要求，</w:t>
      </w:r>
      <w:r>
        <w:rPr>
          <w:rFonts w:hint="eastAsia" w:ascii="宋体" w:hAnsi="宋体" w:cs="宋体"/>
          <w:szCs w:val="21"/>
          <w:highlight w:val="none"/>
        </w:rPr>
        <w:t>我们即</w:t>
      </w:r>
      <w:r>
        <w:rPr>
          <w:rFonts w:hint="eastAsia" w:ascii="宋体" w:hAnsi="宋体" w:cs="宋体"/>
          <w:szCs w:val="21"/>
          <w:highlight w:val="none"/>
          <w:lang w:val="zh-CN"/>
        </w:rPr>
        <w:t>本响应文件签字方，谨此向你方发出要约如下：如你方接受本响应，我方承诺按照如下报价表的价格完成</w:t>
      </w:r>
      <w:r>
        <w:rPr>
          <w:rFonts w:hint="eastAsia" w:ascii="宋体" w:hAnsi="宋体" w:cs="宋体"/>
          <w:szCs w:val="21"/>
          <w:highlight w:val="none"/>
          <w:u w:val="single"/>
        </w:rPr>
        <w:t>（项目名称、项目编号）</w:t>
      </w:r>
      <w:r>
        <w:rPr>
          <w:rFonts w:hint="eastAsia" w:ascii="宋体" w:hAnsi="宋体" w:cs="宋体"/>
          <w:szCs w:val="21"/>
          <w:highlight w:val="none"/>
          <w:lang w:val="zh-CN"/>
        </w:rPr>
        <w:t>的实施。</w:t>
      </w:r>
    </w:p>
    <w:tbl>
      <w:tblPr>
        <w:tblStyle w:val="71"/>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26"/>
        <w:gridCol w:w="1231"/>
        <w:gridCol w:w="1217"/>
        <w:gridCol w:w="1095"/>
        <w:gridCol w:w="983"/>
        <w:gridCol w:w="147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686" w:type="dxa"/>
            <w:tcBorders>
              <w:bottom w:val="single" w:color="auto" w:sz="4" w:space="0"/>
            </w:tcBorders>
            <w:vAlign w:val="center"/>
          </w:tcPr>
          <w:p>
            <w:pPr>
              <w:pStyle w:val="36"/>
              <w:spacing w:line="360" w:lineRule="exact"/>
              <w:jc w:val="center"/>
              <w:rPr>
                <w:rFonts w:hAnsi="宋体" w:cs="宋体"/>
                <w:spacing w:val="-20"/>
                <w:highlight w:val="none"/>
              </w:rPr>
            </w:pPr>
            <w:r>
              <w:rPr>
                <w:rFonts w:hint="eastAsia" w:hAnsi="宋体" w:cs="宋体"/>
                <w:spacing w:val="-20"/>
                <w:highlight w:val="none"/>
              </w:rPr>
              <w:t>序号</w:t>
            </w:r>
          </w:p>
        </w:tc>
        <w:tc>
          <w:tcPr>
            <w:tcW w:w="1426" w:type="dxa"/>
            <w:tcBorders>
              <w:bottom w:val="single" w:color="auto" w:sz="4" w:space="0"/>
            </w:tcBorders>
            <w:vAlign w:val="center"/>
          </w:tcPr>
          <w:p>
            <w:pPr>
              <w:tabs>
                <w:tab w:val="left" w:pos="180"/>
                <w:tab w:val="left" w:pos="1620"/>
              </w:tabs>
              <w:spacing w:line="360" w:lineRule="exact"/>
              <w:jc w:val="center"/>
              <w:rPr>
                <w:rFonts w:ascii="宋体" w:hAnsi="宋体" w:cs="宋体"/>
                <w:szCs w:val="21"/>
                <w:highlight w:val="none"/>
              </w:rPr>
            </w:pPr>
            <w:r>
              <w:rPr>
                <w:rFonts w:hint="eastAsia" w:ascii="宋体" w:hAnsi="宋体" w:cs="宋体"/>
                <w:szCs w:val="21"/>
                <w:highlight w:val="none"/>
              </w:rPr>
              <w:t>名称</w:t>
            </w:r>
          </w:p>
        </w:tc>
        <w:tc>
          <w:tcPr>
            <w:tcW w:w="1231" w:type="dxa"/>
            <w:tcBorders>
              <w:bottom w:val="single" w:color="auto" w:sz="4" w:space="0"/>
            </w:tcBorders>
            <w:vAlign w:val="center"/>
          </w:tcPr>
          <w:p>
            <w:pPr>
              <w:tabs>
                <w:tab w:val="left" w:pos="180"/>
                <w:tab w:val="left" w:pos="1620"/>
              </w:tabs>
              <w:spacing w:line="360" w:lineRule="exact"/>
              <w:jc w:val="center"/>
              <w:rPr>
                <w:rFonts w:ascii="宋体" w:hAnsi="宋体" w:cs="宋体"/>
                <w:szCs w:val="21"/>
                <w:highlight w:val="none"/>
              </w:rPr>
            </w:pPr>
            <w:r>
              <w:rPr>
                <w:rFonts w:hint="eastAsia" w:ascii="宋体" w:hAnsi="宋体" w:cs="宋体"/>
                <w:szCs w:val="21"/>
                <w:highlight w:val="none"/>
              </w:rPr>
              <w:t>品牌、型号规格</w:t>
            </w:r>
          </w:p>
        </w:tc>
        <w:tc>
          <w:tcPr>
            <w:tcW w:w="1217" w:type="dxa"/>
            <w:tcBorders>
              <w:bottom w:val="single" w:color="auto" w:sz="4" w:space="0"/>
            </w:tcBorders>
            <w:vAlign w:val="center"/>
          </w:tcPr>
          <w:p>
            <w:pPr>
              <w:tabs>
                <w:tab w:val="left" w:pos="180"/>
                <w:tab w:val="left" w:pos="1620"/>
              </w:tabs>
              <w:spacing w:line="360" w:lineRule="exact"/>
              <w:jc w:val="center"/>
              <w:rPr>
                <w:rFonts w:ascii="宋体" w:hAnsi="宋体" w:cs="宋体"/>
                <w:szCs w:val="21"/>
                <w:highlight w:val="none"/>
              </w:rPr>
            </w:pPr>
            <w:r>
              <w:rPr>
                <w:rFonts w:hint="eastAsia" w:ascii="宋体" w:hAnsi="宋体" w:cs="宋体"/>
                <w:szCs w:val="21"/>
                <w:highlight w:val="none"/>
              </w:rPr>
              <w:t>生产厂家</w:t>
            </w:r>
          </w:p>
        </w:tc>
        <w:tc>
          <w:tcPr>
            <w:tcW w:w="1095" w:type="dxa"/>
            <w:tcBorders>
              <w:bottom w:val="single" w:color="auto" w:sz="4" w:space="0"/>
            </w:tcBorders>
            <w:vAlign w:val="center"/>
          </w:tcPr>
          <w:p>
            <w:pPr>
              <w:tabs>
                <w:tab w:val="left" w:pos="180"/>
                <w:tab w:val="left" w:pos="1620"/>
              </w:tabs>
              <w:spacing w:line="360" w:lineRule="exact"/>
              <w:jc w:val="center"/>
              <w:rPr>
                <w:rFonts w:ascii="宋体" w:hAnsi="宋体" w:cs="宋体"/>
                <w:highlight w:val="none"/>
              </w:rPr>
            </w:pPr>
            <w:r>
              <w:rPr>
                <w:rFonts w:hint="eastAsia" w:ascii="宋体" w:hAnsi="宋体" w:cs="宋体"/>
                <w:highlight w:val="none"/>
              </w:rPr>
              <w:t>数量</w:t>
            </w:r>
          </w:p>
        </w:tc>
        <w:tc>
          <w:tcPr>
            <w:tcW w:w="983" w:type="dxa"/>
            <w:tcBorders>
              <w:bottom w:val="single" w:color="auto" w:sz="4" w:space="0"/>
            </w:tcBorders>
            <w:vAlign w:val="center"/>
          </w:tcPr>
          <w:p>
            <w:pPr>
              <w:pStyle w:val="640"/>
              <w:spacing w:line="400" w:lineRule="exact"/>
              <w:ind w:firstLine="0" w:firstLineChars="0"/>
              <w:jc w:val="center"/>
              <w:rPr>
                <w:rFonts w:ascii="宋体" w:hAnsi="宋体" w:cs="宋体"/>
                <w:highlight w:val="none"/>
              </w:rPr>
            </w:pPr>
            <w:r>
              <w:rPr>
                <w:rFonts w:hint="eastAsia" w:ascii="宋体" w:hAnsi="宋体" w:cs="宋体"/>
                <w:highlight w:val="none"/>
              </w:rPr>
              <w:t>单位</w:t>
            </w:r>
          </w:p>
        </w:tc>
        <w:tc>
          <w:tcPr>
            <w:tcW w:w="1474" w:type="dxa"/>
            <w:tcBorders>
              <w:bottom w:val="single" w:color="auto" w:sz="4" w:space="0"/>
            </w:tcBorders>
            <w:vAlign w:val="center"/>
          </w:tcPr>
          <w:p>
            <w:pPr>
              <w:pStyle w:val="36"/>
              <w:spacing w:line="360" w:lineRule="exact"/>
              <w:jc w:val="center"/>
              <w:rPr>
                <w:rFonts w:hAnsi="宋体" w:cs="宋体"/>
                <w:highlight w:val="none"/>
              </w:rPr>
            </w:pPr>
            <w:r>
              <w:rPr>
                <w:rFonts w:hint="eastAsia" w:hAnsi="宋体" w:cs="宋体"/>
                <w:highlight w:val="none"/>
              </w:rPr>
              <w:t>单价（元）</w:t>
            </w:r>
          </w:p>
        </w:tc>
        <w:tc>
          <w:tcPr>
            <w:tcW w:w="1351" w:type="dxa"/>
            <w:tcBorders>
              <w:bottom w:val="single" w:color="auto" w:sz="4" w:space="0"/>
            </w:tcBorders>
            <w:vAlign w:val="center"/>
          </w:tcPr>
          <w:p>
            <w:pPr>
              <w:pStyle w:val="36"/>
              <w:spacing w:line="360" w:lineRule="exact"/>
              <w:jc w:val="center"/>
              <w:rPr>
                <w:rFonts w:hAnsi="宋体" w:cs="宋体"/>
                <w:highlight w:val="none"/>
              </w:rPr>
            </w:pPr>
            <w:r>
              <w:rPr>
                <w:rFonts w:hint="eastAsia" w:hAnsi="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68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1426" w:type="dxa"/>
            <w:vAlign w:val="center"/>
          </w:tcPr>
          <w:p>
            <w:pPr>
              <w:jc w:val="center"/>
              <w:rPr>
                <w:rFonts w:ascii="宋体" w:hAnsi="宋体" w:cs="宋体"/>
                <w:highlight w:val="none"/>
              </w:rPr>
            </w:pPr>
          </w:p>
        </w:tc>
        <w:tc>
          <w:tcPr>
            <w:tcW w:w="1231" w:type="dxa"/>
            <w:vAlign w:val="center"/>
          </w:tcPr>
          <w:p>
            <w:pPr>
              <w:jc w:val="center"/>
              <w:rPr>
                <w:rFonts w:ascii="宋体" w:hAnsi="宋体" w:cs="宋体"/>
                <w:highlight w:val="none"/>
              </w:rPr>
            </w:pPr>
          </w:p>
        </w:tc>
        <w:tc>
          <w:tcPr>
            <w:tcW w:w="1217" w:type="dxa"/>
            <w:vAlign w:val="center"/>
          </w:tcPr>
          <w:p>
            <w:pPr>
              <w:pStyle w:val="36"/>
              <w:rPr>
                <w:rFonts w:hAnsi="宋体" w:cs="宋体"/>
                <w:highlight w:val="none"/>
              </w:rPr>
            </w:pPr>
          </w:p>
        </w:tc>
        <w:tc>
          <w:tcPr>
            <w:tcW w:w="1095" w:type="dxa"/>
            <w:vAlign w:val="center"/>
          </w:tcPr>
          <w:p>
            <w:pPr>
              <w:pStyle w:val="36"/>
              <w:jc w:val="center"/>
              <w:rPr>
                <w:rFonts w:hAnsi="宋体" w:cs="宋体"/>
                <w:highlight w:val="none"/>
              </w:rPr>
            </w:pPr>
          </w:p>
        </w:tc>
        <w:tc>
          <w:tcPr>
            <w:tcW w:w="983" w:type="dxa"/>
            <w:vAlign w:val="center"/>
          </w:tcPr>
          <w:p>
            <w:pPr>
              <w:pStyle w:val="36"/>
              <w:rPr>
                <w:rFonts w:hAnsi="宋体" w:cs="宋体"/>
                <w:highlight w:val="none"/>
              </w:rPr>
            </w:pPr>
          </w:p>
        </w:tc>
        <w:tc>
          <w:tcPr>
            <w:tcW w:w="1474" w:type="dxa"/>
            <w:vAlign w:val="center"/>
          </w:tcPr>
          <w:p>
            <w:pPr>
              <w:pStyle w:val="36"/>
              <w:rPr>
                <w:rFonts w:hAnsi="宋体" w:cs="宋体"/>
                <w:spacing w:val="-6"/>
                <w:highlight w:val="none"/>
              </w:rPr>
            </w:pPr>
          </w:p>
        </w:tc>
        <w:tc>
          <w:tcPr>
            <w:tcW w:w="1351" w:type="dxa"/>
            <w:vAlign w:val="center"/>
          </w:tcPr>
          <w:p>
            <w:pPr>
              <w:pStyle w:val="36"/>
              <w:rPr>
                <w:rFonts w:hAnsi="宋体" w:cs="宋体"/>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686"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1426" w:type="dxa"/>
            <w:vAlign w:val="center"/>
          </w:tcPr>
          <w:p>
            <w:pPr>
              <w:jc w:val="center"/>
              <w:rPr>
                <w:rFonts w:ascii="宋体" w:hAnsi="宋体" w:cs="宋体"/>
                <w:highlight w:val="none"/>
              </w:rPr>
            </w:pPr>
          </w:p>
        </w:tc>
        <w:tc>
          <w:tcPr>
            <w:tcW w:w="1231" w:type="dxa"/>
            <w:vAlign w:val="center"/>
          </w:tcPr>
          <w:p>
            <w:pPr>
              <w:jc w:val="center"/>
              <w:rPr>
                <w:rFonts w:ascii="宋体" w:hAnsi="宋体" w:cs="宋体"/>
                <w:highlight w:val="none"/>
              </w:rPr>
            </w:pPr>
          </w:p>
        </w:tc>
        <w:tc>
          <w:tcPr>
            <w:tcW w:w="1217" w:type="dxa"/>
            <w:vAlign w:val="center"/>
          </w:tcPr>
          <w:p>
            <w:pPr>
              <w:pStyle w:val="36"/>
              <w:rPr>
                <w:rFonts w:hAnsi="宋体" w:cs="宋体"/>
                <w:highlight w:val="none"/>
              </w:rPr>
            </w:pPr>
          </w:p>
        </w:tc>
        <w:tc>
          <w:tcPr>
            <w:tcW w:w="1095" w:type="dxa"/>
            <w:vAlign w:val="center"/>
          </w:tcPr>
          <w:p>
            <w:pPr>
              <w:pStyle w:val="36"/>
              <w:jc w:val="center"/>
              <w:rPr>
                <w:rFonts w:hAnsi="宋体" w:cs="宋体"/>
                <w:highlight w:val="none"/>
              </w:rPr>
            </w:pPr>
          </w:p>
        </w:tc>
        <w:tc>
          <w:tcPr>
            <w:tcW w:w="983" w:type="dxa"/>
            <w:vAlign w:val="center"/>
          </w:tcPr>
          <w:p>
            <w:pPr>
              <w:pStyle w:val="36"/>
              <w:rPr>
                <w:rFonts w:hAnsi="宋体" w:cs="宋体"/>
                <w:highlight w:val="none"/>
              </w:rPr>
            </w:pPr>
          </w:p>
        </w:tc>
        <w:tc>
          <w:tcPr>
            <w:tcW w:w="1474" w:type="dxa"/>
            <w:vAlign w:val="center"/>
          </w:tcPr>
          <w:p>
            <w:pPr>
              <w:pStyle w:val="36"/>
              <w:rPr>
                <w:rFonts w:hAnsi="宋体" w:cs="宋体"/>
                <w:spacing w:val="-6"/>
                <w:highlight w:val="none"/>
              </w:rPr>
            </w:pPr>
          </w:p>
        </w:tc>
        <w:tc>
          <w:tcPr>
            <w:tcW w:w="1351" w:type="dxa"/>
            <w:vAlign w:val="center"/>
          </w:tcPr>
          <w:p>
            <w:pPr>
              <w:pStyle w:val="36"/>
              <w:rPr>
                <w:rFonts w:hAnsi="宋体" w:cs="宋体"/>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686"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1426" w:type="dxa"/>
            <w:vAlign w:val="center"/>
          </w:tcPr>
          <w:p>
            <w:pPr>
              <w:jc w:val="center"/>
              <w:rPr>
                <w:rFonts w:ascii="宋体" w:hAnsi="宋体" w:cs="宋体"/>
                <w:highlight w:val="none"/>
              </w:rPr>
            </w:pPr>
          </w:p>
        </w:tc>
        <w:tc>
          <w:tcPr>
            <w:tcW w:w="1231" w:type="dxa"/>
            <w:vAlign w:val="center"/>
          </w:tcPr>
          <w:p>
            <w:pPr>
              <w:jc w:val="center"/>
              <w:rPr>
                <w:rFonts w:ascii="宋体" w:hAnsi="宋体" w:cs="宋体"/>
                <w:highlight w:val="none"/>
              </w:rPr>
            </w:pPr>
          </w:p>
        </w:tc>
        <w:tc>
          <w:tcPr>
            <w:tcW w:w="1217" w:type="dxa"/>
            <w:vAlign w:val="center"/>
          </w:tcPr>
          <w:p>
            <w:pPr>
              <w:pStyle w:val="36"/>
              <w:rPr>
                <w:rFonts w:hAnsi="宋体" w:cs="宋体"/>
                <w:highlight w:val="none"/>
              </w:rPr>
            </w:pPr>
          </w:p>
        </w:tc>
        <w:tc>
          <w:tcPr>
            <w:tcW w:w="1095" w:type="dxa"/>
            <w:vAlign w:val="center"/>
          </w:tcPr>
          <w:p>
            <w:pPr>
              <w:pStyle w:val="36"/>
              <w:jc w:val="center"/>
              <w:rPr>
                <w:rFonts w:hAnsi="宋体" w:cs="宋体"/>
                <w:highlight w:val="none"/>
              </w:rPr>
            </w:pPr>
          </w:p>
        </w:tc>
        <w:tc>
          <w:tcPr>
            <w:tcW w:w="983" w:type="dxa"/>
            <w:vAlign w:val="center"/>
          </w:tcPr>
          <w:p>
            <w:pPr>
              <w:pStyle w:val="36"/>
              <w:rPr>
                <w:rFonts w:hAnsi="宋体" w:cs="宋体"/>
                <w:highlight w:val="none"/>
              </w:rPr>
            </w:pPr>
          </w:p>
        </w:tc>
        <w:tc>
          <w:tcPr>
            <w:tcW w:w="1474" w:type="dxa"/>
            <w:vAlign w:val="center"/>
          </w:tcPr>
          <w:p>
            <w:pPr>
              <w:pStyle w:val="36"/>
              <w:rPr>
                <w:rFonts w:hAnsi="宋体" w:cs="宋体"/>
                <w:spacing w:val="-6"/>
                <w:highlight w:val="none"/>
              </w:rPr>
            </w:pPr>
          </w:p>
        </w:tc>
        <w:tc>
          <w:tcPr>
            <w:tcW w:w="1351" w:type="dxa"/>
            <w:vAlign w:val="center"/>
          </w:tcPr>
          <w:p>
            <w:pPr>
              <w:pStyle w:val="36"/>
              <w:rPr>
                <w:rFonts w:hAnsi="宋体" w:cs="宋体"/>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686" w:type="dxa"/>
            <w:vAlign w:val="center"/>
          </w:tcPr>
          <w:p>
            <w:pPr>
              <w:jc w:val="center"/>
              <w:rPr>
                <w:rFonts w:ascii="宋体" w:hAnsi="宋体" w:cs="宋体"/>
                <w:sz w:val="24"/>
                <w:highlight w:val="none"/>
              </w:rPr>
            </w:pPr>
            <w:r>
              <w:rPr>
                <w:rFonts w:hint="eastAsia" w:ascii="宋体" w:hAnsi="宋体" w:cs="宋体"/>
                <w:sz w:val="24"/>
                <w:highlight w:val="none"/>
              </w:rPr>
              <w:t>4</w:t>
            </w:r>
          </w:p>
        </w:tc>
        <w:tc>
          <w:tcPr>
            <w:tcW w:w="1426" w:type="dxa"/>
            <w:vAlign w:val="center"/>
          </w:tcPr>
          <w:p>
            <w:pPr>
              <w:jc w:val="center"/>
              <w:rPr>
                <w:rFonts w:ascii="宋体" w:hAnsi="宋体" w:cs="宋体"/>
                <w:highlight w:val="none"/>
              </w:rPr>
            </w:pPr>
          </w:p>
        </w:tc>
        <w:tc>
          <w:tcPr>
            <w:tcW w:w="1231" w:type="dxa"/>
            <w:vAlign w:val="center"/>
          </w:tcPr>
          <w:p>
            <w:pPr>
              <w:jc w:val="center"/>
              <w:rPr>
                <w:rFonts w:ascii="宋体" w:hAnsi="宋体" w:cs="宋体"/>
                <w:highlight w:val="none"/>
              </w:rPr>
            </w:pPr>
          </w:p>
        </w:tc>
        <w:tc>
          <w:tcPr>
            <w:tcW w:w="1217" w:type="dxa"/>
            <w:vAlign w:val="center"/>
          </w:tcPr>
          <w:p>
            <w:pPr>
              <w:pStyle w:val="36"/>
              <w:rPr>
                <w:rFonts w:hAnsi="宋体" w:cs="宋体"/>
                <w:highlight w:val="none"/>
              </w:rPr>
            </w:pPr>
          </w:p>
        </w:tc>
        <w:tc>
          <w:tcPr>
            <w:tcW w:w="1095" w:type="dxa"/>
            <w:vAlign w:val="center"/>
          </w:tcPr>
          <w:p>
            <w:pPr>
              <w:pStyle w:val="36"/>
              <w:jc w:val="center"/>
              <w:rPr>
                <w:rFonts w:hAnsi="宋体" w:cs="宋体"/>
                <w:highlight w:val="none"/>
              </w:rPr>
            </w:pPr>
          </w:p>
        </w:tc>
        <w:tc>
          <w:tcPr>
            <w:tcW w:w="983" w:type="dxa"/>
            <w:vAlign w:val="center"/>
          </w:tcPr>
          <w:p>
            <w:pPr>
              <w:pStyle w:val="36"/>
              <w:rPr>
                <w:rFonts w:hAnsi="宋体" w:cs="宋体"/>
                <w:highlight w:val="none"/>
              </w:rPr>
            </w:pPr>
          </w:p>
        </w:tc>
        <w:tc>
          <w:tcPr>
            <w:tcW w:w="1474" w:type="dxa"/>
            <w:vAlign w:val="center"/>
          </w:tcPr>
          <w:p>
            <w:pPr>
              <w:pStyle w:val="36"/>
              <w:rPr>
                <w:rFonts w:hAnsi="宋体" w:cs="宋体"/>
                <w:spacing w:val="-6"/>
                <w:highlight w:val="none"/>
              </w:rPr>
            </w:pPr>
          </w:p>
        </w:tc>
        <w:tc>
          <w:tcPr>
            <w:tcW w:w="1351" w:type="dxa"/>
            <w:vAlign w:val="center"/>
          </w:tcPr>
          <w:p>
            <w:pPr>
              <w:pStyle w:val="36"/>
              <w:rPr>
                <w:rFonts w:hAnsi="宋体" w:cs="宋体"/>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9463" w:type="dxa"/>
            <w:gridSpan w:val="8"/>
            <w:vAlign w:val="center"/>
          </w:tcPr>
          <w:p>
            <w:pPr>
              <w:pStyle w:val="36"/>
              <w:rPr>
                <w:rFonts w:hAnsi="宋体" w:cs="宋体"/>
                <w:spacing w:val="-6"/>
                <w:highlight w:val="none"/>
              </w:rPr>
            </w:pPr>
            <w:r>
              <w:rPr>
                <w:rFonts w:hint="eastAsia" w:hAnsi="宋体" w:cs="宋体"/>
                <w:spacing w:val="-6"/>
                <w:highlight w:val="none"/>
              </w:rPr>
              <w:t>总报价（人民币）： 大写：</w:t>
            </w:r>
            <w:r>
              <w:rPr>
                <w:rFonts w:hint="eastAsia" w:hAnsi="宋体" w:cs="宋体"/>
                <w:spacing w:val="-6"/>
                <w:highlight w:val="none"/>
                <w:u w:val="single"/>
              </w:rPr>
              <w:t xml:space="preserve">人民币                           </w:t>
            </w:r>
            <w:r>
              <w:rPr>
                <w:rFonts w:hint="eastAsia" w:hAnsi="宋体" w:cs="宋体"/>
                <w:spacing w:val="-6"/>
                <w:highlight w:val="none"/>
              </w:rPr>
              <w:t xml:space="preserve">  小写</w:t>
            </w:r>
            <w:r>
              <w:rPr>
                <w:rFonts w:hint="eastAsia" w:hAnsi="宋体" w:cs="宋体"/>
                <w:spacing w:val="-6"/>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9463" w:type="dxa"/>
            <w:gridSpan w:val="8"/>
            <w:vAlign w:val="center"/>
          </w:tcPr>
          <w:p>
            <w:pPr>
              <w:pStyle w:val="36"/>
              <w:rPr>
                <w:rFonts w:hAnsi="宋体" w:cs="宋体"/>
                <w:spacing w:val="-6"/>
                <w:highlight w:val="none"/>
              </w:rPr>
            </w:pPr>
            <w:r>
              <w:rPr>
                <w:rFonts w:hint="eastAsia" w:hAnsi="宋体" w:cs="宋体"/>
                <w:spacing w:val="-6"/>
                <w:highlight w:val="none"/>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jc w:val="center"/>
        </w:trPr>
        <w:tc>
          <w:tcPr>
            <w:tcW w:w="9463" w:type="dxa"/>
            <w:gridSpan w:val="8"/>
            <w:vAlign w:val="center"/>
          </w:tcPr>
          <w:p>
            <w:pPr>
              <w:pStyle w:val="36"/>
              <w:rPr>
                <w:rFonts w:hAnsi="宋体" w:cs="宋体"/>
                <w:spacing w:val="-6"/>
                <w:highlight w:val="none"/>
              </w:rPr>
            </w:pPr>
            <w:r>
              <w:rPr>
                <w:rFonts w:hint="eastAsia" w:hAnsi="宋体" w:cs="宋体"/>
                <w:spacing w:val="-6"/>
                <w:highlight w:val="none"/>
              </w:rPr>
              <w:t>交货地点：</w:t>
            </w:r>
          </w:p>
        </w:tc>
      </w:tr>
    </w:tbl>
    <w:p>
      <w:pPr>
        <w:keepNext/>
        <w:keepLines/>
        <w:widowControl/>
        <w:adjustRightInd/>
        <w:spacing w:line="360" w:lineRule="exact"/>
        <w:rPr>
          <w:highlight w:val="none"/>
        </w:rPr>
      </w:pPr>
      <w:r>
        <w:rPr>
          <w:rFonts w:hint="eastAsia" w:ascii="宋体" w:hAnsi="宋体"/>
          <w:bCs/>
          <w:highlight w:val="none"/>
        </w:rPr>
        <w:t>注：1.报价包括内容见第四部分</w:t>
      </w:r>
      <w:r>
        <w:rPr>
          <w:rFonts w:hint="eastAsia" w:ascii="宋体" w:hAnsi="宋体"/>
          <w:bCs/>
          <w:szCs w:val="21"/>
          <w:highlight w:val="none"/>
        </w:rPr>
        <w:t xml:space="preserve"> “采购需求”中的相关要求</w:t>
      </w:r>
      <w:r>
        <w:rPr>
          <w:rFonts w:hint="eastAsia" w:ascii="宋体" w:hAnsi="宋体"/>
          <w:szCs w:val="21"/>
          <w:highlight w:val="none"/>
        </w:rPr>
        <w:t>。</w:t>
      </w:r>
    </w:p>
    <w:p>
      <w:pPr>
        <w:spacing w:line="360" w:lineRule="exact"/>
        <w:ind w:firstLine="422" w:firstLineChars="200"/>
        <w:rPr>
          <w:rFonts w:ascii="宋体" w:hAnsi="宋体" w:cs="宋体"/>
          <w:szCs w:val="21"/>
          <w:highlight w:val="none"/>
        </w:rPr>
      </w:pPr>
      <w:r>
        <w:rPr>
          <w:rFonts w:hint="eastAsia" w:ascii="宋体" w:hAnsi="宋体" w:cs="宋体"/>
          <w:b/>
          <w:highlight w:val="none"/>
        </w:rPr>
        <w:t>2.谈判过程中，</w:t>
      </w:r>
      <w:r>
        <w:rPr>
          <w:rFonts w:hint="eastAsia" w:hAnsi="宋体" w:cs="宋体"/>
          <w:b/>
          <w:highlight w:val="none"/>
        </w:rPr>
        <w:t>多轮</w:t>
      </w:r>
      <w:r>
        <w:rPr>
          <w:rFonts w:hint="eastAsia" w:ascii="宋体" w:hAnsi="宋体" w:cs="宋体"/>
          <w:b/>
          <w:highlight w:val="none"/>
        </w:rPr>
        <w:t>报价（包括最终报价）均以上述</w:t>
      </w:r>
      <w:r>
        <w:rPr>
          <w:rFonts w:hint="eastAsia" w:ascii="宋体" w:hAnsi="宋体" w:cs="宋体"/>
          <w:b/>
          <w:highlight w:val="none"/>
          <w:u w:val="single"/>
        </w:rPr>
        <w:t>报价表</w:t>
      </w:r>
      <w:r>
        <w:rPr>
          <w:rFonts w:hint="eastAsia" w:ascii="宋体" w:hAnsi="宋体" w:cs="宋体"/>
          <w:b/>
          <w:highlight w:val="none"/>
        </w:rPr>
        <w:t>的格式报价；网上在线报价时，</w:t>
      </w:r>
      <w:r>
        <w:rPr>
          <w:rFonts w:hint="eastAsia" w:ascii="宋体" w:hAnsi="宋体" w:cs="宋体"/>
          <w:b/>
          <w:highlight w:val="none"/>
          <w:u w:val="single"/>
        </w:rPr>
        <w:t>报价表必须以附件的形式上传，否则出现任何问题后果自负</w:t>
      </w:r>
      <w:r>
        <w:rPr>
          <w:rFonts w:hint="eastAsia" w:ascii="宋体" w:hAnsi="宋体" w:cs="宋体"/>
          <w:b/>
          <w:highlight w:val="none"/>
        </w:rPr>
        <w:t>。线上报价上传时间最多为30分钟，</w:t>
      </w:r>
      <w:r>
        <w:rPr>
          <w:rFonts w:hint="eastAsia" w:ascii="宋体" w:hAnsi="宋体" w:cs="宋体"/>
          <w:b/>
          <w:highlight w:val="none"/>
          <w:u w:val="single"/>
        </w:rPr>
        <w:t>请各供应商提前做好相应的报价表，以免耽误报价</w:t>
      </w:r>
      <w:r>
        <w:rPr>
          <w:rFonts w:hint="eastAsia" w:ascii="宋体" w:hAnsi="宋体" w:cs="宋体"/>
          <w:b/>
          <w:highlight w:val="none"/>
        </w:rPr>
        <w:t>。</w:t>
      </w:r>
    </w:p>
    <w:p>
      <w:pPr>
        <w:pStyle w:val="36"/>
        <w:adjustRightInd/>
        <w:spacing w:line="360" w:lineRule="exact"/>
        <w:ind w:firstLine="420" w:firstLineChars="200"/>
        <w:rPr>
          <w:rFonts w:hAnsi="宋体" w:cs="宋体"/>
          <w:highlight w:val="none"/>
        </w:rPr>
      </w:pPr>
      <w:r>
        <w:rPr>
          <w:rFonts w:hint="eastAsia" w:hAnsi="宋体" w:cs="宋体"/>
          <w:highlight w:val="none"/>
        </w:rPr>
        <w:t>3.最终报价超过</w:t>
      </w:r>
      <w:r>
        <w:rPr>
          <w:rFonts w:hint="eastAsia" w:ascii="宋体" w:hAnsi="宋体" w:cs="宋体"/>
          <w:b/>
          <w:bCs/>
          <w:szCs w:val="21"/>
          <w:highlight w:val="none"/>
          <w:lang w:eastAsia="zh-CN"/>
        </w:rPr>
        <w:t>各分项预算</w:t>
      </w:r>
      <w:r>
        <w:rPr>
          <w:rFonts w:hint="eastAsia" w:hAnsi="宋体" w:cs="宋体"/>
          <w:b/>
          <w:bCs/>
          <w:szCs w:val="21"/>
          <w:highlight w:val="none"/>
          <w:lang w:eastAsia="zh-CN"/>
        </w:rPr>
        <w:t>单价</w:t>
      </w:r>
      <w:r>
        <w:rPr>
          <w:rFonts w:hint="eastAsia" w:ascii="宋体" w:hAnsi="宋体" w:cs="宋体"/>
          <w:b/>
          <w:bCs/>
          <w:szCs w:val="21"/>
          <w:highlight w:val="none"/>
          <w:lang w:eastAsia="zh-CN"/>
        </w:rPr>
        <w:t>和</w:t>
      </w:r>
      <w:r>
        <w:rPr>
          <w:rFonts w:hint="eastAsia" w:hAnsi="宋体" w:cs="宋体"/>
          <w:highlight w:val="none"/>
        </w:rPr>
        <w:t>最高限价</w:t>
      </w:r>
      <w:r>
        <w:rPr>
          <w:rFonts w:hint="eastAsia" w:hAnsi="宋体"/>
          <w:bCs/>
          <w:highlight w:val="none"/>
        </w:rPr>
        <w:t>以及预算</w:t>
      </w:r>
      <w:r>
        <w:rPr>
          <w:rFonts w:hint="eastAsia" w:hAnsi="宋体"/>
          <w:bCs/>
          <w:highlight w:val="none"/>
          <w:lang w:eastAsia="zh-CN"/>
        </w:rPr>
        <w:t>总</w:t>
      </w:r>
      <w:r>
        <w:rPr>
          <w:rFonts w:hint="eastAsia" w:hAnsi="宋体"/>
          <w:bCs/>
          <w:highlight w:val="none"/>
        </w:rPr>
        <w:t>金额的，</w:t>
      </w:r>
      <w:r>
        <w:rPr>
          <w:rFonts w:hint="eastAsia" w:hAnsi="宋体" w:cs="宋体"/>
          <w:highlight w:val="none"/>
        </w:rPr>
        <w:t>按参加竞争性谈判采购无效处理。</w:t>
      </w:r>
    </w:p>
    <w:p>
      <w:pPr>
        <w:spacing w:line="360" w:lineRule="exact"/>
        <w:ind w:firstLine="420" w:firstLineChars="200"/>
        <w:rPr>
          <w:rFonts w:ascii="宋体" w:hAnsi="宋体" w:cs="宋体"/>
          <w:kern w:val="0"/>
          <w:szCs w:val="21"/>
          <w:highlight w:val="none"/>
          <w:lang w:val="zh-CN"/>
        </w:rPr>
      </w:pPr>
      <w:r>
        <w:rPr>
          <w:rFonts w:hint="eastAsia" w:ascii="宋体" w:hAnsi="宋体" w:cs="宋体"/>
          <w:kern w:val="0"/>
          <w:szCs w:val="21"/>
          <w:highlight w:val="none"/>
        </w:rPr>
        <w:t>4.</w:t>
      </w:r>
      <w:r>
        <w:rPr>
          <w:rFonts w:hint="eastAsia" w:ascii="宋体" w:hAnsi="宋体" w:cs="宋体"/>
          <w:kern w:val="0"/>
          <w:szCs w:val="21"/>
          <w:highlight w:val="none"/>
          <w:lang w:val="zh-CN"/>
        </w:rPr>
        <w:t>供应商需按本表格式填写</w:t>
      </w:r>
      <w:r>
        <w:rPr>
          <w:rFonts w:hint="eastAsia" w:ascii="宋体" w:hAnsi="宋体" w:cs="宋体"/>
          <w:b/>
          <w:kern w:val="0"/>
          <w:szCs w:val="21"/>
          <w:highlight w:val="none"/>
          <w:lang w:val="zh-CN"/>
        </w:rPr>
        <w:t>，</w:t>
      </w:r>
      <w:r>
        <w:rPr>
          <w:rFonts w:hint="eastAsia" w:ascii="宋体" w:hAnsi="宋体" w:cs="宋体"/>
          <w:b/>
          <w:kern w:val="0"/>
          <w:szCs w:val="21"/>
          <w:highlight w:val="none"/>
        </w:rPr>
        <w:t>否则视为</w:t>
      </w:r>
      <w:r>
        <w:rPr>
          <w:rFonts w:hint="eastAsia" w:ascii="宋体" w:hAnsi="宋体" w:cs="宋体"/>
          <w:b/>
          <w:szCs w:val="21"/>
          <w:highlight w:val="none"/>
        </w:rPr>
        <w:t>响应文件含有采购人不能接受的附加条件，产生的后果由</w:t>
      </w:r>
      <w:r>
        <w:rPr>
          <w:rFonts w:hint="eastAsia" w:ascii="宋体" w:hAnsi="宋体" w:cs="宋体"/>
          <w:b/>
          <w:bCs/>
          <w:kern w:val="0"/>
          <w:szCs w:val="21"/>
          <w:highlight w:val="none"/>
          <w:lang w:val="zh-CN"/>
        </w:rPr>
        <w:t>供应商</w:t>
      </w:r>
      <w:r>
        <w:rPr>
          <w:rFonts w:hint="eastAsia" w:ascii="宋体" w:hAnsi="宋体" w:cs="宋体"/>
          <w:b/>
          <w:szCs w:val="21"/>
          <w:highlight w:val="none"/>
        </w:rPr>
        <w:t>自负</w:t>
      </w:r>
      <w:r>
        <w:rPr>
          <w:rFonts w:hint="eastAsia" w:ascii="宋体" w:hAnsi="宋体" w:cs="宋体"/>
          <w:kern w:val="0"/>
          <w:szCs w:val="21"/>
          <w:highlight w:val="none"/>
          <w:lang w:val="zh-CN"/>
        </w:rPr>
        <w:t>。</w:t>
      </w:r>
    </w:p>
    <w:p>
      <w:pPr>
        <w:snapToGrid w:val="0"/>
        <w:spacing w:line="360" w:lineRule="exact"/>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rPr>
        <w:t>5.</w:t>
      </w:r>
      <w:r>
        <w:rPr>
          <w:rFonts w:hint="eastAsia" w:ascii="宋体" w:hAnsi="宋体" w:cs="宋体"/>
          <w:kern w:val="0"/>
          <w:szCs w:val="21"/>
          <w:highlight w:val="none"/>
          <w:lang w:val="zh-CN"/>
        </w:rPr>
        <w:t>有关本项目实施所涉及的一切费用均计入报价。</w:t>
      </w:r>
      <w:r>
        <w:rPr>
          <w:rFonts w:hint="eastAsia" w:ascii="宋体" w:hAnsi="宋体" w:cs="宋体"/>
          <w:b/>
          <w:kern w:val="0"/>
          <w:szCs w:val="21"/>
          <w:highlight w:val="none"/>
          <w:lang w:val="zh-CN"/>
        </w:rPr>
        <w:t>采购人将以合同形式有偿取得货物或服务，不接受供应商给予的赠品、回扣或者与采购无关的其他商品、服务</w:t>
      </w:r>
      <w:r>
        <w:rPr>
          <w:rFonts w:hint="eastAsia" w:ascii="宋体" w:hAnsi="宋体" w:cs="宋体"/>
          <w:kern w:val="0"/>
          <w:szCs w:val="21"/>
          <w:highlight w:val="none"/>
          <w:lang w:val="zh-CN"/>
        </w:rPr>
        <w:t>，</w:t>
      </w:r>
      <w:r>
        <w:rPr>
          <w:rFonts w:hint="eastAsia" w:ascii="宋体" w:hAnsi="宋体" w:cs="宋体"/>
          <w:b/>
          <w:kern w:val="0"/>
          <w:szCs w:val="21"/>
          <w:highlight w:val="none"/>
          <w:lang w:val="zh-CN"/>
        </w:rPr>
        <w:t>不得出现“0元”“免费赠送”等形式的无偿报价，</w:t>
      </w:r>
      <w:r>
        <w:rPr>
          <w:rFonts w:hint="eastAsia" w:ascii="宋体" w:hAnsi="宋体" w:cs="宋体"/>
          <w:b/>
          <w:kern w:val="0"/>
          <w:szCs w:val="21"/>
          <w:highlight w:val="none"/>
        </w:rPr>
        <w:t>否则视为</w:t>
      </w:r>
      <w:r>
        <w:rPr>
          <w:rFonts w:hint="eastAsia" w:ascii="宋体" w:hAnsi="宋体" w:cs="宋体"/>
          <w:b/>
          <w:szCs w:val="21"/>
          <w:highlight w:val="none"/>
        </w:rPr>
        <w:t>报价文件含有采购人不能接受的附加条件，响应无效</w:t>
      </w:r>
      <w:r>
        <w:rPr>
          <w:rFonts w:hint="eastAsia" w:ascii="宋体" w:hAnsi="宋体" w:cs="宋体"/>
          <w:b/>
          <w:kern w:val="0"/>
          <w:szCs w:val="21"/>
          <w:highlight w:val="none"/>
          <w:lang w:val="zh-CN"/>
        </w:rPr>
        <w:t>；采购内容未包含在上面提供的报价表名称栏中，供应商不能作出合理解释的，</w:t>
      </w:r>
      <w:r>
        <w:rPr>
          <w:rFonts w:hint="eastAsia" w:ascii="宋体" w:hAnsi="宋体" w:cs="宋体"/>
          <w:b/>
          <w:kern w:val="0"/>
          <w:szCs w:val="21"/>
          <w:highlight w:val="none"/>
        </w:rPr>
        <w:t>视为</w:t>
      </w:r>
      <w:r>
        <w:rPr>
          <w:rFonts w:hint="eastAsia" w:ascii="宋体" w:hAnsi="宋体" w:cs="宋体"/>
          <w:b/>
          <w:szCs w:val="21"/>
          <w:highlight w:val="none"/>
        </w:rPr>
        <w:t>响应文件含有采购人不能接受的附加条件的，响应无效。</w:t>
      </w:r>
    </w:p>
    <w:p>
      <w:pPr>
        <w:spacing w:line="360" w:lineRule="exact"/>
        <w:ind w:firstLine="420" w:firstLineChars="200"/>
        <w:rPr>
          <w:rFonts w:ascii="宋体" w:hAnsi="宋体" w:cs="宋体"/>
          <w:kern w:val="0"/>
          <w:szCs w:val="21"/>
          <w:highlight w:val="none"/>
          <w:lang w:val="zh-CN"/>
        </w:rPr>
      </w:pPr>
      <w:r>
        <w:rPr>
          <w:rFonts w:hint="eastAsia" w:ascii="宋体" w:hAnsi="宋体" w:cs="宋体"/>
          <w:kern w:val="0"/>
          <w:szCs w:val="21"/>
          <w:highlight w:val="none"/>
        </w:rPr>
        <w:t>6.</w:t>
      </w:r>
      <w:r>
        <w:rPr>
          <w:rFonts w:hint="eastAsia" w:ascii="宋体" w:hAnsi="宋体" w:cs="宋体"/>
          <w:kern w:val="0"/>
          <w:szCs w:val="21"/>
          <w:highlight w:val="none"/>
          <w:lang w:val="zh-CN"/>
        </w:rPr>
        <w:t>请填写中小企业声明函。注：供应商提供的中小企业声明函内容不实的，属于提供虚假材料谋取中标、成交，依照《中华人民共和国政府采购法》等国家有关规定追究相应责任。</w:t>
      </w:r>
    </w:p>
    <w:p>
      <w:pPr>
        <w:wordWrap w:val="0"/>
        <w:topLinePunct/>
        <w:spacing w:line="500" w:lineRule="exact"/>
        <w:ind w:firstLine="210" w:firstLineChars="100"/>
        <w:rPr>
          <w:rFonts w:ascii="宋体" w:hAnsi="宋体" w:cs="宋体"/>
          <w:szCs w:val="21"/>
          <w:highlight w:val="none"/>
        </w:rPr>
      </w:pPr>
    </w:p>
    <w:p>
      <w:pPr>
        <w:autoSpaceDE w:val="0"/>
        <w:autoSpaceDN w:val="0"/>
        <w:spacing w:line="440" w:lineRule="exact"/>
        <w:ind w:firstLine="3968" w:firstLineChars="189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谈判供应商名称(公章)： </w:t>
      </w:r>
    </w:p>
    <w:p>
      <w:pPr>
        <w:autoSpaceDE w:val="0"/>
        <w:autoSpaceDN w:val="0"/>
        <w:spacing w:line="440" w:lineRule="exact"/>
        <w:ind w:firstLine="3990" w:firstLineChars="1900"/>
        <w:jc w:val="left"/>
        <w:rPr>
          <w:rFonts w:ascii="宋体" w:hAnsi="宋体" w:cs="宋体"/>
          <w:kern w:val="0"/>
          <w:szCs w:val="21"/>
          <w:highlight w:val="none"/>
          <w:lang w:val="zh-CN"/>
        </w:rPr>
      </w:pPr>
      <w:r>
        <w:rPr>
          <w:rFonts w:hint="eastAsia" w:ascii="宋体" w:hAnsi="宋体" w:cs="宋体"/>
          <w:kern w:val="0"/>
          <w:szCs w:val="21"/>
          <w:highlight w:val="none"/>
          <w:lang w:val="zh-CN"/>
        </w:rPr>
        <w:t xml:space="preserve">法定代表人（负责人）或委托代理人(签名)：              </w:t>
      </w:r>
    </w:p>
    <w:p>
      <w:pPr>
        <w:spacing w:line="440" w:lineRule="exact"/>
        <w:ind w:firstLine="3990" w:firstLineChars="1900"/>
        <w:rPr>
          <w:rFonts w:ascii="宋体" w:hAnsi="宋体" w:cs="宋体"/>
          <w:kern w:val="0"/>
          <w:szCs w:val="21"/>
          <w:highlight w:val="none"/>
          <w:lang w:val="zh-CN"/>
        </w:rPr>
      </w:pPr>
      <w:r>
        <w:rPr>
          <w:rFonts w:hint="eastAsia" w:ascii="宋体" w:hAnsi="宋体" w:cs="宋体"/>
          <w:kern w:val="0"/>
          <w:szCs w:val="21"/>
          <w:highlight w:val="none"/>
          <w:lang w:val="zh-CN"/>
        </w:rPr>
        <w:t>日</w:t>
      </w:r>
      <w:r>
        <w:rPr>
          <w:rFonts w:hint="eastAsia" w:ascii="宋体" w:hAnsi="宋体" w:cs="宋体"/>
          <w:kern w:val="0"/>
          <w:szCs w:val="21"/>
          <w:highlight w:val="none"/>
        </w:rPr>
        <w:t xml:space="preserve">  </w:t>
      </w:r>
      <w:r>
        <w:rPr>
          <w:rFonts w:hint="eastAsia" w:ascii="宋体" w:hAnsi="宋体" w:cs="宋体"/>
          <w:kern w:val="0"/>
          <w:szCs w:val="21"/>
          <w:highlight w:val="none"/>
          <w:lang w:val="zh-CN"/>
        </w:rPr>
        <w:t>期</w:t>
      </w:r>
      <w:r>
        <w:rPr>
          <w:rFonts w:hint="eastAsia" w:ascii="宋体" w:hAnsi="宋体" w:cs="宋体"/>
          <w:kern w:val="0"/>
          <w:szCs w:val="21"/>
          <w:highlight w:val="none"/>
        </w:rPr>
        <w:t>：</w:t>
      </w:r>
      <w:r>
        <w:rPr>
          <w:rFonts w:hint="eastAsia" w:ascii="宋体" w:hAnsi="宋体" w:cs="宋体"/>
          <w:kern w:val="0"/>
          <w:szCs w:val="21"/>
          <w:highlight w:val="none"/>
          <w:lang w:val="zh-CN"/>
        </w:rPr>
        <w:t xml:space="preserve">   年   月  日</w:t>
      </w:r>
    </w:p>
    <w:p>
      <w:pPr>
        <w:spacing w:line="320" w:lineRule="atLeast"/>
        <w:jc w:val="center"/>
        <w:rPr>
          <w:rFonts w:ascii="宋体" w:hAnsi="宋体" w:cs="宋体"/>
          <w:b/>
          <w:sz w:val="32"/>
          <w:szCs w:val="32"/>
          <w:highlight w:val="none"/>
        </w:rPr>
        <w:sectPr>
          <w:footerReference r:id="rId8" w:type="first"/>
          <w:footerReference r:id="rId7" w:type="default"/>
          <w:pgSz w:w="11906" w:h="16838"/>
          <w:pgMar w:top="777" w:right="1668" w:bottom="471" w:left="1418" w:header="851" w:footer="680" w:gutter="0"/>
          <w:pgNumType w:fmt="decimal"/>
          <w:cols w:space="0" w:num="1"/>
          <w:docGrid w:linePitch="312" w:charSpace="0"/>
        </w:sectPr>
      </w:pPr>
    </w:p>
    <w:p>
      <w:pPr>
        <w:pStyle w:val="2"/>
        <w:rPr>
          <w:highlight w:val="none"/>
        </w:rPr>
      </w:pPr>
    </w:p>
    <w:p>
      <w:pPr>
        <w:spacing w:line="320" w:lineRule="atLeast"/>
        <w:jc w:val="center"/>
        <w:rPr>
          <w:rFonts w:ascii="宋体" w:hAnsi="宋体" w:cs="宋体"/>
          <w:b/>
          <w:sz w:val="32"/>
          <w:szCs w:val="32"/>
          <w:highlight w:val="none"/>
        </w:rPr>
      </w:pPr>
    </w:p>
    <w:p>
      <w:pPr>
        <w:spacing w:line="320" w:lineRule="atLeast"/>
        <w:jc w:val="center"/>
        <w:rPr>
          <w:rFonts w:ascii="宋体" w:hAnsi="宋体" w:cs="宋体"/>
          <w:b/>
          <w:sz w:val="24"/>
          <w:highlight w:val="none"/>
        </w:rPr>
      </w:pPr>
      <w:r>
        <w:rPr>
          <w:rFonts w:hint="eastAsia" w:ascii="宋体" w:hAnsi="宋体" w:cs="宋体"/>
          <w:b/>
          <w:sz w:val="32"/>
          <w:szCs w:val="32"/>
          <w:highlight w:val="none"/>
        </w:rPr>
        <w:t>第八部分  附件</w:t>
      </w:r>
    </w:p>
    <w:p>
      <w:pPr>
        <w:widowControl/>
        <w:adjustRightInd/>
        <w:jc w:val="left"/>
        <w:rPr>
          <w:rFonts w:ascii="宋体" w:hAnsi="宋体" w:cs="宋体"/>
          <w:b/>
          <w:sz w:val="32"/>
          <w:szCs w:val="32"/>
          <w:highlight w:val="none"/>
        </w:rPr>
      </w:pPr>
    </w:p>
    <w:p>
      <w:pPr>
        <w:autoSpaceDE w:val="0"/>
        <w:autoSpaceDN w:val="0"/>
        <w:jc w:val="left"/>
        <w:rPr>
          <w:rFonts w:cs="仿宋_GB2312" w:asciiTheme="minorEastAsia" w:hAnsiTheme="minorEastAsia" w:eastAsiaTheme="minorEastAsia"/>
          <w:b/>
          <w:sz w:val="24"/>
          <w:highlight w:val="none"/>
        </w:rPr>
      </w:pPr>
    </w:p>
    <w:p>
      <w:pPr>
        <w:spacing w:line="360" w:lineRule="auto"/>
        <w:jc w:val="left"/>
        <w:rPr>
          <w:rFonts w:cs="仿宋_GB2312" w:asciiTheme="minorEastAsia" w:hAnsiTheme="minorEastAsia" w:eastAsiaTheme="minorEastAsia"/>
          <w:b/>
          <w:sz w:val="24"/>
          <w:highlight w:val="none"/>
        </w:rPr>
      </w:pPr>
    </w:p>
    <w:p>
      <w:pPr>
        <w:autoSpaceDE w:val="0"/>
        <w:autoSpaceDN w:val="0"/>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业务专用章使用说明函</w:t>
      </w:r>
    </w:p>
    <w:p>
      <w:pPr>
        <w:autoSpaceDE w:val="0"/>
        <w:autoSpaceDN w:val="0"/>
        <w:jc w:val="center"/>
        <w:rPr>
          <w:rFonts w:asciiTheme="minorEastAsia" w:hAnsiTheme="minorEastAsia" w:eastAsiaTheme="minorEastAsia"/>
          <w:b/>
          <w:bCs/>
          <w:sz w:val="32"/>
          <w:szCs w:val="32"/>
          <w:highlight w:val="none"/>
        </w:rPr>
      </w:pPr>
    </w:p>
    <w:p>
      <w:pPr>
        <w:spacing w:line="360" w:lineRule="auto"/>
        <w:rPr>
          <w:rFonts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（采购人）、（采购代理机构）：</w:t>
      </w:r>
    </w:p>
    <w:p>
      <w:pPr>
        <w:spacing w:line="360" w:lineRule="auto"/>
        <w:ind w:firstLine="480" w:firstLineChars="200"/>
        <w:rPr>
          <w:rFonts w:cs="宋体"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我方</w:t>
      </w: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(供应商全称)</w:t>
      </w:r>
      <w:r>
        <w:rPr>
          <w:rFonts w:hint="eastAsia" w:asciiTheme="minorEastAsia" w:hAnsiTheme="minorEastAsia" w:eastAsiaTheme="minorEastAsia"/>
          <w:sz w:val="24"/>
          <w:highlight w:val="none"/>
        </w:rPr>
        <w:t>是中华人民共和国依法登记注册的合法企业，</w:t>
      </w:r>
      <w:r>
        <w:rPr>
          <w:rFonts w:hint="eastAsia" w:cs="宋体" w:asciiTheme="minorEastAsia" w:hAnsiTheme="minorEastAsia" w:eastAsiaTheme="minorEastAsia"/>
          <w:bCs/>
          <w:sz w:val="24"/>
          <w:highlight w:val="none"/>
        </w:rPr>
        <w:t>在参加</w:t>
      </w:r>
      <w:r>
        <w:rPr>
          <w:rFonts w:hint="eastAsia" w:cs="仿宋_GB2312" w:asciiTheme="minorEastAsia" w:hAnsiTheme="minorEastAsia" w:eastAsiaTheme="minorEastAsia"/>
          <w:sz w:val="24"/>
          <w:highlight w:val="none"/>
        </w:rPr>
        <w:t>贵方组织的（项目名称）【项目编号：（采购编号）】</w:t>
      </w:r>
      <w:r>
        <w:rPr>
          <w:rFonts w:hint="eastAsia" w:cs="宋体" w:asciiTheme="minorEastAsia" w:hAnsiTheme="minorEastAsia" w:eastAsiaTheme="minorEastAsia"/>
          <w:bCs/>
          <w:sz w:val="24"/>
          <w:highlight w:val="none"/>
        </w:rPr>
        <w:t>采购活动中作如下说明：</w:t>
      </w:r>
      <w:r>
        <w:rPr>
          <w:rFonts w:hint="eastAsia" w:cs="宋体" w:asciiTheme="minorEastAsia" w:hAnsiTheme="minorEastAsia" w:eastAsiaTheme="minorEastAsia"/>
          <w:sz w:val="24"/>
          <w:highlight w:val="none"/>
        </w:rPr>
        <w:t>我方所使用的“</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专用章”与法定名称章具有同等的法律效力，对使用“</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特此说明。</w:t>
      </w:r>
    </w:p>
    <w:p>
      <w:pPr>
        <w:spacing w:line="360" w:lineRule="auto"/>
        <w:ind w:firstLine="494"/>
        <w:rPr>
          <w:rFonts w:cs="宋体" w:asciiTheme="minorEastAsia" w:hAnsiTheme="minorEastAsia" w:eastAsiaTheme="minorEastAsia"/>
          <w:sz w:val="24"/>
          <w:highlight w:val="none"/>
        </w:rPr>
      </w:pPr>
    </w:p>
    <w:p>
      <w:pPr>
        <w:spacing w:line="360" w:lineRule="auto"/>
        <w:ind w:firstLine="494"/>
        <w:rPr>
          <w:rFonts w:cs="宋体" w:asciiTheme="minorEastAsia" w:hAnsiTheme="minorEastAsia" w:eastAsiaTheme="minorEastAsia"/>
          <w:sz w:val="24"/>
          <w:highlight w:val="none"/>
        </w:rPr>
      </w:pPr>
    </w:p>
    <w:p>
      <w:pPr>
        <w:spacing w:line="360" w:lineRule="auto"/>
        <w:ind w:firstLine="494"/>
        <w:rPr>
          <w:rFonts w:cs="宋体" w:asciiTheme="minorEastAsia" w:hAnsiTheme="minorEastAsia" w:eastAsiaTheme="minorEastAsia"/>
          <w:sz w:val="24"/>
          <w:highlight w:val="none"/>
        </w:rPr>
      </w:pPr>
    </w:p>
    <w:p>
      <w:pPr>
        <w:spacing w:line="360" w:lineRule="auto"/>
        <w:ind w:firstLine="494"/>
        <w:rPr>
          <w:rFonts w:cs="宋体" w:asciiTheme="minorEastAsia" w:hAnsiTheme="minorEastAsia" w:eastAsiaTheme="minorEastAsia"/>
          <w:sz w:val="24"/>
          <w:highlight w:val="none"/>
        </w:rPr>
      </w:pPr>
    </w:p>
    <w:p>
      <w:pPr>
        <w:spacing w:line="360" w:lineRule="auto"/>
        <w:ind w:right="482" w:firstLine="4080" w:firstLineChars="17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供应商（法定名称章）：</w:t>
      </w:r>
    </w:p>
    <w:p>
      <w:pPr>
        <w:spacing w:line="360" w:lineRule="auto"/>
        <w:ind w:right="482" w:firstLine="4080" w:firstLineChars="17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       年     月     日</w:t>
      </w:r>
    </w:p>
    <w:p>
      <w:pPr>
        <w:rPr>
          <w:rFonts w:cs="宋体" w:asciiTheme="minorEastAsia" w:hAnsiTheme="minorEastAsia" w:eastAsiaTheme="minorEastAsia"/>
          <w:sz w:val="24"/>
          <w:highlight w:val="none"/>
        </w:rPr>
      </w:pPr>
      <w:r>
        <w:rPr>
          <w:rFonts w:hint="eastAsia" w:cs="宋体" w:asciiTheme="minorEastAsia" w:hAnsiTheme="minorEastAsia" w:eastAsiaTheme="minorEastAsia"/>
          <w:b/>
          <w:bCs/>
          <w:sz w:val="24"/>
          <w:highlight w:val="none"/>
        </w:rPr>
        <w:t>附：</w:t>
      </w:r>
    </w:p>
    <w:p>
      <w:pPr>
        <w:spacing w:line="360" w:lineRule="auto"/>
        <w:rPr>
          <w:rFonts w:asciiTheme="minorEastAsia" w:hAnsiTheme="minorEastAsia" w:eastAsiaTheme="minorEastAsia"/>
          <w:bCs/>
          <w:sz w:val="24"/>
          <w:highlight w:val="none"/>
        </w:rPr>
      </w:pPr>
      <w:r>
        <w:rPr>
          <w:rFonts w:asciiTheme="minorEastAsia" w:hAnsiTheme="minorEastAsia" w:eastAsiaTheme="minorEastAsia"/>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WQDz/YAAAACgEAAA8AAAAAAAAAAQAgAAAAIgAAAGRycy9kb3ducmV2LnhtbFBLAQIU&#10;ABQAAAAIAIdO4kCq15dB8wEAANYDAAAOAAAAAAAAAAEAIAAAACcBAABkcnMvZTJvRG9jLnhtbFBL&#10;BQYAAAAABgAGAFkBAACMBQAAAAA=&#10;">
                <v:fill on="t" focussize="0,0"/>
                <v:stroke color="#000000" miterlimit="2" joinstyle="miter"/>
                <v:imagedata o:title=""/>
                <o:lock v:ext="edit" aspectratio="f"/>
              </v:rect>
            </w:pict>
          </mc:Fallback>
        </mc:AlternateContent>
      </w:r>
      <w:r>
        <w:rPr>
          <w:rFonts w:asciiTheme="minorEastAsia" w:hAnsiTheme="minorEastAsia" w:eastAsiaTheme="minorEastAsia"/>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mMR6bYAAAACgEAAA8AAAAAAAAAAQAgAAAAIgAAAGRycy9kb3ducmV2LnhtbFBLAQIUABQA&#10;AAAIAIdO4kCML2Rh8AEAANQDAAAOAAAAAAAAAAEAIAAAACcBAABkcnMvZTJvRG9jLnhtbFBLBQYA&#10;AAAABgAGAFkBAACJ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highlight w:val="none"/>
        </w:rPr>
        <w:t>供应商法定名称章（印模）                供应商“</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专用章”（印模）</w:t>
      </w:r>
    </w:p>
    <w:p>
      <w:pPr>
        <w:widowControl/>
        <w:spacing w:line="360" w:lineRule="auto"/>
        <w:ind w:firstLine="480" w:firstLineChars="200"/>
        <w:jc w:val="left"/>
        <w:rPr>
          <w:rFonts w:cs="宋体" w:asciiTheme="minorEastAsia" w:hAnsiTheme="minorEastAsia" w:eastAsiaTheme="minorEastAsia"/>
          <w:kern w:val="0"/>
          <w:sz w:val="24"/>
          <w:highlight w:val="none"/>
        </w:rPr>
      </w:pPr>
    </w:p>
    <w:p>
      <w:pPr>
        <w:snapToGrid w:val="0"/>
        <w:spacing w:line="360" w:lineRule="auto"/>
        <w:jc w:val="center"/>
        <w:rPr>
          <w:rFonts w:cs="仿宋_GB2312" w:asciiTheme="minorEastAsia" w:hAnsiTheme="minorEastAsia" w:eastAsiaTheme="minorEastAsia"/>
          <w:b/>
          <w:sz w:val="24"/>
          <w:highlight w:val="none"/>
        </w:rPr>
      </w:pPr>
    </w:p>
    <w:bookmarkEnd w:id="81"/>
    <w:p>
      <w:pPr>
        <w:widowControl/>
        <w:adjustRightInd/>
        <w:jc w:val="left"/>
        <w:rPr>
          <w:rFonts w:cs="仿宋_GB2312" w:asciiTheme="minorEastAsia" w:hAnsiTheme="minorEastAsia" w:eastAsiaTheme="minorEastAsia"/>
          <w:b/>
          <w:sz w:val="24"/>
          <w:highlight w:val="none"/>
        </w:rPr>
      </w:pPr>
    </w:p>
    <w:sectPr>
      <w:footerReference r:id="rId9" w:type="default"/>
      <w:pgSz w:w="11906" w:h="16838"/>
      <w:pgMar w:top="777" w:right="1668" w:bottom="471" w:left="1418" w:header="851" w:footer="68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left"/>
    </w:pPr>
    <w:r>
      <w:rPr>
        <w:rFonts w:hint="eastAsia" w:asciiTheme="minorEastAsia" w:hAnsiTheme="minorEastAsia" w:eastAsiaTheme="minorEastAsia" w:cstheme="minorEastAsia"/>
        <w:sz w:val="21"/>
        <w:szCs w:val="21"/>
      </w:rPr>
      <w:t>广西泽丰工程咨询有限公司竞争性谈判文件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left"/>
    </w:pPr>
    <w:r>
      <w:rPr>
        <w:rFonts w:hint="eastAsia" w:asciiTheme="minorEastAsia" w:hAnsiTheme="minorEastAsia" w:eastAsiaTheme="minorEastAsia" w:cstheme="minorEastAsia"/>
        <w:sz w:val="21"/>
        <w:szCs w:val="21"/>
      </w:rPr>
      <w:t>广西泽丰工程咨询有限公司竞争性谈判文件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lang w:eastAsia="zh-CN"/>
      </w:rPr>
      <w:t>广西泽丰工程咨询有限公司竞争性谈判文件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3D44E"/>
    <w:multiLevelType w:val="singleLevel"/>
    <w:tmpl w:val="8323D44E"/>
    <w:lvl w:ilvl="0" w:tentative="0">
      <w:start w:val="7"/>
      <w:numFmt w:val="decimal"/>
      <w:suff w:val="space"/>
      <w:lvlText w:val="%1."/>
      <w:lvlJc w:val="left"/>
    </w:lvl>
  </w:abstractNum>
  <w:abstractNum w:abstractNumId="1">
    <w:nsid w:val="F608826A"/>
    <w:multiLevelType w:val="singleLevel"/>
    <w:tmpl w:val="F608826A"/>
    <w:lvl w:ilvl="0" w:tentative="0">
      <w:start w:val="1"/>
      <w:numFmt w:val="decimal"/>
      <w:suff w:val="nothing"/>
      <w:lvlText w:val="（%1）"/>
      <w:lvlJc w:val="left"/>
    </w:lvl>
  </w:abstractNum>
  <w:abstractNum w:abstractNumId="2">
    <w:nsid w:val="FFFFFF81"/>
    <w:multiLevelType w:val="singleLevel"/>
    <w:tmpl w:val="FFFFFF81"/>
    <w:lvl w:ilvl="0" w:tentative="0">
      <w:start w:val="1"/>
      <w:numFmt w:val="bullet"/>
      <w:pStyle w:val="18"/>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7"/>
      <w:lvlText w:val=""/>
      <w:lvlJc w:val="left"/>
      <w:pPr>
        <w:tabs>
          <w:tab w:val="left" w:pos="1260"/>
        </w:tabs>
        <w:ind w:left="1260" w:hanging="420"/>
      </w:pPr>
      <w:rPr>
        <w:rFonts w:hint="default" w:ascii="Wingdings" w:hAnsi="Wingdings"/>
      </w:rPr>
    </w:lvl>
    <w:lvl w:ilvl="2" w:tentative="0">
      <w:start w:val="1"/>
      <w:numFmt w:val="bullet"/>
      <w:pStyle w:val="343"/>
      <w:lvlText w:val=""/>
      <w:lvlJc w:val="left"/>
      <w:pPr>
        <w:tabs>
          <w:tab w:val="left" w:pos="1680"/>
        </w:tabs>
        <w:ind w:left="1680" w:hanging="420"/>
      </w:pPr>
      <w:rPr>
        <w:rFonts w:hint="default" w:ascii="Wingdings" w:hAnsi="Wingdings"/>
      </w:rPr>
    </w:lvl>
    <w:lvl w:ilvl="3" w:tentative="0">
      <w:start w:val="1"/>
      <w:numFmt w:val="bullet"/>
      <w:pStyle w:val="176"/>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4"/>
      <w:lvlText w:val=""/>
      <w:lvlJc w:val="left"/>
      <w:pPr>
        <w:tabs>
          <w:tab w:val="left" w:pos="2940"/>
        </w:tabs>
        <w:ind w:left="2940" w:hanging="420"/>
      </w:pPr>
      <w:rPr>
        <w:rFonts w:hint="default" w:ascii="Wingdings" w:hAnsi="Wingdings"/>
      </w:rPr>
    </w:lvl>
    <w:lvl w:ilvl="6" w:tentative="0">
      <w:start w:val="1"/>
      <w:numFmt w:val="bullet"/>
      <w:pStyle w:val="401"/>
      <w:lvlText w:val=""/>
      <w:lvlJc w:val="left"/>
      <w:pPr>
        <w:tabs>
          <w:tab w:val="left" w:pos="3360"/>
        </w:tabs>
        <w:ind w:left="3360" w:hanging="420"/>
      </w:pPr>
      <w:rPr>
        <w:rFonts w:hint="default" w:ascii="Wingdings" w:hAnsi="Wingdings"/>
      </w:rPr>
    </w:lvl>
    <w:lvl w:ilvl="7" w:tentative="0">
      <w:start w:val="1"/>
      <w:numFmt w:val="bullet"/>
      <w:pStyle w:val="281"/>
      <w:lvlText w:val=""/>
      <w:lvlJc w:val="left"/>
      <w:pPr>
        <w:tabs>
          <w:tab w:val="left" w:pos="3780"/>
        </w:tabs>
        <w:ind w:left="3780" w:hanging="420"/>
      </w:pPr>
      <w:rPr>
        <w:rFonts w:hint="default" w:ascii="Wingdings" w:hAnsi="Wingdings"/>
      </w:rPr>
    </w:lvl>
    <w:lvl w:ilvl="8" w:tentative="0">
      <w:start w:val="1"/>
      <w:numFmt w:val="bullet"/>
      <w:pStyle w:val="374"/>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6"/>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4"/>
      <w:lvlText w:val="%1.%2.%3.%4.%5"/>
      <w:lvlJc w:val="left"/>
      <w:pPr>
        <w:tabs>
          <w:tab w:val="left" w:pos="1080"/>
        </w:tabs>
        <w:ind w:left="1080" w:hanging="1080"/>
      </w:pPr>
      <w:rPr>
        <w:rFonts w:hint="default"/>
      </w:rPr>
    </w:lvl>
    <w:lvl w:ilvl="5" w:tentative="0">
      <w:start w:val="1"/>
      <w:numFmt w:val="decimal"/>
      <w:pStyle w:val="21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EF73C72"/>
    <w:multiLevelType w:val="singleLevel"/>
    <w:tmpl w:val="6EF73C72"/>
    <w:lvl w:ilvl="0" w:tentative="0">
      <w:start w:val="4"/>
      <w:numFmt w:val="chineseCounting"/>
      <w:suff w:val="space"/>
      <w:lvlText w:val="第%1部分"/>
      <w:lvlJc w:val="left"/>
      <w:rPr>
        <w:rFonts w:hint="eastAsia"/>
      </w:rPr>
    </w:lvl>
  </w:abstractNum>
  <w:abstractNum w:abstractNumId="9">
    <w:nsid w:val="73596DCC"/>
    <w:multiLevelType w:val="multilevel"/>
    <w:tmpl w:val="73596DCC"/>
    <w:lvl w:ilvl="0" w:tentative="0">
      <w:start w:val="1"/>
      <w:numFmt w:val="bullet"/>
      <w:pStyle w:val="322"/>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7"/>
  </w:num>
  <w:num w:numId="6">
    <w:abstractNumId w:val="9"/>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0C46"/>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B82"/>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133"/>
    <w:rsid w:val="003C685A"/>
    <w:rsid w:val="003C6B25"/>
    <w:rsid w:val="003C6E9C"/>
    <w:rsid w:val="003C781B"/>
    <w:rsid w:val="003C7A87"/>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4C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E36"/>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59F"/>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0613"/>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B6D"/>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A7AB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AB4"/>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39BA"/>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05BF"/>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405"/>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3C4"/>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7F"/>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066D13"/>
    <w:rsid w:val="010B37B4"/>
    <w:rsid w:val="012040A2"/>
    <w:rsid w:val="01590C0E"/>
    <w:rsid w:val="01595436"/>
    <w:rsid w:val="017C2B34"/>
    <w:rsid w:val="01AC59EF"/>
    <w:rsid w:val="01C02F8D"/>
    <w:rsid w:val="01C82617"/>
    <w:rsid w:val="02267EC8"/>
    <w:rsid w:val="02541BB6"/>
    <w:rsid w:val="025A3030"/>
    <w:rsid w:val="028953EB"/>
    <w:rsid w:val="02974D1F"/>
    <w:rsid w:val="02D768EE"/>
    <w:rsid w:val="02DA0C0E"/>
    <w:rsid w:val="032C5B64"/>
    <w:rsid w:val="034439BE"/>
    <w:rsid w:val="035768D3"/>
    <w:rsid w:val="037D5B64"/>
    <w:rsid w:val="038D51FF"/>
    <w:rsid w:val="03D76EBB"/>
    <w:rsid w:val="03DD35E4"/>
    <w:rsid w:val="04255CD2"/>
    <w:rsid w:val="04886D99"/>
    <w:rsid w:val="04B769D7"/>
    <w:rsid w:val="04D550AF"/>
    <w:rsid w:val="04DF6699"/>
    <w:rsid w:val="051C765B"/>
    <w:rsid w:val="05446710"/>
    <w:rsid w:val="05505ADB"/>
    <w:rsid w:val="059B5C36"/>
    <w:rsid w:val="05F1156C"/>
    <w:rsid w:val="0631003B"/>
    <w:rsid w:val="065A6178"/>
    <w:rsid w:val="06C75A8A"/>
    <w:rsid w:val="06E0535F"/>
    <w:rsid w:val="06FB6548"/>
    <w:rsid w:val="07065D02"/>
    <w:rsid w:val="07314039"/>
    <w:rsid w:val="075562B7"/>
    <w:rsid w:val="07682418"/>
    <w:rsid w:val="07824DAB"/>
    <w:rsid w:val="07D258D6"/>
    <w:rsid w:val="07DE1B85"/>
    <w:rsid w:val="07E51AAD"/>
    <w:rsid w:val="07EC4AC8"/>
    <w:rsid w:val="07F6164B"/>
    <w:rsid w:val="080479C5"/>
    <w:rsid w:val="08752D6F"/>
    <w:rsid w:val="087A1B7A"/>
    <w:rsid w:val="09066F0B"/>
    <w:rsid w:val="09151D3A"/>
    <w:rsid w:val="09205C20"/>
    <w:rsid w:val="09246605"/>
    <w:rsid w:val="09267C87"/>
    <w:rsid w:val="09300B06"/>
    <w:rsid w:val="0935611C"/>
    <w:rsid w:val="096B2097"/>
    <w:rsid w:val="097525CD"/>
    <w:rsid w:val="097E14B2"/>
    <w:rsid w:val="098E3AFA"/>
    <w:rsid w:val="099D6DB8"/>
    <w:rsid w:val="09B9241D"/>
    <w:rsid w:val="09B94BBF"/>
    <w:rsid w:val="09C04268"/>
    <w:rsid w:val="09FA7D2A"/>
    <w:rsid w:val="09FC6C45"/>
    <w:rsid w:val="0A126F55"/>
    <w:rsid w:val="0A466149"/>
    <w:rsid w:val="0A527505"/>
    <w:rsid w:val="0A5B7E63"/>
    <w:rsid w:val="0A7C5F9A"/>
    <w:rsid w:val="0A8C28FC"/>
    <w:rsid w:val="0AD66320"/>
    <w:rsid w:val="0B177E66"/>
    <w:rsid w:val="0B562796"/>
    <w:rsid w:val="0BCD6AE0"/>
    <w:rsid w:val="0C070065"/>
    <w:rsid w:val="0C0B2B42"/>
    <w:rsid w:val="0C195E89"/>
    <w:rsid w:val="0C1F260D"/>
    <w:rsid w:val="0C49623A"/>
    <w:rsid w:val="0C6F1F1A"/>
    <w:rsid w:val="0C847BF0"/>
    <w:rsid w:val="0C87121B"/>
    <w:rsid w:val="0CAD06C0"/>
    <w:rsid w:val="0CF80D20"/>
    <w:rsid w:val="0D29243C"/>
    <w:rsid w:val="0D2941EA"/>
    <w:rsid w:val="0DB950D4"/>
    <w:rsid w:val="0DD52DBB"/>
    <w:rsid w:val="0DD7300C"/>
    <w:rsid w:val="0DED72CE"/>
    <w:rsid w:val="0DF702FE"/>
    <w:rsid w:val="0E1D68A7"/>
    <w:rsid w:val="0E3F1AD3"/>
    <w:rsid w:val="0E3F698B"/>
    <w:rsid w:val="0E462B7A"/>
    <w:rsid w:val="0E495292"/>
    <w:rsid w:val="0E6E4EEC"/>
    <w:rsid w:val="0EA7186A"/>
    <w:rsid w:val="0ED805F3"/>
    <w:rsid w:val="0F1E1F98"/>
    <w:rsid w:val="0F21508F"/>
    <w:rsid w:val="0F2638E9"/>
    <w:rsid w:val="0F2B421B"/>
    <w:rsid w:val="0F492F74"/>
    <w:rsid w:val="0F5512C6"/>
    <w:rsid w:val="0F7F75BA"/>
    <w:rsid w:val="0F816ACD"/>
    <w:rsid w:val="0FB76067"/>
    <w:rsid w:val="0FB94501"/>
    <w:rsid w:val="0FE06F9C"/>
    <w:rsid w:val="102D7A7F"/>
    <w:rsid w:val="106D5588"/>
    <w:rsid w:val="10B047CF"/>
    <w:rsid w:val="10C20B79"/>
    <w:rsid w:val="10C5678C"/>
    <w:rsid w:val="10C74F89"/>
    <w:rsid w:val="10C96C19"/>
    <w:rsid w:val="10CB463F"/>
    <w:rsid w:val="10D50B3B"/>
    <w:rsid w:val="10FC16EA"/>
    <w:rsid w:val="11053BC9"/>
    <w:rsid w:val="112F0164"/>
    <w:rsid w:val="113A438E"/>
    <w:rsid w:val="115E3806"/>
    <w:rsid w:val="118963A1"/>
    <w:rsid w:val="119535EF"/>
    <w:rsid w:val="11F568BA"/>
    <w:rsid w:val="1232090B"/>
    <w:rsid w:val="126E6E48"/>
    <w:rsid w:val="127723A9"/>
    <w:rsid w:val="127E6837"/>
    <w:rsid w:val="127F298F"/>
    <w:rsid w:val="12936439"/>
    <w:rsid w:val="12A95680"/>
    <w:rsid w:val="12B73FA9"/>
    <w:rsid w:val="13001549"/>
    <w:rsid w:val="13072A44"/>
    <w:rsid w:val="13185161"/>
    <w:rsid w:val="13247655"/>
    <w:rsid w:val="137E6B56"/>
    <w:rsid w:val="13AB14E0"/>
    <w:rsid w:val="13B60722"/>
    <w:rsid w:val="13BA2040"/>
    <w:rsid w:val="14397409"/>
    <w:rsid w:val="145044FA"/>
    <w:rsid w:val="146377C9"/>
    <w:rsid w:val="148C0006"/>
    <w:rsid w:val="148E52A5"/>
    <w:rsid w:val="14A03CB5"/>
    <w:rsid w:val="15380135"/>
    <w:rsid w:val="153C2DE4"/>
    <w:rsid w:val="157C66C3"/>
    <w:rsid w:val="15882ECB"/>
    <w:rsid w:val="15BA11CE"/>
    <w:rsid w:val="15BA1E98"/>
    <w:rsid w:val="15C80E12"/>
    <w:rsid w:val="15D02F66"/>
    <w:rsid w:val="15F5735F"/>
    <w:rsid w:val="16551BAC"/>
    <w:rsid w:val="165A37BC"/>
    <w:rsid w:val="165B4A6A"/>
    <w:rsid w:val="16631692"/>
    <w:rsid w:val="16782521"/>
    <w:rsid w:val="16931965"/>
    <w:rsid w:val="169C6B62"/>
    <w:rsid w:val="16C40C0B"/>
    <w:rsid w:val="16FC68BB"/>
    <w:rsid w:val="17266453"/>
    <w:rsid w:val="17315E96"/>
    <w:rsid w:val="17895AA0"/>
    <w:rsid w:val="17950B75"/>
    <w:rsid w:val="18085D13"/>
    <w:rsid w:val="180A75A5"/>
    <w:rsid w:val="183519CD"/>
    <w:rsid w:val="183A72AB"/>
    <w:rsid w:val="186742B0"/>
    <w:rsid w:val="187F6ED7"/>
    <w:rsid w:val="18934C0E"/>
    <w:rsid w:val="18E81D62"/>
    <w:rsid w:val="190D1E1F"/>
    <w:rsid w:val="193079D4"/>
    <w:rsid w:val="1939180A"/>
    <w:rsid w:val="193E101D"/>
    <w:rsid w:val="19E62095"/>
    <w:rsid w:val="19EC00DE"/>
    <w:rsid w:val="19F745E3"/>
    <w:rsid w:val="19FD5FC6"/>
    <w:rsid w:val="1A343483"/>
    <w:rsid w:val="1A4F4FF9"/>
    <w:rsid w:val="1AB772D9"/>
    <w:rsid w:val="1B07415C"/>
    <w:rsid w:val="1B0F6FB3"/>
    <w:rsid w:val="1B2A271F"/>
    <w:rsid w:val="1B890139"/>
    <w:rsid w:val="1BF02C2E"/>
    <w:rsid w:val="1BF317A8"/>
    <w:rsid w:val="1BFC43CD"/>
    <w:rsid w:val="1C061C4D"/>
    <w:rsid w:val="1C1E16C0"/>
    <w:rsid w:val="1C5D0CE9"/>
    <w:rsid w:val="1C7A0701"/>
    <w:rsid w:val="1C906EA1"/>
    <w:rsid w:val="1C9F5EC4"/>
    <w:rsid w:val="1CC75FB2"/>
    <w:rsid w:val="1CCC3B8F"/>
    <w:rsid w:val="1CDD43E7"/>
    <w:rsid w:val="1D170CCE"/>
    <w:rsid w:val="1D1817E1"/>
    <w:rsid w:val="1D266CE1"/>
    <w:rsid w:val="1D2F23F8"/>
    <w:rsid w:val="1D3963AF"/>
    <w:rsid w:val="1D51528D"/>
    <w:rsid w:val="1D61177E"/>
    <w:rsid w:val="1D7131D9"/>
    <w:rsid w:val="1DA5166B"/>
    <w:rsid w:val="1DA97D6B"/>
    <w:rsid w:val="1DC4332B"/>
    <w:rsid w:val="1DC52ADF"/>
    <w:rsid w:val="1E3C6EAF"/>
    <w:rsid w:val="1E4921F9"/>
    <w:rsid w:val="1E537319"/>
    <w:rsid w:val="1E714A66"/>
    <w:rsid w:val="1E8836B0"/>
    <w:rsid w:val="1EE60923"/>
    <w:rsid w:val="1F6F3198"/>
    <w:rsid w:val="1F8573DB"/>
    <w:rsid w:val="1FA23D2F"/>
    <w:rsid w:val="1FA57DDF"/>
    <w:rsid w:val="1FE868A9"/>
    <w:rsid w:val="1FFD177B"/>
    <w:rsid w:val="20942211"/>
    <w:rsid w:val="20A345DB"/>
    <w:rsid w:val="20AD29A6"/>
    <w:rsid w:val="20E13C6D"/>
    <w:rsid w:val="210C5A30"/>
    <w:rsid w:val="21106531"/>
    <w:rsid w:val="211E26D6"/>
    <w:rsid w:val="21283D08"/>
    <w:rsid w:val="21323E83"/>
    <w:rsid w:val="213E1E97"/>
    <w:rsid w:val="22003B58"/>
    <w:rsid w:val="22145011"/>
    <w:rsid w:val="22951B1F"/>
    <w:rsid w:val="22A32CF3"/>
    <w:rsid w:val="22AE6811"/>
    <w:rsid w:val="22CD065A"/>
    <w:rsid w:val="22D27008"/>
    <w:rsid w:val="22D64075"/>
    <w:rsid w:val="22D910E1"/>
    <w:rsid w:val="23B46AC5"/>
    <w:rsid w:val="23BB247A"/>
    <w:rsid w:val="23C6233B"/>
    <w:rsid w:val="23C95987"/>
    <w:rsid w:val="23D23EC7"/>
    <w:rsid w:val="23E0770D"/>
    <w:rsid w:val="23EB7A77"/>
    <w:rsid w:val="23F73406"/>
    <w:rsid w:val="23FE12BC"/>
    <w:rsid w:val="240D39C0"/>
    <w:rsid w:val="24613A54"/>
    <w:rsid w:val="246A53BC"/>
    <w:rsid w:val="24794EE7"/>
    <w:rsid w:val="247E365F"/>
    <w:rsid w:val="249B11DF"/>
    <w:rsid w:val="24AF240D"/>
    <w:rsid w:val="24CF1934"/>
    <w:rsid w:val="252459A4"/>
    <w:rsid w:val="25376B69"/>
    <w:rsid w:val="253D03DB"/>
    <w:rsid w:val="253F23A5"/>
    <w:rsid w:val="2550216A"/>
    <w:rsid w:val="25956469"/>
    <w:rsid w:val="259854BA"/>
    <w:rsid w:val="25AB05CD"/>
    <w:rsid w:val="25B440B3"/>
    <w:rsid w:val="25C603D0"/>
    <w:rsid w:val="25CA5624"/>
    <w:rsid w:val="2675299D"/>
    <w:rsid w:val="26A90CE2"/>
    <w:rsid w:val="26C02C2B"/>
    <w:rsid w:val="27265FAF"/>
    <w:rsid w:val="274B5089"/>
    <w:rsid w:val="275D6EBB"/>
    <w:rsid w:val="27691B9F"/>
    <w:rsid w:val="277A268A"/>
    <w:rsid w:val="277A4F4B"/>
    <w:rsid w:val="277C0AD3"/>
    <w:rsid w:val="2780168E"/>
    <w:rsid w:val="27A06551"/>
    <w:rsid w:val="27A97AAF"/>
    <w:rsid w:val="27DF39CB"/>
    <w:rsid w:val="28003E99"/>
    <w:rsid w:val="280256AF"/>
    <w:rsid w:val="2811047F"/>
    <w:rsid w:val="28681728"/>
    <w:rsid w:val="28685E03"/>
    <w:rsid w:val="28AA76F1"/>
    <w:rsid w:val="28AB1AFF"/>
    <w:rsid w:val="28EE70B7"/>
    <w:rsid w:val="295C610E"/>
    <w:rsid w:val="29604833"/>
    <w:rsid w:val="29C76E94"/>
    <w:rsid w:val="29DD77D7"/>
    <w:rsid w:val="29F179E6"/>
    <w:rsid w:val="29F54564"/>
    <w:rsid w:val="2A2B25CF"/>
    <w:rsid w:val="2A393741"/>
    <w:rsid w:val="2A7779F7"/>
    <w:rsid w:val="2AA1365A"/>
    <w:rsid w:val="2AB81E77"/>
    <w:rsid w:val="2AD0584D"/>
    <w:rsid w:val="2B275AF8"/>
    <w:rsid w:val="2B763E06"/>
    <w:rsid w:val="2B935BF1"/>
    <w:rsid w:val="2BAB1814"/>
    <w:rsid w:val="2BBB0306"/>
    <w:rsid w:val="2BDF3837"/>
    <w:rsid w:val="2C5D153A"/>
    <w:rsid w:val="2C70553A"/>
    <w:rsid w:val="2D000C49"/>
    <w:rsid w:val="2D04041C"/>
    <w:rsid w:val="2D197980"/>
    <w:rsid w:val="2D357803"/>
    <w:rsid w:val="2D863DB3"/>
    <w:rsid w:val="2D883DB7"/>
    <w:rsid w:val="2DCC4827"/>
    <w:rsid w:val="2DD15014"/>
    <w:rsid w:val="2DDC57AF"/>
    <w:rsid w:val="2DF96F85"/>
    <w:rsid w:val="2E01097D"/>
    <w:rsid w:val="2E4C5B33"/>
    <w:rsid w:val="2E5E3AC6"/>
    <w:rsid w:val="2E711FCC"/>
    <w:rsid w:val="2E8E121E"/>
    <w:rsid w:val="2EA636A2"/>
    <w:rsid w:val="2ECB75F6"/>
    <w:rsid w:val="2F0E36DC"/>
    <w:rsid w:val="2F1A491F"/>
    <w:rsid w:val="2F227DDD"/>
    <w:rsid w:val="2F3E3D72"/>
    <w:rsid w:val="2F484CF4"/>
    <w:rsid w:val="2F8C678D"/>
    <w:rsid w:val="2FA31C3F"/>
    <w:rsid w:val="2FA82BAE"/>
    <w:rsid w:val="2FD25781"/>
    <w:rsid w:val="2FDE6C5E"/>
    <w:rsid w:val="2FEE42D8"/>
    <w:rsid w:val="2FFA7D95"/>
    <w:rsid w:val="3031546D"/>
    <w:rsid w:val="309E06F0"/>
    <w:rsid w:val="30A06B5D"/>
    <w:rsid w:val="30D2078A"/>
    <w:rsid w:val="30D9759D"/>
    <w:rsid w:val="31246C1B"/>
    <w:rsid w:val="31532D34"/>
    <w:rsid w:val="317D129D"/>
    <w:rsid w:val="319C6071"/>
    <w:rsid w:val="319F0414"/>
    <w:rsid w:val="31AD46CF"/>
    <w:rsid w:val="31B1327F"/>
    <w:rsid w:val="31FA08EE"/>
    <w:rsid w:val="32073220"/>
    <w:rsid w:val="321F2FC9"/>
    <w:rsid w:val="32475445"/>
    <w:rsid w:val="32554522"/>
    <w:rsid w:val="32617AED"/>
    <w:rsid w:val="32847649"/>
    <w:rsid w:val="32BF68D3"/>
    <w:rsid w:val="32DB72BE"/>
    <w:rsid w:val="32EB1CC0"/>
    <w:rsid w:val="32ED2CE8"/>
    <w:rsid w:val="32F62591"/>
    <w:rsid w:val="32FB1125"/>
    <w:rsid w:val="33266F2A"/>
    <w:rsid w:val="337B4095"/>
    <w:rsid w:val="33DA1701"/>
    <w:rsid w:val="33E9637F"/>
    <w:rsid w:val="33FB1754"/>
    <w:rsid w:val="340C1FA1"/>
    <w:rsid w:val="341462CF"/>
    <w:rsid w:val="341C36E0"/>
    <w:rsid w:val="342145FA"/>
    <w:rsid w:val="342E63AB"/>
    <w:rsid w:val="34357EA6"/>
    <w:rsid w:val="34384807"/>
    <w:rsid w:val="343C3F54"/>
    <w:rsid w:val="3456458A"/>
    <w:rsid w:val="3456758B"/>
    <w:rsid w:val="345D260B"/>
    <w:rsid w:val="347656B7"/>
    <w:rsid w:val="34BA45C5"/>
    <w:rsid w:val="34C00B3C"/>
    <w:rsid w:val="34D80C46"/>
    <w:rsid w:val="356449BC"/>
    <w:rsid w:val="35841ED2"/>
    <w:rsid w:val="35D81A88"/>
    <w:rsid w:val="35E76BA2"/>
    <w:rsid w:val="36031F7C"/>
    <w:rsid w:val="360A5603"/>
    <w:rsid w:val="365302AE"/>
    <w:rsid w:val="3674252B"/>
    <w:rsid w:val="36B3674F"/>
    <w:rsid w:val="36CC5CB1"/>
    <w:rsid w:val="36CC7811"/>
    <w:rsid w:val="36DD58CC"/>
    <w:rsid w:val="37650A45"/>
    <w:rsid w:val="37F142D2"/>
    <w:rsid w:val="37F96BAC"/>
    <w:rsid w:val="3839211D"/>
    <w:rsid w:val="384C3C1D"/>
    <w:rsid w:val="38563836"/>
    <w:rsid w:val="38850032"/>
    <w:rsid w:val="38D01A0F"/>
    <w:rsid w:val="38F322CB"/>
    <w:rsid w:val="3905726B"/>
    <w:rsid w:val="3952462B"/>
    <w:rsid w:val="39657201"/>
    <w:rsid w:val="39A13F14"/>
    <w:rsid w:val="39C47CE0"/>
    <w:rsid w:val="39DC092E"/>
    <w:rsid w:val="39DC31B2"/>
    <w:rsid w:val="39F0374D"/>
    <w:rsid w:val="39F16646"/>
    <w:rsid w:val="3A1F1BFC"/>
    <w:rsid w:val="3A231E3E"/>
    <w:rsid w:val="3A2A1C38"/>
    <w:rsid w:val="3A51276C"/>
    <w:rsid w:val="3A8735DD"/>
    <w:rsid w:val="3A90059A"/>
    <w:rsid w:val="3AE550FC"/>
    <w:rsid w:val="3AF352FE"/>
    <w:rsid w:val="3AF96457"/>
    <w:rsid w:val="3B976366"/>
    <w:rsid w:val="3BBB7913"/>
    <w:rsid w:val="3BF5780A"/>
    <w:rsid w:val="3BFE66BE"/>
    <w:rsid w:val="3C5F759A"/>
    <w:rsid w:val="3C6E403E"/>
    <w:rsid w:val="3C746475"/>
    <w:rsid w:val="3C821498"/>
    <w:rsid w:val="3CB74FA6"/>
    <w:rsid w:val="3CF4361D"/>
    <w:rsid w:val="3D1E051B"/>
    <w:rsid w:val="3D3012A2"/>
    <w:rsid w:val="3D5C78D4"/>
    <w:rsid w:val="3D852707"/>
    <w:rsid w:val="3D9C1523"/>
    <w:rsid w:val="3DD764CD"/>
    <w:rsid w:val="3E6E1D0D"/>
    <w:rsid w:val="3E9D4D87"/>
    <w:rsid w:val="3EB17B6D"/>
    <w:rsid w:val="3EC0669E"/>
    <w:rsid w:val="3ECA0847"/>
    <w:rsid w:val="3F060CF1"/>
    <w:rsid w:val="3F7630ED"/>
    <w:rsid w:val="3F7F1513"/>
    <w:rsid w:val="3F7F4132"/>
    <w:rsid w:val="3F8166C4"/>
    <w:rsid w:val="3F8352FE"/>
    <w:rsid w:val="3FA30C66"/>
    <w:rsid w:val="3FA559F2"/>
    <w:rsid w:val="3FB24420"/>
    <w:rsid w:val="3FBE2039"/>
    <w:rsid w:val="3FC50572"/>
    <w:rsid w:val="3FC540DF"/>
    <w:rsid w:val="3FCC44B6"/>
    <w:rsid w:val="3FD02F73"/>
    <w:rsid w:val="3FE0573F"/>
    <w:rsid w:val="3FE42258"/>
    <w:rsid w:val="3FFF72A6"/>
    <w:rsid w:val="4007762A"/>
    <w:rsid w:val="402E2864"/>
    <w:rsid w:val="40362C79"/>
    <w:rsid w:val="40572F10"/>
    <w:rsid w:val="407A1709"/>
    <w:rsid w:val="407F0EA3"/>
    <w:rsid w:val="408C2EE3"/>
    <w:rsid w:val="409F7D44"/>
    <w:rsid w:val="40EA7F20"/>
    <w:rsid w:val="40F66BDA"/>
    <w:rsid w:val="410C6A7E"/>
    <w:rsid w:val="419B043D"/>
    <w:rsid w:val="41A0255A"/>
    <w:rsid w:val="42075BFD"/>
    <w:rsid w:val="423229B8"/>
    <w:rsid w:val="42330D2C"/>
    <w:rsid w:val="42741841"/>
    <w:rsid w:val="42B24040"/>
    <w:rsid w:val="42E1381E"/>
    <w:rsid w:val="43122AEF"/>
    <w:rsid w:val="43963680"/>
    <w:rsid w:val="439B4D53"/>
    <w:rsid w:val="43A24165"/>
    <w:rsid w:val="43D07F5C"/>
    <w:rsid w:val="43D67301"/>
    <w:rsid w:val="43FB717C"/>
    <w:rsid w:val="441A760A"/>
    <w:rsid w:val="445514BA"/>
    <w:rsid w:val="448F11AC"/>
    <w:rsid w:val="451E447A"/>
    <w:rsid w:val="45345B76"/>
    <w:rsid w:val="453A628D"/>
    <w:rsid w:val="457943E6"/>
    <w:rsid w:val="457C4AF8"/>
    <w:rsid w:val="45AD68B0"/>
    <w:rsid w:val="46121E5E"/>
    <w:rsid w:val="461776DD"/>
    <w:rsid w:val="4647746C"/>
    <w:rsid w:val="46616067"/>
    <w:rsid w:val="466435C2"/>
    <w:rsid w:val="4697550E"/>
    <w:rsid w:val="469B2D81"/>
    <w:rsid w:val="469E22B7"/>
    <w:rsid w:val="46B22A95"/>
    <w:rsid w:val="46BD46C0"/>
    <w:rsid w:val="46E77CD6"/>
    <w:rsid w:val="46FF30B4"/>
    <w:rsid w:val="4711449D"/>
    <w:rsid w:val="47307808"/>
    <w:rsid w:val="47404F50"/>
    <w:rsid w:val="475156E8"/>
    <w:rsid w:val="47556E33"/>
    <w:rsid w:val="479F095F"/>
    <w:rsid w:val="47A81764"/>
    <w:rsid w:val="47B627F9"/>
    <w:rsid w:val="48287F2D"/>
    <w:rsid w:val="483F42E6"/>
    <w:rsid w:val="485460E5"/>
    <w:rsid w:val="486F747C"/>
    <w:rsid w:val="4886191B"/>
    <w:rsid w:val="488B719D"/>
    <w:rsid w:val="48BD5E71"/>
    <w:rsid w:val="48CA787E"/>
    <w:rsid w:val="48E153E1"/>
    <w:rsid w:val="48E425C3"/>
    <w:rsid w:val="48E7672C"/>
    <w:rsid w:val="48EB2202"/>
    <w:rsid w:val="498D3CD7"/>
    <w:rsid w:val="499B0E09"/>
    <w:rsid w:val="4A085D6E"/>
    <w:rsid w:val="4A37002E"/>
    <w:rsid w:val="4A3E6294"/>
    <w:rsid w:val="4A7A2575"/>
    <w:rsid w:val="4A883C13"/>
    <w:rsid w:val="4A9A1F57"/>
    <w:rsid w:val="4AB37E97"/>
    <w:rsid w:val="4ABB5C2F"/>
    <w:rsid w:val="4ABF170F"/>
    <w:rsid w:val="4B535192"/>
    <w:rsid w:val="4B841AD9"/>
    <w:rsid w:val="4B902DCE"/>
    <w:rsid w:val="4BA4193C"/>
    <w:rsid w:val="4BBE5331"/>
    <w:rsid w:val="4C716A38"/>
    <w:rsid w:val="4C787DC7"/>
    <w:rsid w:val="4CC0351C"/>
    <w:rsid w:val="4D0F1621"/>
    <w:rsid w:val="4D30352B"/>
    <w:rsid w:val="4D3E6C2C"/>
    <w:rsid w:val="4D861CF6"/>
    <w:rsid w:val="4DD06745"/>
    <w:rsid w:val="4DE165F4"/>
    <w:rsid w:val="4E0362A0"/>
    <w:rsid w:val="4E046F84"/>
    <w:rsid w:val="4E2B26AE"/>
    <w:rsid w:val="4E2E3134"/>
    <w:rsid w:val="4E45017D"/>
    <w:rsid w:val="4E927B57"/>
    <w:rsid w:val="4EAB7627"/>
    <w:rsid w:val="4EE259CC"/>
    <w:rsid w:val="4F184C69"/>
    <w:rsid w:val="4F2A1D81"/>
    <w:rsid w:val="4F2F7ADD"/>
    <w:rsid w:val="4F3B7FD6"/>
    <w:rsid w:val="4F404FD1"/>
    <w:rsid w:val="4F553D8E"/>
    <w:rsid w:val="4F6072BE"/>
    <w:rsid w:val="4FC60E49"/>
    <w:rsid w:val="4FF80155"/>
    <w:rsid w:val="50583F8B"/>
    <w:rsid w:val="50CD4E1D"/>
    <w:rsid w:val="50D93489"/>
    <w:rsid w:val="512B1D05"/>
    <w:rsid w:val="51A0432A"/>
    <w:rsid w:val="520048C5"/>
    <w:rsid w:val="521A36CE"/>
    <w:rsid w:val="522432EB"/>
    <w:rsid w:val="52255132"/>
    <w:rsid w:val="5235345C"/>
    <w:rsid w:val="527140E5"/>
    <w:rsid w:val="5292508F"/>
    <w:rsid w:val="529E041D"/>
    <w:rsid w:val="52A1794C"/>
    <w:rsid w:val="52A96B6F"/>
    <w:rsid w:val="52C81F6B"/>
    <w:rsid w:val="52E37C72"/>
    <w:rsid w:val="532E62D6"/>
    <w:rsid w:val="536655F9"/>
    <w:rsid w:val="536A4013"/>
    <w:rsid w:val="5373142A"/>
    <w:rsid w:val="538A22FA"/>
    <w:rsid w:val="538B6E42"/>
    <w:rsid w:val="53A019B1"/>
    <w:rsid w:val="53A62229"/>
    <w:rsid w:val="53A71BAA"/>
    <w:rsid w:val="53E12436"/>
    <w:rsid w:val="543B125C"/>
    <w:rsid w:val="54450344"/>
    <w:rsid w:val="546C3455"/>
    <w:rsid w:val="5484681C"/>
    <w:rsid w:val="54851EAF"/>
    <w:rsid w:val="549142F2"/>
    <w:rsid w:val="549D6AA8"/>
    <w:rsid w:val="54A8239B"/>
    <w:rsid w:val="54CB1C21"/>
    <w:rsid w:val="54FA2BC4"/>
    <w:rsid w:val="55004560"/>
    <w:rsid w:val="550764A4"/>
    <w:rsid w:val="551926E0"/>
    <w:rsid w:val="553A4266"/>
    <w:rsid w:val="555B00B4"/>
    <w:rsid w:val="55721498"/>
    <w:rsid w:val="557F21C6"/>
    <w:rsid w:val="55872F90"/>
    <w:rsid w:val="55AA0E29"/>
    <w:rsid w:val="55B654BC"/>
    <w:rsid w:val="55F713CE"/>
    <w:rsid w:val="561279B9"/>
    <w:rsid w:val="561641AD"/>
    <w:rsid w:val="563A60ED"/>
    <w:rsid w:val="56515F3B"/>
    <w:rsid w:val="569A2FA8"/>
    <w:rsid w:val="56C87695"/>
    <w:rsid w:val="56E24890"/>
    <w:rsid w:val="57266671"/>
    <w:rsid w:val="572B71CA"/>
    <w:rsid w:val="579E0993"/>
    <w:rsid w:val="57A306B5"/>
    <w:rsid w:val="57A602F7"/>
    <w:rsid w:val="57E958DA"/>
    <w:rsid w:val="580746F5"/>
    <w:rsid w:val="584B6365"/>
    <w:rsid w:val="58617890"/>
    <w:rsid w:val="586A378A"/>
    <w:rsid w:val="58765D4B"/>
    <w:rsid w:val="58AE4F0C"/>
    <w:rsid w:val="58C4398B"/>
    <w:rsid w:val="58CE494F"/>
    <w:rsid w:val="58D01947"/>
    <w:rsid w:val="58EF7663"/>
    <w:rsid w:val="59046CA6"/>
    <w:rsid w:val="59151F74"/>
    <w:rsid w:val="5947300B"/>
    <w:rsid w:val="596C0B19"/>
    <w:rsid w:val="59B85A30"/>
    <w:rsid w:val="59D21C68"/>
    <w:rsid w:val="5A2A7C7B"/>
    <w:rsid w:val="5A3D783E"/>
    <w:rsid w:val="5A3E4E6D"/>
    <w:rsid w:val="5AB23368"/>
    <w:rsid w:val="5ADD3120"/>
    <w:rsid w:val="5AE8436A"/>
    <w:rsid w:val="5AF75A2F"/>
    <w:rsid w:val="5AFC10A3"/>
    <w:rsid w:val="5B3F7D02"/>
    <w:rsid w:val="5B871DD5"/>
    <w:rsid w:val="5B9C5CE0"/>
    <w:rsid w:val="5BBB7763"/>
    <w:rsid w:val="5BD40D92"/>
    <w:rsid w:val="5C7C348C"/>
    <w:rsid w:val="5C80234E"/>
    <w:rsid w:val="5C9722E0"/>
    <w:rsid w:val="5CC24BEA"/>
    <w:rsid w:val="5CE52E6F"/>
    <w:rsid w:val="5CF522C6"/>
    <w:rsid w:val="5CF52D6E"/>
    <w:rsid w:val="5CFB4233"/>
    <w:rsid w:val="5D323FC2"/>
    <w:rsid w:val="5D6F5D9A"/>
    <w:rsid w:val="5D831685"/>
    <w:rsid w:val="5DA912CC"/>
    <w:rsid w:val="5DB449D7"/>
    <w:rsid w:val="5DBF76E5"/>
    <w:rsid w:val="5DC37E98"/>
    <w:rsid w:val="5DCF2F7A"/>
    <w:rsid w:val="5E0D600E"/>
    <w:rsid w:val="5E1912F4"/>
    <w:rsid w:val="5E261785"/>
    <w:rsid w:val="5E86157D"/>
    <w:rsid w:val="5EC40C4A"/>
    <w:rsid w:val="5ED779D4"/>
    <w:rsid w:val="5F460422"/>
    <w:rsid w:val="5F46763A"/>
    <w:rsid w:val="5F531FCE"/>
    <w:rsid w:val="5F8B61A3"/>
    <w:rsid w:val="5FCC5339"/>
    <w:rsid w:val="5FCF7A80"/>
    <w:rsid w:val="5FD578C5"/>
    <w:rsid w:val="5FD66911"/>
    <w:rsid w:val="5FE70807"/>
    <w:rsid w:val="60011BE0"/>
    <w:rsid w:val="600C6098"/>
    <w:rsid w:val="60387556"/>
    <w:rsid w:val="606153AB"/>
    <w:rsid w:val="607246D5"/>
    <w:rsid w:val="60E53485"/>
    <w:rsid w:val="61054A27"/>
    <w:rsid w:val="61156D8B"/>
    <w:rsid w:val="61165B5D"/>
    <w:rsid w:val="611D2366"/>
    <w:rsid w:val="611D7BEE"/>
    <w:rsid w:val="612036B2"/>
    <w:rsid w:val="612B4BFA"/>
    <w:rsid w:val="614E6C53"/>
    <w:rsid w:val="616E4F90"/>
    <w:rsid w:val="618C1F7D"/>
    <w:rsid w:val="61A951D5"/>
    <w:rsid w:val="61B90A14"/>
    <w:rsid w:val="61E82EA1"/>
    <w:rsid w:val="61F7774E"/>
    <w:rsid w:val="62175029"/>
    <w:rsid w:val="62205C3F"/>
    <w:rsid w:val="62521187"/>
    <w:rsid w:val="62885958"/>
    <w:rsid w:val="62B9483E"/>
    <w:rsid w:val="632845D1"/>
    <w:rsid w:val="63903645"/>
    <w:rsid w:val="63AC2C16"/>
    <w:rsid w:val="64080220"/>
    <w:rsid w:val="640D49DC"/>
    <w:rsid w:val="643F07DD"/>
    <w:rsid w:val="6481138B"/>
    <w:rsid w:val="64942835"/>
    <w:rsid w:val="64CE2EAA"/>
    <w:rsid w:val="64F35A60"/>
    <w:rsid w:val="651548BB"/>
    <w:rsid w:val="653B21DF"/>
    <w:rsid w:val="6553067F"/>
    <w:rsid w:val="6561620F"/>
    <w:rsid w:val="65741419"/>
    <w:rsid w:val="65CE6852"/>
    <w:rsid w:val="661245CB"/>
    <w:rsid w:val="662E75B1"/>
    <w:rsid w:val="66342C2E"/>
    <w:rsid w:val="663E784C"/>
    <w:rsid w:val="66745F32"/>
    <w:rsid w:val="668F4A03"/>
    <w:rsid w:val="66B46C77"/>
    <w:rsid w:val="66F66060"/>
    <w:rsid w:val="672B78DD"/>
    <w:rsid w:val="676E07FC"/>
    <w:rsid w:val="678C4E65"/>
    <w:rsid w:val="67C83234"/>
    <w:rsid w:val="67FB6199"/>
    <w:rsid w:val="68277632"/>
    <w:rsid w:val="684648E6"/>
    <w:rsid w:val="68520577"/>
    <w:rsid w:val="685408A5"/>
    <w:rsid w:val="685867EC"/>
    <w:rsid w:val="687932F2"/>
    <w:rsid w:val="68E65F09"/>
    <w:rsid w:val="690F3409"/>
    <w:rsid w:val="69387B9A"/>
    <w:rsid w:val="69616DC8"/>
    <w:rsid w:val="699B5379"/>
    <w:rsid w:val="69A535F4"/>
    <w:rsid w:val="69C6022E"/>
    <w:rsid w:val="69D45077"/>
    <w:rsid w:val="6A274424"/>
    <w:rsid w:val="6A2A1ADA"/>
    <w:rsid w:val="6ABC7C13"/>
    <w:rsid w:val="6ACF188B"/>
    <w:rsid w:val="6AD05E08"/>
    <w:rsid w:val="6AF56CDF"/>
    <w:rsid w:val="6B0D5304"/>
    <w:rsid w:val="6B137D58"/>
    <w:rsid w:val="6BA135D1"/>
    <w:rsid w:val="6BAB4E8C"/>
    <w:rsid w:val="6BB25489"/>
    <w:rsid w:val="6BC60317"/>
    <w:rsid w:val="6C5A0B8C"/>
    <w:rsid w:val="6C806282"/>
    <w:rsid w:val="6C871917"/>
    <w:rsid w:val="6C8B1F8A"/>
    <w:rsid w:val="6CD73886"/>
    <w:rsid w:val="6CDD06E8"/>
    <w:rsid w:val="6CE17FD5"/>
    <w:rsid w:val="6CED5998"/>
    <w:rsid w:val="6D130760"/>
    <w:rsid w:val="6D221EAC"/>
    <w:rsid w:val="6D306AAB"/>
    <w:rsid w:val="6D364F55"/>
    <w:rsid w:val="6D380010"/>
    <w:rsid w:val="6D626655"/>
    <w:rsid w:val="6DB135BE"/>
    <w:rsid w:val="6DE8410A"/>
    <w:rsid w:val="6E146DCC"/>
    <w:rsid w:val="6E247D4B"/>
    <w:rsid w:val="6E2B25E2"/>
    <w:rsid w:val="6E5A6DD8"/>
    <w:rsid w:val="6E763D92"/>
    <w:rsid w:val="6E8E12EF"/>
    <w:rsid w:val="6ECA3DA7"/>
    <w:rsid w:val="6EF77B8C"/>
    <w:rsid w:val="6F031F35"/>
    <w:rsid w:val="6F342212"/>
    <w:rsid w:val="6F4664AE"/>
    <w:rsid w:val="6FC64D0C"/>
    <w:rsid w:val="701503CC"/>
    <w:rsid w:val="7027376D"/>
    <w:rsid w:val="702A2886"/>
    <w:rsid w:val="70316F46"/>
    <w:rsid w:val="709E3512"/>
    <w:rsid w:val="70C645CB"/>
    <w:rsid w:val="70CE06DE"/>
    <w:rsid w:val="71A87F57"/>
    <w:rsid w:val="71BC1C54"/>
    <w:rsid w:val="71D43752"/>
    <w:rsid w:val="72275FF8"/>
    <w:rsid w:val="72542A93"/>
    <w:rsid w:val="72655E48"/>
    <w:rsid w:val="72B11061"/>
    <w:rsid w:val="72C35F13"/>
    <w:rsid w:val="72CD4728"/>
    <w:rsid w:val="72F1592E"/>
    <w:rsid w:val="72F60D4F"/>
    <w:rsid w:val="731D09ED"/>
    <w:rsid w:val="73231D8F"/>
    <w:rsid w:val="732C0283"/>
    <w:rsid w:val="73797DFD"/>
    <w:rsid w:val="73AC2C12"/>
    <w:rsid w:val="73AE456C"/>
    <w:rsid w:val="73DD6243"/>
    <w:rsid w:val="73F50CD4"/>
    <w:rsid w:val="73F73B43"/>
    <w:rsid w:val="73FB0E75"/>
    <w:rsid w:val="741A7F23"/>
    <w:rsid w:val="74402499"/>
    <w:rsid w:val="74542DE5"/>
    <w:rsid w:val="747928B6"/>
    <w:rsid w:val="748527D2"/>
    <w:rsid w:val="74991B66"/>
    <w:rsid w:val="749C4185"/>
    <w:rsid w:val="74CA3F6B"/>
    <w:rsid w:val="74ED119B"/>
    <w:rsid w:val="74F31ACC"/>
    <w:rsid w:val="74FC79CA"/>
    <w:rsid w:val="751E5A5A"/>
    <w:rsid w:val="75372475"/>
    <w:rsid w:val="75756AB6"/>
    <w:rsid w:val="759C614A"/>
    <w:rsid w:val="75DA2C18"/>
    <w:rsid w:val="76180C4D"/>
    <w:rsid w:val="76482ADC"/>
    <w:rsid w:val="7693314A"/>
    <w:rsid w:val="76A77359"/>
    <w:rsid w:val="76BB3B73"/>
    <w:rsid w:val="76D76D84"/>
    <w:rsid w:val="76E84053"/>
    <w:rsid w:val="76FB552F"/>
    <w:rsid w:val="773B7975"/>
    <w:rsid w:val="775319EF"/>
    <w:rsid w:val="77ED1866"/>
    <w:rsid w:val="77F12C75"/>
    <w:rsid w:val="77FF4248"/>
    <w:rsid w:val="781A4F80"/>
    <w:rsid w:val="782448B2"/>
    <w:rsid w:val="782E7F7E"/>
    <w:rsid w:val="786A2E5E"/>
    <w:rsid w:val="78870698"/>
    <w:rsid w:val="78A706E5"/>
    <w:rsid w:val="78E11B87"/>
    <w:rsid w:val="790F1C77"/>
    <w:rsid w:val="79237C55"/>
    <w:rsid w:val="792A45AF"/>
    <w:rsid w:val="795941B7"/>
    <w:rsid w:val="79683EC1"/>
    <w:rsid w:val="79833E75"/>
    <w:rsid w:val="79857058"/>
    <w:rsid w:val="798E61EC"/>
    <w:rsid w:val="79BA662B"/>
    <w:rsid w:val="79D6662F"/>
    <w:rsid w:val="7A05208C"/>
    <w:rsid w:val="7A3727C0"/>
    <w:rsid w:val="7A67303B"/>
    <w:rsid w:val="7A7255A6"/>
    <w:rsid w:val="7A9028F3"/>
    <w:rsid w:val="7A9B2D4F"/>
    <w:rsid w:val="7AAB1D04"/>
    <w:rsid w:val="7AB416F7"/>
    <w:rsid w:val="7AB468F2"/>
    <w:rsid w:val="7ABA4368"/>
    <w:rsid w:val="7AE534E4"/>
    <w:rsid w:val="7AEA6384"/>
    <w:rsid w:val="7B107017"/>
    <w:rsid w:val="7B257FFD"/>
    <w:rsid w:val="7BB26E54"/>
    <w:rsid w:val="7C031368"/>
    <w:rsid w:val="7C2B1DA5"/>
    <w:rsid w:val="7C321491"/>
    <w:rsid w:val="7CC045E9"/>
    <w:rsid w:val="7CF11927"/>
    <w:rsid w:val="7D14386B"/>
    <w:rsid w:val="7D3B7FAC"/>
    <w:rsid w:val="7D456487"/>
    <w:rsid w:val="7D685F3B"/>
    <w:rsid w:val="7D90492D"/>
    <w:rsid w:val="7D992E89"/>
    <w:rsid w:val="7DDD120A"/>
    <w:rsid w:val="7DF4317E"/>
    <w:rsid w:val="7E64308B"/>
    <w:rsid w:val="7E6E05F5"/>
    <w:rsid w:val="7E8B0E7E"/>
    <w:rsid w:val="7EBF1F1F"/>
    <w:rsid w:val="7EE671C0"/>
    <w:rsid w:val="7F0569E9"/>
    <w:rsid w:val="7F3002E8"/>
    <w:rsid w:val="7F6E067F"/>
    <w:rsid w:val="7F8808BE"/>
    <w:rsid w:val="7FA84C57"/>
    <w:rsid w:val="7FBE682F"/>
    <w:rsid w:val="7FF33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71">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12">
    <w:name w:val="annotation subject"/>
    <w:basedOn w:val="13"/>
    <w:next w:val="13"/>
    <w:semiHidden/>
    <w:qFormat/>
    <w:uiPriority w:val="0"/>
    <w:rPr>
      <w:b/>
      <w:bCs/>
    </w:rPr>
  </w:style>
  <w:style w:type="paragraph" w:styleId="13">
    <w:name w:val="annotation text"/>
    <w:basedOn w:val="1"/>
    <w:link w:val="615"/>
    <w:qFormat/>
    <w:uiPriority w:val="99"/>
    <w:pPr>
      <w:jc w:val="left"/>
    </w:pPr>
  </w:style>
  <w:style w:type="paragraph" w:styleId="14">
    <w:name w:val="toc 7"/>
    <w:basedOn w:val="1"/>
    <w:next w:val="1"/>
    <w:qFormat/>
    <w:uiPriority w:val="0"/>
    <w:pPr>
      <w:ind w:left="2520" w:leftChars="1200"/>
    </w:pPr>
  </w:style>
  <w:style w:type="paragraph" w:styleId="15">
    <w:name w:val="Body Text First Indent"/>
    <w:basedOn w:val="16"/>
    <w:link w:val="546"/>
    <w:qFormat/>
    <w:uiPriority w:val="0"/>
    <w:pPr>
      <w:ind w:firstLine="420"/>
    </w:pPr>
    <w:rPr>
      <w:szCs w:val="20"/>
    </w:rPr>
  </w:style>
  <w:style w:type="paragraph" w:styleId="16">
    <w:name w:val="Body Text"/>
    <w:basedOn w:val="1"/>
    <w:next w:val="15"/>
    <w:link w:val="513"/>
    <w:qFormat/>
    <w:uiPriority w:val="0"/>
    <w:pPr>
      <w:autoSpaceDE w:val="0"/>
      <w:autoSpaceDN w:val="0"/>
      <w:spacing w:line="360" w:lineRule="auto"/>
    </w:pPr>
    <w:rPr>
      <w:rFonts w:ascii="宋体"/>
      <w:sz w:val="24"/>
      <w:szCs w:val="21"/>
      <w:lang w:val="zh-CN"/>
    </w:rPr>
  </w:style>
  <w:style w:type="paragraph" w:styleId="17">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8">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9">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20">
    <w:name w:val="Normal Indent"/>
    <w:basedOn w:val="1"/>
    <w:next w:val="21"/>
    <w:link w:val="614"/>
    <w:qFormat/>
    <w:uiPriority w:val="0"/>
    <w:pPr>
      <w:widowControl/>
      <w:snapToGrid w:val="0"/>
      <w:spacing w:line="480" w:lineRule="exact"/>
      <w:ind w:firstLine="567"/>
    </w:pPr>
    <w:rPr>
      <w:rFonts w:ascii="宋体"/>
      <w:snapToGrid w:val="0"/>
      <w:color w:val="000000"/>
      <w:kern w:val="28"/>
      <w:sz w:val="28"/>
      <w:szCs w:val="20"/>
    </w:rPr>
  </w:style>
  <w:style w:type="paragraph" w:customStyle="1" w:styleId="21">
    <w:name w:val="图表标题"/>
    <w:basedOn w:val="22"/>
    <w:next w:val="22"/>
    <w:qFormat/>
    <w:uiPriority w:val="0"/>
    <w:pPr>
      <w:spacing w:line="360" w:lineRule="auto"/>
      <w:jc w:val="center"/>
    </w:pPr>
    <w:rPr>
      <w:sz w:val="24"/>
    </w:rPr>
  </w:style>
  <w:style w:type="paragraph" w:styleId="22">
    <w:name w:val="caption"/>
    <w:basedOn w:val="1"/>
    <w:next w:val="1"/>
    <w:qFormat/>
    <w:uiPriority w:val="0"/>
    <w:rPr>
      <w:b/>
      <w:sz w:val="28"/>
      <w:szCs w:val="20"/>
    </w:rPr>
  </w:style>
  <w:style w:type="paragraph" w:styleId="23">
    <w:name w:val="index 5"/>
    <w:basedOn w:val="1"/>
    <w:next w:val="1"/>
    <w:qFormat/>
    <w:uiPriority w:val="0"/>
    <w:pPr>
      <w:adjustRightInd/>
      <w:ind w:left="800" w:leftChars="800" w:firstLine="200" w:firstLineChars="200"/>
    </w:pPr>
  </w:style>
  <w:style w:type="paragraph" w:styleId="24">
    <w:name w:val="Document Map"/>
    <w:basedOn w:val="1"/>
    <w:semiHidden/>
    <w:qFormat/>
    <w:uiPriority w:val="0"/>
    <w:pPr>
      <w:shd w:val="clear" w:color="auto" w:fill="000080"/>
    </w:pPr>
  </w:style>
  <w:style w:type="paragraph" w:styleId="25">
    <w:name w:val="Salutation"/>
    <w:basedOn w:val="1"/>
    <w:next w:val="1"/>
    <w:link w:val="483"/>
    <w:qFormat/>
    <w:uiPriority w:val="0"/>
    <w:rPr>
      <w:rFonts w:ascii="仿宋_GB2312" w:eastAsia="仿宋_GB2312"/>
      <w:sz w:val="28"/>
      <w:szCs w:val="20"/>
    </w:rPr>
  </w:style>
  <w:style w:type="paragraph" w:styleId="26">
    <w:name w:val="Body Text 3"/>
    <w:basedOn w:val="1"/>
    <w:link w:val="582"/>
    <w:qFormat/>
    <w:uiPriority w:val="0"/>
    <w:pPr>
      <w:jc w:val="center"/>
    </w:pPr>
    <w:rPr>
      <w:szCs w:val="20"/>
    </w:rPr>
  </w:style>
  <w:style w:type="paragraph" w:styleId="27">
    <w:name w:val="Body Text Indent"/>
    <w:basedOn w:val="1"/>
    <w:next w:val="28"/>
    <w:link w:val="476"/>
    <w:qFormat/>
    <w:uiPriority w:val="0"/>
    <w:pPr>
      <w:spacing w:line="480" w:lineRule="exact"/>
      <w:ind w:firstLine="480" w:firstLineChars="200"/>
    </w:pPr>
    <w:rPr>
      <w:rFonts w:ascii="宋体" w:hAnsi="宋体"/>
      <w:sz w:val="24"/>
    </w:rPr>
  </w:style>
  <w:style w:type="paragraph" w:styleId="28">
    <w:name w:val="envelope return"/>
    <w:basedOn w:val="1"/>
    <w:qFormat/>
    <w:uiPriority w:val="0"/>
    <w:pPr>
      <w:snapToGrid w:val="0"/>
    </w:pPr>
    <w:rPr>
      <w:rFonts w:ascii="Arial" w:hAnsi="Arial"/>
    </w:rPr>
  </w:style>
  <w:style w:type="paragraph" w:styleId="29">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0">
    <w:name w:val="List 2"/>
    <w:basedOn w:val="1"/>
    <w:qFormat/>
    <w:uiPriority w:val="0"/>
    <w:pPr>
      <w:adjustRightInd/>
      <w:spacing w:line="360" w:lineRule="auto"/>
      <w:ind w:left="100" w:leftChars="200" w:hanging="200" w:hangingChars="200"/>
    </w:pPr>
    <w:rPr>
      <w:rFonts w:eastAsia="微软雅黑"/>
    </w:rPr>
  </w:style>
  <w:style w:type="paragraph" w:styleId="31">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2">
    <w:name w:val="List Bullet 2"/>
    <w:basedOn w:val="1"/>
    <w:qFormat/>
    <w:uiPriority w:val="0"/>
    <w:pPr>
      <w:autoSpaceDE w:val="0"/>
      <w:autoSpaceDN w:val="0"/>
      <w:ind w:left="420"/>
      <w:jc w:val="left"/>
    </w:pPr>
    <w:rPr>
      <w:rFonts w:ascii="宋体" w:hAnsi="宋体"/>
      <w:color w:val="000000"/>
      <w:kern w:val="0"/>
      <w:sz w:val="24"/>
      <w:szCs w:val="20"/>
    </w:rPr>
  </w:style>
  <w:style w:type="paragraph" w:styleId="33">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6">
    <w:name w:val="Plain Text"/>
    <w:basedOn w:val="1"/>
    <w:next w:val="1"/>
    <w:link w:val="490"/>
    <w:qFormat/>
    <w:uiPriority w:val="0"/>
    <w:rPr>
      <w:rFonts w:ascii="宋体" w:hAnsi="Courier New"/>
      <w:szCs w:val="20"/>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599"/>
    <w:qFormat/>
    <w:uiPriority w:val="0"/>
    <w:pPr>
      <w:ind w:left="100" w:leftChars="2500"/>
    </w:pPr>
    <w:rPr>
      <w:rFonts w:ascii="宋体"/>
      <w:sz w:val="24"/>
      <w:szCs w:val="21"/>
      <w:lang w:val="zh-CN"/>
    </w:rPr>
  </w:style>
  <w:style w:type="paragraph" w:styleId="40">
    <w:name w:val="Body Text Indent 2"/>
    <w:basedOn w:val="1"/>
    <w:link w:val="504"/>
    <w:qFormat/>
    <w:uiPriority w:val="0"/>
    <w:pPr>
      <w:spacing w:line="360" w:lineRule="auto"/>
      <w:ind w:firstLine="601"/>
      <w:textAlignment w:val="baseline"/>
    </w:pPr>
    <w:rPr>
      <w:rFonts w:ascii="宋体"/>
      <w:kern w:val="0"/>
      <w:sz w:val="28"/>
      <w:szCs w:val="20"/>
    </w:rPr>
  </w:style>
  <w:style w:type="paragraph" w:styleId="41">
    <w:name w:val="Balloon Text"/>
    <w:basedOn w:val="1"/>
    <w:link w:val="616"/>
    <w:semiHidden/>
    <w:qFormat/>
    <w:uiPriority w:val="0"/>
    <w:rPr>
      <w:sz w:val="18"/>
      <w:szCs w:val="18"/>
    </w:rPr>
  </w:style>
  <w:style w:type="paragraph" w:styleId="42">
    <w:name w:val="Body Text First Indent 2"/>
    <w:basedOn w:val="27"/>
    <w:link w:val="503"/>
    <w:qFormat/>
    <w:uiPriority w:val="0"/>
    <w:pPr>
      <w:adjustRightInd/>
      <w:spacing w:after="120" w:line="240" w:lineRule="auto"/>
      <w:ind w:left="420" w:leftChars="200" w:firstLine="210"/>
    </w:pPr>
    <w:rPr>
      <w:sz w:val="21"/>
    </w:rPr>
  </w:style>
  <w:style w:type="paragraph" w:styleId="4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4">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20"/>
    <w:link w:val="474"/>
    <w:qFormat/>
    <w:uiPriority w:val="0"/>
    <w:pPr>
      <w:adjustRightInd/>
      <w:snapToGrid/>
      <w:spacing w:before="60" w:after="60" w:line="300" w:lineRule="exact"/>
      <w:ind w:firstLine="0"/>
    </w:pPr>
    <w:rPr>
      <w:rFonts w:ascii="Times New Roman"/>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589"/>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qFormat/>
    <w:uiPriority w:val="0"/>
    <w:pPr>
      <w:spacing w:after="120" w:line="480" w:lineRule="auto"/>
    </w:pPr>
  </w:style>
  <w:style w:type="paragraph" w:styleId="59">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qFormat/>
    <w:uiPriority w:val="0"/>
    <w:pPr>
      <w:widowControl/>
      <w:overflowPunct w:val="0"/>
      <w:autoSpaceDE w:val="0"/>
      <w:autoSpaceDN w:val="0"/>
      <w:jc w:val="center"/>
      <w:textAlignment w:val="baseline"/>
    </w:pPr>
    <w:rPr>
      <w:b/>
      <w:kern w:val="0"/>
      <w:sz w:val="24"/>
      <w:szCs w:val="20"/>
      <w:lang w:val="en-GB"/>
    </w:r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table" w:styleId="72">
    <w:name w:val="Table Grid"/>
    <w:basedOn w:val="7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3">
    <w:name w:val="01 正文-首行缩进2字符"/>
    <w:basedOn w:val="1"/>
    <w:qFormat/>
    <w:uiPriority w:val="0"/>
    <w:pPr>
      <w:spacing w:beforeLines="50" w:afterLines="50"/>
      <w:ind w:firstLine="964" w:firstLineChars="200"/>
    </w:pPr>
    <w:rPr>
      <w:rFonts w:ascii="Arial" w:hAnsi="Arial"/>
      <w:color w:val="000000"/>
      <w:sz w:val="28"/>
    </w:rPr>
  </w:style>
  <w:style w:type="paragraph" w:customStyle="1" w:styleId="74">
    <w:name w:val="表格文字"/>
    <w:basedOn w:val="27"/>
    <w:next w:val="16"/>
    <w:qFormat/>
    <w:uiPriority w:val="0"/>
    <w:pPr>
      <w:adjustRightInd/>
      <w:ind w:firstLine="200"/>
    </w:pPr>
    <w:rPr>
      <w:rFonts w:ascii="Arial" w:hAnsi="Arial"/>
      <w:spacing w:val="-5"/>
      <w:kern w:val="0"/>
      <w:szCs w:val="20"/>
    </w:rPr>
  </w:style>
  <w:style w:type="paragraph" w:customStyle="1" w:styleId="7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6">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7">
    <w:name w:val="样式3"/>
    <w:basedOn w:val="78"/>
    <w:qFormat/>
    <w:uiPriority w:val="0"/>
    <w:pPr>
      <w:tabs>
        <w:tab w:val="left" w:pos="2790"/>
        <w:tab w:val="left" w:pos="4230"/>
      </w:tabs>
      <w:spacing w:before="312" w:beforeLines="100"/>
      <w:jc w:val="left"/>
    </w:pPr>
  </w:style>
  <w:style w:type="paragraph" w:customStyle="1" w:styleId="7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9">
    <w:name w:val="P1"/>
    <w:basedOn w:val="1"/>
    <w:qFormat/>
    <w:uiPriority w:val="0"/>
    <w:pPr>
      <w:adjustRightInd/>
      <w:spacing w:line="288" w:lineRule="auto"/>
      <w:ind w:firstLine="425" w:firstLineChars="200"/>
    </w:pPr>
  </w:style>
  <w:style w:type="paragraph" w:customStyle="1" w:styleId="80">
    <w:name w:val="Char1 Char Char Char"/>
    <w:basedOn w:val="1"/>
    <w:qFormat/>
    <w:uiPriority w:val="0"/>
    <w:rPr>
      <w:rFonts w:ascii="Tahoma" w:hAnsi="Tahoma"/>
      <w:sz w:val="24"/>
      <w:szCs w:val="20"/>
    </w:rPr>
  </w:style>
  <w:style w:type="paragraph" w:customStyle="1" w:styleId="8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5">
    <w:name w:val="样式7"/>
    <w:basedOn w:val="86"/>
    <w:next w:val="1"/>
    <w:qFormat/>
    <w:uiPriority w:val="0"/>
    <w:pPr>
      <w:spacing w:after="156" w:afterLines="50"/>
      <w:jc w:val="left"/>
      <w:outlineLvl w:val="3"/>
    </w:pPr>
    <w:rPr>
      <w:sz w:val="24"/>
      <w:szCs w:val="24"/>
    </w:rPr>
  </w:style>
  <w:style w:type="paragraph" w:customStyle="1" w:styleId="8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7">
    <w:name w:val="Bulleted List"/>
    <w:basedOn w:val="1"/>
    <w:qFormat/>
    <w:uiPriority w:val="0"/>
    <w:pPr>
      <w:numPr>
        <w:ilvl w:val="1"/>
        <w:numId w:val="4"/>
      </w:numPr>
      <w:adjustRightInd/>
    </w:pPr>
  </w:style>
  <w:style w:type="paragraph" w:customStyle="1" w:styleId="88">
    <w:name w:val="Char3"/>
    <w:basedOn w:val="1"/>
    <w:qFormat/>
    <w:uiPriority w:val="0"/>
    <w:pPr>
      <w:adjustRightInd/>
    </w:pPr>
    <w:rPr>
      <w:rFonts w:ascii="仿宋_GB2312" w:eastAsia="仿宋_GB2312"/>
      <w:b/>
      <w:sz w:val="32"/>
      <w:szCs w:val="32"/>
    </w:rPr>
  </w:style>
  <w:style w:type="paragraph" w:customStyle="1" w:styleId="89">
    <w:name w:val="Char Char1 Char Char Char Char Char Char"/>
    <w:basedOn w:val="1"/>
    <w:qFormat/>
    <w:uiPriority w:val="0"/>
    <w:rPr>
      <w:rFonts w:ascii="仿宋_GB2312" w:eastAsia="仿宋_GB2312"/>
      <w:b/>
      <w:sz w:val="32"/>
      <w:szCs w:val="20"/>
    </w:rPr>
  </w:style>
  <w:style w:type="paragraph" w:customStyle="1" w:styleId="90">
    <w:name w:val="文本正文 Char"/>
    <w:basedOn w:val="1"/>
    <w:qFormat/>
    <w:uiPriority w:val="0"/>
    <w:pPr>
      <w:spacing w:line="360" w:lineRule="auto"/>
      <w:ind w:firstLine="200" w:firstLineChars="200"/>
    </w:pPr>
    <w:rPr>
      <w:kern w:val="0"/>
      <w:sz w:val="24"/>
      <w:szCs w:val="20"/>
    </w:rPr>
  </w:style>
  <w:style w:type="paragraph" w:customStyle="1" w:styleId="9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7">
    <w:name w:val="正文首行缩进1"/>
    <w:basedOn w:val="16"/>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0">
    <w:name w:val="Char1"/>
    <w:basedOn w:val="1"/>
    <w:qFormat/>
    <w:uiPriority w:val="0"/>
    <w:rPr>
      <w:rFonts w:ascii="仿宋_GB2312" w:eastAsia="仿宋_GB2312"/>
      <w:b/>
      <w:sz w:val="32"/>
      <w:szCs w:val="32"/>
    </w:rPr>
  </w:style>
  <w:style w:type="paragraph" w:customStyle="1" w:styleId="101">
    <w:name w:val="CM14"/>
    <w:basedOn w:val="102"/>
    <w:next w:val="102"/>
    <w:qFormat/>
    <w:uiPriority w:val="0"/>
    <w:pPr>
      <w:spacing w:after="68"/>
    </w:pPr>
    <w:rPr>
      <w:rFonts w:ascii="FHLHE E+ Futura Bk" w:eastAsia="FHLHE E+ Futura Bk" w:cs="Times New Roman"/>
      <w:color w:val="auto"/>
    </w:rPr>
  </w:style>
  <w:style w:type="paragraph" w:customStyle="1" w:styleId="102">
    <w:name w:val="Default"/>
    <w:next w:val="1"/>
    <w:link w:val="6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正文文字缩进2字"/>
    <w:basedOn w:val="16"/>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8">
    <w:name w:val="List Paragraph"/>
    <w:basedOn w:val="1"/>
    <w:qFormat/>
    <w:uiPriority w:val="0"/>
    <w:pPr>
      <w:spacing w:line="360" w:lineRule="auto"/>
      <w:ind w:firstLine="200" w:firstLineChars="200"/>
    </w:pPr>
    <w:rPr>
      <w:rFonts w:eastAsia="楷体_GB2312" w:cs="Lucida Sans"/>
      <w:sz w:val="24"/>
    </w:rPr>
  </w:style>
  <w:style w:type="paragraph" w:customStyle="1" w:styleId="10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0">
    <w:name w:val="Char2 Char Char Char"/>
    <w:basedOn w:val="1"/>
    <w:qFormat/>
    <w:uiPriority w:val="0"/>
    <w:rPr>
      <w:rFonts w:ascii="仿宋_GB2312" w:eastAsia="仿宋_GB2312"/>
      <w:b/>
      <w:sz w:val="32"/>
      <w:szCs w:val="32"/>
    </w:rPr>
  </w:style>
  <w:style w:type="paragraph" w:customStyle="1" w:styleId="1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2">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3">
    <w:name w:val="Char Char Char"/>
    <w:basedOn w:val="1"/>
    <w:qFormat/>
    <w:uiPriority w:val="0"/>
    <w:rPr>
      <w:rFonts w:ascii="Tahoma" w:hAnsi="Tahoma"/>
      <w:sz w:val="24"/>
      <w:szCs w:val="20"/>
    </w:rPr>
  </w:style>
  <w:style w:type="paragraph" w:customStyle="1" w:styleId="1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6">
    <w:name w:val="样式 正文缩进 + 首行缩进:  2 字符"/>
    <w:basedOn w:val="20"/>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9">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2">
    <w:name w:val="FA正文"/>
    <w:basedOn w:val="1"/>
    <w:qFormat/>
    <w:uiPriority w:val="0"/>
    <w:pPr>
      <w:spacing w:line="360" w:lineRule="auto"/>
      <w:ind w:firstLine="480" w:firstLineChars="200"/>
    </w:pPr>
    <w:rPr>
      <w:rFonts w:hAnsi="宋体"/>
      <w:sz w:val="24"/>
      <w:szCs w:val="20"/>
    </w:rPr>
  </w:style>
  <w:style w:type="paragraph" w:customStyle="1" w:styleId="123">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4">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5">
    <w:name w:val="有符号正文"/>
    <w:basedOn w:val="1"/>
    <w:qFormat/>
    <w:uiPriority w:val="0"/>
    <w:pPr>
      <w:adjustRightInd/>
      <w:spacing w:line="400" w:lineRule="exact"/>
      <w:ind w:firstLine="200" w:firstLineChars="200"/>
    </w:pPr>
    <w:rPr>
      <w:rFonts w:ascii="Arial" w:hAnsi="Arial"/>
    </w:rPr>
  </w:style>
  <w:style w:type="paragraph" w:customStyle="1" w:styleId="1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7">
    <w:name w:val="默认段落字体 Para Char"/>
    <w:basedOn w:val="1"/>
    <w:qFormat/>
    <w:uiPriority w:val="0"/>
    <w:rPr>
      <w:rFonts w:ascii="Tahoma" w:hAnsi="Tahoma"/>
      <w:sz w:val="24"/>
      <w:szCs w:val="20"/>
    </w:rPr>
  </w:style>
  <w:style w:type="paragraph" w:customStyle="1" w:styleId="128">
    <w:name w:val="Char1 Char Char Char2"/>
    <w:basedOn w:val="1"/>
    <w:qFormat/>
    <w:uiPriority w:val="0"/>
    <w:pPr>
      <w:adjustRightInd/>
      <w:ind w:firstLine="200" w:firstLineChars="200"/>
    </w:pPr>
    <w:rPr>
      <w:rFonts w:ascii="Tahoma" w:hAnsi="Tahoma"/>
      <w:sz w:val="24"/>
      <w:szCs w:val="20"/>
    </w:rPr>
  </w:style>
  <w:style w:type="paragraph" w:customStyle="1" w:styleId="12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1">
    <w:name w:val="注释"/>
    <w:basedOn w:val="1"/>
    <w:qFormat/>
    <w:uiPriority w:val="0"/>
    <w:pPr>
      <w:adjustRightInd/>
      <w:spacing w:line="360" w:lineRule="auto"/>
      <w:ind w:firstLine="480"/>
    </w:pPr>
    <w:rPr>
      <w:sz w:val="24"/>
    </w:rPr>
  </w:style>
  <w:style w:type="paragraph" w:customStyle="1" w:styleId="1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3">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4">
    <w:name w:val="trademark"/>
    <w:qFormat/>
    <w:uiPriority w:val="0"/>
    <w:pPr>
      <w:spacing w:after="60"/>
    </w:pPr>
    <w:rPr>
      <w:rFonts w:ascii="Futura Bk" w:hAnsi="Futura Bk" w:eastAsia="宋体" w:cs="Times New Roman"/>
      <w:sz w:val="15"/>
      <w:lang w:val="en-US" w:eastAsia="en-US" w:bidi="ar-SA"/>
    </w:rPr>
  </w:style>
  <w:style w:type="paragraph" w:customStyle="1" w:styleId="13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6">
    <w:name w:val="EB_表格"/>
    <w:basedOn w:val="1"/>
    <w:qFormat/>
    <w:uiPriority w:val="0"/>
    <w:pPr>
      <w:adjustRightInd/>
      <w:spacing w:line="300" w:lineRule="auto"/>
      <w:jc w:val="center"/>
    </w:pPr>
  </w:style>
  <w:style w:type="paragraph" w:customStyle="1" w:styleId="137">
    <w:name w:val="Char Char Char1 Char"/>
    <w:basedOn w:val="1"/>
    <w:qFormat/>
    <w:uiPriority w:val="0"/>
    <w:rPr>
      <w:szCs w:val="20"/>
    </w:rPr>
  </w:style>
  <w:style w:type="paragraph" w:customStyle="1" w:styleId="13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0">
    <w:name w:val="章标题"/>
    <w:next w:val="1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3">
    <w:name w:val="标准有序列表（L1）"/>
    <w:basedOn w:val="20"/>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9">
    <w:name w:val="列表内容"/>
    <w:basedOn w:val="1"/>
    <w:next w:val="1"/>
    <w:qFormat/>
    <w:uiPriority w:val="0"/>
    <w:pPr>
      <w:widowControl/>
      <w:tabs>
        <w:tab w:val="left" w:pos="840"/>
      </w:tabs>
      <w:ind w:left="840" w:hanging="420"/>
      <w:jc w:val="left"/>
    </w:pPr>
    <w:rPr>
      <w:kern w:val="0"/>
      <w:sz w:val="18"/>
    </w:rPr>
  </w:style>
  <w:style w:type="paragraph" w:customStyle="1" w:styleId="15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2">
    <w:name w:val="body text bold"/>
    <w:basedOn w:val="16"/>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3">
    <w:name w:val="Char2 Char Char"/>
    <w:basedOn w:val="1"/>
    <w:qFormat/>
    <w:uiPriority w:val="0"/>
    <w:pPr>
      <w:adjustRightInd/>
    </w:pPr>
    <w:rPr>
      <w:rFonts w:ascii="Tahoma" w:hAnsi="Tahoma"/>
      <w:sz w:val="24"/>
      <w:szCs w:val="20"/>
    </w:rPr>
  </w:style>
  <w:style w:type="paragraph" w:customStyle="1" w:styleId="15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8">
    <w:name w:val="Char Char1 Char Char Char"/>
    <w:basedOn w:val="1"/>
    <w:qFormat/>
    <w:uiPriority w:val="0"/>
    <w:rPr>
      <w:rFonts w:ascii="仿宋_GB2312" w:eastAsia="仿宋_GB2312"/>
      <w:b/>
      <w:sz w:val="32"/>
      <w:szCs w:val="20"/>
    </w:rPr>
  </w:style>
  <w:style w:type="paragraph" w:customStyle="1" w:styleId="15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0">
    <w:name w:val="WW-正文文字缩进 2"/>
    <w:basedOn w:val="1"/>
    <w:qFormat/>
    <w:uiPriority w:val="0"/>
    <w:pPr>
      <w:suppressAutoHyphens/>
      <w:adjustRightInd/>
      <w:ind w:firstLine="420"/>
    </w:pPr>
    <w:rPr>
      <w:kern w:val="1"/>
      <w:szCs w:val="20"/>
    </w:rPr>
  </w:style>
  <w:style w:type="paragraph" w:customStyle="1" w:styleId="16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3">
    <w:name w:val="默认段落字体 Para Char Char Char Char"/>
    <w:basedOn w:val="1"/>
    <w:qFormat/>
    <w:uiPriority w:val="0"/>
    <w:pPr>
      <w:spacing w:line="360" w:lineRule="auto"/>
    </w:pPr>
    <w:rPr>
      <w:szCs w:val="20"/>
    </w:rPr>
  </w:style>
  <w:style w:type="paragraph" w:customStyle="1" w:styleId="164">
    <w:name w:val="Char Char11 Char Char Char"/>
    <w:basedOn w:val="1"/>
    <w:qFormat/>
    <w:uiPriority w:val="0"/>
    <w:pPr>
      <w:spacing w:line="360" w:lineRule="auto"/>
    </w:pPr>
    <w:rPr>
      <w:szCs w:val="20"/>
    </w:rPr>
  </w:style>
  <w:style w:type="paragraph" w:customStyle="1" w:styleId="16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7">
    <w:name w:val="左对齐表格文字"/>
    <w:basedOn w:val="1"/>
    <w:qFormat/>
    <w:uiPriority w:val="0"/>
    <w:pPr>
      <w:adjustRightInd/>
      <w:ind w:firstLine="200" w:firstLineChars="200"/>
      <w:jc w:val="right"/>
    </w:pPr>
  </w:style>
  <w:style w:type="paragraph" w:customStyle="1" w:styleId="168">
    <w:name w:val="Picture"/>
    <w:basedOn w:val="1"/>
    <w:next w:val="22"/>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1">
    <w:name w:val="无间隔1"/>
    <w:link w:val="532"/>
    <w:qFormat/>
    <w:uiPriority w:val="1"/>
    <w:rPr>
      <w:rFonts w:ascii="Calibri" w:hAnsi="Calibri" w:eastAsia="宋体" w:cs="Times New Roman"/>
      <w:sz w:val="22"/>
      <w:szCs w:val="22"/>
      <w:lang w:val="en-US" w:eastAsia="zh-CN" w:bidi="ar-SA"/>
    </w:rPr>
  </w:style>
  <w:style w:type="paragraph" w:customStyle="1" w:styleId="172">
    <w:name w:val="样式 样式 标题 4h4H4Fab-4T5Ref Heading 1rh1Heading sqlsect 1.2.3.... +..."/>
    <w:basedOn w:val="173"/>
    <w:link w:val="610"/>
    <w:qFormat/>
    <w:uiPriority w:val="0"/>
    <w:pPr>
      <w:tabs>
        <w:tab w:val="left" w:pos="2356"/>
      </w:tabs>
    </w:pPr>
  </w:style>
  <w:style w:type="paragraph" w:customStyle="1" w:styleId="173">
    <w:name w:val="样式 标题 4h4H4Fab-4T5Ref Heading 1rh1Heading sqlsect 1.2.3...."/>
    <w:basedOn w:val="6"/>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4">
    <w:name w:val="四级条标题"/>
    <w:basedOn w:val="175"/>
    <w:next w:val="141"/>
    <w:qFormat/>
    <w:uiPriority w:val="0"/>
    <w:pPr>
      <w:numPr>
        <w:ilvl w:val="5"/>
        <w:numId w:val="4"/>
      </w:numPr>
      <w:tabs>
        <w:tab w:val="left" w:pos="1680"/>
        <w:tab w:val="left" w:pos="2100"/>
        <w:tab w:val="left" w:pos="2520"/>
      </w:tabs>
      <w:outlineLvl w:val="5"/>
    </w:pPr>
  </w:style>
  <w:style w:type="paragraph" w:customStyle="1" w:styleId="175">
    <w:name w:val="三级条标题"/>
    <w:basedOn w:val="176"/>
    <w:next w:val="141"/>
    <w:qFormat/>
    <w:uiPriority w:val="0"/>
    <w:pPr>
      <w:numPr>
        <w:ilvl w:val="0"/>
        <w:numId w:val="0"/>
      </w:numPr>
      <w:tabs>
        <w:tab w:val="left" w:pos="1680"/>
        <w:tab w:val="left" w:pos="2100"/>
        <w:tab w:val="left" w:pos="2520"/>
      </w:tabs>
      <w:ind w:left="2520" w:hanging="420"/>
      <w:outlineLvl w:val="4"/>
    </w:pPr>
  </w:style>
  <w:style w:type="paragraph" w:customStyle="1" w:styleId="176">
    <w:name w:val="二级条标题"/>
    <w:basedOn w:val="177"/>
    <w:next w:val="141"/>
    <w:qFormat/>
    <w:uiPriority w:val="0"/>
    <w:pPr>
      <w:numPr>
        <w:ilvl w:val="3"/>
        <w:numId w:val="4"/>
      </w:numPr>
      <w:tabs>
        <w:tab w:val="left" w:pos="1680"/>
      </w:tabs>
      <w:ind w:left="0"/>
      <w:outlineLvl w:val="3"/>
    </w:pPr>
  </w:style>
  <w:style w:type="paragraph" w:customStyle="1" w:styleId="177">
    <w:name w:val="一级条标题"/>
    <w:basedOn w:val="140"/>
    <w:next w:val="141"/>
    <w:qFormat/>
    <w:uiPriority w:val="0"/>
    <w:pPr>
      <w:tabs>
        <w:tab w:val="left" w:pos="1680"/>
        <w:tab w:val="clear" w:pos="1260"/>
      </w:tabs>
      <w:spacing w:before="0" w:beforeLines="0" w:after="0" w:afterLines="0"/>
      <w:ind w:left="1680"/>
      <w:outlineLvl w:val="2"/>
    </w:pPr>
  </w:style>
  <w:style w:type="paragraph" w:customStyle="1" w:styleId="17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9">
    <w:name w:val="标准小四"/>
    <w:basedOn w:val="1"/>
    <w:qFormat/>
    <w:uiPriority w:val="0"/>
    <w:pPr>
      <w:spacing w:line="360" w:lineRule="auto"/>
      <w:ind w:firstLine="480" w:firstLineChars="200"/>
    </w:pPr>
    <w:rPr>
      <w:rFonts w:ascii="Arial" w:hAnsi="Arial"/>
      <w:sz w:val="24"/>
      <w:szCs w:val="21"/>
    </w:rPr>
  </w:style>
  <w:style w:type="paragraph" w:customStyle="1" w:styleId="180">
    <w:name w:val="表格"/>
    <w:basedOn w:val="1"/>
    <w:qFormat/>
    <w:uiPriority w:val="0"/>
    <w:pPr>
      <w:snapToGrid w:val="0"/>
      <w:ind w:firstLine="42" w:firstLineChars="21"/>
    </w:pPr>
    <w:rPr>
      <w:rFonts w:ascii="宋体" w:hAnsi="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4">
    <w:name w:val="封面公司名"/>
    <w:qFormat/>
    <w:uiPriority w:val="0"/>
    <w:pPr>
      <w:jc w:val="center"/>
    </w:pPr>
    <w:rPr>
      <w:rFonts w:ascii="Arial" w:hAnsi="Arial" w:eastAsia="楷体_GB2312" w:cs="宋体"/>
      <w:bCs/>
      <w:kern w:val="2"/>
      <w:sz w:val="28"/>
      <w:lang w:val="en-US" w:eastAsia="zh-CN" w:bidi="ar-SA"/>
    </w:rPr>
  </w:style>
  <w:style w:type="paragraph" w:customStyle="1" w:styleId="185">
    <w:name w:val="Char2 Char Char Char1"/>
    <w:basedOn w:val="1"/>
    <w:qFormat/>
    <w:uiPriority w:val="0"/>
    <w:rPr>
      <w:rFonts w:ascii="仿宋_GB2312" w:eastAsia="仿宋_GB2312"/>
      <w:b/>
      <w:sz w:val="32"/>
      <w:szCs w:val="32"/>
    </w:rPr>
  </w:style>
  <w:style w:type="paragraph" w:customStyle="1" w:styleId="1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9">
    <w:name w:val="Char2"/>
    <w:basedOn w:val="1"/>
    <w:qFormat/>
    <w:uiPriority w:val="0"/>
    <w:rPr>
      <w:rFonts w:ascii="仿宋_GB2312" w:eastAsia="仿宋_GB2312"/>
      <w:b/>
      <w:sz w:val="32"/>
      <w:szCs w:val="32"/>
    </w:rPr>
  </w:style>
  <w:style w:type="paragraph" w:customStyle="1" w:styleId="19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1">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3">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4">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5">
    <w:name w:val="Char Char4 Char Char"/>
    <w:basedOn w:val="1"/>
    <w:qFormat/>
    <w:uiPriority w:val="0"/>
    <w:pPr>
      <w:widowControl/>
      <w:adjustRightInd/>
      <w:spacing w:after="160" w:line="240" w:lineRule="exact"/>
      <w:jc w:val="left"/>
    </w:pPr>
  </w:style>
  <w:style w:type="paragraph" w:customStyle="1" w:styleId="196">
    <w:name w:val="Char2 Char Char1"/>
    <w:basedOn w:val="1"/>
    <w:qFormat/>
    <w:uiPriority w:val="0"/>
    <w:pPr>
      <w:adjustRightInd/>
    </w:pPr>
    <w:rPr>
      <w:rFonts w:ascii="Tahoma" w:hAnsi="Tahoma"/>
      <w:sz w:val="24"/>
      <w:szCs w:val="20"/>
    </w:rPr>
  </w:style>
  <w:style w:type="paragraph" w:customStyle="1" w:styleId="197">
    <w:name w:val="默认段落字体 Para Char Char Char Char Char Char Char"/>
    <w:basedOn w:val="1"/>
    <w:qFormat/>
    <w:uiPriority w:val="0"/>
    <w:rPr>
      <w:rFonts w:eastAsia="仿宋_GB2312"/>
      <w:sz w:val="28"/>
      <w:szCs w:val="20"/>
    </w:rPr>
  </w:style>
  <w:style w:type="paragraph" w:customStyle="1" w:styleId="19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9">
    <w:name w:val="正文21"/>
    <w:basedOn w:val="1"/>
    <w:qFormat/>
    <w:uiPriority w:val="0"/>
    <w:pPr>
      <w:adjustRightInd/>
      <w:spacing w:before="156" w:line="360" w:lineRule="auto"/>
      <w:ind w:firstLine="510" w:firstLineChars="200"/>
    </w:pPr>
    <w:rPr>
      <w:sz w:val="24"/>
      <w:szCs w:val="20"/>
    </w:rPr>
  </w:style>
  <w:style w:type="paragraph" w:customStyle="1" w:styleId="200">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20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2">
    <w:name w:val="标题五"/>
    <w:basedOn w:val="1"/>
    <w:qFormat/>
    <w:uiPriority w:val="0"/>
    <w:pPr>
      <w:adjustRightInd/>
      <w:spacing w:before="156" w:beforeLines="50" w:line="360" w:lineRule="auto"/>
    </w:pPr>
    <w:rPr>
      <w:b/>
      <w:sz w:val="24"/>
    </w:rPr>
  </w:style>
  <w:style w:type="paragraph" w:customStyle="1" w:styleId="203">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4">
    <w:name w:val="Char Char11"/>
    <w:basedOn w:val="1"/>
    <w:qFormat/>
    <w:uiPriority w:val="0"/>
    <w:pPr>
      <w:spacing w:line="360" w:lineRule="auto"/>
    </w:pPr>
    <w:rPr>
      <w:szCs w:val="20"/>
    </w:rPr>
  </w:style>
  <w:style w:type="paragraph" w:customStyle="1" w:styleId="20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6">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207">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0">
    <w:name w:val="Char Char11 Char Char Char Char Char Char Char Char Char"/>
    <w:basedOn w:val="1"/>
    <w:qFormat/>
    <w:uiPriority w:val="0"/>
    <w:pPr>
      <w:spacing w:line="360" w:lineRule="auto"/>
    </w:pPr>
    <w:rPr>
      <w:szCs w:val="20"/>
    </w:rPr>
  </w:style>
  <w:style w:type="paragraph" w:customStyle="1" w:styleId="211">
    <w:name w:val="Char Char1 Char Char Char1"/>
    <w:basedOn w:val="1"/>
    <w:qFormat/>
    <w:uiPriority w:val="0"/>
    <w:rPr>
      <w:rFonts w:ascii="仿宋_GB2312" w:eastAsia="仿宋_GB2312"/>
      <w:b/>
      <w:sz w:val="32"/>
      <w:szCs w:val="32"/>
    </w:rPr>
  </w:style>
  <w:style w:type="paragraph" w:customStyle="1" w:styleId="212">
    <w:name w:val="样式 标题 4PIM 4H4h4bulletblbbH41H42H43H44H45H46H47H48...1"/>
    <w:basedOn w:val="6"/>
    <w:qFormat/>
    <w:uiPriority w:val="0"/>
    <w:pPr>
      <w:widowControl/>
      <w:jc w:val="left"/>
    </w:pPr>
    <w:rPr>
      <w:rFonts w:cs="宋体"/>
      <w:sz w:val="24"/>
      <w:szCs w:val="20"/>
    </w:rPr>
  </w:style>
  <w:style w:type="paragraph" w:customStyle="1" w:styleId="21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4">
    <w:name w:val="表格标题2"/>
    <w:basedOn w:val="215"/>
    <w:qFormat/>
    <w:uiPriority w:val="0"/>
    <w:rPr>
      <w:b/>
    </w:rPr>
  </w:style>
  <w:style w:type="paragraph" w:customStyle="1" w:styleId="215">
    <w:name w:val="表格内文"/>
    <w:basedOn w:val="1"/>
    <w:qFormat/>
    <w:uiPriority w:val="0"/>
    <w:pPr>
      <w:adjustRightInd/>
      <w:spacing w:line="360" w:lineRule="auto"/>
    </w:pPr>
    <w:rPr>
      <w:rFonts w:ascii="宋体" w:hAnsi="宋体" w:cs="宋体"/>
      <w:color w:val="000000"/>
      <w:szCs w:val="20"/>
    </w:rPr>
  </w:style>
  <w:style w:type="paragraph" w:customStyle="1" w:styleId="216">
    <w:name w:val="Char Char Char Char Char Char Char"/>
    <w:basedOn w:val="1"/>
    <w:qFormat/>
    <w:uiPriority w:val="0"/>
    <w:rPr>
      <w:rFonts w:ascii="仿宋_GB2312" w:eastAsia="仿宋_GB2312"/>
      <w:b/>
      <w:sz w:val="32"/>
      <w:szCs w:val="32"/>
    </w:rPr>
  </w:style>
  <w:style w:type="paragraph" w:customStyle="1" w:styleId="21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8">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0">
    <w:name w:val="列出段落2"/>
    <w:basedOn w:val="1"/>
    <w:qFormat/>
    <w:uiPriority w:val="0"/>
    <w:pPr>
      <w:adjustRightInd/>
      <w:ind w:firstLine="420" w:firstLineChars="200"/>
    </w:pPr>
    <w:rPr>
      <w:rFonts w:ascii="宋体" w:hAnsi="宋体"/>
      <w:sz w:val="24"/>
    </w:rPr>
  </w:style>
  <w:style w:type="paragraph" w:customStyle="1" w:styleId="22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2">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4">
    <w:name w:val="正文 首行缩进:  2 字符 Char"/>
    <w:basedOn w:val="1"/>
    <w:qFormat/>
    <w:uiPriority w:val="0"/>
    <w:pPr>
      <w:adjustRightInd/>
      <w:spacing w:line="360" w:lineRule="auto"/>
      <w:ind w:firstLine="480"/>
    </w:pPr>
    <w:rPr>
      <w:rFonts w:cs="宋体"/>
      <w:sz w:val="24"/>
      <w:szCs w:val="20"/>
    </w:rPr>
  </w:style>
  <w:style w:type="paragraph" w:customStyle="1" w:styleId="2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6">
    <w:name w:val="Table Text"/>
    <w:basedOn w:val="1"/>
    <w:qFormat/>
    <w:uiPriority w:val="0"/>
    <w:pPr>
      <w:widowControl/>
      <w:spacing w:before="60" w:after="60"/>
      <w:jc w:val="left"/>
    </w:pPr>
    <w:rPr>
      <w:kern w:val="0"/>
      <w:sz w:val="24"/>
    </w:rPr>
  </w:style>
  <w:style w:type="paragraph" w:customStyle="1" w:styleId="22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9">
    <w:name w:val="Char Char Char Char Char Char Char Char Char Char"/>
    <w:basedOn w:val="1"/>
    <w:qFormat/>
    <w:uiPriority w:val="0"/>
    <w:rPr>
      <w:rFonts w:ascii="仿宋_GB2312" w:eastAsia="仿宋_GB2312"/>
      <w:b/>
      <w:sz w:val="32"/>
      <w:szCs w:val="32"/>
    </w:rPr>
  </w:style>
  <w:style w:type="paragraph" w:customStyle="1" w:styleId="230">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1">
    <w:name w:val="正文文字表格居中"/>
    <w:basedOn w:val="1"/>
    <w:next w:val="58"/>
    <w:qFormat/>
    <w:uiPriority w:val="0"/>
    <w:pPr>
      <w:snapToGrid w:val="0"/>
      <w:spacing w:line="360" w:lineRule="auto"/>
    </w:pPr>
    <w:rPr>
      <w:rFonts w:ascii="宋体"/>
      <w:b/>
      <w:sz w:val="24"/>
      <w:szCs w:val="20"/>
    </w:rPr>
  </w:style>
  <w:style w:type="paragraph" w:customStyle="1" w:styleId="232">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6">
    <w:name w:val="Char"/>
    <w:basedOn w:val="1"/>
    <w:qFormat/>
    <w:uiPriority w:val="0"/>
    <w:rPr>
      <w:rFonts w:ascii="仿宋_GB2312" w:eastAsia="仿宋_GB2312"/>
      <w:b/>
      <w:sz w:val="32"/>
      <w:szCs w:val="32"/>
    </w:rPr>
  </w:style>
  <w:style w:type="paragraph" w:customStyle="1" w:styleId="237">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9">
    <w:name w:val="Char31"/>
    <w:basedOn w:val="1"/>
    <w:qFormat/>
    <w:uiPriority w:val="0"/>
    <w:pPr>
      <w:adjustRightInd/>
      <w:ind w:firstLine="200" w:firstLineChars="200"/>
    </w:pPr>
    <w:rPr>
      <w:rFonts w:ascii="Tahoma" w:hAnsi="Tahoma"/>
      <w:sz w:val="24"/>
      <w:szCs w:val="20"/>
    </w:rPr>
  </w:style>
  <w:style w:type="paragraph" w:customStyle="1" w:styleId="240">
    <w:name w:val="Char Char11 Char Char Char1"/>
    <w:basedOn w:val="1"/>
    <w:qFormat/>
    <w:uiPriority w:val="0"/>
    <w:pPr>
      <w:spacing w:line="360" w:lineRule="auto"/>
    </w:pPr>
    <w:rPr>
      <w:szCs w:val="20"/>
    </w:rPr>
  </w:style>
  <w:style w:type="paragraph" w:customStyle="1" w:styleId="24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2">
    <w:name w:val="_Style 236"/>
    <w:qFormat/>
    <w:uiPriority w:val="0"/>
    <w:rPr>
      <w:rFonts w:ascii="Times New Roman" w:hAnsi="Times New Roman" w:eastAsia="宋体" w:cs="Times New Roman"/>
      <w:kern w:val="2"/>
      <w:sz w:val="21"/>
      <w:lang w:val="en-US" w:eastAsia="zh-CN" w:bidi="ar-SA"/>
    </w:rPr>
  </w:style>
  <w:style w:type="paragraph" w:customStyle="1" w:styleId="2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5">
    <w:name w:val="正文文字缩进项目"/>
    <w:basedOn w:val="27"/>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8">
    <w:name w:val="文章标题"/>
    <w:next w:val="18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9">
    <w:name w:val="4"/>
    <w:basedOn w:val="1"/>
    <w:next w:val="40"/>
    <w:qFormat/>
    <w:uiPriority w:val="0"/>
    <w:pPr>
      <w:spacing w:after="120" w:line="480" w:lineRule="auto"/>
      <w:ind w:left="420" w:leftChars="200"/>
    </w:pPr>
    <w:rPr>
      <w:sz w:val="24"/>
      <w:szCs w:val="20"/>
    </w:rPr>
  </w:style>
  <w:style w:type="paragraph" w:customStyle="1" w:styleId="25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1">
    <w:name w:val="Char Char Char Char Char Char Char Char Char Char Char1 Char"/>
    <w:basedOn w:val="1"/>
    <w:qFormat/>
    <w:uiPriority w:val="0"/>
    <w:pPr>
      <w:adjustRightInd/>
    </w:pPr>
    <w:rPr>
      <w:rFonts w:ascii="Tahoma" w:hAnsi="Tahoma"/>
      <w:sz w:val="24"/>
    </w:rPr>
  </w:style>
  <w:style w:type="paragraph" w:customStyle="1" w:styleId="25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3">
    <w:name w:val="标书表格字体格式"/>
    <w:next w:val="157"/>
    <w:qFormat/>
    <w:uiPriority w:val="0"/>
    <w:rPr>
      <w:rFonts w:ascii="Times New Roman" w:hAnsi="Times New Roman" w:eastAsia="宋体" w:cs="Times New Roman"/>
      <w:kern w:val="2"/>
      <w:sz w:val="21"/>
      <w:szCs w:val="24"/>
      <w:lang w:val="en-US" w:eastAsia="zh-CN" w:bidi="ar-SA"/>
    </w:rPr>
  </w:style>
  <w:style w:type="paragraph" w:customStyle="1" w:styleId="25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6">
    <w:name w:val="正文1"/>
    <w:basedOn w:val="35"/>
    <w:qFormat/>
    <w:uiPriority w:val="0"/>
    <w:pPr>
      <w:ind w:left="0" w:leftChars="0" w:firstLine="480" w:firstLineChars="200"/>
    </w:pPr>
    <w:rPr>
      <w:rFonts w:ascii="仿宋_GB2312" w:hAnsi="Courier New" w:eastAsia="仿宋_GB2312"/>
      <w:kern w:val="28"/>
      <w:sz w:val="24"/>
    </w:rPr>
  </w:style>
  <w:style w:type="paragraph" w:customStyle="1" w:styleId="257">
    <w:name w:val="带编号样式"/>
    <w:basedOn w:val="90"/>
    <w:qFormat/>
    <w:uiPriority w:val="0"/>
    <w:pPr>
      <w:tabs>
        <w:tab w:val="left" w:pos="840"/>
      </w:tabs>
      <w:snapToGrid w:val="0"/>
      <w:ind w:left="840" w:firstLine="0" w:firstLineChars="0"/>
    </w:pPr>
    <w:rPr>
      <w:rFonts w:ascii="仿宋_GB2312" w:eastAsia="仿宋_GB2312"/>
      <w:color w:val="000000"/>
    </w:rPr>
  </w:style>
  <w:style w:type="paragraph" w:customStyle="1" w:styleId="258">
    <w:name w:val="正文文字 2"/>
    <w:basedOn w:val="102"/>
    <w:next w:val="102"/>
    <w:qFormat/>
    <w:uiPriority w:val="0"/>
    <w:rPr>
      <w:rFonts w:ascii="宋体" w:eastAsia="宋体" w:cs="Times New Roman"/>
      <w:color w:val="auto"/>
    </w:rPr>
  </w:style>
  <w:style w:type="paragraph" w:customStyle="1" w:styleId="2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0">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61">
    <w:name w:val="Char5"/>
    <w:basedOn w:val="1"/>
    <w:qFormat/>
    <w:uiPriority w:val="0"/>
    <w:rPr>
      <w:rFonts w:ascii="仿宋_GB2312" w:eastAsia="仿宋_GB2312"/>
      <w:b/>
      <w:sz w:val="32"/>
      <w:szCs w:val="32"/>
    </w:rPr>
  </w:style>
  <w:style w:type="paragraph" w:customStyle="1" w:styleId="26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4">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6">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2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9">
    <w:name w:val="Char Char1 Char Char Char Char Char Char1"/>
    <w:basedOn w:val="1"/>
    <w:qFormat/>
    <w:uiPriority w:val="0"/>
    <w:rPr>
      <w:rFonts w:ascii="仿宋_GB2312" w:eastAsia="仿宋_GB2312"/>
      <w:b/>
      <w:sz w:val="32"/>
      <w:szCs w:val="20"/>
    </w:rPr>
  </w:style>
  <w:style w:type="paragraph" w:customStyle="1" w:styleId="270">
    <w:name w:val="Char Char Char Char Char Char Char Char Char Char Char Char1 Char"/>
    <w:basedOn w:val="1"/>
    <w:qFormat/>
    <w:uiPriority w:val="0"/>
    <w:rPr>
      <w:rFonts w:ascii="Tahoma" w:hAnsi="Tahoma" w:cs="仿宋_GB2312"/>
      <w:sz w:val="24"/>
      <w:szCs w:val="20"/>
    </w:rPr>
  </w:style>
  <w:style w:type="paragraph" w:customStyle="1" w:styleId="271">
    <w:name w:val="表格项目符号 2"/>
    <w:basedOn w:val="3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5">
    <w:name w:val="样式 正文文本缩进 + 段前: 2 字符"/>
    <w:basedOn w:val="1"/>
    <w:qFormat/>
    <w:uiPriority w:val="0"/>
    <w:pPr>
      <w:adjustRightInd/>
      <w:ind w:left="420" w:leftChars="200"/>
      <w:jc w:val="left"/>
    </w:pPr>
    <w:rPr>
      <w:sz w:val="28"/>
      <w:szCs w:val="20"/>
      <w:lang w:eastAsia="zh-TW"/>
    </w:rPr>
  </w:style>
  <w:style w:type="paragraph" w:customStyle="1" w:styleId="276">
    <w:name w:val="Char1 Char Char Char3"/>
    <w:basedOn w:val="1"/>
    <w:qFormat/>
    <w:uiPriority w:val="0"/>
    <w:pPr>
      <w:adjustRightInd/>
      <w:ind w:firstLine="200" w:firstLineChars="200"/>
    </w:pPr>
    <w:rPr>
      <w:rFonts w:ascii="Tahoma" w:hAnsi="Tahoma"/>
      <w:sz w:val="24"/>
      <w:szCs w:val="20"/>
    </w:rPr>
  </w:style>
  <w:style w:type="paragraph" w:customStyle="1" w:styleId="277">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8">
    <w:name w:val="Char Char Char Char Char Char Char Char Char Char Char Char1 Char1"/>
    <w:basedOn w:val="1"/>
    <w:qFormat/>
    <w:uiPriority w:val="0"/>
    <w:rPr>
      <w:rFonts w:ascii="Tahoma" w:hAnsi="Tahoma" w:cs="仿宋_GB2312"/>
      <w:sz w:val="24"/>
      <w:szCs w:val="20"/>
    </w:rPr>
  </w:style>
  <w:style w:type="paragraph" w:customStyle="1" w:styleId="279">
    <w:name w:val="Char Char1 Char1"/>
    <w:basedOn w:val="1"/>
    <w:qFormat/>
    <w:uiPriority w:val="0"/>
    <w:rPr>
      <w:rFonts w:ascii="仿宋_GB2312" w:eastAsia="仿宋_GB2312"/>
      <w:b/>
      <w:sz w:val="32"/>
      <w:szCs w:val="32"/>
    </w:rPr>
  </w:style>
  <w:style w:type="paragraph" w:customStyle="1" w:styleId="280">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1">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2">
    <w:name w:val="Bulleting First Indent 1"/>
    <w:basedOn w:val="1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3">
    <w:name w:val="Char Char1"/>
    <w:basedOn w:val="1"/>
    <w:qFormat/>
    <w:uiPriority w:val="0"/>
    <w:pPr>
      <w:widowControl/>
      <w:spacing w:after="160" w:line="240" w:lineRule="exact"/>
      <w:jc w:val="left"/>
    </w:pPr>
    <w:rPr>
      <w:rFonts w:eastAsia="仿宋_GB2312"/>
      <w:sz w:val="28"/>
    </w:rPr>
  </w:style>
  <w:style w:type="paragraph" w:customStyle="1" w:styleId="284">
    <w:name w:val="单元格居中"/>
    <w:basedOn w:val="1"/>
    <w:qFormat/>
    <w:uiPriority w:val="0"/>
    <w:pPr>
      <w:adjustRightInd/>
      <w:spacing w:line="360" w:lineRule="auto"/>
      <w:jc w:val="center"/>
    </w:pPr>
    <w:rPr>
      <w:sz w:val="24"/>
    </w:rPr>
  </w:style>
  <w:style w:type="paragraph" w:customStyle="1" w:styleId="285">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6">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0">
    <w:name w:val="MM Empty"/>
    <w:basedOn w:val="1"/>
    <w:qFormat/>
    <w:uiPriority w:val="0"/>
    <w:pPr>
      <w:adjustRightInd/>
    </w:pPr>
  </w:style>
  <w:style w:type="paragraph" w:customStyle="1" w:styleId="291">
    <w:name w:val="文档正文"/>
    <w:basedOn w:val="1"/>
    <w:qFormat/>
    <w:uiPriority w:val="0"/>
    <w:pPr>
      <w:spacing w:line="480" w:lineRule="atLeast"/>
      <w:ind w:firstLine="567"/>
      <w:textAlignment w:val="baseline"/>
    </w:pPr>
    <w:rPr>
      <w:kern w:val="0"/>
      <w:sz w:val="24"/>
      <w:szCs w:val="20"/>
    </w:rPr>
  </w:style>
  <w:style w:type="paragraph" w:customStyle="1" w:styleId="29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3">
    <w:name w:val="Char Char1 Char Char1 Char Char1"/>
    <w:basedOn w:val="1"/>
    <w:qFormat/>
    <w:uiPriority w:val="0"/>
    <w:pPr>
      <w:tabs>
        <w:tab w:val="left" w:pos="840"/>
      </w:tabs>
      <w:ind w:left="840" w:hanging="420"/>
    </w:pPr>
    <w:rPr>
      <w:rFonts w:ascii="Tahoma" w:hAnsi="Tahoma"/>
      <w:sz w:val="24"/>
    </w:rPr>
  </w:style>
  <w:style w:type="paragraph" w:customStyle="1" w:styleId="294">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5">
    <w:name w:val="Char Char Char Char Char Char Char Char Char Char1"/>
    <w:basedOn w:val="1"/>
    <w:qFormat/>
    <w:uiPriority w:val="0"/>
    <w:rPr>
      <w:rFonts w:ascii="仿宋_GB2312" w:eastAsia="仿宋_GB2312"/>
      <w:b/>
      <w:sz w:val="32"/>
      <w:szCs w:val="32"/>
    </w:rPr>
  </w:style>
  <w:style w:type="paragraph" w:customStyle="1" w:styleId="296">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7">
    <w:name w:val="默认段落字体 Para Char Char Char1 Char"/>
    <w:basedOn w:val="1"/>
    <w:qFormat/>
    <w:uiPriority w:val="0"/>
    <w:pPr>
      <w:spacing w:line="240" w:lineRule="atLeast"/>
      <w:ind w:left="420" w:firstLine="420"/>
    </w:pPr>
    <w:rPr>
      <w:sz w:val="24"/>
    </w:rPr>
  </w:style>
  <w:style w:type="paragraph" w:styleId="29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0">
    <w:name w:val="Char1 Char Char Char5"/>
    <w:basedOn w:val="1"/>
    <w:qFormat/>
    <w:uiPriority w:val="0"/>
    <w:pPr>
      <w:adjustRightInd/>
      <w:ind w:firstLine="200" w:firstLineChars="200"/>
    </w:pPr>
    <w:rPr>
      <w:rFonts w:ascii="Tahoma" w:hAnsi="Tahoma"/>
      <w:sz w:val="24"/>
      <w:szCs w:val="20"/>
    </w:rPr>
  </w:style>
  <w:style w:type="paragraph" w:customStyle="1" w:styleId="301">
    <w:name w:val="Char Char Char Char Char Char Char1"/>
    <w:basedOn w:val="1"/>
    <w:qFormat/>
    <w:uiPriority w:val="0"/>
    <w:rPr>
      <w:rFonts w:ascii="仿宋_GB2312" w:eastAsia="仿宋_GB2312"/>
      <w:b/>
      <w:sz w:val="32"/>
      <w:szCs w:val="32"/>
    </w:rPr>
  </w:style>
  <w:style w:type="paragraph" w:customStyle="1" w:styleId="30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3">
    <w:name w:val="正文表标题"/>
    <w:next w:val="1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5">
    <w:name w:val="四号　首行缩进"/>
    <w:basedOn w:val="1"/>
    <w:qFormat/>
    <w:uiPriority w:val="0"/>
    <w:pPr>
      <w:adjustRightInd/>
      <w:spacing w:line="360" w:lineRule="auto"/>
    </w:pPr>
    <w:rPr>
      <w:rFonts w:ascii="宋体" w:hAnsi="宋体"/>
      <w:szCs w:val="20"/>
    </w:rPr>
  </w:style>
  <w:style w:type="paragraph" w:customStyle="1" w:styleId="30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8">
    <w:name w:val="首行缩进"/>
    <w:basedOn w:val="1"/>
    <w:qFormat/>
    <w:uiPriority w:val="0"/>
    <w:pPr>
      <w:spacing w:line="360" w:lineRule="auto"/>
      <w:ind w:firstLine="480" w:firstLineChars="200"/>
    </w:pPr>
    <w:rPr>
      <w:rFonts w:ascii="宋体"/>
      <w:sz w:val="24"/>
      <w:szCs w:val="20"/>
    </w:rPr>
  </w:style>
  <w:style w:type="paragraph" w:customStyle="1" w:styleId="309">
    <w:name w:val="Char1 Char Char Char1"/>
    <w:basedOn w:val="1"/>
    <w:qFormat/>
    <w:uiPriority w:val="0"/>
    <w:pPr>
      <w:adjustRightInd/>
      <w:ind w:firstLine="200" w:firstLineChars="200"/>
    </w:pPr>
    <w:rPr>
      <w:rFonts w:ascii="Tahoma" w:hAnsi="Tahoma"/>
      <w:sz w:val="24"/>
      <w:szCs w:val="20"/>
    </w:rPr>
  </w:style>
  <w:style w:type="paragraph" w:customStyle="1" w:styleId="310">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2">
    <w:name w:val="样式 样式2 + 左侧:  1 字符 右侧:  1 字符"/>
    <w:basedOn w:val="7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5">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6">
    <w:name w:val="List Paragraph1"/>
    <w:basedOn w:val="1"/>
    <w:qFormat/>
    <w:uiPriority w:val="34"/>
    <w:pPr>
      <w:spacing w:line="360" w:lineRule="auto"/>
      <w:ind w:firstLine="200" w:firstLineChars="200"/>
    </w:pPr>
    <w:rPr>
      <w:rFonts w:eastAsia="楷体_GB2312" w:cs="Lucida Sans"/>
      <w:sz w:val="24"/>
    </w:rPr>
  </w:style>
  <w:style w:type="paragraph" w:customStyle="1" w:styleId="31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0">
    <w:name w:val="Char Char11 Char Char Char Char Char Char Char Char Char1"/>
    <w:basedOn w:val="1"/>
    <w:qFormat/>
    <w:uiPriority w:val="0"/>
    <w:pPr>
      <w:spacing w:line="360" w:lineRule="auto"/>
    </w:pPr>
    <w:rPr>
      <w:szCs w:val="20"/>
    </w:rPr>
  </w:style>
  <w:style w:type="paragraph" w:customStyle="1" w:styleId="321">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2">
    <w:name w:val="正文 项目2"/>
    <w:basedOn w:val="323"/>
    <w:qFormat/>
    <w:uiPriority w:val="0"/>
    <w:pPr>
      <w:numPr>
        <w:ilvl w:val="0"/>
        <w:numId w:val="6"/>
      </w:numPr>
      <w:tabs>
        <w:tab w:val="left" w:pos="840"/>
      </w:tabs>
      <w:spacing w:after="0"/>
    </w:pPr>
  </w:style>
  <w:style w:type="paragraph" w:customStyle="1" w:styleId="32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4">
    <w:name w:val="Char Char Char1 Char1"/>
    <w:basedOn w:val="1"/>
    <w:qFormat/>
    <w:uiPriority w:val="0"/>
    <w:rPr>
      <w:szCs w:val="20"/>
    </w:rPr>
  </w:style>
  <w:style w:type="paragraph" w:customStyle="1" w:styleId="32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7">
    <w:name w:val="封面"/>
    <w:basedOn w:val="1"/>
    <w:qFormat/>
    <w:uiPriority w:val="0"/>
    <w:pPr>
      <w:spacing w:line="360" w:lineRule="atLeast"/>
      <w:jc w:val="right"/>
      <w:textAlignment w:val="baseline"/>
    </w:pPr>
    <w:rPr>
      <w:rFonts w:ascii="Symbol" w:hAnsi="Symbol"/>
      <w:kern w:val="0"/>
      <w:szCs w:val="20"/>
    </w:rPr>
  </w:style>
  <w:style w:type="paragraph" w:customStyle="1" w:styleId="328">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9">
    <w:name w:val="数字标题3"/>
    <w:basedOn w:val="5"/>
    <w:next w:val="1"/>
    <w:qFormat/>
    <w:uiPriority w:val="0"/>
    <w:pPr>
      <w:numPr>
        <w:numId w:val="0"/>
      </w:numPr>
      <w:spacing w:line="240" w:lineRule="auto"/>
    </w:pPr>
    <w:rPr>
      <w:sz w:val="28"/>
      <w:szCs w:val="28"/>
    </w:rPr>
  </w:style>
  <w:style w:type="paragraph" w:customStyle="1" w:styleId="3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2">
    <w:name w:val="正文（首行缩进2字符）"/>
    <w:basedOn w:val="1"/>
    <w:qFormat/>
    <w:uiPriority w:val="0"/>
    <w:pPr>
      <w:adjustRightInd/>
      <w:spacing w:line="360" w:lineRule="auto"/>
      <w:ind w:firstLine="480" w:firstLineChars="200"/>
    </w:pPr>
    <w:rPr>
      <w:sz w:val="24"/>
      <w:szCs w:val="20"/>
    </w:rPr>
  </w:style>
  <w:style w:type="paragraph" w:customStyle="1" w:styleId="33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4">
    <w:name w:val="正文段"/>
    <w:basedOn w:val="1"/>
    <w:qFormat/>
    <w:uiPriority w:val="0"/>
    <w:pPr>
      <w:widowControl/>
      <w:snapToGrid w:val="0"/>
      <w:spacing w:after="156" w:afterLines="50"/>
      <w:ind w:firstLine="200" w:firstLineChars="200"/>
    </w:pPr>
    <w:rPr>
      <w:kern w:val="0"/>
      <w:sz w:val="24"/>
      <w:szCs w:val="20"/>
    </w:rPr>
  </w:style>
  <w:style w:type="paragraph" w:customStyle="1" w:styleId="33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6">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7">
    <w:name w:val="彩色列表 - 强调文字颜色 11"/>
    <w:basedOn w:val="1"/>
    <w:qFormat/>
    <w:uiPriority w:val="0"/>
    <w:pPr>
      <w:adjustRightInd/>
      <w:ind w:firstLine="420" w:firstLineChars="200"/>
    </w:pPr>
    <w:rPr>
      <w:rFonts w:ascii="Calibri" w:hAnsi="Calibri"/>
      <w:szCs w:val="22"/>
    </w:rPr>
  </w:style>
  <w:style w:type="paragraph" w:customStyle="1" w:styleId="338">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0">
    <w:name w:val="样式1 + (中宋体"/>
    <w:basedOn w:val="16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1">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2">
    <w:name w:val="正文（标题三）"/>
    <w:basedOn w:val="1"/>
    <w:qFormat/>
    <w:uiPriority w:val="0"/>
    <w:pPr>
      <w:spacing w:line="360" w:lineRule="auto"/>
      <w:ind w:firstLine="200" w:firstLineChars="200"/>
    </w:pPr>
    <w:rPr>
      <w:sz w:val="24"/>
    </w:rPr>
  </w:style>
  <w:style w:type="paragraph" w:customStyle="1" w:styleId="343">
    <w:name w:val="MM Topic 3"/>
    <w:basedOn w:val="5"/>
    <w:qFormat/>
    <w:uiPriority w:val="0"/>
    <w:pPr>
      <w:numPr>
        <w:numId w:val="4"/>
      </w:numPr>
      <w:tabs>
        <w:tab w:val="left" w:pos="840"/>
        <w:tab w:val="left" w:pos="1680"/>
        <w:tab w:val="clear" w:pos="900"/>
      </w:tabs>
      <w:adjustRightInd/>
    </w:pPr>
  </w:style>
  <w:style w:type="paragraph" w:customStyle="1" w:styleId="34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5">
    <w:name w:val="图中文字"/>
    <w:basedOn w:val="1"/>
    <w:qFormat/>
    <w:uiPriority w:val="0"/>
    <w:pPr>
      <w:snapToGrid w:val="0"/>
      <w:spacing w:line="0" w:lineRule="atLeast"/>
      <w:ind w:firstLine="200" w:firstLineChars="200"/>
      <w:jc w:val="center"/>
    </w:pPr>
    <w:rPr>
      <w:sz w:val="24"/>
      <w:szCs w:val="20"/>
    </w:rPr>
  </w:style>
  <w:style w:type="paragraph" w:customStyle="1" w:styleId="346">
    <w:name w:val="正文－恩普"/>
    <w:basedOn w:val="20"/>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7">
    <w:name w:val="Char21"/>
    <w:basedOn w:val="1"/>
    <w:qFormat/>
    <w:uiPriority w:val="0"/>
    <w:pPr>
      <w:adjustRightInd/>
      <w:ind w:firstLine="200" w:firstLineChars="200"/>
    </w:pPr>
    <w:rPr>
      <w:rFonts w:ascii="仿宋_GB2312" w:eastAsia="仿宋_GB2312"/>
      <w:b/>
      <w:sz w:val="32"/>
      <w:szCs w:val="32"/>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9">
    <w:name w:val="标题4-dyf"/>
    <w:basedOn w:val="6"/>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0">
    <w:name w:val="Char1 Char Char Char4"/>
    <w:basedOn w:val="1"/>
    <w:qFormat/>
    <w:uiPriority w:val="0"/>
    <w:pPr>
      <w:adjustRightInd/>
      <w:ind w:firstLine="200" w:firstLineChars="200"/>
    </w:pPr>
    <w:rPr>
      <w:rFonts w:ascii="Tahoma" w:hAnsi="Tahoma"/>
      <w:sz w:val="24"/>
      <w:szCs w:val="20"/>
    </w:rPr>
  </w:style>
  <w:style w:type="paragraph" w:customStyle="1" w:styleId="351">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3">
    <w:name w:val="Char23"/>
    <w:basedOn w:val="1"/>
    <w:qFormat/>
    <w:uiPriority w:val="0"/>
    <w:rPr>
      <w:rFonts w:ascii="仿宋_GB2312" w:eastAsia="仿宋_GB2312"/>
      <w:b/>
      <w:sz w:val="32"/>
      <w:szCs w:val="32"/>
    </w:rPr>
  </w:style>
  <w:style w:type="paragraph" w:customStyle="1" w:styleId="35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7">
    <w:name w:val="此正文"/>
    <w:basedOn w:val="1"/>
    <w:link w:val="441"/>
    <w:qFormat/>
    <w:uiPriority w:val="0"/>
    <w:pPr>
      <w:adjustRightInd/>
      <w:spacing w:line="360" w:lineRule="auto"/>
      <w:ind w:firstLine="200" w:firstLineChars="200"/>
    </w:pPr>
    <w:rPr>
      <w:sz w:val="24"/>
    </w:rPr>
  </w:style>
  <w:style w:type="paragraph" w:customStyle="1" w:styleId="3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0">
    <w:name w:val="Char3 Char Char Char"/>
    <w:basedOn w:val="1"/>
    <w:qFormat/>
    <w:uiPriority w:val="0"/>
    <w:pPr>
      <w:widowControl/>
      <w:adjustRightInd/>
      <w:spacing w:after="160" w:line="240" w:lineRule="exact"/>
      <w:jc w:val="left"/>
    </w:pPr>
    <w:rPr>
      <w:szCs w:val="20"/>
    </w:rPr>
  </w:style>
  <w:style w:type="paragraph" w:customStyle="1" w:styleId="3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2">
    <w:name w:val="Normal0"/>
    <w:qFormat/>
    <w:uiPriority w:val="0"/>
    <w:rPr>
      <w:rFonts w:ascii="Times New Roman" w:hAnsi="Times New Roman" w:eastAsia="宋体" w:cs="Times New Roman"/>
      <w:lang w:val="en-US" w:eastAsia="en-US" w:bidi="ar-SA"/>
    </w:rPr>
  </w:style>
  <w:style w:type="paragraph" w:customStyle="1" w:styleId="36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4">
    <w:name w:val="a1"/>
    <w:basedOn w:val="1"/>
    <w:qFormat/>
    <w:uiPriority w:val="0"/>
    <w:pPr>
      <w:widowControl/>
      <w:spacing w:line="300" w:lineRule="atLeast"/>
      <w:jc w:val="left"/>
    </w:pPr>
    <w:rPr>
      <w:rFonts w:ascii="宋体" w:hAnsi="宋体"/>
      <w:kern w:val="0"/>
      <w:sz w:val="18"/>
      <w:szCs w:val="20"/>
    </w:rPr>
  </w:style>
  <w:style w:type="paragraph" w:customStyle="1" w:styleId="36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8">
    <w:name w:val="Thf"/>
    <w:basedOn w:val="93"/>
    <w:qFormat/>
    <w:uiPriority w:val="0"/>
    <w:pPr>
      <w:ind w:left="0"/>
    </w:pPr>
  </w:style>
  <w:style w:type="paragraph" w:customStyle="1" w:styleId="36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_Style 12"/>
    <w:basedOn w:val="24"/>
    <w:qFormat/>
    <w:uiPriority w:val="0"/>
    <w:pPr>
      <w:snapToGrid w:val="0"/>
      <w:spacing w:line="360" w:lineRule="auto"/>
    </w:pPr>
  </w:style>
  <w:style w:type="paragraph" w:customStyle="1" w:styleId="374">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6">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7">
    <w:name w:val="Char Char"/>
    <w:basedOn w:val="1"/>
    <w:qFormat/>
    <w:uiPriority w:val="0"/>
    <w:pPr>
      <w:spacing w:line="360" w:lineRule="auto"/>
    </w:pPr>
    <w:rPr>
      <w:rFonts w:ascii="Tahoma" w:hAnsi="Tahoma"/>
      <w:sz w:val="24"/>
      <w:szCs w:val="20"/>
    </w:rPr>
  </w:style>
  <w:style w:type="paragraph" w:customStyle="1" w:styleId="378">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9">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0">
    <w:name w:val="彩色列表 - 强调文字颜色 12"/>
    <w:basedOn w:val="1"/>
    <w:qFormat/>
    <w:uiPriority w:val="0"/>
    <w:pPr>
      <w:adjustRightInd/>
      <w:ind w:firstLine="420" w:firstLineChars="200"/>
    </w:pPr>
    <w:rPr>
      <w:rFonts w:ascii="Calibri" w:hAnsi="Calibri"/>
      <w:szCs w:val="22"/>
    </w:rPr>
  </w:style>
  <w:style w:type="paragraph" w:customStyle="1" w:styleId="38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2">
    <w:name w:val="Char19"/>
    <w:basedOn w:val="1"/>
    <w:qFormat/>
    <w:uiPriority w:val="0"/>
    <w:pPr>
      <w:adjustRightInd/>
    </w:pPr>
    <w:rPr>
      <w:szCs w:val="20"/>
    </w:rPr>
  </w:style>
  <w:style w:type="paragraph" w:customStyle="1" w:styleId="383">
    <w:name w:val="CSS1级正文 Char"/>
    <w:basedOn w:val="16"/>
    <w:qFormat/>
    <w:uiPriority w:val="0"/>
    <w:pPr>
      <w:autoSpaceDE/>
      <w:autoSpaceDN/>
      <w:snapToGrid w:val="0"/>
      <w:ind w:firstLine="480" w:firstLineChars="200"/>
    </w:pPr>
    <w:rPr>
      <w:rFonts w:ascii="Times New Roman"/>
      <w:szCs w:val="24"/>
      <w:lang w:val="en-US"/>
    </w:rPr>
  </w:style>
  <w:style w:type="paragraph" w:customStyle="1" w:styleId="384">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6">
    <w:name w:val="表格（小）"/>
    <w:basedOn w:val="1"/>
    <w:qFormat/>
    <w:uiPriority w:val="0"/>
    <w:pPr>
      <w:adjustRightInd/>
      <w:snapToGrid w:val="0"/>
      <w:spacing w:line="300" w:lineRule="auto"/>
    </w:pPr>
    <w:rPr>
      <w:rFonts w:eastAsia="仿宋"/>
      <w:szCs w:val="21"/>
    </w:rPr>
  </w:style>
  <w:style w:type="paragraph" w:customStyle="1" w:styleId="38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 Char Char Char2"/>
    <w:basedOn w:val="1"/>
    <w:qFormat/>
    <w:uiPriority w:val="0"/>
    <w:rPr>
      <w:rFonts w:ascii="Tahoma" w:hAnsi="Tahoma"/>
      <w:sz w:val="24"/>
      <w:szCs w:val="20"/>
    </w:rPr>
  </w:style>
  <w:style w:type="paragraph" w:customStyle="1" w:styleId="392">
    <w:name w:val="p0"/>
    <w:basedOn w:val="1"/>
    <w:qFormat/>
    <w:uiPriority w:val="0"/>
    <w:pPr>
      <w:widowControl/>
      <w:adjustRightInd/>
    </w:pPr>
    <w:rPr>
      <w:kern w:val="0"/>
      <w:szCs w:val="21"/>
    </w:rPr>
  </w:style>
  <w:style w:type="paragraph" w:customStyle="1" w:styleId="39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5">
    <w:name w:val="默认段落样式"/>
    <w:basedOn w:val="396"/>
    <w:qFormat/>
    <w:uiPriority w:val="0"/>
    <w:pPr>
      <w:spacing w:before="0"/>
      <w:ind w:firstLine="480"/>
      <w:outlineLvl w:val="2"/>
    </w:pPr>
    <w:rPr>
      <w:rFonts w:ascii="仿宋_GB2312" w:hAnsi="宋体" w:eastAsia="仿宋_GB2312"/>
      <w:color w:val="000000"/>
      <w:szCs w:val="24"/>
    </w:rPr>
  </w:style>
  <w:style w:type="paragraph" w:customStyle="1" w:styleId="396">
    <w:name w:val="正文2"/>
    <w:basedOn w:val="1"/>
    <w:link w:val="448"/>
    <w:qFormat/>
    <w:uiPriority w:val="0"/>
    <w:pPr>
      <w:spacing w:before="156" w:line="360" w:lineRule="auto"/>
      <w:ind w:firstLine="510" w:firstLineChars="200"/>
    </w:pPr>
    <w:rPr>
      <w:sz w:val="24"/>
      <w:szCs w:val="20"/>
    </w:rPr>
  </w:style>
  <w:style w:type="paragraph" w:customStyle="1" w:styleId="39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0">
    <w:name w:val="bullet"/>
    <w:basedOn w:val="1"/>
    <w:qFormat/>
    <w:uiPriority w:val="0"/>
    <w:pPr>
      <w:tabs>
        <w:tab w:val="left" w:pos="840"/>
      </w:tabs>
      <w:adjustRightInd/>
      <w:ind w:left="840" w:hanging="420"/>
    </w:pPr>
  </w:style>
  <w:style w:type="paragraph" w:customStyle="1" w:styleId="401">
    <w:name w:val="五级条标题"/>
    <w:basedOn w:val="174"/>
    <w:next w:val="141"/>
    <w:qFormat/>
    <w:uiPriority w:val="0"/>
    <w:pPr>
      <w:numPr>
        <w:ilvl w:val="6"/>
      </w:numPr>
      <w:tabs>
        <w:tab w:val="clear" w:pos="2940"/>
      </w:tabs>
      <w:outlineLvl w:val="6"/>
    </w:pPr>
  </w:style>
  <w:style w:type="paragraph" w:customStyle="1" w:styleId="402">
    <w:name w:val="Char Char Char Char Char Char Char Char"/>
    <w:basedOn w:val="1"/>
    <w:qFormat/>
    <w:uiPriority w:val="0"/>
    <w:pPr>
      <w:tabs>
        <w:tab w:val="left" w:pos="360"/>
      </w:tabs>
    </w:pPr>
    <w:rPr>
      <w:sz w:val="24"/>
      <w:szCs w:val="20"/>
    </w:rPr>
  </w:style>
  <w:style w:type="paragraph" w:customStyle="1" w:styleId="4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4">
    <w:name w:val="数字标题5"/>
    <w:basedOn w:val="7"/>
    <w:next w:val="1"/>
    <w:qFormat/>
    <w:uiPriority w:val="0"/>
    <w:pPr>
      <w:numPr>
        <w:numId w:val="5"/>
      </w:numPr>
      <w:tabs>
        <w:tab w:val="left" w:pos="480"/>
        <w:tab w:val="left" w:pos="1080"/>
        <w:tab w:val="clear" w:pos="1008"/>
      </w:tabs>
    </w:pPr>
  </w:style>
  <w:style w:type="paragraph" w:customStyle="1" w:styleId="4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6">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7"/>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3"/>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3"/>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4"/>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7"/>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6"/>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1"/>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Char"/>
    <w:link w:val="10"/>
    <w:qFormat/>
    <w:uiPriority w:val="0"/>
    <w:rPr>
      <w:rFonts w:ascii="Arial" w:hAnsi="Arial" w:eastAsia="黑体"/>
      <w:kern w:val="2"/>
      <w:sz w:val="24"/>
      <w:szCs w:val="24"/>
    </w:rPr>
  </w:style>
  <w:style w:type="character" w:customStyle="1" w:styleId="473">
    <w:name w:val="冯广丽 Char"/>
    <w:link w:val="237"/>
    <w:qFormat/>
    <w:uiPriority w:val="0"/>
    <w:rPr>
      <w:rFonts w:ascii="宋体" w:hAnsi="宋体"/>
      <w:kern w:val="2"/>
      <w:sz w:val="24"/>
      <w:szCs w:val="22"/>
    </w:rPr>
  </w:style>
  <w:style w:type="character" w:customStyle="1" w:styleId="474">
    <w:name w:val="脚注文本 Char"/>
    <w:link w:val="52"/>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Char1"/>
    <w:link w:val="27"/>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4"/>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Char"/>
    <w:link w:val="9"/>
    <w:qFormat/>
    <w:uiPriority w:val="0"/>
    <w:rPr>
      <w:b/>
      <w:bCs/>
      <w:kern w:val="2"/>
      <w:sz w:val="24"/>
      <w:szCs w:val="24"/>
    </w:rPr>
  </w:style>
  <w:style w:type="character" w:customStyle="1" w:styleId="483">
    <w:name w:val="称呼 Char"/>
    <w:link w:val="25"/>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Char"/>
    <w:link w:val="49"/>
    <w:qFormat/>
    <w:uiPriority w:val="0"/>
    <w:rPr>
      <w:rFonts w:ascii="Arial" w:hAnsi="Arial" w:eastAsia="隶书"/>
      <w:b/>
      <w:bCs/>
      <w:kern w:val="28"/>
      <w:sz w:val="44"/>
      <w:szCs w:val="32"/>
      <w:lang w:val="en-US" w:eastAsia="zh-CN" w:bidi="ar-SA"/>
    </w:rPr>
  </w:style>
  <w:style w:type="character" w:customStyle="1" w:styleId="490">
    <w:name w:val="纯文本 Char"/>
    <w:link w:val="36"/>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5"/>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Char"/>
    <w:link w:val="42"/>
    <w:qFormat/>
    <w:uiPriority w:val="0"/>
    <w:rPr>
      <w:rFonts w:ascii="宋体" w:hAnsi="宋体"/>
      <w:kern w:val="2"/>
      <w:sz w:val="21"/>
      <w:szCs w:val="24"/>
    </w:rPr>
  </w:style>
  <w:style w:type="character" w:customStyle="1" w:styleId="504">
    <w:name w:val="正文文本缩进 2 Char"/>
    <w:link w:val="40"/>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Char1"/>
    <w:link w:val="16"/>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6"/>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Char"/>
    <w:link w:val="11"/>
    <w:qFormat/>
    <w:uiPriority w:val="0"/>
    <w:rPr>
      <w:rFonts w:ascii="Arial" w:hAnsi="Arial" w:eastAsia="黑体"/>
      <w:kern w:val="2"/>
      <w:sz w:val="21"/>
      <w:szCs w:val="21"/>
    </w:rPr>
  </w:style>
  <w:style w:type="character" w:customStyle="1" w:styleId="521">
    <w:name w:val="md"/>
    <w:basedOn w:val="62"/>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1"/>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2"/>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Char"/>
    <w:link w:val="59"/>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Char"/>
    <w:link w:val="15"/>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Char"/>
    <w:link w:val="3"/>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9"/>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3"/>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33"/>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7"/>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6"/>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8"/>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5"/>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9"/>
    <w:qFormat/>
    <w:uiPriority w:val="0"/>
    <w:rPr>
      <w:rFonts w:ascii="宋体"/>
      <w:kern w:val="2"/>
      <w:sz w:val="24"/>
      <w:szCs w:val="21"/>
      <w:lang w:val="zh-CN"/>
    </w:rPr>
  </w:style>
  <w:style w:type="character" w:customStyle="1" w:styleId="600">
    <w:name w:val="标题 4 Char"/>
    <w:link w:val="6"/>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2"/>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Char"/>
    <w:link w:val="8"/>
    <w:qFormat/>
    <w:uiPriority w:val="0"/>
    <w:rPr>
      <w:rFonts w:ascii="Arial" w:hAnsi="Arial" w:eastAsia="黑体"/>
      <w:b/>
      <w:bCs/>
      <w:kern w:val="2"/>
      <w:sz w:val="24"/>
      <w:szCs w:val="24"/>
    </w:rPr>
  </w:style>
  <w:style w:type="character" w:customStyle="1" w:styleId="614">
    <w:name w:val="正文缩进 Char2"/>
    <w:link w:val="20"/>
    <w:qFormat/>
    <w:uiPriority w:val="0"/>
    <w:rPr>
      <w:rFonts w:ascii="宋体" w:eastAsia="宋体"/>
      <w:snapToGrid w:val="0"/>
      <w:color w:val="000000"/>
      <w:kern w:val="28"/>
      <w:sz w:val="28"/>
      <w:lang w:val="en-US" w:eastAsia="zh-CN" w:bidi="ar-SA"/>
    </w:rPr>
  </w:style>
  <w:style w:type="character" w:customStyle="1" w:styleId="615">
    <w:name w:val="批注文字 Char1"/>
    <w:link w:val="13"/>
    <w:qFormat/>
    <w:uiPriority w:val="99"/>
    <w:rPr>
      <w:kern w:val="2"/>
      <w:sz w:val="21"/>
      <w:szCs w:val="24"/>
    </w:rPr>
  </w:style>
  <w:style w:type="character" w:customStyle="1" w:styleId="616">
    <w:name w:val="批注框文本 Char"/>
    <w:link w:val="41"/>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1"/>
    <w:link w:val="623"/>
    <w:qFormat/>
    <w:uiPriority w:val="0"/>
    <w:pPr>
      <w:adjustRightInd/>
    </w:pPr>
    <w:rPr>
      <w:rFonts w:ascii="宋体" w:hAnsi="Courier New"/>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2"/>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3">
    <w:name w:val="*正文 Char"/>
    <w:link w:val="634"/>
    <w:qFormat/>
    <w:locked/>
    <w:uiPriority w:val="0"/>
    <w:rPr>
      <w:rFonts w:ascii="宋体" w:hAnsi="宋体"/>
      <w:sz w:val="24"/>
    </w:rPr>
  </w:style>
  <w:style w:type="paragraph" w:customStyle="1" w:styleId="634">
    <w:name w:val="*正文"/>
    <w:basedOn w:val="1"/>
    <w:link w:val="633"/>
    <w:qFormat/>
    <w:uiPriority w:val="0"/>
    <w:pPr>
      <w:snapToGrid w:val="0"/>
      <w:spacing w:line="360" w:lineRule="auto"/>
      <w:ind w:firstLine="482"/>
      <w:jc w:val="left"/>
    </w:pPr>
    <w:rPr>
      <w:rFonts w:ascii="宋体" w:hAnsi="宋体"/>
      <w:kern w:val="0"/>
      <w:sz w:val="24"/>
      <w:szCs w:val="20"/>
    </w:rPr>
  </w:style>
  <w:style w:type="character" w:customStyle="1" w:styleId="635">
    <w:name w:val="正文文本缩进 Char3"/>
    <w:qFormat/>
    <w:uiPriority w:val="0"/>
    <w:rPr>
      <w:rFonts w:ascii="宋体" w:hAnsi="宋体"/>
      <w:kern w:val="2"/>
      <w:sz w:val="24"/>
      <w:szCs w:val="24"/>
    </w:rPr>
  </w:style>
  <w:style w:type="table" w:customStyle="1" w:styleId="636">
    <w:name w:val="网格型1"/>
    <w:basedOn w:val="7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37">
    <w:name w:val="网格型2"/>
    <w:basedOn w:val="7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38">
    <w:name w:val="_Style 6"/>
    <w:basedOn w:val="1"/>
    <w:qFormat/>
    <w:uiPriority w:val="34"/>
    <w:pPr>
      <w:adjustRightInd/>
      <w:ind w:firstLine="420" w:firstLineChars="200"/>
    </w:pPr>
    <w:rPr>
      <w:rFonts w:eastAsia="仿宋_GB2312"/>
      <w:sz w:val="28"/>
    </w:rPr>
  </w:style>
  <w:style w:type="paragraph" w:customStyle="1" w:styleId="639">
    <w:name w:val="样式 0正文 + 首行缩进:  2 字符1"/>
    <w:basedOn w:val="1"/>
    <w:qFormat/>
    <w:uiPriority w:val="99"/>
    <w:pPr>
      <w:spacing w:line="360" w:lineRule="auto"/>
      <w:ind w:firstLine="200" w:firstLineChars="200"/>
    </w:pPr>
    <w:rPr>
      <w:szCs w:val="20"/>
    </w:rPr>
  </w:style>
  <w:style w:type="paragraph" w:customStyle="1" w:styleId="640">
    <w:name w:val="kj正文"/>
    <w:basedOn w:val="1"/>
    <w:qFormat/>
    <w:uiPriority w:val="99"/>
    <w:pPr>
      <w:ind w:firstLine="200" w:firstLineChars="200"/>
    </w:pPr>
  </w:style>
  <w:style w:type="paragraph" w:customStyle="1" w:styleId="641">
    <w:name w:val="Table Paragraph"/>
    <w:basedOn w:val="1"/>
    <w:qFormat/>
    <w:uiPriority w:val="1"/>
  </w:style>
  <w:style w:type="table" w:customStyle="1" w:styleId="642">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643">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644">
    <w:name w:val="1"/>
    <w:basedOn w:val="1"/>
    <w:next w:val="36"/>
    <w:qFormat/>
    <w:uiPriority w:val="0"/>
    <w:rPr>
      <w:rFonts w:ascii="宋体" w:hAnsi="Courier New"/>
      <w:szCs w:val="20"/>
    </w:rPr>
  </w:style>
  <w:style w:type="paragraph" w:customStyle="1" w:styleId="6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646">
    <w:name w:val="null3"/>
    <w:qFormat/>
    <w:uiPriority w:val="0"/>
    <w:rPr>
      <w:rFonts w:hint="eastAsia" w:ascii="等线" w:hAnsi="等线" w:eastAsia="等线"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66</Pages>
  <Words>54828</Words>
  <Characters>59279</Characters>
  <Lines>450</Lines>
  <Paragraphs>126</Paragraphs>
  <TotalTime>9</TotalTime>
  <ScaleCrop>false</ScaleCrop>
  <LinksUpToDate>false</LinksUpToDate>
  <CharactersWithSpaces>62908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2026-05-15T10:21:00Z</dcterms:created>
  <dc:creator>北海市政府采购中心</dc:creator>
  <cp:lastModifiedBy>Laoxu</cp:lastModifiedBy>
  <cp:lastPrinted>2026-03-27T03:30:00Z</cp:lastPrinted>
  <dcterms:modified xsi:type="dcterms:W3CDTF">2026-06-18T10:25:43Z</dcterms:modified>
  <dc:title>北海市政府采购中心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36CDA82F43574E9B99B9FAE4DEA61C90_13</vt:lpwstr>
  </property>
  <property fmtid="{D5CDD505-2E9C-101B-9397-08002B2CF9AE}" pid="4" name="KSOTemplateDocerSaveRecord">
    <vt:lpwstr>eyJoZGlkIjoiN2VmYjE4NmZmNTk1NTQ2NzgyOWZlODI1M2RlYzQ3NmMiLCJ1c2VySWQiOiIyOTg5NTMwMjgifQ==</vt:lpwstr>
  </property>
</Properties>
</file>