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4CC16D8">
      <w:pPr>
        <w:tabs>
          <w:tab w:val="left" w:pos="1710"/>
          <w:tab w:val="clear" w:pos="1160"/>
        </w:tabs>
      </w:pPr>
      <w:bookmarkStart w:id="0" w:name="_Toc217446030"/>
      <w:bookmarkStart w:id="1" w:name="_Toc183682338"/>
      <w:r>
        <w:rPr>
          <w:sz w:val="24"/>
          <w:szCs w:val="24"/>
        </w:rPr>
        <w:drawing>
          <wp:anchor distT="0" distB="0" distL="114300" distR="114300" simplePos="0" relativeHeight="251664384" behindDoc="0" locked="0" layoutInCell="1" allowOverlap="1">
            <wp:simplePos x="0" y="0"/>
            <wp:positionH relativeFrom="column">
              <wp:posOffset>2605405</wp:posOffset>
            </wp:positionH>
            <wp:positionV relativeFrom="paragraph">
              <wp:posOffset>-69850</wp:posOffset>
            </wp:positionV>
            <wp:extent cx="558800" cy="558800"/>
            <wp:effectExtent l="0" t="0" r="12700" b="12700"/>
            <wp:wrapSquare wrapText="right"/>
            <wp:docPr id="4" name="图片 3" descr="638238BB99A253FEB9BED4DA40F32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638238BB99A253FEB9BED4DA40F32CE"/>
                    <pic:cNvPicPr>
                      <a:picLocks noChangeAspect="1"/>
                    </pic:cNvPicPr>
                  </pic:nvPicPr>
                  <pic:blipFill>
                    <a:blip r:embed="rId16"/>
                    <a:stretch>
                      <a:fillRect/>
                    </a:stretch>
                  </pic:blipFill>
                  <pic:spPr>
                    <a:xfrm>
                      <a:off x="0" y="0"/>
                      <a:ext cx="558800" cy="558800"/>
                    </a:xfrm>
                    <a:prstGeom prst="rect">
                      <a:avLst/>
                    </a:prstGeom>
                    <a:noFill/>
                    <a:ln>
                      <a:noFill/>
                    </a:ln>
                  </pic:spPr>
                </pic:pic>
              </a:graphicData>
            </a:graphic>
          </wp:anchor>
        </w:drawing>
      </w:r>
    </w:p>
    <w:p w14:paraId="4FE1E595">
      <w:pPr>
        <w:jc w:val="center"/>
        <w:rPr>
          <w:b/>
          <w:bCs/>
          <w:sz w:val="36"/>
          <w:szCs w:val="36"/>
          <w:lang w:bidi="ar"/>
        </w:rPr>
      </w:pPr>
    </w:p>
    <w:p w14:paraId="4B65A30A">
      <w:pPr>
        <w:jc w:val="center"/>
        <w:rPr>
          <w:b/>
          <w:bCs/>
          <w:sz w:val="36"/>
          <w:szCs w:val="36"/>
        </w:rPr>
      </w:pPr>
      <w:r>
        <w:rPr>
          <w:rFonts w:hint="eastAsia"/>
          <w:b/>
          <w:bCs/>
          <w:sz w:val="36"/>
          <w:szCs w:val="36"/>
          <w:lang w:bidi="ar"/>
        </w:rPr>
        <w:t>广西中信恒泰工程顾问有限公司</w:t>
      </w:r>
    </w:p>
    <w:p w14:paraId="01305C95">
      <w:pPr>
        <w:jc w:val="center"/>
        <w:rPr>
          <w:b/>
          <w:bCs/>
          <w:sz w:val="30"/>
          <w:szCs w:val="30"/>
        </w:rPr>
      </w:pPr>
      <w:bookmarkStart w:id="2" w:name="_Toc460603144"/>
      <w:bookmarkStart w:id="3" w:name="_Toc464118215"/>
      <w:r>
        <w:rPr>
          <w:rFonts w:hint="eastAsia"/>
          <w:b/>
          <w:bCs/>
          <w:sz w:val="30"/>
          <w:szCs w:val="30"/>
          <w:lang w:bidi="ar"/>
        </w:rPr>
        <w:t>Guangxi Zhongxinhengtai Engineering Consulting Co.,Ltd</w:t>
      </w:r>
      <w:bookmarkEnd w:id="2"/>
      <w:bookmarkEnd w:id="3"/>
    </w:p>
    <w:p w14:paraId="77758FFB">
      <w:pPr>
        <w:jc w:val="center"/>
        <w:rPr>
          <w:b/>
          <w:sz w:val="36"/>
          <w:szCs w:val="36"/>
        </w:rPr>
      </w:pPr>
      <w:r>
        <w:rPr>
          <w:rFonts w:hint="eastAsia"/>
          <w:szCs w:val="24"/>
          <w:lang w:bidi="ar"/>
        </w:rPr>
        <mc:AlternateContent>
          <mc:Choice Requires="wps">
            <w:drawing>
              <wp:anchor distT="0" distB="0" distL="114300" distR="114300" simplePos="0" relativeHeight="251662336" behindDoc="0" locked="0" layoutInCell="1" allowOverlap="1">
                <wp:simplePos x="0" y="0"/>
                <wp:positionH relativeFrom="column">
                  <wp:posOffset>-8255</wp:posOffset>
                </wp:positionH>
                <wp:positionV relativeFrom="paragraph">
                  <wp:posOffset>169545</wp:posOffset>
                </wp:positionV>
                <wp:extent cx="5944235" cy="8255"/>
                <wp:effectExtent l="0" t="0" r="0" b="0"/>
                <wp:wrapNone/>
                <wp:docPr id="6" name="直线 2"/>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flip:y;margin-left:-0.65pt;margin-top:13.35pt;height:0.65pt;width:468.05pt;z-index:251662336;mso-width-relative:page;mso-height-relative:page;" filled="f" stroked="t" coordsize="21600,21600" o:gfxdata="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UZ+Ad&#10;1wAAAAgBAAAPAAAAAAAAAAEAIAAAACIAAABkcnMvZG93bnJldi54bWxQSwECFAAUAAAACACHTuJA&#10;t6G2HukBAADdAwAADgAAAAAAAAABACAAAAAmAQAAZHJzL2Uyb0RvYy54bWxQSwUGAAAAAAYABgBZ&#10;AQAAgQUAAAAA&#10;">
                <v:fill on="f" focussize="0,0"/>
                <v:stroke weight="2.25pt" color="#000000" joinstyle="round"/>
                <v:imagedata o:title=""/>
                <o:lock v:ext="edit" aspectratio="f"/>
              </v:line>
            </w:pict>
          </mc:Fallback>
        </mc:AlternateContent>
      </w:r>
      <w:r>
        <w:rPr>
          <w:rFonts w:hint="eastAsia"/>
          <w:b/>
          <w:bCs/>
          <w:sz w:val="10"/>
          <w:szCs w:val="24"/>
          <w:lang w:bidi="ar"/>
        </w:rPr>
        <w:t xml:space="preserve">                                                                         </w:t>
      </w:r>
    </w:p>
    <w:p w14:paraId="77C10C34">
      <w:pPr>
        <w:pStyle w:val="46"/>
        <w:widowControl w:val="0"/>
        <w:spacing w:before="0" w:beforeAutospacing="0" w:after="0" w:afterAutospacing="0"/>
        <w:jc w:val="center"/>
        <w:rPr>
          <w:sz w:val="72"/>
          <w:szCs w:val="72"/>
        </w:rPr>
      </w:pPr>
    </w:p>
    <w:p w14:paraId="5D0A8A7E">
      <w:pPr>
        <w:pStyle w:val="46"/>
        <w:widowControl w:val="0"/>
        <w:spacing w:before="0" w:beforeAutospacing="0" w:after="0" w:afterAutospacing="0"/>
        <w:jc w:val="center"/>
        <w:rPr>
          <w:b/>
          <w:bCs/>
          <w:sz w:val="84"/>
          <w:szCs w:val="84"/>
        </w:rPr>
      </w:pPr>
      <w:r>
        <w:rPr>
          <w:rFonts w:hint="eastAsia"/>
          <w:b/>
          <w:bCs/>
          <w:sz w:val="84"/>
          <w:szCs w:val="84"/>
          <w:lang w:bidi="ar"/>
        </w:rPr>
        <w:t>招 标 文 件</w:t>
      </w:r>
    </w:p>
    <w:p w14:paraId="51066DBA">
      <w:pPr>
        <w:jc w:val="center"/>
        <w:rPr>
          <w:b/>
          <w:sz w:val="36"/>
          <w:szCs w:val="36"/>
        </w:rPr>
      </w:pPr>
    </w:p>
    <w:p w14:paraId="7D5A948A">
      <w:pPr>
        <w:pStyle w:val="46"/>
        <w:widowControl w:val="0"/>
        <w:spacing w:before="0" w:beforeAutospacing="0" w:after="0" w:afterAutospacing="0"/>
        <w:jc w:val="both"/>
      </w:pPr>
    </w:p>
    <w:p w14:paraId="228D9C3E">
      <w:pPr>
        <w:pStyle w:val="46"/>
        <w:widowControl w:val="0"/>
        <w:spacing w:before="0" w:beforeAutospacing="0" w:after="0" w:afterAutospacing="0"/>
        <w:jc w:val="both"/>
      </w:pPr>
    </w:p>
    <w:p w14:paraId="610D010B">
      <w:pPr>
        <w:pStyle w:val="46"/>
        <w:widowControl w:val="0"/>
        <w:spacing w:before="0" w:beforeAutospacing="0" w:after="0" w:afterAutospacing="0"/>
        <w:ind w:firstLine="753" w:firstLineChars="250"/>
        <w:rPr>
          <w:b/>
          <w:sz w:val="30"/>
          <w:szCs w:val="30"/>
          <w:lang w:bidi="ar"/>
        </w:rPr>
      </w:pPr>
    </w:p>
    <w:p w14:paraId="129AA5A5">
      <w:pPr>
        <w:pStyle w:val="46"/>
        <w:widowControl w:val="0"/>
        <w:spacing w:before="0" w:beforeAutospacing="0" w:after="0" w:afterAutospacing="0"/>
        <w:ind w:firstLine="753" w:firstLineChars="250"/>
        <w:rPr>
          <w:b/>
          <w:sz w:val="30"/>
          <w:szCs w:val="30"/>
          <w:lang w:bidi="ar"/>
        </w:rPr>
      </w:pPr>
    </w:p>
    <w:p w14:paraId="64CAD92C">
      <w:pPr>
        <w:pStyle w:val="46"/>
        <w:widowControl w:val="0"/>
        <w:spacing w:before="0" w:beforeAutospacing="0" w:after="0" w:afterAutospacing="0"/>
        <w:ind w:firstLine="1355" w:firstLineChars="450"/>
        <w:rPr>
          <w:rFonts w:hint="eastAsia" w:eastAsia="宋体"/>
          <w:b/>
          <w:sz w:val="30"/>
          <w:szCs w:val="30"/>
          <w:lang w:eastAsia="zh-CN"/>
        </w:rPr>
      </w:pPr>
      <w:r>
        <w:rPr>
          <w:rFonts w:hint="eastAsia"/>
          <w:b/>
          <w:sz w:val="30"/>
          <w:szCs w:val="30"/>
          <w:lang w:bidi="ar"/>
        </w:rPr>
        <w:t>项目名称：</w:t>
      </w:r>
      <w:r>
        <w:rPr>
          <w:rFonts w:hint="eastAsia"/>
          <w:b/>
          <w:sz w:val="30"/>
          <w:szCs w:val="30"/>
          <w:lang w:eastAsia="zh-CN" w:bidi="ar"/>
        </w:rPr>
        <w:t>贵港监狱罪犯生活物资采购项目</w:t>
      </w:r>
    </w:p>
    <w:p w14:paraId="71521993">
      <w:pPr>
        <w:pStyle w:val="46"/>
        <w:widowControl w:val="0"/>
        <w:spacing w:before="0" w:beforeAutospacing="0" w:after="0" w:afterAutospacing="0"/>
        <w:ind w:firstLine="1355" w:firstLineChars="450"/>
        <w:rPr>
          <w:rFonts w:hint="eastAsia" w:eastAsia="宋体"/>
          <w:b/>
          <w:sz w:val="30"/>
          <w:szCs w:val="30"/>
          <w:lang w:eastAsia="zh-CN"/>
        </w:rPr>
      </w:pPr>
      <w:r>
        <w:rPr>
          <w:rFonts w:hint="eastAsia"/>
          <w:b/>
          <w:sz w:val="30"/>
          <w:szCs w:val="30"/>
          <w:lang w:bidi="ar"/>
        </w:rPr>
        <w:t>项目编号：</w:t>
      </w:r>
      <w:r>
        <w:rPr>
          <w:rFonts w:hint="eastAsia"/>
          <w:b/>
          <w:sz w:val="30"/>
          <w:szCs w:val="30"/>
          <w:lang w:eastAsia="zh-CN" w:bidi="ar"/>
        </w:rPr>
        <w:t>GXZC2026-G1-001682-GXZX</w:t>
      </w:r>
    </w:p>
    <w:p w14:paraId="4E530861">
      <w:pPr>
        <w:spacing w:line="600" w:lineRule="exact"/>
        <w:ind w:left="2"/>
        <w:jc w:val="center"/>
        <w:rPr>
          <w:b/>
          <w:sz w:val="30"/>
          <w:szCs w:val="30"/>
        </w:rPr>
      </w:pPr>
      <w:r>
        <w:rPr>
          <w:rFonts w:hint="eastAsia"/>
          <w:szCs w:val="24"/>
          <w:lang w:bidi="ar"/>
        </w:rPr>
        <mc:AlternateContent>
          <mc:Choice Requires="wps">
            <w:drawing>
              <wp:anchor distT="0" distB="0" distL="114300" distR="114300" simplePos="0" relativeHeight="251663360" behindDoc="0" locked="0" layoutInCell="1" allowOverlap="1">
                <wp:simplePos x="0" y="0"/>
                <wp:positionH relativeFrom="column">
                  <wp:posOffset>-89535</wp:posOffset>
                </wp:positionH>
                <wp:positionV relativeFrom="paragraph">
                  <wp:posOffset>144145</wp:posOffset>
                </wp:positionV>
                <wp:extent cx="5944235" cy="8255"/>
                <wp:effectExtent l="0" t="0" r="0" b="0"/>
                <wp:wrapNone/>
                <wp:docPr id="5" name="直线 4"/>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flip:y;margin-left:-7.05pt;margin-top:11.35pt;height:0.65pt;width:468.05pt;z-index:251663360;mso-width-relative:page;mso-height-relative:page;" filled="f" stroked="t" coordsize="21600,21600" o:gfxdata="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L8xSzX&#10;AAAACQEAAA8AAAAAAAAAAQAgAAAAIgAAAGRycy9kb3ducmV2LnhtbFBLAQIUABQAAAAIAIdO4kD+&#10;qIhx6AEAAN0DAAAOAAAAAAAAAAEAIAAAACYBAABkcnMvZTJvRG9jLnhtbFBLBQYAAAAABgAGAFkB&#10;AACABQAAAAA=&#10;">
                <v:fill on="f" focussize="0,0"/>
                <v:stroke weight="2.25pt" color="#000000" joinstyle="round"/>
                <v:imagedata o:title=""/>
                <o:lock v:ext="edit" aspectratio="f"/>
              </v:line>
            </w:pict>
          </mc:Fallback>
        </mc:AlternateContent>
      </w:r>
    </w:p>
    <w:p w14:paraId="2D668F98">
      <w:pPr>
        <w:pStyle w:val="46"/>
        <w:widowControl w:val="0"/>
        <w:spacing w:before="0" w:beforeAutospacing="0" w:after="0" w:afterAutospacing="0"/>
        <w:ind w:firstLine="1355" w:firstLineChars="450"/>
        <w:rPr>
          <w:rFonts w:hint="eastAsia" w:eastAsia="宋体"/>
          <w:b/>
          <w:sz w:val="30"/>
          <w:szCs w:val="30"/>
          <w:lang w:eastAsia="zh-CN"/>
        </w:rPr>
      </w:pPr>
      <w:r>
        <w:rPr>
          <w:rFonts w:hint="eastAsia"/>
          <w:b/>
          <w:sz w:val="30"/>
          <w:szCs w:val="30"/>
          <w:lang w:bidi="ar"/>
        </w:rPr>
        <w:t>采购人：</w:t>
      </w:r>
      <w:r>
        <w:rPr>
          <w:rFonts w:hint="eastAsia"/>
          <w:b/>
          <w:sz w:val="30"/>
          <w:szCs w:val="30"/>
          <w:lang w:eastAsia="zh-CN" w:bidi="ar"/>
        </w:rPr>
        <w:t>广西壮族自治区贵港监狱</w:t>
      </w:r>
    </w:p>
    <w:p w14:paraId="502E7B46">
      <w:pPr>
        <w:pStyle w:val="46"/>
        <w:widowControl w:val="0"/>
        <w:spacing w:before="0" w:beforeAutospacing="0" w:after="0" w:afterAutospacing="0"/>
        <w:ind w:firstLine="1355" w:firstLineChars="450"/>
        <w:rPr>
          <w:b/>
          <w:sz w:val="30"/>
          <w:szCs w:val="30"/>
        </w:rPr>
      </w:pPr>
      <w:r>
        <w:rPr>
          <w:rFonts w:hint="eastAsia"/>
          <w:b/>
          <w:sz w:val="30"/>
          <w:szCs w:val="30"/>
          <w:lang w:bidi="ar"/>
        </w:rPr>
        <w:t>采购代理机构：广西中信恒泰工程顾问有限公司</w:t>
      </w:r>
    </w:p>
    <w:p w14:paraId="7A7599FD">
      <w:pPr>
        <w:pStyle w:val="46"/>
        <w:jc w:val="center"/>
        <w:rPr>
          <w:bCs/>
          <w:spacing w:val="-27"/>
          <w:sz w:val="60"/>
          <w:szCs w:val="60"/>
        </w:rPr>
      </w:pPr>
      <w:r>
        <w:rPr>
          <w:rFonts w:hint="eastAsia"/>
          <w:b/>
          <w:sz w:val="30"/>
          <w:szCs w:val="30"/>
          <w:lang w:bidi="ar"/>
        </w:rPr>
        <w:t>202</w:t>
      </w:r>
      <w:r>
        <w:rPr>
          <w:rFonts w:hint="eastAsia"/>
          <w:b/>
          <w:sz w:val="30"/>
          <w:szCs w:val="30"/>
          <w:lang w:val="en-US" w:eastAsia="zh-CN" w:bidi="ar"/>
        </w:rPr>
        <w:t>6</w:t>
      </w:r>
      <w:r>
        <w:rPr>
          <w:rFonts w:hint="eastAsia"/>
          <w:b/>
          <w:sz w:val="30"/>
          <w:szCs w:val="30"/>
          <w:lang w:bidi="ar"/>
        </w:rPr>
        <w:t>年</w:t>
      </w:r>
      <w:r>
        <w:rPr>
          <w:rFonts w:hint="eastAsia"/>
          <w:b/>
          <w:sz w:val="30"/>
          <w:szCs w:val="30"/>
          <w:lang w:val="en-US" w:eastAsia="zh-CN" w:bidi="ar"/>
        </w:rPr>
        <w:t>6</w:t>
      </w:r>
      <w:r>
        <w:rPr>
          <w:rFonts w:hint="eastAsia"/>
          <w:b/>
          <w:sz w:val="30"/>
          <w:szCs w:val="30"/>
          <w:lang w:bidi="ar"/>
        </w:rPr>
        <w:t>月</w:t>
      </w:r>
    </w:p>
    <w:p w14:paraId="7EE4D873"/>
    <w:p w14:paraId="1642DBE4"/>
    <w:p w14:paraId="52532DE9">
      <w:pPr>
        <w:sectPr>
          <w:footerReference r:id="rId6" w:type="first"/>
          <w:footerReference r:id="rId5" w:type="default"/>
          <w:pgSz w:w="11906" w:h="16838"/>
          <w:pgMar w:top="1418" w:right="1418" w:bottom="1246" w:left="1418" w:header="851" w:footer="992" w:gutter="0"/>
          <w:pgBorders>
            <w:top w:val="none" w:sz="0" w:space="0"/>
            <w:left w:val="none" w:sz="0" w:space="0"/>
            <w:bottom w:val="none" w:sz="0" w:space="0"/>
            <w:right w:val="none" w:sz="0" w:space="0"/>
          </w:pgBorders>
          <w:pgNumType w:start="1"/>
          <w:cols w:space="720" w:num="1"/>
          <w:docGrid w:linePitch="312" w:charSpace="0"/>
        </w:sectPr>
      </w:pPr>
    </w:p>
    <w:p w14:paraId="392DF45F"/>
    <w:p w14:paraId="576DF270">
      <w:pPr>
        <w:pStyle w:val="27"/>
        <w:snapToGrid w:val="0"/>
        <w:spacing w:before="120" w:after="120" w:line="320" w:lineRule="exact"/>
        <w:jc w:val="center"/>
        <w:outlineLvl w:val="0"/>
        <w:rPr>
          <w:rFonts w:ascii="Times New Roman" w:hAnsi="Times New Roman" w:cs="Times New Roman"/>
          <w:b/>
          <w:bCs/>
          <w:sz w:val="36"/>
          <w:szCs w:val="36"/>
        </w:rPr>
      </w:pPr>
      <w:bookmarkStart w:id="4" w:name="_Toc6931"/>
      <w:bookmarkStart w:id="5" w:name="_Toc7854"/>
      <w:r>
        <w:rPr>
          <w:rFonts w:ascii="Times New Roman" w:hAnsi="Times New Roman" w:cs="Times New Roman"/>
          <w:b/>
          <w:bCs/>
          <w:sz w:val="36"/>
          <w:szCs w:val="36"/>
        </w:rPr>
        <w:t>目    录</w:t>
      </w:r>
      <w:bookmarkEnd w:id="4"/>
      <w:bookmarkEnd w:id="5"/>
    </w:p>
    <w:p w14:paraId="650850DB">
      <w:pPr>
        <w:pStyle w:val="34"/>
        <w:ind w:firstLine="241"/>
      </w:pPr>
      <w:r>
        <w:fldChar w:fldCharType="begin"/>
      </w:r>
      <w:r>
        <w:rPr>
          <w:rStyle w:val="63"/>
          <w:rFonts w:ascii="Times New Roman" w:hAnsi="Times New Roman"/>
          <w:color w:val="auto"/>
        </w:rPr>
        <w:instrText xml:space="preserve"> TOC \o "1-1" \h \z \u </w:instrText>
      </w:r>
      <w:r>
        <w:fldChar w:fldCharType="separate"/>
      </w:r>
    </w:p>
    <w:p w14:paraId="5B2D3AF7">
      <w:pPr>
        <w:pStyle w:val="34"/>
        <w:ind w:firstLine="241"/>
      </w:pPr>
      <w:r>
        <w:fldChar w:fldCharType="begin"/>
      </w:r>
      <w:r>
        <w:instrText xml:space="preserve"> HYPERLINK \l "_Toc30376" </w:instrText>
      </w:r>
      <w:r>
        <w:fldChar w:fldCharType="separate"/>
      </w:r>
      <w:r>
        <w:rPr>
          <w:rFonts w:ascii="Times New Roman" w:hAnsi="Times New Roman"/>
          <w:szCs w:val="32"/>
        </w:rPr>
        <w:t>第</w:t>
      </w:r>
      <w:r>
        <w:rPr>
          <w:rFonts w:hint="eastAsia" w:ascii="Times New Roman" w:hAnsi="Times New Roman"/>
          <w:szCs w:val="32"/>
        </w:rPr>
        <w:t>一</w:t>
      </w:r>
      <w:r>
        <w:rPr>
          <w:rFonts w:ascii="Times New Roman" w:hAnsi="Times New Roman"/>
          <w:szCs w:val="32"/>
        </w:rPr>
        <w:t xml:space="preserve">章  </w:t>
      </w:r>
      <w:r>
        <w:rPr>
          <w:rFonts w:hint="eastAsia" w:ascii="Times New Roman" w:hAnsi="Times New Roman"/>
          <w:szCs w:val="32"/>
        </w:rPr>
        <w:t>招标公告</w:t>
      </w:r>
      <w:r>
        <w:tab/>
      </w:r>
      <w:r>
        <w:fldChar w:fldCharType="begin"/>
      </w:r>
      <w:r>
        <w:instrText xml:space="preserve"> PAGEREF _Toc30376 \h </w:instrText>
      </w:r>
      <w:r>
        <w:fldChar w:fldCharType="separate"/>
      </w:r>
      <w:r>
        <w:t>2</w:t>
      </w:r>
      <w:r>
        <w:fldChar w:fldCharType="end"/>
      </w:r>
      <w:r>
        <w:fldChar w:fldCharType="end"/>
      </w:r>
    </w:p>
    <w:p w14:paraId="13BE0EC6">
      <w:pPr>
        <w:pStyle w:val="34"/>
        <w:ind w:firstLine="241"/>
      </w:pPr>
      <w:r>
        <w:fldChar w:fldCharType="begin"/>
      </w:r>
      <w:r>
        <w:instrText xml:space="preserve"> HYPERLINK \l "_Toc20092" </w:instrText>
      </w:r>
      <w:r>
        <w:fldChar w:fldCharType="separate"/>
      </w:r>
      <w:r>
        <w:rPr>
          <w:rFonts w:ascii="Times New Roman" w:hAnsi="Times New Roman"/>
          <w:szCs w:val="32"/>
        </w:rPr>
        <w:t>第二章  采购需求</w:t>
      </w:r>
      <w:r>
        <w:tab/>
      </w:r>
      <w:r>
        <w:fldChar w:fldCharType="begin"/>
      </w:r>
      <w:r>
        <w:instrText xml:space="preserve"> PAGEREF _Toc20092 \h </w:instrText>
      </w:r>
      <w:r>
        <w:fldChar w:fldCharType="separate"/>
      </w:r>
      <w:r>
        <w:t>7</w:t>
      </w:r>
      <w:r>
        <w:fldChar w:fldCharType="end"/>
      </w:r>
      <w:r>
        <w:fldChar w:fldCharType="end"/>
      </w:r>
    </w:p>
    <w:p w14:paraId="68C7FF0E">
      <w:pPr>
        <w:pStyle w:val="34"/>
        <w:ind w:firstLine="241"/>
      </w:pPr>
      <w:r>
        <w:fldChar w:fldCharType="begin"/>
      </w:r>
      <w:r>
        <w:instrText xml:space="preserve"> HYPERLINK \l "_Toc25578" </w:instrText>
      </w:r>
      <w:r>
        <w:fldChar w:fldCharType="separate"/>
      </w:r>
      <w:r>
        <w:rPr>
          <w:rFonts w:ascii="Times New Roman" w:hAnsi="Times New Roman"/>
          <w:szCs w:val="32"/>
        </w:rPr>
        <w:t>第三章  供应商须知</w:t>
      </w:r>
      <w:bookmarkStart w:id="133" w:name="_GoBack"/>
      <w:bookmarkEnd w:id="133"/>
      <w:r>
        <w:tab/>
      </w:r>
      <w:r>
        <w:fldChar w:fldCharType="begin"/>
      </w:r>
      <w:r>
        <w:instrText xml:space="preserve"> PAGEREF _Toc25578 \h </w:instrText>
      </w:r>
      <w:r>
        <w:fldChar w:fldCharType="separate"/>
      </w:r>
      <w:r>
        <w:t>33</w:t>
      </w:r>
      <w:r>
        <w:fldChar w:fldCharType="end"/>
      </w:r>
      <w:r>
        <w:fldChar w:fldCharType="end"/>
      </w:r>
    </w:p>
    <w:p w14:paraId="30762773">
      <w:pPr>
        <w:pStyle w:val="34"/>
        <w:ind w:firstLine="241"/>
      </w:pPr>
      <w:r>
        <w:fldChar w:fldCharType="begin"/>
      </w:r>
      <w:r>
        <w:instrText xml:space="preserve"> HYPERLINK \l "_Toc22604" </w:instrText>
      </w:r>
      <w:r>
        <w:fldChar w:fldCharType="separate"/>
      </w:r>
      <w:r>
        <w:rPr>
          <w:rFonts w:ascii="Times New Roman" w:hAnsi="Times New Roman"/>
          <w:szCs w:val="32"/>
        </w:rPr>
        <w:t>第四章  评审方法及标准</w:t>
      </w:r>
      <w:r>
        <w:tab/>
      </w:r>
      <w:r>
        <w:fldChar w:fldCharType="begin"/>
      </w:r>
      <w:r>
        <w:instrText xml:space="preserve"> PAGEREF _Toc22604 \h </w:instrText>
      </w:r>
      <w:r>
        <w:fldChar w:fldCharType="separate"/>
      </w:r>
      <w:r>
        <w:t>59</w:t>
      </w:r>
      <w:r>
        <w:fldChar w:fldCharType="end"/>
      </w:r>
      <w:r>
        <w:fldChar w:fldCharType="end"/>
      </w:r>
    </w:p>
    <w:p w14:paraId="6888945D">
      <w:pPr>
        <w:pStyle w:val="34"/>
        <w:ind w:firstLine="241"/>
      </w:pPr>
      <w:r>
        <w:fldChar w:fldCharType="begin"/>
      </w:r>
      <w:r>
        <w:instrText xml:space="preserve"> HYPERLINK \l "_Toc31444" </w:instrText>
      </w:r>
      <w:r>
        <w:fldChar w:fldCharType="separate"/>
      </w:r>
      <w:r>
        <w:rPr>
          <w:rFonts w:ascii="Times New Roman" w:hAnsi="Times New Roman"/>
          <w:szCs w:val="32"/>
        </w:rPr>
        <w:t>第五章  合同主要条款格式</w:t>
      </w:r>
      <w:r>
        <w:tab/>
      </w:r>
      <w:r>
        <w:fldChar w:fldCharType="begin"/>
      </w:r>
      <w:r>
        <w:instrText xml:space="preserve"> PAGEREF _Toc31444 \h </w:instrText>
      </w:r>
      <w:r>
        <w:fldChar w:fldCharType="separate"/>
      </w:r>
      <w:r>
        <w:t>67</w:t>
      </w:r>
      <w:r>
        <w:fldChar w:fldCharType="end"/>
      </w:r>
      <w:r>
        <w:fldChar w:fldCharType="end"/>
      </w:r>
    </w:p>
    <w:p w14:paraId="752AA6F3">
      <w:pPr>
        <w:pStyle w:val="34"/>
        <w:ind w:firstLine="241"/>
      </w:pPr>
      <w:r>
        <w:fldChar w:fldCharType="begin"/>
      </w:r>
      <w:r>
        <w:instrText xml:space="preserve"> HYPERLINK \l "_Toc31525" </w:instrText>
      </w:r>
      <w:r>
        <w:fldChar w:fldCharType="separate"/>
      </w:r>
      <w:r>
        <w:rPr>
          <w:rFonts w:ascii="Times New Roman" w:hAnsi="Times New Roman"/>
          <w:szCs w:val="32"/>
        </w:rPr>
        <w:t>第六章  投标文件格式</w:t>
      </w:r>
      <w:r>
        <w:tab/>
      </w:r>
      <w:r>
        <w:fldChar w:fldCharType="begin"/>
      </w:r>
      <w:r>
        <w:instrText xml:space="preserve"> PAGEREF _Toc31525 \h </w:instrText>
      </w:r>
      <w:r>
        <w:fldChar w:fldCharType="separate"/>
      </w:r>
      <w:r>
        <w:t>77</w:t>
      </w:r>
      <w:r>
        <w:fldChar w:fldCharType="end"/>
      </w:r>
      <w:r>
        <w:fldChar w:fldCharType="end"/>
      </w:r>
    </w:p>
    <w:p w14:paraId="4C2CD368">
      <w:pPr>
        <w:pStyle w:val="34"/>
        <w:ind w:firstLine="241"/>
      </w:pPr>
      <w:r>
        <w:fldChar w:fldCharType="end"/>
      </w:r>
    </w:p>
    <w:p w14:paraId="571D8AEE"/>
    <w:p w14:paraId="39373A11">
      <w:pPr>
        <w:sectPr>
          <w:headerReference r:id="rId7" w:type="first"/>
          <w:footerReference r:id="rId9" w:type="first"/>
          <w:footerReference r:id="rId8" w:type="default"/>
          <w:pgSz w:w="11906" w:h="16838"/>
          <w:pgMar w:top="1418" w:right="1134" w:bottom="1247" w:left="1418" w:header="851" w:footer="992" w:gutter="0"/>
          <w:pgBorders>
            <w:top w:val="none" w:sz="0" w:space="0"/>
            <w:left w:val="none" w:sz="0" w:space="0"/>
            <w:bottom w:val="none" w:sz="0" w:space="0"/>
            <w:right w:val="none" w:sz="0" w:space="0"/>
          </w:pgBorders>
          <w:pgNumType w:start="1"/>
          <w:cols w:space="720" w:num="1"/>
          <w:titlePg/>
          <w:docGrid w:linePitch="312" w:charSpace="0"/>
        </w:sectPr>
      </w:pPr>
    </w:p>
    <w:p w14:paraId="50396524">
      <w:pPr>
        <w:pStyle w:val="27"/>
        <w:snapToGrid w:val="0"/>
        <w:spacing w:before="120" w:after="120"/>
        <w:jc w:val="center"/>
        <w:outlineLvl w:val="0"/>
        <w:rPr>
          <w:rFonts w:ascii="Times New Roman" w:hAnsi="Times New Roman" w:cs="Times New Roman"/>
          <w:b/>
          <w:bCs/>
          <w:sz w:val="32"/>
          <w:szCs w:val="32"/>
        </w:rPr>
      </w:pPr>
      <w:bookmarkStart w:id="6" w:name="_Toc30376"/>
      <w:bookmarkStart w:id="7" w:name="_Toc254970630"/>
      <w:bookmarkStart w:id="8" w:name="_Toc254970489"/>
      <w:r>
        <w:rPr>
          <w:rFonts w:hint="eastAsia" w:ascii="Times New Roman" w:hAnsi="Times New Roman" w:cs="Times New Roman"/>
          <w:b/>
          <w:bCs/>
          <w:sz w:val="32"/>
          <w:szCs w:val="32"/>
        </w:rPr>
        <w:t>第一章  招标公告</w:t>
      </w:r>
      <w:bookmarkEnd w:id="6"/>
    </w:p>
    <w:p w14:paraId="32FD53FA">
      <w:pPr>
        <w:jc w:val="center"/>
        <w:rPr>
          <w:rFonts w:hint="eastAsia" w:eastAsia="宋体"/>
          <w:b/>
          <w:bCs/>
          <w:sz w:val="24"/>
          <w:szCs w:val="24"/>
          <w:lang w:eastAsia="zh-CN"/>
        </w:rPr>
      </w:pPr>
      <w:r>
        <w:rPr>
          <w:rFonts w:hint="eastAsia"/>
          <w:b/>
          <w:bCs/>
          <w:sz w:val="24"/>
          <w:szCs w:val="24"/>
        </w:rPr>
        <w:t>广西中信恒泰工程顾问有限公司关于</w:t>
      </w:r>
      <w:bookmarkStart w:id="9" w:name="_Hlk36541082"/>
      <w:r>
        <w:rPr>
          <w:rFonts w:hint="eastAsia"/>
          <w:b/>
          <w:bCs/>
          <w:sz w:val="24"/>
          <w:szCs w:val="24"/>
          <w:lang w:eastAsia="zh-CN"/>
        </w:rPr>
        <w:t>贵港监狱罪犯生活物资采购项目</w:t>
      </w:r>
    </w:p>
    <w:p w14:paraId="048F2467">
      <w:pPr>
        <w:jc w:val="center"/>
      </w:pPr>
      <w:r>
        <w:rPr>
          <w:rFonts w:hint="eastAsia"/>
          <w:b/>
          <w:bCs/>
          <w:sz w:val="24"/>
          <w:szCs w:val="24"/>
        </w:rPr>
        <w:t>(</w:t>
      </w:r>
      <w:r>
        <w:rPr>
          <w:rFonts w:hint="eastAsia"/>
          <w:b/>
          <w:bCs/>
          <w:sz w:val="24"/>
          <w:szCs w:val="24"/>
          <w:lang w:eastAsia="zh-CN"/>
        </w:rPr>
        <w:t>GXZC2026-G1-001682-GXZX</w:t>
      </w:r>
      <w:r>
        <w:rPr>
          <w:rFonts w:hint="eastAsia"/>
          <w:b/>
          <w:bCs/>
          <w:sz w:val="24"/>
          <w:szCs w:val="24"/>
        </w:rPr>
        <w:t>)</w:t>
      </w:r>
      <w:bookmarkEnd w:id="9"/>
      <w:r>
        <w:rPr>
          <w:rFonts w:hint="eastAsia"/>
          <w:b/>
          <w:bCs/>
          <w:kern w:val="0"/>
          <w:sz w:val="24"/>
          <w:szCs w:val="24"/>
        </w:rPr>
        <w:t>公开招标公告</w:t>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14:paraId="4938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14:paraId="6F509736">
            <w:pPr>
              <w:rPr>
                <w:rFonts w:hint="eastAsia"/>
              </w:rPr>
            </w:pPr>
            <w:r>
              <w:rPr>
                <w:rFonts w:hint="eastAsia"/>
              </w:rPr>
              <w:t>项目概况</w:t>
            </w:r>
          </w:p>
          <w:p w14:paraId="7B587661">
            <w:pPr>
              <w:pStyle w:val="51"/>
              <w:ind w:left="0" w:leftChars="0" w:firstLine="420" w:firstLineChars="200"/>
            </w:pPr>
            <w:r>
              <w:rPr>
                <w:rFonts w:hint="eastAsia" w:ascii="宋体" w:cs="宋体"/>
                <w:lang w:eastAsia="zh-CN"/>
              </w:rPr>
              <w:t>贵港监狱罪犯生活物资采购项目</w:t>
            </w:r>
            <w:r>
              <w:rPr>
                <w:rFonts w:hint="eastAsia" w:ascii="宋体" w:hAnsi="宋体" w:eastAsia="宋体" w:cs="宋体"/>
              </w:rPr>
              <w:t>招标项目的潜在</w:t>
            </w:r>
            <w:r>
              <w:rPr>
                <w:rFonts w:hint="eastAsia" w:ascii="宋体" w:cs="宋体"/>
                <w:lang w:eastAsia="zh-CN"/>
              </w:rPr>
              <w:t>供应商</w:t>
            </w:r>
            <w:r>
              <w:rPr>
                <w:rFonts w:hint="eastAsia" w:ascii="宋体" w:hAnsi="宋体" w:eastAsia="宋体" w:cs="宋体"/>
              </w:rPr>
              <w:t>应在</w:t>
            </w:r>
            <w:r>
              <w:rPr>
                <w:rFonts w:hint="eastAsia" w:ascii="宋体" w:hAnsi="宋体"/>
                <w:color w:val="auto"/>
                <w:szCs w:val="21"/>
                <w:u w:val="single"/>
              </w:rPr>
              <w:t>广西政府采购云平台（</w:t>
            </w:r>
            <w:r>
              <w:rPr>
                <w:rFonts w:hint="eastAsia" w:ascii="宋体" w:hAnsi="宋体"/>
                <w:bCs/>
                <w:color w:val="auto"/>
                <w:szCs w:val="21"/>
                <w:u w:val="single"/>
              </w:rPr>
              <w:t>https://www.gcy.zfcg.gxzf.gov.cn/</w:t>
            </w:r>
            <w:r>
              <w:rPr>
                <w:rFonts w:hint="eastAsia" w:ascii="宋体" w:hAnsi="宋体"/>
                <w:color w:val="auto"/>
                <w:szCs w:val="21"/>
                <w:u w:val="single"/>
              </w:rPr>
              <w:t>）</w:t>
            </w:r>
            <w:r>
              <w:rPr>
                <w:rFonts w:hint="eastAsia" w:ascii="宋体" w:hAnsi="宋体" w:eastAsia="宋体" w:cs="宋体"/>
              </w:rPr>
              <w:t>获取（下载）招标文件，并于</w:t>
            </w:r>
            <w:r>
              <w:rPr>
                <w:rFonts w:hint="eastAsia" w:ascii="宋体" w:cs="宋体"/>
                <w:lang w:eastAsia="zh-CN"/>
              </w:rPr>
              <w:t>2026年</w:t>
            </w:r>
            <w:r>
              <w:rPr>
                <w:rFonts w:hint="eastAsia" w:ascii="宋体" w:cs="宋体"/>
                <w:lang w:val="en-US" w:eastAsia="zh-CN"/>
              </w:rPr>
              <w:t>7</w:t>
            </w:r>
            <w:r>
              <w:rPr>
                <w:rFonts w:hint="eastAsia" w:ascii="宋体" w:cs="宋体"/>
                <w:lang w:eastAsia="zh-CN"/>
              </w:rPr>
              <w:t>月</w:t>
            </w:r>
            <w:r>
              <w:rPr>
                <w:rFonts w:hint="eastAsia" w:ascii="宋体" w:cs="宋体"/>
                <w:lang w:val="en-US" w:eastAsia="zh-CN"/>
              </w:rPr>
              <w:t>3</w:t>
            </w:r>
            <w:r>
              <w:rPr>
                <w:rFonts w:hint="eastAsia" w:ascii="宋体" w:cs="宋体"/>
                <w:lang w:eastAsia="zh-CN"/>
              </w:rPr>
              <w:t>日</w:t>
            </w:r>
            <w:r>
              <w:rPr>
                <w:rFonts w:hint="eastAsia" w:ascii="宋体" w:hAnsi="宋体" w:eastAsia="宋体" w:cs="宋体"/>
              </w:rPr>
              <w:t>9时30分（北京时间）前按要求递交（上传）投标文件。</w:t>
            </w:r>
          </w:p>
        </w:tc>
      </w:tr>
    </w:tbl>
    <w:p w14:paraId="1A1A0696">
      <w:pPr>
        <w:ind w:firstLine="420" w:firstLineChars="200"/>
      </w:pPr>
      <w:r>
        <w:rPr>
          <w:rFonts w:hint="eastAsia"/>
        </w:rPr>
        <w:t>一、项目基本情况</w:t>
      </w:r>
    </w:p>
    <w:p w14:paraId="00CBBE6D">
      <w:pPr>
        <w:ind w:firstLine="420" w:firstLineChars="200"/>
        <w:rPr>
          <w:rFonts w:hint="eastAsia" w:eastAsia="宋体"/>
          <w:lang w:eastAsia="zh-CN"/>
        </w:rPr>
      </w:pPr>
      <w:r>
        <w:rPr>
          <w:rFonts w:hint="eastAsia"/>
        </w:rPr>
        <w:t>项目编号：</w:t>
      </w:r>
      <w:r>
        <w:rPr>
          <w:rFonts w:hint="eastAsia"/>
          <w:lang w:eastAsia="zh-CN"/>
        </w:rPr>
        <w:t>GXZC2026-G1-001682-GXZX</w:t>
      </w:r>
    </w:p>
    <w:p w14:paraId="45DD5ED1">
      <w:pPr>
        <w:ind w:firstLine="420" w:firstLineChars="200"/>
        <w:rPr>
          <w:rFonts w:hint="eastAsia" w:eastAsia="宋体"/>
          <w:lang w:eastAsia="zh-CN"/>
        </w:rPr>
      </w:pPr>
      <w:r>
        <w:rPr>
          <w:rFonts w:hint="eastAsia"/>
        </w:rPr>
        <w:t>项目名称：</w:t>
      </w:r>
      <w:r>
        <w:rPr>
          <w:rFonts w:hint="eastAsia"/>
          <w:lang w:eastAsia="zh-CN"/>
        </w:rPr>
        <w:t>贵港监狱罪犯生活物资采购项目</w:t>
      </w:r>
    </w:p>
    <w:p w14:paraId="69F07582">
      <w:pPr>
        <w:ind w:firstLine="420" w:firstLineChars="200"/>
        <w:rPr>
          <w:rFonts w:hint="eastAsia" w:eastAsia="宋体"/>
          <w:lang w:eastAsia="zh-CN"/>
        </w:rPr>
      </w:pPr>
      <w:r>
        <w:rPr>
          <w:rFonts w:hint="eastAsia"/>
        </w:rPr>
        <w:t>预算总金额（元）：</w:t>
      </w:r>
      <w:r>
        <w:rPr>
          <w:rFonts w:hint="eastAsia"/>
          <w:lang w:eastAsia="zh-CN"/>
        </w:rPr>
        <w:t>7600000.00</w:t>
      </w:r>
    </w:p>
    <w:p w14:paraId="2916FA10">
      <w:pPr>
        <w:ind w:firstLine="420" w:firstLineChars="200"/>
      </w:pPr>
      <w:r>
        <w:rPr>
          <w:rFonts w:hint="eastAsia"/>
        </w:rPr>
        <w:t>采购需求：</w:t>
      </w:r>
    </w:p>
    <w:p w14:paraId="2EC955D6">
      <w:pPr>
        <w:ind w:firstLine="420" w:firstLineChars="200"/>
      </w:pPr>
      <w:r>
        <w:rPr>
          <w:rFonts w:hint="eastAsia"/>
        </w:rPr>
        <w:t>标项一</w:t>
      </w:r>
    </w:p>
    <w:p w14:paraId="0B277D70">
      <w:pPr>
        <w:ind w:firstLine="420" w:firstLineChars="200"/>
        <w:rPr>
          <w:rFonts w:hint="eastAsia" w:eastAsia="宋体"/>
          <w:lang w:eastAsia="zh-CN"/>
        </w:rPr>
      </w:pPr>
      <w:r>
        <w:rPr>
          <w:rFonts w:hint="eastAsia"/>
        </w:rPr>
        <w:t>标项名称：</w:t>
      </w:r>
      <w:r>
        <w:rPr>
          <w:rFonts w:hint="eastAsia"/>
          <w:lang w:eastAsia="zh-CN"/>
        </w:rPr>
        <w:t>猪肉类等其他肉类</w:t>
      </w:r>
    </w:p>
    <w:p w14:paraId="2E422DE3">
      <w:pPr>
        <w:ind w:firstLine="420" w:firstLineChars="200"/>
      </w:pPr>
      <w:r>
        <w:rPr>
          <w:rFonts w:hint="eastAsia"/>
        </w:rPr>
        <w:t>数量：1批</w:t>
      </w:r>
    </w:p>
    <w:p w14:paraId="62AD2820">
      <w:pPr>
        <w:ind w:firstLine="420" w:firstLineChars="200"/>
        <w:rPr>
          <w:rFonts w:hint="eastAsia" w:eastAsia="宋体"/>
          <w:lang w:eastAsia="zh-CN"/>
        </w:rPr>
      </w:pPr>
      <w:r>
        <w:rPr>
          <w:rFonts w:hint="eastAsia"/>
        </w:rPr>
        <w:t>预算金额（元）：</w:t>
      </w:r>
      <w:r>
        <w:rPr>
          <w:rFonts w:hint="eastAsia"/>
          <w:lang w:eastAsia="zh-CN"/>
        </w:rPr>
        <w:t>1850000.00</w:t>
      </w:r>
    </w:p>
    <w:p w14:paraId="5B29B0BB">
      <w:pPr>
        <w:ind w:firstLine="420" w:firstLineChars="200"/>
      </w:pPr>
      <w:r>
        <w:rPr>
          <w:rFonts w:hint="eastAsia"/>
        </w:rPr>
        <w:t>简要规格描述或项目基本概况介绍、用途：</w:t>
      </w:r>
      <w:r>
        <w:rPr>
          <w:rFonts w:hint="eastAsia"/>
          <w:lang w:eastAsia="zh-CN"/>
        </w:rPr>
        <w:t>猪肉类等其他肉类</w:t>
      </w:r>
      <w:r>
        <w:rPr>
          <w:rFonts w:hint="eastAsia"/>
          <w:lang w:val="en-US" w:eastAsia="zh-CN"/>
        </w:rPr>
        <w:t>采购</w:t>
      </w:r>
      <w:r>
        <w:rPr>
          <w:rFonts w:hint="eastAsia"/>
        </w:rPr>
        <w:t>，具体内容和数量以招标文件第二章采购需求为准。</w:t>
      </w:r>
    </w:p>
    <w:p w14:paraId="34990A59">
      <w:pPr>
        <w:ind w:firstLine="420" w:firstLineChars="200"/>
        <w:rPr>
          <w:rFonts w:hint="eastAsia" w:eastAsia="宋体"/>
          <w:lang w:eastAsia="zh-CN"/>
        </w:rPr>
      </w:pPr>
      <w:bookmarkStart w:id="10" w:name="_Hlk132796150"/>
      <w:r>
        <w:rPr>
          <w:rFonts w:hint="eastAsia"/>
        </w:rPr>
        <w:t>最高限价（如有）：</w:t>
      </w:r>
      <w:bookmarkEnd w:id="10"/>
      <w:r>
        <w:rPr>
          <w:rFonts w:hint="eastAsia"/>
          <w:lang w:eastAsia="zh-CN"/>
        </w:rPr>
        <w:t>1850000.00</w:t>
      </w:r>
    </w:p>
    <w:p w14:paraId="0B594BE4">
      <w:pPr>
        <w:ind w:firstLine="420" w:firstLineChars="200"/>
        <w:rPr>
          <w:rFonts w:hint="eastAsia" w:eastAsia="宋体"/>
          <w:kern w:val="0"/>
          <w:highlight w:val="none"/>
          <w:lang w:eastAsia="zh-CN"/>
        </w:rPr>
      </w:pPr>
      <w:r>
        <w:rPr>
          <w:rFonts w:hint="eastAsia"/>
          <w:kern w:val="0"/>
          <w:highlight w:val="none"/>
        </w:rPr>
        <w:t>合同履约期限：</w:t>
      </w:r>
      <w:r>
        <w:rPr>
          <w:rFonts w:hint="eastAsia"/>
          <w:highlight w:val="none"/>
          <w:lang w:eastAsia="zh-CN"/>
        </w:rPr>
        <w:t>自合同签订之日起一年。</w:t>
      </w:r>
    </w:p>
    <w:p w14:paraId="35879DEC">
      <w:pPr>
        <w:ind w:firstLine="420" w:firstLineChars="200"/>
      </w:pPr>
      <w:r>
        <w:rPr>
          <w:rFonts w:hint="eastAsia"/>
        </w:rPr>
        <w:t>本标项（否）接受联合体投标。</w:t>
      </w:r>
    </w:p>
    <w:p w14:paraId="1804BD65">
      <w:pPr>
        <w:ind w:firstLine="420" w:firstLineChars="200"/>
      </w:pPr>
      <w:r>
        <w:rPr>
          <w:rFonts w:hint="eastAsia"/>
        </w:rPr>
        <w:t>备注：无</w:t>
      </w:r>
    </w:p>
    <w:p w14:paraId="27E6D7C5">
      <w:pPr>
        <w:ind w:firstLine="420" w:firstLineChars="200"/>
      </w:pPr>
    </w:p>
    <w:p w14:paraId="0B27428B">
      <w:pPr>
        <w:ind w:firstLine="420" w:firstLineChars="200"/>
      </w:pPr>
      <w:r>
        <w:rPr>
          <w:rFonts w:hint="eastAsia"/>
        </w:rPr>
        <w:t>标项二</w:t>
      </w:r>
    </w:p>
    <w:p w14:paraId="05EBBFF4">
      <w:pPr>
        <w:ind w:firstLine="420" w:firstLineChars="200"/>
        <w:rPr>
          <w:rFonts w:hint="eastAsia" w:eastAsia="宋体"/>
          <w:lang w:eastAsia="zh-CN"/>
        </w:rPr>
      </w:pPr>
      <w:r>
        <w:rPr>
          <w:rFonts w:hint="eastAsia"/>
        </w:rPr>
        <w:t>标项名称：</w:t>
      </w:r>
      <w:r>
        <w:rPr>
          <w:rFonts w:hint="eastAsia"/>
          <w:lang w:eastAsia="zh-CN"/>
        </w:rPr>
        <w:t>鸡鸭肉类</w:t>
      </w:r>
    </w:p>
    <w:p w14:paraId="7F07D373">
      <w:pPr>
        <w:ind w:firstLine="420" w:firstLineChars="200"/>
      </w:pPr>
      <w:r>
        <w:rPr>
          <w:rFonts w:hint="eastAsia"/>
        </w:rPr>
        <w:t>数量：1批</w:t>
      </w:r>
    </w:p>
    <w:p w14:paraId="7BAF04D1">
      <w:pPr>
        <w:ind w:firstLine="420" w:firstLineChars="200"/>
        <w:rPr>
          <w:rFonts w:hint="eastAsia" w:eastAsia="宋体"/>
          <w:lang w:eastAsia="zh-CN"/>
        </w:rPr>
      </w:pPr>
      <w:r>
        <w:rPr>
          <w:rFonts w:hint="eastAsia"/>
        </w:rPr>
        <w:t>预算金额（元）：</w:t>
      </w:r>
      <w:r>
        <w:rPr>
          <w:rFonts w:hint="eastAsia"/>
          <w:lang w:eastAsia="zh-CN"/>
        </w:rPr>
        <w:t>1000000.00</w:t>
      </w:r>
    </w:p>
    <w:p w14:paraId="22A6B368">
      <w:pPr>
        <w:ind w:firstLine="420" w:firstLineChars="200"/>
      </w:pPr>
      <w:r>
        <w:rPr>
          <w:rFonts w:hint="eastAsia"/>
        </w:rPr>
        <w:t>简要规格描述或项目基本概况介绍、用途：</w:t>
      </w:r>
      <w:r>
        <w:rPr>
          <w:rFonts w:hint="eastAsia"/>
          <w:lang w:eastAsia="zh-CN"/>
        </w:rPr>
        <w:t>鸡鸭肉类</w:t>
      </w:r>
      <w:r>
        <w:rPr>
          <w:rFonts w:hint="eastAsia"/>
          <w:lang w:val="en-US" w:eastAsia="zh-CN"/>
        </w:rPr>
        <w:t>采购</w:t>
      </w:r>
      <w:r>
        <w:rPr>
          <w:rFonts w:hint="eastAsia"/>
        </w:rPr>
        <w:t>，具体内容和数量以招标文件第二章采购需求为准。</w:t>
      </w:r>
    </w:p>
    <w:p w14:paraId="324E16EF">
      <w:pPr>
        <w:ind w:firstLine="420" w:firstLineChars="200"/>
        <w:rPr>
          <w:rFonts w:hint="eastAsia" w:eastAsia="宋体"/>
          <w:lang w:eastAsia="zh-CN"/>
        </w:rPr>
      </w:pPr>
      <w:r>
        <w:rPr>
          <w:rFonts w:hint="eastAsia"/>
        </w:rPr>
        <w:t>最高限价（如有）：</w:t>
      </w:r>
      <w:r>
        <w:rPr>
          <w:rFonts w:hint="eastAsia"/>
          <w:lang w:eastAsia="zh-CN"/>
        </w:rPr>
        <w:t>1000000.00</w:t>
      </w:r>
    </w:p>
    <w:p w14:paraId="4B378A95">
      <w:pPr>
        <w:ind w:firstLine="420" w:firstLineChars="200"/>
        <w:rPr>
          <w:rFonts w:hint="eastAsia" w:eastAsia="宋体"/>
          <w:kern w:val="0"/>
          <w:lang w:eastAsia="zh-CN"/>
        </w:rPr>
      </w:pPr>
      <w:r>
        <w:rPr>
          <w:rFonts w:hint="eastAsia"/>
          <w:kern w:val="0"/>
        </w:rPr>
        <w:t>合同履约期限：</w:t>
      </w:r>
      <w:r>
        <w:rPr>
          <w:rFonts w:hint="eastAsia"/>
          <w:lang w:eastAsia="zh-CN"/>
        </w:rPr>
        <w:t>自合同签订之日起一年。</w:t>
      </w:r>
    </w:p>
    <w:p w14:paraId="2C512711">
      <w:pPr>
        <w:ind w:firstLine="420" w:firstLineChars="200"/>
      </w:pPr>
      <w:r>
        <w:rPr>
          <w:rFonts w:hint="eastAsia"/>
        </w:rPr>
        <w:t>本标项（否）接受联合体投标。</w:t>
      </w:r>
    </w:p>
    <w:p w14:paraId="37124411">
      <w:pPr>
        <w:ind w:firstLine="420" w:firstLineChars="200"/>
      </w:pPr>
      <w:r>
        <w:rPr>
          <w:rFonts w:hint="eastAsia"/>
        </w:rPr>
        <w:t>备注：无</w:t>
      </w:r>
    </w:p>
    <w:p w14:paraId="15376D2E">
      <w:pPr>
        <w:ind w:firstLine="420" w:firstLineChars="200"/>
      </w:pPr>
    </w:p>
    <w:p w14:paraId="00D60535">
      <w:pPr>
        <w:ind w:firstLine="420" w:firstLineChars="200"/>
      </w:pPr>
      <w:r>
        <w:rPr>
          <w:rFonts w:hint="eastAsia"/>
        </w:rPr>
        <w:t>标项三</w:t>
      </w:r>
    </w:p>
    <w:p w14:paraId="3083ADFE">
      <w:pPr>
        <w:ind w:firstLine="420" w:firstLineChars="200"/>
        <w:rPr>
          <w:rFonts w:hint="eastAsia" w:eastAsia="宋体"/>
          <w:kern w:val="0"/>
          <w:lang w:eastAsia="zh-CN"/>
        </w:rPr>
      </w:pPr>
      <w:r>
        <w:rPr>
          <w:rFonts w:hint="eastAsia"/>
          <w:kern w:val="0"/>
        </w:rPr>
        <w:t>标项名称：</w:t>
      </w:r>
      <w:r>
        <w:rPr>
          <w:rFonts w:hint="eastAsia"/>
          <w:lang w:eastAsia="zh-CN"/>
        </w:rPr>
        <w:t>蔬菜类</w:t>
      </w:r>
    </w:p>
    <w:p w14:paraId="5960CFF2">
      <w:pPr>
        <w:ind w:firstLine="420" w:firstLineChars="200"/>
      </w:pPr>
      <w:r>
        <w:rPr>
          <w:rFonts w:hint="eastAsia"/>
        </w:rPr>
        <w:t>数量：1批</w:t>
      </w:r>
    </w:p>
    <w:p w14:paraId="54EAEF76">
      <w:pPr>
        <w:ind w:firstLine="420" w:firstLineChars="200"/>
        <w:rPr>
          <w:rFonts w:hint="eastAsia" w:eastAsia="宋体"/>
          <w:lang w:eastAsia="zh-CN"/>
        </w:rPr>
      </w:pPr>
      <w:r>
        <w:rPr>
          <w:rFonts w:hint="eastAsia"/>
        </w:rPr>
        <w:t>预算金额（元）：</w:t>
      </w:r>
      <w:r>
        <w:rPr>
          <w:rFonts w:hint="eastAsia"/>
          <w:lang w:eastAsia="zh-CN"/>
        </w:rPr>
        <w:t>2500000.00</w:t>
      </w:r>
    </w:p>
    <w:p w14:paraId="72F329E1">
      <w:pPr>
        <w:ind w:firstLine="420" w:firstLineChars="200"/>
        <w:rPr>
          <w:kern w:val="0"/>
        </w:rPr>
      </w:pPr>
      <w:r>
        <w:rPr>
          <w:rFonts w:hint="eastAsia"/>
          <w:kern w:val="0"/>
        </w:rPr>
        <w:t>简要规格描述或项目基本概况介绍、用途：</w:t>
      </w:r>
      <w:r>
        <w:rPr>
          <w:rFonts w:hint="eastAsia"/>
          <w:lang w:eastAsia="zh-CN"/>
        </w:rPr>
        <w:t>蔬菜类</w:t>
      </w:r>
      <w:r>
        <w:rPr>
          <w:rFonts w:hint="eastAsia"/>
          <w:lang w:val="en-US" w:eastAsia="zh-CN"/>
        </w:rPr>
        <w:t>采购</w:t>
      </w:r>
      <w:r>
        <w:rPr>
          <w:rFonts w:hint="eastAsia"/>
        </w:rPr>
        <w:t>，具体内容和数量以招标文件第二章采购需求为准。</w:t>
      </w:r>
    </w:p>
    <w:p w14:paraId="4CA71618">
      <w:pPr>
        <w:ind w:firstLine="420" w:firstLineChars="200"/>
        <w:rPr>
          <w:rFonts w:hint="eastAsia" w:eastAsia="宋体"/>
          <w:lang w:eastAsia="zh-CN"/>
        </w:rPr>
      </w:pPr>
      <w:r>
        <w:rPr>
          <w:rFonts w:hint="eastAsia"/>
        </w:rPr>
        <w:t>最高限价（如有）：</w:t>
      </w:r>
      <w:r>
        <w:rPr>
          <w:rFonts w:hint="eastAsia"/>
          <w:lang w:eastAsia="zh-CN"/>
        </w:rPr>
        <w:t>2500000.00</w:t>
      </w:r>
    </w:p>
    <w:p w14:paraId="775F7AAF">
      <w:pPr>
        <w:ind w:firstLine="420" w:firstLineChars="200"/>
        <w:rPr>
          <w:rFonts w:hint="eastAsia" w:eastAsia="宋体"/>
          <w:kern w:val="0"/>
          <w:lang w:eastAsia="zh-CN"/>
        </w:rPr>
      </w:pPr>
      <w:r>
        <w:rPr>
          <w:rFonts w:hint="eastAsia"/>
          <w:kern w:val="0"/>
        </w:rPr>
        <w:t>合同履约期限：</w:t>
      </w:r>
      <w:r>
        <w:rPr>
          <w:rFonts w:hint="eastAsia"/>
          <w:lang w:eastAsia="zh-CN"/>
        </w:rPr>
        <w:t>自合同签订之日起一年。</w:t>
      </w:r>
    </w:p>
    <w:p w14:paraId="68E04326">
      <w:pPr>
        <w:ind w:firstLine="420" w:firstLineChars="200"/>
      </w:pPr>
      <w:r>
        <w:rPr>
          <w:rFonts w:hint="eastAsia"/>
        </w:rPr>
        <w:t>本标项（否）接受联合体投标。</w:t>
      </w:r>
    </w:p>
    <w:p w14:paraId="76BAF804">
      <w:pPr>
        <w:ind w:firstLine="420" w:firstLineChars="200"/>
      </w:pPr>
      <w:r>
        <w:rPr>
          <w:rFonts w:hint="eastAsia"/>
        </w:rPr>
        <w:t>备注：无</w:t>
      </w:r>
    </w:p>
    <w:p w14:paraId="29107512">
      <w:pPr>
        <w:ind w:firstLine="420" w:firstLineChars="200"/>
      </w:pPr>
    </w:p>
    <w:p w14:paraId="64DB44CE">
      <w:pPr>
        <w:ind w:firstLine="420" w:firstLineChars="200"/>
      </w:pPr>
      <w:r>
        <w:rPr>
          <w:rFonts w:hint="eastAsia"/>
        </w:rPr>
        <w:t>标项四</w:t>
      </w:r>
    </w:p>
    <w:p w14:paraId="51ED466D">
      <w:pPr>
        <w:ind w:firstLine="420" w:firstLineChars="200"/>
        <w:rPr>
          <w:rFonts w:hint="eastAsia" w:eastAsia="宋体"/>
          <w:lang w:eastAsia="zh-CN"/>
        </w:rPr>
      </w:pPr>
      <w:r>
        <w:rPr>
          <w:rFonts w:hint="eastAsia"/>
        </w:rPr>
        <w:t>标项名称：</w:t>
      </w:r>
      <w:r>
        <w:rPr>
          <w:rFonts w:hint="eastAsia"/>
          <w:lang w:eastAsia="zh-CN"/>
        </w:rPr>
        <w:t>其他类</w:t>
      </w:r>
    </w:p>
    <w:p w14:paraId="192A57C6">
      <w:pPr>
        <w:ind w:firstLine="420" w:firstLineChars="200"/>
      </w:pPr>
      <w:r>
        <w:rPr>
          <w:rFonts w:hint="eastAsia"/>
        </w:rPr>
        <w:t>数量：1批</w:t>
      </w:r>
    </w:p>
    <w:p w14:paraId="167A4EC0">
      <w:pPr>
        <w:ind w:firstLine="420" w:firstLineChars="200"/>
        <w:rPr>
          <w:rFonts w:hint="eastAsia" w:eastAsia="宋体"/>
          <w:lang w:eastAsia="zh-CN"/>
        </w:rPr>
      </w:pPr>
      <w:r>
        <w:rPr>
          <w:rFonts w:hint="eastAsia"/>
        </w:rPr>
        <w:t>预算金额（元）：</w:t>
      </w:r>
      <w:r>
        <w:rPr>
          <w:rFonts w:hint="eastAsia"/>
          <w:lang w:eastAsia="zh-CN"/>
        </w:rPr>
        <w:t>1600000.00</w:t>
      </w:r>
    </w:p>
    <w:p w14:paraId="660BA400">
      <w:pPr>
        <w:ind w:firstLine="420" w:firstLineChars="200"/>
        <w:rPr>
          <w:kern w:val="0"/>
        </w:rPr>
      </w:pPr>
      <w:r>
        <w:rPr>
          <w:rFonts w:hint="eastAsia"/>
          <w:kern w:val="0"/>
        </w:rPr>
        <w:t>简要规格描述或项目基本概况介绍、用途：</w:t>
      </w:r>
      <w:r>
        <w:rPr>
          <w:rFonts w:hint="eastAsia"/>
          <w:lang w:eastAsia="zh-CN"/>
        </w:rPr>
        <w:t>其他类</w:t>
      </w:r>
      <w:r>
        <w:rPr>
          <w:rFonts w:hint="eastAsia"/>
          <w:lang w:val="en-US" w:eastAsia="zh-CN"/>
        </w:rPr>
        <w:t>采购</w:t>
      </w:r>
      <w:r>
        <w:rPr>
          <w:rFonts w:hint="eastAsia"/>
        </w:rPr>
        <w:t>，具体内容和数量以招标文件第二章采购需求为准。</w:t>
      </w:r>
    </w:p>
    <w:p w14:paraId="67713765">
      <w:pPr>
        <w:ind w:firstLine="420" w:firstLineChars="200"/>
        <w:rPr>
          <w:rFonts w:hint="eastAsia" w:eastAsia="宋体"/>
          <w:lang w:eastAsia="zh-CN"/>
        </w:rPr>
      </w:pPr>
      <w:r>
        <w:rPr>
          <w:rFonts w:hint="eastAsia"/>
        </w:rPr>
        <w:t>最高限价（如有）：</w:t>
      </w:r>
      <w:r>
        <w:rPr>
          <w:rFonts w:hint="eastAsia"/>
          <w:lang w:eastAsia="zh-CN"/>
        </w:rPr>
        <w:t>1600000.00</w:t>
      </w:r>
    </w:p>
    <w:p w14:paraId="09C5A693">
      <w:pPr>
        <w:ind w:firstLine="420" w:firstLineChars="200"/>
        <w:rPr>
          <w:rFonts w:hint="eastAsia" w:eastAsia="宋体"/>
          <w:kern w:val="0"/>
          <w:lang w:eastAsia="zh-CN"/>
        </w:rPr>
      </w:pPr>
      <w:r>
        <w:rPr>
          <w:rFonts w:hint="eastAsia"/>
          <w:kern w:val="0"/>
        </w:rPr>
        <w:t>合同履约期限：</w:t>
      </w:r>
      <w:r>
        <w:rPr>
          <w:rFonts w:hint="eastAsia"/>
          <w:lang w:eastAsia="zh-CN"/>
        </w:rPr>
        <w:t>自合同签订之日起一年。</w:t>
      </w:r>
    </w:p>
    <w:p w14:paraId="7C2766AA">
      <w:pPr>
        <w:ind w:firstLine="420" w:firstLineChars="200"/>
      </w:pPr>
      <w:r>
        <w:rPr>
          <w:rFonts w:hint="eastAsia"/>
        </w:rPr>
        <w:t>本标项（否）接受联合体投标。</w:t>
      </w:r>
    </w:p>
    <w:p w14:paraId="0EF24D3B">
      <w:pPr>
        <w:ind w:firstLine="420" w:firstLineChars="200"/>
      </w:pPr>
      <w:r>
        <w:rPr>
          <w:rFonts w:hint="eastAsia"/>
        </w:rPr>
        <w:t>备注：无</w:t>
      </w:r>
    </w:p>
    <w:p w14:paraId="5B220FF5">
      <w:pPr>
        <w:ind w:firstLine="420" w:firstLineChars="200"/>
      </w:pPr>
    </w:p>
    <w:p w14:paraId="260CDFBE">
      <w:pPr>
        <w:ind w:firstLine="420" w:firstLineChars="200"/>
      </w:pPr>
      <w:r>
        <w:rPr>
          <w:rFonts w:hint="eastAsia"/>
        </w:rPr>
        <w:t>标项五</w:t>
      </w:r>
    </w:p>
    <w:p w14:paraId="593EDC25">
      <w:pPr>
        <w:ind w:firstLine="420" w:firstLineChars="200"/>
        <w:rPr>
          <w:rFonts w:hint="eastAsia" w:eastAsia="宋体"/>
          <w:lang w:eastAsia="zh-CN"/>
        </w:rPr>
      </w:pPr>
      <w:r>
        <w:rPr>
          <w:rFonts w:hint="eastAsia"/>
        </w:rPr>
        <w:t>标项名称：</w:t>
      </w:r>
      <w:r>
        <w:rPr>
          <w:rFonts w:hint="eastAsia"/>
          <w:lang w:eastAsia="zh-CN"/>
        </w:rPr>
        <w:t>鲜湿米粉类</w:t>
      </w:r>
    </w:p>
    <w:p w14:paraId="34E1F858">
      <w:pPr>
        <w:ind w:firstLine="420" w:firstLineChars="200"/>
      </w:pPr>
      <w:r>
        <w:rPr>
          <w:rFonts w:hint="eastAsia"/>
        </w:rPr>
        <w:t>数量：1批</w:t>
      </w:r>
    </w:p>
    <w:p w14:paraId="18542004">
      <w:pPr>
        <w:ind w:firstLine="420" w:firstLineChars="200"/>
        <w:rPr>
          <w:rFonts w:hint="eastAsia" w:eastAsia="宋体"/>
          <w:lang w:eastAsia="zh-CN"/>
        </w:rPr>
      </w:pPr>
      <w:r>
        <w:rPr>
          <w:rFonts w:hint="eastAsia"/>
        </w:rPr>
        <w:t>预算金额（元）：</w:t>
      </w:r>
      <w:r>
        <w:rPr>
          <w:rFonts w:hint="eastAsia"/>
          <w:lang w:eastAsia="zh-CN"/>
        </w:rPr>
        <w:t>650000.00</w:t>
      </w:r>
    </w:p>
    <w:p w14:paraId="68ACA003">
      <w:pPr>
        <w:ind w:firstLine="420" w:firstLineChars="200"/>
        <w:rPr>
          <w:kern w:val="0"/>
        </w:rPr>
      </w:pPr>
      <w:r>
        <w:rPr>
          <w:rFonts w:hint="eastAsia"/>
          <w:kern w:val="0"/>
        </w:rPr>
        <w:t>简要规格描述或项目基本概况介绍、用途：</w:t>
      </w:r>
      <w:r>
        <w:rPr>
          <w:rFonts w:hint="eastAsia"/>
          <w:lang w:eastAsia="zh-CN"/>
        </w:rPr>
        <w:t>鲜湿米粉类</w:t>
      </w:r>
      <w:r>
        <w:rPr>
          <w:rFonts w:hint="eastAsia"/>
          <w:lang w:val="en-US" w:eastAsia="zh-CN"/>
        </w:rPr>
        <w:t>采购</w:t>
      </w:r>
      <w:r>
        <w:rPr>
          <w:rFonts w:hint="eastAsia"/>
        </w:rPr>
        <w:t>，具体内容和数量以招标文件第二章采购需求为准。</w:t>
      </w:r>
    </w:p>
    <w:p w14:paraId="75FA3833">
      <w:pPr>
        <w:ind w:firstLine="420" w:firstLineChars="200"/>
        <w:rPr>
          <w:rFonts w:hint="eastAsia" w:eastAsia="宋体"/>
          <w:lang w:eastAsia="zh-CN"/>
        </w:rPr>
      </w:pPr>
      <w:r>
        <w:rPr>
          <w:rFonts w:hint="eastAsia"/>
        </w:rPr>
        <w:t>最高限价（如有）：</w:t>
      </w:r>
      <w:r>
        <w:rPr>
          <w:rFonts w:hint="eastAsia"/>
          <w:lang w:eastAsia="zh-CN"/>
        </w:rPr>
        <w:t>650000.00</w:t>
      </w:r>
    </w:p>
    <w:p w14:paraId="0C80285C">
      <w:pPr>
        <w:ind w:firstLine="420" w:firstLineChars="200"/>
        <w:rPr>
          <w:rFonts w:hint="eastAsia" w:eastAsia="宋体"/>
          <w:kern w:val="0"/>
          <w:lang w:eastAsia="zh-CN"/>
        </w:rPr>
      </w:pPr>
      <w:r>
        <w:rPr>
          <w:rFonts w:hint="eastAsia"/>
          <w:kern w:val="0"/>
        </w:rPr>
        <w:t>合同履约期限：</w:t>
      </w:r>
      <w:r>
        <w:rPr>
          <w:rFonts w:hint="eastAsia"/>
          <w:lang w:eastAsia="zh-CN"/>
        </w:rPr>
        <w:t>自合同签订之日起一年。</w:t>
      </w:r>
    </w:p>
    <w:p w14:paraId="27D5EA18">
      <w:pPr>
        <w:ind w:firstLine="420" w:firstLineChars="200"/>
      </w:pPr>
      <w:r>
        <w:rPr>
          <w:rFonts w:hint="eastAsia"/>
        </w:rPr>
        <w:t>本标项（否）接受联合体投标。</w:t>
      </w:r>
    </w:p>
    <w:p w14:paraId="4547BD5A">
      <w:pPr>
        <w:ind w:firstLine="420" w:firstLineChars="200"/>
      </w:pPr>
      <w:r>
        <w:rPr>
          <w:rFonts w:hint="eastAsia"/>
        </w:rPr>
        <w:t>备注：无</w:t>
      </w:r>
    </w:p>
    <w:p w14:paraId="18C5D765">
      <w:pPr>
        <w:ind w:firstLine="420" w:firstLineChars="200"/>
      </w:pPr>
    </w:p>
    <w:p w14:paraId="710CFD5A">
      <w:pPr>
        <w:ind w:firstLine="420" w:firstLineChars="200"/>
      </w:pPr>
      <w:r>
        <w:rPr>
          <w:rFonts w:hint="eastAsia"/>
        </w:rPr>
        <w:t>二、</w:t>
      </w:r>
      <w:r>
        <w:rPr>
          <w:rFonts w:hint="eastAsia"/>
          <w:lang w:eastAsia="zh-CN"/>
        </w:rPr>
        <w:t>供应商</w:t>
      </w:r>
      <w:r>
        <w:rPr>
          <w:rFonts w:hint="eastAsia"/>
        </w:rPr>
        <w:t>的资格要求</w:t>
      </w:r>
    </w:p>
    <w:p w14:paraId="463EA785">
      <w:pPr>
        <w:ind w:firstLine="420" w:firstLineChars="200"/>
      </w:pPr>
      <w:r>
        <w:rPr>
          <w:rFonts w:hint="eastAsia"/>
        </w:rPr>
        <w:t xml:space="preserve">1.满足《中华人民共和国政府采购法》第二十二条规定； </w:t>
      </w:r>
    </w:p>
    <w:p w14:paraId="05EE6BC6">
      <w:pPr>
        <w:ind w:firstLine="420" w:firstLineChars="200"/>
      </w:pPr>
      <w:r>
        <w:rPr>
          <w:rFonts w:hint="eastAsia"/>
        </w:rPr>
        <w:t>2.落实政府采购政策需满足的资格要求：</w:t>
      </w:r>
      <w:bookmarkStart w:id="11" w:name="_Hlk132732708"/>
    </w:p>
    <w:p w14:paraId="64DD2E8E">
      <w:pPr>
        <w:ind w:firstLine="420" w:firstLineChars="200"/>
      </w:pPr>
      <w:r>
        <w:rPr>
          <w:rFonts w:hint="eastAsia"/>
        </w:rPr>
        <w:t>本项目</w:t>
      </w:r>
      <w:r>
        <w:rPr>
          <w:rFonts w:hint="eastAsia"/>
          <w:lang w:eastAsia="zh-CN"/>
        </w:rPr>
        <w:t>（</w:t>
      </w:r>
      <w:r>
        <w:rPr>
          <w:rFonts w:hint="eastAsia"/>
          <w:lang w:val="en-US" w:eastAsia="zh-CN"/>
        </w:rPr>
        <w:t>分标2、4</w:t>
      </w:r>
      <w:r>
        <w:rPr>
          <w:rFonts w:hint="eastAsia"/>
          <w:lang w:eastAsia="zh-CN"/>
        </w:rPr>
        <w:t>）</w:t>
      </w:r>
      <w:r>
        <w:rPr>
          <w:rFonts w:hint="eastAsia"/>
        </w:rPr>
        <w:t>属于专门面向</w:t>
      </w:r>
      <w:r>
        <w:rPr>
          <w:rFonts w:hint="eastAsia"/>
          <w:lang w:val="en-US" w:eastAsia="zh-CN"/>
        </w:rPr>
        <w:t>中小</w:t>
      </w:r>
      <w:r>
        <w:rPr>
          <w:rFonts w:hint="eastAsia"/>
        </w:rPr>
        <w:t>企业采购，</w:t>
      </w:r>
      <w:r>
        <w:rPr>
          <w:rFonts w:hint="eastAsia"/>
          <w:bCs/>
          <w:szCs w:val="21"/>
        </w:rPr>
        <w:t>制造商</w:t>
      </w:r>
      <w:r>
        <w:rPr>
          <w:rFonts w:hint="eastAsia"/>
          <w:lang w:eastAsia="zh-CN"/>
        </w:rPr>
        <w:t>应为</w:t>
      </w:r>
      <w:r>
        <w:rPr>
          <w:rFonts w:hint="eastAsia"/>
          <w:lang w:val="en-US" w:eastAsia="zh-CN"/>
        </w:rPr>
        <w:t>中型</w:t>
      </w:r>
      <w:r>
        <w:rPr>
          <w:rFonts w:hint="eastAsia"/>
          <w:lang w:eastAsia="zh-CN"/>
        </w:rPr>
        <w:t>企业</w:t>
      </w:r>
      <w:r>
        <w:rPr>
          <w:rFonts w:hint="eastAsia"/>
          <w:lang w:val="en-US" w:eastAsia="zh-CN"/>
        </w:rPr>
        <w:t>或</w:t>
      </w:r>
      <w:r>
        <w:rPr>
          <w:rFonts w:hint="eastAsia"/>
          <w:lang w:eastAsia="zh-CN"/>
        </w:rPr>
        <w:t>小</w:t>
      </w:r>
      <w:r>
        <w:rPr>
          <w:rFonts w:hint="eastAsia"/>
          <w:lang w:val="en-US" w:eastAsia="zh-CN"/>
        </w:rPr>
        <w:t>型</w:t>
      </w:r>
      <w:r>
        <w:rPr>
          <w:rFonts w:hint="eastAsia"/>
          <w:lang w:eastAsia="zh-CN"/>
        </w:rPr>
        <w:t>企业</w:t>
      </w:r>
      <w:r>
        <w:rPr>
          <w:rFonts w:hint="eastAsia"/>
          <w:lang w:val="en-US" w:eastAsia="zh-CN"/>
        </w:rPr>
        <w:t>或</w:t>
      </w:r>
      <w:r>
        <w:rPr>
          <w:rFonts w:hint="eastAsia"/>
          <w:lang w:eastAsia="zh-CN"/>
        </w:rPr>
        <w:t>微</w:t>
      </w:r>
      <w:r>
        <w:rPr>
          <w:rFonts w:hint="eastAsia"/>
          <w:lang w:val="en-US" w:eastAsia="zh-CN"/>
        </w:rPr>
        <w:t>型</w:t>
      </w:r>
      <w:r>
        <w:rPr>
          <w:rFonts w:hint="eastAsia"/>
          <w:lang w:eastAsia="zh-CN"/>
        </w:rPr>
        <w:t>企业或监狱企业或残疾人福利性单位</w:t>
      </w:r>
      <w:r>
        <w:rPr>
          <w:rFonts w:hint="eastAsia"/>
        </w:rPr>
        <w:t>。</w:t>
      </w:r>
    </w:p>
    <w:p w14:paraId="4C96D295">
      <w:pPr>
        <w:ind w:firstLine="420" w:firstLineChars="200"/>
      </w:pPr>
      <w:r>
        <w:rPr>
          <w:rFonts w:hint="eastAsia"/>
        </w:rPr>
        <w:t>本项目</w:t>
      </w:r>
      <w:r>
        <w:rPr>
          <w:rFonts w:hint="eastAsia"/>
          <w:lang w:eastAsia="zh-CN"/>
        </w:rPr>
        <w:t>（</w:t>
      </w:r>
      <w:r>
        <w:rPr>
          <w:rFonts w:hint="eastAsia"/>
          <w:lang w:val="en-US" w:eastAsia="zh-CN"/>
        </w:rPr>
        <w:t>分标1、3、5</w:t>
      </w:r>
      <w:r>
        <w:rPr>
          <w:rFonts w:hint="eastAsia"/>
          <w:lang w:eastAsia="zh-CN"/>
        </w:rPr>
        <w:t>）</w:t>
      </w:r>
      <w:r>
        <w:rPr>
          <w:rFonts w:hint="eastAsia"/>
        </w:rPr>
        <w:t>属于专门面向小</w:t>
      </w:r>
      <w:r>
        <w:rPr>
          <w:rFonts w:hint="eastAsia"/>
          <w:lang w:val="en-US" w:eastAsia="zh-CN"/>
        </w:rPr>
        <w:t>微</w:t>
      </w:r>
      <w:r>
        <w:rPr>
          <w:rFonts w:hint="eastAsia"/>
        </w:rPr>
        <w:t>企业采购，</w:t>
      </w:r>
      <w:r>
        <w:rPr>
          <w:rFonts w:hint="eastAsia"/>
          <w:bCs/>
          <w:szCs w:val="21"/>
        </w:rPr>
        <w:t>制造商</w:t>
      </w:r>
      <w:r>
        <w:rPr>
          <w:rFonts w:hint="eastAsia"/>
          <w:lang w:eastAsia="zh-CN"/>
        </w:rPr>
        <w:t>应为小</w:t>
      </w:r>
      <w:r>
        <w:rPr>
          <w:rFonts w:hint="eastAsia"/>
          <w:lang w:val="en-US" w:eastAsia="zh-CN"/>
        </w:rPr>
        <w:t>型</w:t>
      </w:r>
      <w:r>
        <w:rPr>
          <w:rFonts w:hint="eastAsia"/>
          <w:lang w:eastAsia="zh-CN"/>
        </w:rPr>
        <w:t>企业</w:t>
      </w:r>
      <w:r>
        <w:rPr>
          <w:rFonts w:hint="eastAsia"/>
          <w:lang w:val="en-US" w:eastAsia="zh-CN"/>
        </w:rPr>
        <w:t>或</w:t>
      </w:r>
      <w:r>
        <w:rPr>
          <w:rFonts w:hint="eastAsia"/>
          <w:lang w:eastAsia="zh-CN"/>
        </w:rPr>
        <w:t>微</w:t>
      </w:r>
      <w:r>
        <w:rPr>
          <w:rFonts w:hint="eastAsia"/>
          <w:lang w:val="en-US" w:eastAsia="zh-CN"/>
        </w:rPr>
        <w:t>型</w:t>
      </w:r>
      <w:r>
        <w:rPr>
          <w:rFonts w:hint="eastAsia"/>
          <w:lang w:eastAsia="zh-CN"/>
        </w:rPr>
        <w:t>企业或监狱企业或残疾人福利性单位</w:t>
      </w:r>
      <w:r>
        <w:rPr>
          <w:rFonts w:hint="eastAsia"/>
        </w:rPr>
        <w:t>。</w:t>
      </w:r>
    </w:p>
    <w:bookmarkEnd w:id="11"/>
    <w:p w14:paraId="388E8179">
      <w:pPr>
        <w:ind w:firstLine="420" w:firstLineChars="200"/>
      </w:pPr>
      <w:r>
        <w:rPr>
          <w:rFonts w:hint="eastAsia"/>
        </w:rPr>
        <w:t>3.本项目的特定资格要求：本项目</w:t>
      </w:r>
      <w:r>
        <w:rPr>
          <w:rFonts w:hint="eastAsia"/>
          <w:lang w:eastAsia="zh-CN"/>
        </w:rPr>
        <w:t>（</w:t>
      </w:r>
      <w:r>
        <w:rPr>
          <w:rFonts w:hint="eastAsia"/>
          <w:lang w:val="en-US" w:eastAsia="zh-CN"/>
        </w:rPr>
        <w:t>分标1、2、3、5</w:t>
      </w:r>
      <w:r>
        <w:rPr>
          <w:rFonts w:hint="eastAsia"/>
          <w:lang w:eastAsia="zh-CN"/>
        </w:rPr>
        <w:t>）</w:t>
      </w:r>
      <w:r>
        <w:rPr>
          <w:rFonts w:hint="eastAsia"/>
          <w:lang w:val="en-US" w:eastAsia="zh-CN"/>
        </w:rPr>
        <w:t>无要求；</w:t>
      </w:r>
      <w:r>
        <w:rPr>
          <w:rFonts w:hint="eastAsia"/>
        </w:rPr>
        <w:t>本项目</w:t>
      </w:r>
      <w:r>
        <w:rPr>
          <w:rFonts w:hint="eastAsia"/>
          <w:lang w:eastAsia="zh-CN"/>
        </w:rPr>
        <w:t>（</w:t>
      </w:r>
      <w:r>
        <w:rPr>
          <w:rFonts w:hint="eastAsia"/>
          <w:lang w:val="en-US" w:eastAsia="zh-CN"/>
        </w:rPr>
        <w:t>分标4</w:t>
      </w:r>
      <w:r>
        <w:rPr>
          <w:rFonts w:hint="eastAsia"/>
          <w:lang w:eastAsia="zh-CN"/>
        </w:rPr>
        <w:t>）</w:t>
      </w:r>
      <w:r>
        <w:rPr>
          <w:rFonts w:hint="eastAsia"/>
          <w:lang w:val="en-US" w:eastAsia="zh-CN"/>
        </w:rPr>
        <w:t>供应商</w:t>
      </w:r>
      <w:r>
        <w:rPr>
          <w:rFonts w:hint="eastAsia"/>
        </w:rPr>
        <w:t>须具备有效的《食品经营许可证》。</w:t>
      </w:r>
    </w:p>
    <w:p w14:paraId="6F284252">
      <w:pPr>
        <w:ind w:firstLine="420" w:firstLineChars="200"/>
      </w:pPr>
      <w:r>
        <w:rPr>
          <w:rFonts w:hint="eastAsia"/>
        </w:rPr>
        <w:t>三、获取招标文件</w:t>
      </w:r>
    </w:p>
    <w:p w14:paraId="71A1D9BC">
      <w:pPr>
        <w:ind w:firstLine="420" w:firstLineChars="200"/>
      </w:pPr>
      <w:bookmarkStart w:id="12" w:name="_Hlk19048251"/>
      <w:r>
        <w:rPr>
          <w:rFonts w:hint="eastAsia"/>
        </w:rPr>
        <w:t>时间：202</w:t>
      </w:r>
      <w:r>
        <w:rPr>
          <w:rFonts w:hint="eastAsia"/>
          <w:lang w:val="en-US" w:eastAsia="zh-CN"/>
        </w:rPr>
        <w:t>6</w:t>
      </w:r>
      <w:r>
        <w:rPr>
          <w:rFonts w:hint="eastAsia"/>
        </w:rPr>
        <w:t>年</w:t>
      </w:r>
      <w:r>
        <w:rPr>
          <w:rFonts w:hint="eastAsia"/>
          <w:lang w:val="en-US" w:eastAsia="zh-CN"/>
        </w:rPr>
        <w:t>6</w:t>
      </w:r>
      <w:r>
        <w:rPr>
          <w:rFonts w:hint="eastAsia"/>
        </w:rPr>
        <w:t>月</w:t>
      </w:r>
      <w:r>
        <w:rPr>
          <w:rFonts w:hint="eastAsia"/>
          <w:lang w:val="en-US" w:eastAsia="zh-CN"/>
        </w:rPr>
        <w:t>12</w:t>
      </w:r>
      <w:r>
        <w:rPr>
          <w:rFonts w:hint="eastAsia"/>
        </w:rPr>
        <w:t>日至202</w:t>
      </w:r>
      <w:r>
        <w:rPr>
          <w:rFonts w:hint="eastAsia"/>
          <w:lang w:val="en-US" w:eastAsia="zh-CN"/>
        </w:rPr>
        <w:t>6</w:t>
      </w:r>
      <w:r>
        <w:rPr>
          <w:rFonts w:hint="eastAsia"/>
        </w:rPr>
        <w:t>年</w:t>
      </w:r>
      <w:r>
        <w:rPr>
          <w:rFonts w:hint="eastAsia"/>
          <w:lang w:val="en-US" w:eastAsia="zh-CN"/>
        </w:rPr>
        <w:t>6</w:t>
      </w:r>
      <w:r>
        <w:rPr>
          <w:rFonts w:hint="eastAsia"/>
        </w:rPr>
        <w:t>月</w:t>
      </w:r>
      <w:r>
        <w:rPr>
          <w:rFonts w:hint="eastAsia"/>
          <w:lang w:val="en-US" w:eastAsia="zh-CN"/>
        </w:rPr>
        <w:t>22</w:t>
      </w:r>
      <w:r>
        <w:rPr>
          <w:rFonts w:hint="eastAsia"/>
        </w:rPr>
        <w:t>日，每天00:00至1</w:t>
      </w:r>
      <w:r>
        <w:rPr>
          <w:rFonts w:hint="eastAsia"/>
          <w:lang w:val="en-US" w:eastAsia="zh-CN"/>
        </w:rPr>
        <w:t>1</w:t>
      </w:r>
      <w:r>
        <w:rPr>
          <w:rFonts w:hint="eastAsia"/>
        </w:rPr>
        <w:t>:</w:t>
      </w:r>
      <w:r>
        <w:rPr>
          <w:rFonts w:hint="eastAsia"/>
          <w:lang w:val="en-US" w:eastAsia="zh-CN"/>
        </w:rPr>
        <w:t>59</w:t>
      </w:r>
      <w:r>
        <w:rPr>
          <w:rFonts w:hint="eastAsia"/>
        </w:rPr>
        <w:t>，12:00至23:59（北京时间，法定节假日除外）</w:t>
      </w:r>
    </w:p>
    <w:p w14:paraId="10300AFE">
      <w:pPr>
        <w:ind w:firstLine="420" w:firstLineChars="200"/>
      </w:pPr>
      <w:r>
        <w:rPr>
          <w:rFonts w:hint="eastAsia"/>
        </w:rPr>
        <w:t>地点：广西政府采购云平台（https://www.gcy.zfcg.gxzf.gov.cn/）</w:t>
      </w:r>
    </w:p>
    <w:p w14:paraId="19B21B57">
      <w:pPr>
        <w:ind w:firstLine="420" w:firstLineChars="200"/>
      </w:pPr>
      <w:r>
        <w:rPr>
          <w:rFonts w:hint="eastAsia"/>
        </w:rPr>
        <w:t>方式：网上下载。本项目不提供纸质文件，潜在供应商需在广西政府采购云平台（https://www.gcy.zfcg.gxzf.gov.cn/）-进入“项目采购”应用，在获取采购文件菜单中选择项目，获取招标文件。电子投标文件制作需要基于广西政府采购云平台获取的招标文件编制，通过其他方式获取招标文件的，将有可能导致供应商无法在广西政府采购云平台编制及上传投标文件。</w:t>
      </w:r>
    </w:p>
    <w:p w14:paraId="15DA55CC">
      <w:pPr>
        <w:ind w:firstLine="420" w:firstLineChars="200"/>
      </w:pPr>
      <w:r>
        <w:rPr>
          <w:rFonts w:hint="eastAsia"/>
        </w:rPr>
        <w:t>售价：0元</w:t>
      </w:r>
    </w:p>
    <w:bookmarkEnd w:id="12"/>
    <w:p w14:paraId="4E3995C1">
      <w:pPr>
        <w:ind w:firstLine="420" w:firstLineChars="200"/>
      </w:pPr>
      <w:r>
        <w:rPr>
          <w:rFonts w:hint="eastAsia"/>
        </w:rPr>
        <w:t>四、提交投标文件截止时间、开标时间和地点</w:t>
      </w:r>
    </w:p>
    <w:p w14:paraId="038BE362">
      <w:pPr>
        <w:ind w:firstLine="420" w:firstLineChars="200"/>
      </w:pPr>
      <w:r>
        <w:rPr>
          <w:rFonts w:hint="eastAsia"/>
        </w:rPr>
        <w:t>提交投标文件截止时间：</w:t>
      </w:r>
      <w:r>
        <w:rPr>
          <w:rFonts w:hint="eastAsia"/>
          <w:lang w:eastAsia="zh-CN"/>
        </w:rPr>
        <w:t>2026年</w:t>
      </w:r>
      <w:r>
        <w:rPr>
          <w:rFonts w:hint="eastAsia"/>
          <w:lang w:val="en-US" w:eastAsia="zh-CN"/>
        </w:rPr>
        <w:t>7</w:t>
      </w:r>
      <w:r>
        <w:rPr>
          <w:rFonts w:hint="eastAsia"/>
          <w:lang w:eastAsia="zh-CN"/>
        </w:rPr>
        <w:t>月</w:t>
      </w:r>
      <w:r>
        <w:rPr>
          <w:rFonts w:hint="eastAsia"/>
          <w:lang w:val="en-US" w:eastAsia="zh-CN"/>
        </w:rPr>
        <w:t>3</w:t>
      </w:r>
      <w:r>
        <w:rPr>
          <w:rFonts w:hint="eastAsia"/>
          <w:lang w:eastAsia="zh-CN"/>
        </w:rPr>
        <w:t>日</w:t>
      </w:r>
      <w:r>
        <w:rPr>
          <w:rFonts w:hint="eastAsia"/>
        </w:rPr>
        <w:t xml:space="preserve"> </w:t>
      </w:r>
      <w:r>
        <w:rPr>
          <w:rFonts w:hint="eastAsia"/>
          <w:lang w:val="en-US" w:eastAsia="zh-CN"/>
        </w:rPr>
        <w:t>0</w:t>
      </w:r>
      <w:r>
        <w:rPr>
          <w:rFonts w:hint="eastAsia"/>
        </w:rPr>
        <w:t>9 时 30 分（北京时间）</w:t>
      </w:r>
    </w:p>
    <w:p w14:paraId="5B1F6ED7">
      <w:pPr>
        <w:ind w:firstLine="420" w:firstLineChars="200"/>
      </w:pPr>
      <w:r>
        <w:rPr>
          <w:rFonts w:hint="eastAsia"/>
        </w:rPr>
        <w:t>投标地点（网址）：广西政府采购云平台（https://www.gcy.zfcg.gxzf.gov.cn/）</w:t>
      </w:r>
    </w:p>
    <w:p w14:paraId="4FBF35DD">
      <w:pPr>
        <w:ind w:firstLine="420" w:firstLineChars="200"/>
      </w:pPr>
      <w:r>
        <w:rPr>
          <w:rFonts w:hint="eastAsia"/>
        </w:rPr>
        <w:t>开标时间：</w:t>
      </w:r>
      <w:r>
        <w:rPr>
          <w:rFonts w:hint="eastAsia"/>
          <w:lang w:eastAsia="zh-CN"/>
        </w:rPr>
        <w:t>2026年</w:t>
      </w:r>
      <w:r>
        <w:rPr>
          <w:rFonts w:hint="eastAsia"/>
          <w:lang w:val="en-US" w:eastAsia="zh-CN"/>
        </w:rPr>
        <w:t>7</w:t>
      </w:r>
      <w:r>
        <w:rPr>
          <w:rFonts w:hint="eastAsia"/>
          <w:lang w:eastAsia="zh-CN"/>
        </w:rPr>
        <w:t>月</w:t>
      </w:r>
      <w:r>
        <w:rPr>
          <w:rFonts w:hint="eastAsia"/>
          <w:lang w:val="en-US" w:eastAsia="zh-CN"/>
        </w:rPr>
        <w:t>3</w:t>
      </w:r>
      <w:r>
        <w:rPr>
          <w:rFonts w:hint="eastAsia"/>
          <w:lang w:eastAsia="zh-CN"/>
        </w:rPr>
        <w:t>日</w:t>
      </w:r>
      <w:r>
        <w:rPr>
          <w:rFonts w:hint="eastAsia"/>
        </w:rPr>
        <w:t xml:space="preserve"> </w:t>
      </w:r>
      <w:r>
        <w:rPr>
          <w:rFonts w:hint="eastAsia"/>
          <w:lang w:val="en-US" w:eastAsia="zh-CN"/>
        </w:rPr>
        <w:t>0</w:t>
      </w:r>
      <w:r>
        <w:rPr>
          <w:rFonts w:hint="eastAsia"/>
        </w:rPr>
        <w:t>9 时 30 分</w:t>
      </w:r>
    </w:p>
    <w:p w14:paraId="75E823D7">
      <w:pPr>
        <w:ind w:firstLine="420" w:firstLineChars="200"/>
      </w:pPr>
      <w:r>
        <w:rPr>
          <w:rFonts w:hint="eastAsia"/>
        </w:rPr>
        <w:t>开标地点：广西政府采购云平台电子开标大厅开标。</w:t>
      </w:r>
    </w:p>
    <w:p w14:paraId="07B88C2C">
      <w:pPr>
        <w:ind w:firstLine="420" w:firstLineChars="200"/>
      </w:pPr>
      <w:r>
        <w:rPr>
          <w:rFonts w:hint="eastAsia"/>
        </w:rPr>
        <w:t>五、公告期限</w:t>
      </w:r>
    </w:p>
    <w:p w14:paraId="732A4B08">
      <w:pPr>
        <w:ind w:firstLine="420" w:firstLineChars="200"/>
      </w:pPr>
      <w:r>
        <w:rPr>
          <w:rFonts w:hint="eastAsia"/>
        </w:rPr>
        <w:t>自本公告发布之日起5个工作日。</w:t>
      </w:r>
    </w:p>
    <w:p w14:paraId="03FEE073">
      <w:pPr>
        <w:ind w:firstLine="420" w:firstLineChars="200"/>
      </w:pPr>
      <w:r>
        <w:rPr>
          <w:rFonts w:hint="eastAsia"/>
        </w:rPr>
        <w:t>六、其他补充事宜</w:t>
      </w:r>
    </w:p>
    <w:p w14:paraId="636EA913">
      <w:pPr>
        <w:ind w:firstLine="420" w:firstLineChars="200"/>
      </w:pPr>
      <w:bookmarkStart w:id="13" w:name="_Hlk88997182"/>
      <w:r>
        <w:rPr>
          <w:rFonts w:hint="eastAsia"/>
        </w:rPr>
        <w:t>1.投标保证金：</w:t>
      </w:r>
    </w:p>
    <w:p w14:paraId="0D7878C0">
      <w:pPr>
        <w:ind w:firstLine="420" w:firstLineChars="200"/>
      </w:pPr>
      <w:r>
        <w:rPr>
          <w:rFonts w:hint="eastAsia"/>
        </w:rPr>
        <w:t>投标保证金金额：</w:t>
      </w:r>
      <w:r>
        <w:rPr>
          <w:rFonts w:hint="eastAsia"/>
          <w:lang w:val="en-US" w:eastAsia="zh-CN"/>
        </w:rPr>
        <w:t>分标1</w:t>
      </w:r>
      <w:r>
        <w:rPr>
          <w:rFonts w:hint="eastAsia"/>
        </w:rPr>
        <w:t>：</w:t>
      </w:r>
      <w:r>
        <w:rPr>
          <w:rFonts w:hint="eastAsia"/>
          <w:lang w:val="en-US" w:eastAsia="zh-CN"/>
        </w:rPr>
        <w:t>18000</w:t>
      </w:r>
      <w:r>
        <w:rPr>
          <w:rFonts w:hint="eastAsia"/>
        </w:rPr>
        <w:t>.00元，</w:t>
      </w:r>
      <w:r>
        <w:rPr>
          <w:rFonts w:hint="eastAsia"/>
          <w:lang w:val="en-US" w:eastAsia="zh-CN"/>
        </w:rPr>
        <w:t>分标2</w:t>
      </w:r>
      <w:r>
        <w:rPr>
          <w:rFonts w:hint="eastAsia"/>
        </w:rPr>
        <w:t>：10000.00元，</w:t>
      </w:r>
      <w:r>
        <w:rPr>
          <w:rFonts w:hint="eastAsia"/>
          <w:lang w:val="en-US" w:eastAsia="zh-CN"/>
        </w:rPr>
        <w:t>分标3</w:t>
      </w:r>
      <w:r>
        <w:rPr>
          <w:rFonts w:hint="eastAsia"/>
        </w:rPr>
        <w:t>：</w:t>
      </w:r>
      <w:r>
        <w:rPr>
          <w:rFonts w:hint="eastAsia"/>
          <w:lang w:val="en-US" w:eastAsia="zh-CN"/>
        </w:rPr>
        <w:t>25</w:t>
      </w:r>
      <w:r>
        <w:rPr>
          <w:rFonts w:hint="eastAsia"/>
        </w:rPr>
        <w:t>000.00元，</w:t>
      </w:r>
      <w:r>
        <w:rPr>
          <w:rFonts w:hint="eastAsia"/>
          <w:lang w:val="en-US" w:eastAsia="zh-CN"/>
        </w:rPr>
        <w:t>分标4</w:t>
      </w:r>
      <w:r>
        <w:rPr>
          <w:rFonts w:hint="eastAsia"/>
        </w:rPr>
        <w:t>：</w:t>
      </w:r>
      <w:r>
        <w:rPr>
          <w:rFonts w:hint="eastAsia"/>
          <w:lang w:val="en-US" w:eastAsia="zh-CN"/>
        </w:rPr>
        <w:t>15</w:t>
      </w:r>
      <w:r>
        <w:rPr>
          <w:rFonts w:hint="eastAsia"/>
        </w:rPr>
        <w:t>000.00元，</w:t>
      </w:r>
      <w:r>
        <w:rPr>
          <w:rFonts w:hint="eastAsia"/>
          <w:lang w:val="en-US" w:eastAsia="zh-CN"/>
        </w:rPr>
        <w:t>分标5</w:t>
      </w:r>
      <w:r>
        <w:rPr>
          <w:rFonts w:hint="eastAsia"/>
        </w:rPr>
        <w:t>：</w:t>
      </w:r>
      <w:r>
        <w:rPr>
          <w:rFonts w:hint="eastAsia"/>
          <w:lang w:val="en-US" w:eastAsia="zh-CN"/>
        </w:rPr>
        <w:t>6</w:t>
      </w:r>
      <w:r>
        <w:rPr>
          <w:rFonts w:hint="eastAsia"/>
        </w:rPr>
        <w:t>000.00元。</w:t>
      </w:r>
    </w:p>
    <w:p w14:paraId="5F408FB1">
      <w:pPr>
        <w:ind w:firstLine="420" w:firstLineChars="200"/>
      </w:pPr>
      <w:r>
        <w:rPr>
          <w:rFonts w:hint="eastAsia"/>
        </w:rPr>
        <w:t>2.</w:t>
      </w:r>
      <w:r>
        <w:rPr>
          <w:rFonts w:hint="eastAsia"/>
          <w:lang w:val="en-US" w:eastAsia="zh-CN"/>
        </w:rPr>
        <w:t>供应商</w:t>
      </w:r>
      <w:r>
        <w:rPr>
          <w:rFonts w:hint="eastAsia"/>
        </w:rPr>
        <w:t>出现下列情形之一的，不得参加政府采购活动：</w:t>
      </w:r>
    </w:p>
    <w:p w14:paraId="74BC58AA">
      <w:pPr>
        <w:ind w:firstLine="420" w:firstLineChars="200"/>
      </w:pPr>
      <w:r>
        <w:rPr>
          <w:rFonts w:hint="eastAsia"/>
        </w:rPr>
        <w:t>（1）根据《中华人民共和国政府采购法实施条例》（国务院令第658号）的规定，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C9554FD">
      <w:pPr>
        <w:ind w:firstLine="420" w:firstLineChars="200"/>
      </w:pPr>
      <w:r>
        <w:rPr>
          <w:rFonts w:hint="eastAsia"/>
        </w:rPr>
        <w:t>（2）根据财政部《关于在政府采购活动中查询及使用信用记录有关问题的通知》（财库〔2016〕125号）的规定，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01D59A2">
      <w:pPr>
        <w:ind w:firstLine="420" w:firstLineChars="200"/>
      </w:pPr>
      <w:r>
        <w:rPr>
          <w:rFonts w:hint="eastAsia"/>
        </w:rPr>
        <w:t>3.网上查询地址</w:t>
      </w:r>
    </w:p>
    <w:p w14:paraId="1296C16D">
      <w:pPr>
        <w:ind w:firstLine="420" w:firstLineChars="200"/>
      </w:pPr>
      <w:r>
        <w:rPr>
          <w:rFonts w:hint="eastAsia"/>
        </w:rPr>
        <w:t>中国政府采购网（http://www.ccgp.gov.cn）、广西壮族自治区政府采购网（http://zfcg.gxzf.gov.cn）、</w:t>
      </w:r>
      <w:r>
        <w:rPr>
          <w:rFonts w:hint="eastAsia"/>
          <w:lang w:val="en-US" w:eastAsia="zh-CN"/>
        </w:rPr>
        <w:t>全国公共资源交易平台（广西壮族自治区）（</w:t>
      </w:r>
      <w:r>
        <w:rPr>
          <w:rFonts w:hint="eastAsia"/>
        </w:rPr>
        <w:t>http://ggzy.jgswj.gxzf.gov.cn/nnggzy/</w:t>
      </w:r>
      <w:r>
        <w:rPr>
          <w:rFonts w:hint="eastAsia"/>
          <w:lang w:val="en-US" w:eastAsia="zh-CN"/>
        </w:rPr>
        <w:t>）</w:t>
      </w:r>
    </w:p>
    <w:p w14:paraId="42CCF35A">
      <w:pPr>
        <w:ind w:firstLine="420" w:firstLineChars="200"/>
      </w:pPr>
      <w:r>
        <w:rPr>
          <w:rFonts w:hint="eastAsia"/>
        </w:rPr>
        <w:t>4.本项目需要落实的政府采购政策</w:t>
      </w:r>
    </w:p>
    <w:p w14:paraId="7BB25DB4">
      <w:pPr>
        <w:ind w:firstLine="420" w:firstLineChars="200"/>
      </w:pPr>
      <w:r>
        <w:rPr>
          <w:rFonts w:hint="eastAsia"/>
        </w:rPr>
        <w:t>（1）政府采购促进中小企业发展。</w:t>
      </w:r>
    </w:p>
    <w:p w14:paraId="057D3DB5">
      <w:pPr>
        <w:ind w:firstLine="420" w:firstLineChars="200"/>
      </w:pPr>
      <w:r>
        <w:rPr>
          <w:rFonts w:hint="eastAsia"/>
        </w:rPr>
        <w:t>（2）政府采购支持采用本国产品的政策。</w:t>
      </w:r>
    </w:p>
    <w:p w14:paraId="5ABBB28D">
      <w:pPr>
        <w:ind w:firstLine="420" w:firstLineChars="200"/>
      </w:pPr>
      <w:r>
        <w:rPr>
          <w:rFonts w:hint="eastAsia"/>
        </w:rPr>
        <w:t>（3）政府采购促进残疾人就业政策。</w:t>
      </w:r>
    </w:p>
    <w:p w14:paraId="50AD141D">
      <w:pPr>
        <w:ind w:firstLine="420" w:firstLineChars="200"/>
      </w:pPr>
      <w:r>
        <w:rPr>
          <w:rFonts w:hint="eastAsia"/>
        </w:rPr>
        <w:t>（4）政府采购支持监狱企业发展。</w:t>
      </w:r>
    </w:p>
    <w:p w14:paraId="3C7A16D9">
      <w:pPr>
        <w:ind w:firstLine="420" w:firstLineChars="200"/>
      </w:pPr>
      <w:r>
        <w:rPr>
          <w:rFonts w:hint="eastAsia"/>
        </w:rPr>
        <w:t>5.</w:t>
      </w:r>
      <w:r>
        <w:rPr>
          <w:rFonts w:hint="eastAsia"/>
          <w:lang w:val="en-US" w:eastAsia="zh-CN"/>
        </w:rPr>
        <w:t>供应商</w:t>
      </w:r>
      <w:r>
        <w:rPr>
          <w:rFonts w:hint="eastAsia"/>
        </w:rPr>
        <w:t>投标注意事项</w:t>
      </w:r>
    </w:p>
    <w:p w14:paraId="3945E572">
      <w:pPr>
        <w:ind w:firstLine="420" w:firstLineChars="200"/>
      </w:pPr>
      <w:r>
        <w:rPr>
          <w:rFonts w:hint="eastAsia"/>
        </w:rPr>
        <w:t>（1）本项目为全流程电子化采购项目，通过广西政府采购云平台（https://www.gcy.zfcg.gxzf.gov.cn/）实行在线电子投标，</w:t>
      </w:r>
      <w:r>
        <w:rPr>
          <w:rFonts w:hint="eastAsia"/>
          <w:lang w:eastAsia="zh-CN"/>
        </w:rPr>
        <w:t>供应商</w:t>
      </w:r>
      <w:r>
        <w:rPr>
          <w:rFonts w:hint="eastAsia"/>
        </w:rPr>
        <w:t>应按照本项目招标文件和广西政府采购云平台的要求编制、加密后在投标截止时间前通过网络上传至广西政府采购云平台（加密的电子投标文件是指后缀名为“jmbs”的文件），</w:t>
      </w:r>
      <w:r>
        <w:rPr>
          <w:rFonts w:hint="eastAsia"/>
          <w:lang w:eastAsia="zh-CN"/>
        </w:rPr>
        <w:t>供应商</w:t>
      </w:r>
      <w:r>
        <w:rPr>
          <w:rFonts w:hint="eastAsia"/>
        </w:rPr>
        <w:t>在广西政府采购云平台提交电子投标文件时，请填写参加远程开标活动经办人联系方式。</w:t>
      </w:r>
      <w:r>
        <w:rPr>
          <w:rFonts w:hint="eastAsia"/>
          <w:lang w:eastAsia="zh-CN"/>
        </w:rPr>
        <w:t>供应商</w:t>
      </w:r>
      <w:r>
        <w:rPr>
          <w:rFonts w:hint="eastAsia"/>
        </w:rPr>
        <w:t>登录广西政府采购云平台，依次进入“服务中心-项目采购-操作流程-电子招投标-政府采购项目电子交易管理操作指南-供应商”查看电子投标具体操作流程。</w:t>
      </w:r>
    </w:p>
    <w:p w14:paraId="0005697A">
      <w:pPr>
        <w:ind w:firstLine="420" w:firstLineChars="200"/>
      </w:pPr>
      <w:r>
        <w:rPr>
          <w:rFonts w:hint="eastAsia"/>
        </w:rPr>
        <w:t>（2）未进行网上注册并办理数字证书（CA认证）的</w:t>
      </w:r>
      <w:r>
        <w:rPr>
          <w:rFonts w:hint="eastAsia"/>
          <w:lang w:eastAsia="zh-CN"/>
        </w:rPr>
        <w:t>供应商</w:t>
      </w:r>
      <w:r>
        <w:rPr>
          <w:rFonts w:hint="eastAsia"/>
        </w:rPr>
        <w:t>将无法参与本项目政府采购活动，</w:t>
      </w:r>
      <w:r>
        <w:rPr>
          <w:rFonts w:hint="eastAsia"/>
          <w:lang w:eastAsia="zh-CN"/>
        </w:rPr>
        <w:t>供应商</w:t>
      </w:r>
      <w:r>
        <w:rPr>
          <w:rFonts w:hint="eastAsia"/>
        </w:rPr>
        <w:t>应当在投标截止时间前，完成电子交易平台上的CA数字证书办理及投标文件的提交（</w:t>
      </w:r>
      <w:r>
        <w:rPr>
          <w:rFonts w:hint="eastAsia"/>
          <w:lang w:eastAsia="zh-CN"/>
        </w:rPr>
        <w:t>供应商</w:t>
      </w:r>
      <w:r>
        <w:rPr>
          <w:rFonts w:hint="eastAsia"/>
        </w:rPr>
        <w:t>可登录“广西政府采购网”，依次进入“办事服务-下载专区”或者登录广西政府采购云平台，依次进入“服务中心-入驻与配置”中查看CA数字证书办理操作流程。如在操作过程中遇到问题或者需要技术支持，请致电客服热线：95763）。</w:t>
      </w:r>
    </w:p>
    <w:p w14:paraId="6DD1AB5B">
      <w:pPr>
        <w:ind w:firstLine="420" w:firstLineChars="200"/>
      </w:pPr>
      <w:r>
        <w:rPr>
          <w:rFonts w:hint="eastAsia"/>
        </w:rPr>
        <w:t>（3）CA证书在线解密：</w:t>
      </w:r>
      <w:r>
        <w:rPr>
          <w:rFonts w:hint="eastAsia"/>
          <w:lang w:eastAsia="zh-CN"/>
        </w:rPr>
        <w:t>供应商</w:t>
      </w:r>
      <w:r>
        <w:rPr>
          <w:rFonts w:hint="eastAsia"/>
        </w:rPr>
        <w:t>投标时，需凭制作投标文件时用来加密的有效数字证书（CA认证）登录广西政府采购云平台电子开标大厅现场按规定时间对加密的投标文件进行解密，否则后果自负。</w:t>
      </w:r>
    </w:p>
    <w:p w14:paraId="31CADCEF">
      <w:pPr>
        <w:ind w:firstLine="420" w:firstLineChars="200"/>
      </w:pPr>
      <w:r>
        <w:rPr>
          <w:rFonts w:hint="eastAsia"/>
        </w:rPr>
        <w:t>注：1）为确保网上操作合法、有效和安全，请</w:t>
      </w:r>
      <w:r>
        <w:rPr>
          <w:rFonts w:hint="eastAsia"/>
          <w:lang w:eastAsia="zh-CN"/>
        </w:rPr>
        <w:t>供应商</w:t>
      </w:r>
      <w:r>
        <w:rPr>
          <w:rFonts w:hint="eastAsia"/>
        </w:rPr>
        <w:t>确保在电子投标过程中能够对相关数据电文进行加密和使用电子签章，妥善保管CA数字证书并使用有效的CA数字证书参与整个招标活动。2）</w:t>
      </w:r>
      <w:r>
        <w:rPr>
          <w:rFonts w:hint="eastAsia"/>
          <w:lang w:eastAsia="zh-CN"/>
        </w:rPr>
        <w:t>供应商</w:t>
      </w:r>
      <w:r>
        <w:rPr>
          <w:rFonts w:hint="eastAsia"/>
        </w:rPr>
        <w:t>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bookmarkEnd w:id="13"/>
    <w:p w14:paraId="7E8A2D20">
      <w:pPr>
        <w:ind w:firstLine="420" w:firstLineChars="200"/>
      </w:pPr>
      <w:r>
        <w:rPr>
          <w:rFonts w:hint="eastAsia"/>
        </w:rPr>
        <w:t>七、对本次招标提出询问，请按以下方式联系</w:t>
      </w:r>
    </w:p>
    <w:p w14:paraId="5ECFE1E9">
      <w:pPr>
        <w:ind w:firstLine="420" w:firstLineChars="200"/>
      </w:pPr>
      <w:r>
        <w:rPr>
          <w:rFonts w:hint="eastAsia"/>
        </w:rPr>
        <w:t>1.采购人信息</w:t>
      </w:r>
    </w:p>
    <w:p w14:paraId="3E38B5CD">
      <w:pPr>
        <w:ind w:firstLine="420" w:firstLineChars="200"/>
        <w:rPr>
          <w:rFonts w:hint="eastAsia" w:eastAsia="宋体"/>
          <w:lang w:eastAsia="zh-CN"/>
        </w:rPr>
      </w:pPr>
      <w:bookmarkStart w:id="14" w:name="_Hlk19048373"/>
      <w:r>
        <w:rPr>
          <w:rFonts w:hint="eastAsia"/>
        </w:rPr>
        <w:t>名称：</w:t>
      </w:r>
      <w:r>
        <w:rPr>
          <w:rFonts w:hint="eastAsia"/>
          <w:lang w:eastAsia="zh-CN"/>
        </w:rPr>
        <w:t>广西壮族自治区贵港监狱</w:t>
      </w:r>
    </w:p>
    <w:p w14:paraId="7E755E6D">
      <w:pPr>
        <w:ind w:firstLine="420" w:firstLineChars="200"/>
        <w:rPr>
          <w:rFonts w:hint="eastAsia" w:eastAsia="宋体"/>
          <w:lang w:eastAsia="zh-CN"/>
        </w:rPr>
      </w:pPr>
      <w:r>
        <w:rPr>
          <w:rFonts w:hint="eastAsia"/>
        </w:rPr>
        <w:t>地址：</w:t>
      </w:r>
      <w:r>
        <w:rPr>
          <w:rFonts w:hint="eastAsia"/>
          <w:lang w:eastAsia="zh-CN"/>
        </w:rPr>
        <w:t>广西壮族自治区贵港市金港大道502号新洲园</w:t>
      </w:r>
    </w:p>
    <w:p w14:paraId="317FE56E">
      <w:pPr>
        <w:ind w:firstLine="420" w:firstLineChars="200"/>
        <w:rPr>
          <w:rFonts w:hint="eastAsia" w:eastAsia="宋体"/>
          <w:highlight w:val="none"/>
          <w:lang w:eastAsia="zh-CN"/>
        </w:rPr>
      </w:pPr>
      <w:r>
        <w:rPr>
          <w:rFonts w:hint="eastAsia"/>
          <w:highlight w:val="none"/>
        </w:rPr>
        <w:t>项目联系人：</w:t>
      </w:r>
      <w:r>
        <w:rPr>
          <w:rFonts w:hint="eastAsia"/>
          <w:highlight w:val="none"/>
          <w:lang w:eastAsia="zh-CN"/>
        </w:rPr>
        <w:t>何女士</w:t>
      </w:r>
    </w:p>
    <w:p w14:paraId="1312458E">
      <w:pPr>
        <w:ind w:firstLine="420" w:firstLineChars="200"/>
        <w:rPr>
          <w:rFonts w:hint="eastAsia" w:eastAsia="宋体"/>
          <w:highlight w:val="none"/>
          <w:lang w:eastAsia="zh-CN"/>
        </w:rPr>
      </w:pPr>
      <w:r>
        <w:rPr>
          <w:rFonts w:hint="eastAsia"/>
          <w:highlight w:val="none"/>
        </w:rPr>
        <w:t>项目联系方式：</w:t>
      </w:r>
      <w:r>
        <w:rPr>
          <w:rFonts w:hint="eastAsia"/>
          <w:highlight w:val="none"/>
          <w:lang w:eastAsia="zh-CN"/>
        </w:rPr>
        <w:t>0775-4580003</w:t>
      </w:r>
    </w:p>
    <w:p w14:paraId="7904B418">
      <w:pPr>
        <w:ind w:firstLine="420" w:firstLineChars="200"/>
      </w:pPr>
      <w:r>
        <w:rPr>
          <w:rFonts w:hint="eastAsia"/>
        </w:rPr>
        <w:t>2.采购代理机构信息</w:t>
      </w:r>
    </w:p>
    <w:p w14:paraId="54E38FB1">
      <w:pPr>
        <w:ind w:firstLine="420" w:firstLineChars="200"/>
      </w:pPr>
      <w:r>
        <w:rPr>
          <w:rFonts w:hint="eastAsia"/>
        </w:rPr>
        <w:t>名 称：广西中信恒泰工程顾问有限公司</w:t>
      </w:r>
    </w:p>
    <w:p w14:paraId="26D2C3FA">
      <w:pPr>
        <w:ind w:firstLine="420" w:firstLineChars="200"/>
      </w:pPr>
      <w:r>
        <w:rPr>
          <w:rFonts w:hint="eastAsia"/>
        </w:rPr>
        <w:t>地　址：广西南宁市青秀区云景路69号南宁轨道大厦B座8楼</w:t>
      </w:r>
    </w:p>
    <w:p w14:paraId="159DF2F8">
      <w:pPr>
        <w:ind w:firstLine="420" w:firstLineChars="200"/>
        <w:rPr>
          <w:rFonts w:hint="eastAsia"/>
        </w:rPr>
      </w:pPr>
      <w:r>
        <w:rPr>
          <w:rFonts w:hint="eastAsia"/>
        </w:rPr>
        <w:t>项目联系人：宋庆平</w:t>
      </w:r>
    </w:p>
    <w:p w14:paraId="6AB4917F">
      <w:pPr>
        <w:ind w:firstLine="420" w:firstLineChars="200"/>
        <w:rPr>
          <w:rFonts w:hint="eastAsia" w:eastAsia="宋体"/>
          <w:lang w:eastAsia="zh-CN"/>
        </w:rPr>
      </w:pPr>
      <w:r>
        <w:rPr>
          <w:rFonts w:hint="eastAsia"/>
        </w:rPr>
        <w:t>联系方式：</w:t>
      </w:r>
      <w:r>
        <w:rPr>
          <w:rFonts w:hint="eastAsia"/>
          <w:lang w:eastAsia="zh-CN"/>
        </w:rPr>
        <w:t>0771-5771602</w:t>
      </w:r>
    </w:p>
    <w:p w14:paraId="368B606E">
      <w:pPr>
        <w:ind w:firstLine="420" w:firstLineChars="200"/>
      </w:pPr>
    </w:p>
    <w:p w14:paraId="09541198">
      <w:pPr>
        <w:jc w:val="right"/>
        <w:rPr>
          <w:rFonts w:hint="eastAsia" w:ascii="宋体" w:hAnsi="宋体" w:eastAsia="宋体" w:cs="宋体"/>
        </w:rPr>
      </w:pPr>
      <w:r>
        <w:rPr>
          <w:rFonts w:hint="eastAsia"/>
        </w:rPr>
        <w:t xml:space="preserve">  </w:t>
      </w:r>
      <w:r>
        <w:rPr>
          <w:rFonts w:hint="eastAsia" w:ascii="宋体" w:hAnsi="宋体" w:eastAsia="宋体" w:cs="宋体"/>
        </w:rPr>
        <w:t>广西中信恒泰工程顾问有限公司</w:t>
      </w:r>
    </w:p>
    <w:p w14:paraId="49D4529F">
      <w:pPr>
        <w:pStyle w:val="51"/>
        <w:jc w:val="right"/>
        <w:rPr>
          <w:rFonts w:hint="eastAsia" w:ascii="宋体" w:hAnsi="宋体" w:eastAsia="宋体" w:cs="宋体"/>
          <w:lang w:val="en-US" w:eastAsia="zh-CN"/>
        </w:rPr>
      </w:pPr>
      <w:r>
        <w:rPr>
          <w:rFonts w:hint="eastAsia" w:ascii="宋体" w:hAnsi="宋体" w:eastAsia="宋体" w:cs="宋体"/>
          <w:lang w:val="en-US" w:eastAsia="zh-CN"/>
        </w:rPr>
        <w:t>2026年</w:t>
      </w:r>
      <w:r>
        <w:rPr>
          <w:rFonts w:hint="eastAsia" w:ascii="宋体" w:cs="宋体"/>
          <w:lang w:val="en-US" w:eastAsia="zh-CN"/>
        </w:rPr>
        <w:t>6</w:t>
      </w:r>
      <w:r>
        <w:rPr>
          <w:rFonts w:hint="eastAsia" w:ascii="宋体" w:hAnsi="宋体" w:eastAsia="宋体" w:cs="宋体"/>
          <w:lang w:val="en-US" w:eastAsia="zh-CN"/>
        </w:rPr>
        <w:t>月</w:t>
      </w:r>
      <w:r>
        <w:rPr>
          <w:rFonts w:hint="eastAsia" w:ascii="宋体" w:cs="宋体"/>
          <w:lang w:val="en-US" w:eastAsia="zh-CN"/>
        </w:rPr>
        <w:t>12</w:t>
      </w:r>
      <w:r>
        <w:rPr>
          <w:rFonts w:hint="eastAsia" w:ascii="宋体" w:hAnsi="宋体" w:eastAsia="宋体" w:cs="宋体"/>
          <w:lang w:val="en-US" w:eastAsia="zh-CN"/>
        </w:rPr>
        <w:t>日</w:t>
      </w:r>
    </w:p>
    <w:bookmarkEnd w:id="14"/>
    <w:p w14:paraId="34AEF86B"/>
    <w:bookmarkEnd w:id="7"/>
    <w:bookmarkEnd w:id="8"/>
    <w:p w14:paraId="3E100FA8">
      <w:r>
        <w:br w:type="page"/>
      </w:r>
    </w:p>
    <w:p w14:paraId="152C95F3">
      <w:pPr>
        <w:pStyle w:val="27"/>
        <w:snapToGrid w:val="0"/>
        <w:spacing w:before="120" w:after="120"/>
        <w:jc w:val="center"/>
        <w:outlineLvl w:val="0"/>
        <w:rPr>
          <w:rFonts w:ascii="Times New Roman" w:hAnsi="Times New Roman" w:cs="Times New Roman"/>
          <w:b/>
          <w:bCs/>
          <w:sz w:val="32"/>
          <w:szCs w:val="32"/>
        </w:rPr>
      </w:pPr>
      <w:bookmarkStart w:id="15" w:name="_Toc20092"/>
      <w:r>
        <w:rPr>
          <w:rFonts w:hint="eastAsia" w:ascii="Times New Roman" w:hAnsi="Times New Roman" w:cs="Times New Roman"/>
          <w:b/>
          <w:bCs/>
          <w:sz w:val="32"/>
          <w:szCs w:val="32"/>
        </w:rPr>
        <w:t>第二章  采购需求</w:t>
      </w:r>
      <w:bookmarkEnd w:id="15"/>
    </w:p>
    <w:p w14:paraId="581A74CD">
      <w:bookmarkStart w:id="16" w:name="_Hlk77608362"/>
    </w:p>
    <w:p w14:paraId="06450069">
      <w:pPr>
        <w:ind w:firstLine="420" w:firstLineChars="200"/>
      </w:pPr>
      <w:bookmarkStart w:id="17" w:name="_Toc254970631"/>
      <w:bookmarkStart w:id="18" w:name="_Toc254970490"/>
      <w:r>
        <w:rPr>
          <w:rFonts w:hint="eastAsia"/>
        </w:rPr>
        <w:t>说明：</w:t>
      </w:r>
    </w:p>
    <w:p w14:paraId="12C57202">
      <w:pPr>
        <w:ind w:firstLine="420" w:firstLineChars="200"/>
      </w:pPr>
      <w:r>
        <w:rPr>
          <w:rFonts w:hint="eastAsia"/>
        </w:rPr>
        <w:t>1.本招标文件所称中小企业必须符合《政府采购促进中小企业发展管理办法》第二条规定。</w:t>
      </w:r>
    </w:p>
    <w:p w14:paraId="4D6D3444">
      <w:pPr>
        <w:ind w:firstLine="420" w:firstLineChars="200"/>
      </w:pPr>
      <w:r>
        <w:rPr>
          <w:rFonts w:hint="eastAsia"/>
        </w:rPr>
        <w:t>按照《财政部、司法部关于政府采购支持监狱企业发展有关问题的通知》（财库〔2014〕68号）之规定，监狱企业视同小型、微型企业。</w:t>
      </w:r>
    </w:p>
    <w:p w14:paraId="0D52F4E1">
      <w:pPr>
        <w:ind w:firstLine="420" w:firstLineChars="200"/>
      </w:pPr>
      <w:r>
        <w:rPr>
          <w:rFonts w:hint="eastAsia"/>
        </w:rPr>
        <w:t>按照财库〔2017〕141号三部门联合发布关于促进残疾人就业政府采购政策的通知，残疾人福利性单位，视同小型、微型企业。</w:t>
      </w:r>
    </w:p>
    <w:p w14:paraId="22833255">
      <w:pPr>
        <w:ind w:firstLine="420" w:firstLineChars="200"/>
      </w:pPr>
      <w:r>
        <w:rPr>
          <w:rFonts w:hint="eastAsia"/>
        </w:rPr>
        <w:t>2.小型和微型企业产品的价格给予比例扣除，用扣除后的价格参与评审，具体扣除比例请以第四章《评标办法及评标标准》的规定为准。</w:t>
      </w:r>
    </w:p>
    <w:p w14:paraId="54B5CE3A">
      <w:pPr>
        <w:ind w:firstLine="420" w:firstLineChars="200"/>
      </w:pPr>
      <w:r>
        <w:rPr>
          <w:rFonts w:hint="eastAsia"/>
        </w:rPr>
        <w:t>3.小型、微型企业提供中型企业制造的货物的，视同为中型企业。</w:t>
      </w:r>
    </w:p>
    <w:p w14:paraId="4B589EB2">
      <w:pPr>
        <w:ind w:firstLine="420" w:firstLineChars="200"/>
      </w:pPr>
      <w:r>
        <w:rPr>
          <w:rFonts w:hint="eastAsia"/>
        </w:rPr>
        <w:t>4.小型、微型企业提供大型企业制造的货物的，视同为大型企业。</w:t>
      </w:r>
    </w:p>
    <w:bookmarkEnd w:id="17"/>
    <w:bookmarkEnd w:id="18"/>
    <w:p w14:paraId="2F12ED4D">
      <w:pPr>
        <w:ind w:firstLine="420" w:firstLineChars="200"/>
        <w:rPr>
          <w:b/>
          <w:u w:val="single"/>
        </w:rPr>
      </w:pPr>
      <w:r>
        <w:rPr>
          <w:rFonts w:hint="eastAsia"/>
        </w:rPr>
        <w:t>5.“项目要求及技术需求”及“商务条款”中“实质性要求”是指带“▲”的项目条款或者不能负偏离的项目条款或已经指明不满足按投标文件作无效处理的项目条款。</w:t>
      </w:r>
    </w:p>
    <w:p w14:paraId="1D3FC7FE">
      <w:pPr>
        <w:ind w:firstLine="420" w:firstLineChars="200"/>
      </w:pPr>
      <w:r>
        <w:rPr>
          <w:rFonts w:hint="eastAsia"/>
        </w:rPr>
        <w:t>6.</w:t>
      </w:r>
      <w:r>
        <w:rPr>
          <w:rFonts w:hint="eastAsia"/>
          <w:lang w:eastAsia="zh-CN"/>
        </w:rPr>
        <w:t>供应商</w:t>
      </w:r>
      <w:r>
        <w:rPr>
          <w:rFonts w:hint="eastAsia"/>
        </w:rPr>
        <w:t>必须自行为其投标产品侵犯其他</w:t>
      </w:r>
      <w:r>
        <w:rPr>
          <w:rFonts w:hint="eastAsia"/>
          <w:lang w:eastAsia="zh-CN"/>
        </w:rPr>
        <w:t>供应商</w:t>
      </w:r>
      <w:r>
        <w:rPr>
          <w:rFonts w:hint="eastAsia"/>
        </w:rPr>
        <w:t>或专利人的专利成果承担相应法律责任；同时，具有产品专利的</w:t>
      </w:r>
      <w:r>
        <w:rPr>
          <w:rFonts w:hint="eastAsia"/>
          <w:lang w:eastAsia="zh-CN"/>
        </w:rPr>
        <w:t>供应商</w:t>
      </w:r>
      <w:r>
        <w:rPr>
          <w:rFonts w:hint="eastAsia"/>
        </w:rPr>
        <w:t>应在其投标文件中提供与其自有产品专利相关的有效证明材料，否则，不能就其产品的专利在本项目投标过程中被侵权问题提出异议。</w:t>
      </w:r>
    </w:p>
    <w:p w14:paraId="717AEA17">
      <w:pPr>
        <w:ind w:firstLine="420" w:firstLineChars="200"/>
      </w:pPr>
      <w:r>
        <w:rPr>
          <w:rFonts w:hint="eastAsia"/>
        </w:rPr>
        <w:t>7.招标文件中所要求提供的证明材料，如为英文文本的请同时提供中文译本。</w:t>
      </w:r>
    </w:p>
    <w:p w14:paraId="51633F1D">
      <w:pPr>
        <w:ind w:firstLine="420" w:firstLineChars="200"/>
      </w:pPr>
      <w:r>
        <w:rPr>
          <w:rFonts w:hint="eastAsia"/>
        </w:rPr>
        <w:t>8.项目采购需求具有国家或其他强制性标准、规范等要求的，投标文件中必须提供相关强制性认证资料，否则投标无效。</w:t>
      </w:r>
    </w:p>
    <w:p w14:paraId="0703A639">
      <w:pPr>
        <w:ind w:firstLine="420" w:firstLineChars="200"/>
      </w:pPr>
      <w:r>
        <w:rPr>
          <w:rFonts w:hint="eastAsia"/>
        </w:rPr>
        <w:t>9.本采购需求中技术要求所使用的标准或应用标准如与投标</w:t>
      </w:r>
      <w:r>
        <w:rPr>
          <w:rFonts w:hint="eastAsia"/>
          <w:lang w:val="en-US" w:eastAsia="zh-CN"/>
        </w:rPr>
        <w:t>时</w:t>
      </w:r>
      <w:r>
        <w:rPr>
          <w:rFonts w:hint="eastAsia"/>
        </w:rPr>
        <w:t>所执行的标准不一致时，按最新标准或较高标准执行。</w:t>
      </w:r>
    </w:p>
    <w:p w14:paraId="48F4724C">
      <w:pPr>
        <w:ind w:firstLine="420" w:firstLineChars="200"/>
      </w:pPr>
      <w:r>
        <w:rPr>
          <w:rFonts w:hint="eastAsia"/>
        </w:rPr>
        <w:t>1</w:t>
      </w:r>
      <w:r>
        <w:rPr>
          <w:rFonts w:hint="eastAsia"/>
          <w:lang w:val="en-US" w:eastAsia="zh-CN"/>
        </w:rPr>
        <w:t>0</w:t>
      </w:r>
      <w:r>
        <w:rPr>
          <w:rFonts w:hint="eastAsia"/>
        </w:rPr>
        <w:t>.</w:t>
      </w:r>
      <w:r>
        <w:rPr>
          <w:rFonts w:hint="eastAsia"/>
          <w:lang w:val="en-US" w:eastAsia="zh-CN"/>
        </w:rPr>
        <w:t>本项目（分标</w:t>
      </w:r>
      <w:r>
        <w:rPr>
          <w:rFonts w:hint="eastAsia"/>
        </w:rPr>
        <w:t>1、2、3、4、5</w:t>
      </w:r>
      <w:r>
        <w:rPr>
          <w:rFonts w:hint="eastAsia"/>
          <w:lang w:val="en-US" w:eastAsia="zh-CN"/>
        </w:rPr>
        <w:t>）</w:t>
      </w:r>
      <w:r>
        <w:rPr>
          <w:rFonts w:hint="eastAsia"/>
        </w:rPr>
        <w:t>中小企业划分标准所属行业为：批发业；</w:t>
      </w:r>
    </w:p>
    <w:p w14:paraId="4A4D75C8">
      <w:r>
        <w:rPr>
          <w:rFonts w:hint="eastAsia"/>
        </w:rPr>
        <w:br w:type="page"/>
      </w:r>
    </w:p>
    <w:p w14:paraId="7AE69314">
      <w:pPr>
        <w:outlineLvl w:val="1"/>
        <w:rPr>
          <w:b/>
          <w:bCs/>
        </w:rPr>
      </w:pPr>
      <w:r>
        <w:rPr>
          <w:rFonts w:hint="eastAsia"/>
          <w:b/>
          <w:bCs/>
          <w:u w:val="none"/>
          <w:lang w:val="en-US" w:eastAsia="zh-CN"/>
        </w:rPr>
        <w:t>分标1</w:t>
      </w:r>
      <w:r>
        <w:rPr>
          <w:rFonts w:hint="eastAsia"/>
          <w:b/>
          <w:bCs/>
        </w:rPr>
        <w:t>：</w:t>
      </w:r>
      <w:r>
        <w:rPr>
          <w:rFonts w:hint="eastAsia"/>
          <w:b/>
          <w:bCs/>
          <w:lang w:eastAsia="zh-CN"/>
        </w:rPr>
        <w:t>猪肉类等其他肉类</w:t>
      </w:r>
      <w:r>
        <w:rPr>
          <w:rFonts w:hint="eastAsia"/>
          <w:b/>
          <w:bCs/>
        </w:rPr>
        <w:t>，预算金额：</w:t>
      </w:r>
      <w:r>
        <w:rPr>
          <w:rFonts w:hint="eastAsia"/>
          <w:b/>
          <w:bCs/>
          <w:lang w:eastAsia="zh-CN"/>
        </w:rPr>
        <w:t>1850000.00</w:t>
      </w:r>
      <w:r>
        <w:rPr>
          <w:rFonts w:hint="eastAsia"/>
          <w:b/>
          <w:bCs/>
        </w:rPr>
        <w:t>元</w:t>
      </w:r>
    </w:p>
    <w:tbl>
      <w:tblPr>
        <w:tblStyle w:val="5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7"/>
        <w:gridCol w:w="1314"/>
        <w:gridCol w:w="882"/>
        <w:gridCol w:w="1582"/>
        <w:gridCol w:w="997"/>
        <w:gridCol w:w="4003"/>
      </w:tblGrid>
      <w:tr w14:paraId="54416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5000" w:type="pct"/>
            <w:gridSpan w:val="6"/>
            <w:tcBorders>
              <w:tl2br w:val="nil"/>
              <w:tr2bl w:val="nil"/>
            </w:tcBorders>
            <w:shd w:val="clear" w:color="auto" w:fill="auto"/>
            <w:vAlign w:val="center"/>
          </w:tcPr>
          <w:p w14:paraId="76235EE6">
            <w:r>
              <w:rPr>
                <w:rFonts w:hint="eastAsia"/>
              </w:rPr>
              <w:t>一、项目要求及技术需求</w:t>
            </w:r>
          </w:p>
        </w:tc>
      </w:tr>
      <w:tr w14:paraId="3CAF0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375" w:type="pct"/>
            <w:tcBorders>
              <w:tl2br w:val="nil"/>
              <w:tr2bl w:val="nil"/>
            </w:tcBorders>
            <w:shd w:val="clear" w:color="auto" w:fill="auto"/>
            <w:vAlign w:val="center"/>
          </w:tcPr>
          <w:p w14:paraId="20FCB9F3">
            <w:pPr>
              <w:jc w:val="center"/>
              <w:rPr>
                <w:lang w:bidi="ar"/>
              </w:rPr>
            </w:pPr>
            <w:r>
              <w:rPr>
                <w:rFonts w:hint="eastAsia"/>
                <w:lang w:bidi="ar"/>
              </w:rPr>
              <w:t>序号</w:t>
            </w:r>
          </w:p>
        </w:tc>
        <w:tc>
          <w:tcPr>
            <w:tcW w:w="889" w:type="pct"/>
            <w:gridSpan w:val="2"/>
            <w:tcBorders>
              <w:tl2br w:val="nil"/>
              <w:tr2bl w:val="nil"/>
            </w:tcBorders>
            <w:shd w:val="clear" w:color="auto" w:fill="auto"/>
            <w:vAlign w:val="center"/>
          </w:tcPr>
          <w:p w14:paraId="5D759BCE">
            <w:pPr>
              <w:jc w:val="center"/>
              <w:rPr>
                <w:rFonts w:hint="eastAsia" w:eastAsia="宋体"/>
                <w:lang w:eastAsia="zh-CN"/>
              </w:rPr>
            </w:pPr>
            <w:r>
              <w:rPr>
                <w:rFonts w:hint="eastAsia"/>
                <w:lang w:eastAsia="zh-CN"/>
              </w:rPr>
              <w:t>货物名称</w:t>
            </w:r>
          </w:p>
        </w:tc>
        <w:tc>
          <w:tcPr>
            <w:tcW w:w="918" w:type="pct"/>
            <w:tcBorders>
              <w:tl2br w:val="nil"/>
              <w:tr2bl w:val="nil"/>
            </w:tcBorders>
            <w:shd w:val="clear" w:color="auto" w:fill="auto"/>
            <w:vAlign w:val="center"/>
          </w:tcPr>
          <w:p w14:paraId="517B78FA">
            <w:pPr>
              <w:jc w:val="center"/>
              <w:rPr>
                <w:lang w:bidi="ar"/>
              </w:rPr>
            </w:pPr>
            <w:r>
              <w:rPr>
                <w:rFonts w:hint="eastAsia"/>
                <w:lang w:val="en-US" w:eastAsia="zh-CN" w:bidi="ar"/>
              </w:rPr>
              <w:t>计划采购数量</w:t>
            </w:r>
          </w:p>
        </w:tc>
        <w:tc>
          <w:tcPr>
            <w:tcW w:w="605" w:type="pct"/>
            <w:tcBorders>
              <w:tl2br w:val="nil"/>
              <w:tr2bl w:val="nil"/>
            </w:tcBorders>
            <w:shd w:val="clear" w:color="auto" w:fill="auto"/>
            <w:vAlign w:val="center"/>
          </w:tcPr>
          <w:p w14:paraId="0A1180F0">
            <w:pPr>
              <w:jc w:val="center"/>
            </w:pPr>
            <w:r>
              <w:rPr>
                <w:rFonts w:hint="eastAsia"/>
                <w:lang w:bidi="ar"/>
              </w:rPr>
              <w:t>单位</w:t>
            </w:r>
          </w:p>
        </w:tc>
        <w:tc>
          <w:tcPr>
            <w:tcW w:w="2209" w:type="pct"/>
            <w:tcBorders>
              <w:tl2br w:val="nil"/>
              <w:tr2bl w:val="nil"/>
            </w:tcBorders>
            <w:shd w:val="clear" w:color="auto" w:fill="auto"/>
            <w:vAlign w:val="center"/>
          </w:tcPr>
          <w:p w14:paraId="16CD6169">
            <w:pPr>
              <w:jc w:val="center"/>
            </w:pPr>
            <w:r>
              <w:rPr>
                <w:rFonts w:hint="eastAsia"/>
              </w:rPr>
              <w:t>技术参数及质量（配置）要求</w:t>
            </w:r>
          </w:p>
        </w:tc>
      </w:tr>
      <w:tr w14:paraId="29CE1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75" w:type="pct"/>
            <w:tcBorders>
              <w:tl2br w:val="nil"/>
              <w:tr2bl w:val="nil"/>
            </w:tcBorders>
            <w:shd w:val="clear" w:color="auto" w:fill="auto"/>
            <w:vAlign w:val="center"/>
          </w:tcPr>
          <w:p w14:paraId="459AC2B7">
            <w:pPr>
              <w:jc w:val="center"/>
            </w:pPr>
            <w:r>
              <w:rPr>
                <w:rFonts w:hint="eastAsia"/>
                <w:lang w:bidi="ar"/>
              </w:rPr>
              <w:t>1</w:t>
            </w:r>
          </w:p>
        </w:tc>
        <w:tc>
          <w:tcPr>
            <w:tcW w:w="889" w:type="pct"/>
            <w:gridSpan w:val="2"/>
            <w:tcBorders>
              <w:tl2br w:val="nil"/>
              <w:tr2bl w:val="nil"/>
            </w:tcBorders>
            <w:shd w:val="clear" w:color="auto" w:fill="auto"/>
            <w:noWrap/>
            <w:vAlign w:val="center"/>
          </w:tcPr>
          <w:p w14:paraId="427DFDB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边猪肉</w:t>
            </w:r>
            <w:r>
              <w:rPr>
                <w:rFonts w:hint="eastAsia" w:cs="宋体"/>
                <w:i w:val="0"/>
                <w:iCs w:val="0"/>
                <w:color w:val="000000"/>
                <w:kern w:val="0"/>
                <w:sz w:val="22"/>
                <w:szCs w:val="22"/>
                <w:u w:val="none"/>
                <w:lang w:val="en-US" w:eastAsia="zh-CN" w:bidi="ar"/>
              </w:rPr>
              <w:t>（不带骨头）</w:t>
            </w:r>
          </w:p>
        </w:tc>
        <w:tc>
          <w:tcPr>
            <w:tcW w:w="918" w:type="pct"/>
            <w:tcBorders>
              <w:tl2br w:val="nil"/>
              <w:tr2bl w:val="nil"/>
            </w:tcBorders>
            <w:shd w:val="clear" w:color="auto" w:fill="auto"/>
            <w:vAlign w:val="center"/>
          </w:tcPr>
          <w:p w14:paraId="35217F7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60000</w:t>
            </w:r>
          </w:p>
        </w:tc>
        <w:tc>
          <w:tcPr>
            <w:tcW w:w="605" w:type="pct"/>
            <w:tcBorders>
              <w:tl2br w:val="nil"/>
              <w:tr2bl w:val="nil"/>
            </w:tcBorders>
            <w:shd w:val="clear" w:color="auto" w:fill="auto"/>
            <w:noWrap/>
            <w:vAlign w:val="center"/>
          </w:tcPr>
          <w:p w14:paraId="0E134D97">
            <w:pPr>
              <w:jc w:val="center"/>
            </w:pPr>
            <w:r>
              <w:rPr>
                <w:rFonts w:hint="eastAsia"/>
                <w:lang w:bidi="ar"/>
              </w:rPr>
              <w:t>公斤</w:t>
            </w:r>
          </w:p>
        </w:tc>
        <w:tc>
          <w:tcPr>
            <w:tcW w:w="2209" w:type="pct"/>
            <w:vMerge w:val="restart"/>
            <w:tcBorders>
              <w:tl2br w:val="nil"/>
              <w:tr2bl w:val="nil"/>
            </w:tcBorders>
            <w:shd w:val="clear" w:color="auto" w:fill="auto"/>
            <w:vAlign w:val="center"/>
          </w:tcPr>
          <w:p w14:paraId="126F2BB2">
            <w:pPr>
              <w:rPr>
                <w:rFonts w:hint="default" w:eastAsia="宋体"/>
                <w:b w:val="0"/>
                <w:bCs w:val="0"/>
                <w:lang w:val="en-US" w:eastAsia="zh-CN" w:bidi="ar"/>
              </w:rPr>
            </w:pPr>
            <w:r>
              <w:rPr>
                <w:rFonts w:hint="eastAsia"/>
                <w:b w:val="0"/>
                <w:bCs w:val="0"/>
                <w:lang w:bidi="ar"/>
              </w:rPr>
              <w:t>▲</w:t>
            </w:r>
            <w:r>
              <w:rPr>
                <w:rFonts w:hint="eastAsia"/>
                <w:b w:val="0"/>
                <w:bCs w:val="0"/>
                <w:lang w:val="en-US" w:eastAsia="zh-CN" w:bidi="ar"/>
              </w:rPr>
              <w:t>1.所有肉类均为当日宰杀，不得提供冻品。</w:t>
            </w:r>
          </w:p>
          <w:p w14:paraId="14054C4C">
            <w:pPr>
              <w:rPr>
                <w:rFonts w:hint="eastAsia"/>
                <w:b w:val="0"/>
                <w:bCs w:val="0"/>
                <w:lang w:val="en-US" w:eastAsia="zh-CN" w:bidi="ar"/>
              </w:rPr>
            </w:pPr>
            <w:r>
              <w:rPr>
                <w:rFonts w:hint="eastAsia"/>
                <w:b w:val="0"/>
                <w:bCs w:val="0"/>
                <w:lang w:bidi="ar"/>
              </w:rPr>
              <w:t>▲</w:t>
            </w:r>
            <w:r>
              <w:rPr>
                <w:rFonts w:hint="eastAsia"/>
                <w:b w:val="0"/>
                <w:bCs w:val="0"/>
                <w:lang w:val="en-US" w:eastAsia="zh-CN" w:bidi="ar"/>
              </w:rPr>
              <w:t>2.供货前须进行预加工处理再运送：</w:t>
            </w:r>
          </w:p>
          <w:p w14:paraId="481EF1D8">
            <w:pPr>
              <w:rPr>
                <w:rFonts w:hint="eastAsia"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猪脚</w:t>
            </w:r>
            <w:r>
              <w:rPr>
                <w:rFonts w:hint="eastAsia" w:cs="宋体"/>
                <w:i w:val="0"/>
                <w:iCs w:val="0"/>
                <w:color w:val="000000"/>
                <w:kern w:val="0"/>
                <w:sz w:val="22"/>
                <w:szCs w:val="22"/>
                <w:u w:val="none"/>
                <w:lang w:val="en-US" w:eastAsia="zh-CN" w:bidi="ar"/>
              </w:rPr>
              <w:t>需要燎毛/喷枪烧净表皮细毛、老皮，并经刀刮清洗；</w:t>
            </w:r>
          </w:p>
          <w:p w14:paraId="33DF0AC5">
            <w:pPr>
              <w:rPr>
                <w:rFonts w:hint="eastAsia"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排骨</w:t>
            </w:r>
            <w:r>
              <w:rPr>
                <w:rFonts w:hint="eastAsia" w:cs="宋体"/>
                <w:i w:val="0"/>
                <w:iCs w:val="0"/>
                <w:color w:val="000000"/>
                <w:kern w:val="0"/>
                <w:sz w:val="22"/>
                <w:szCs w:val="22"/>
                <w:u w:val="none"/>
                <w:lang w:val="en-US" w:eastAsia="zh-CN" w:bidi="ar"/>
              </w:rPr>
              <w:t>需要剔除多余肥油、淋巴、碎软骨、杂质；</w:t>
            </w:r>
          </w:p>
          <w:p w14:paraId="7865AE68">
            <w:pPr>
              <w:rPr>
                <w:rFonts w:hint="default" w:eastAsia="宋体"/>
                <w:b w:val="0"/>
                <w:bCs w:val="0"/>
                <w:lang w:val="en-US" w:eastAsia="zh-CN" w:bidi="ar"/>
              </w:rPr>
            </w:pPr>
            <w:r>
              <w:rPr>
                <w:rFonts w:hint="eastAsia"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羊肉</w:t>
            </w:r>
            <w:r>
              <w:rPr>
                <w:rFonts w:hint="eastAsia" w:cs="宋体"/>
                <w:i w:val="0"/>
                <w:iCs w:val="0"/>
                <w:color w:val="000000"/>
                <w:kern w:val="0"/>
                <w:sz w:val="22"/>
                <w:szCs w:val="22"/>
                <w:u w:val="none"/>
                <w:lang w:val="en-US" w:eastAsia="zh-CN" w:bidi="ar"/>
              </w:rPr>
              <w:t>需要剔除多余羊皮、淋巴、筋膜、淤血块，切除肥油结块、腰臊、膻味重部位；</w:t>
            </w:r>
          </w:p>
          <w:p w14:paraId="3A427925">
            <w:pPr>
              <w:rPr>
                <w:rFonts w:hint="eastAsia"/>
                <w:b w:val="0"/>
                <w:bCs w:val="0"/>
                <w:lang w:val="en-US" w:eastAsia="zh-CN"/>
              </w:rPr>
            </w:pPr>
            <w:r>
              <w:rPr>
                <w:rFonts w:hint="eastAsia"/>
                <w:b w:val="0"/>
                <w:bCs w:val="0"/>
                <w:lang w:bidi="ar"/>
              </w:rPr>
              <w:t>▲</w:t>
            </w:r>
            <w:r>
              <w:rPr>
                <w:rFonts w:hint="eastAsia"/>
                <w:b w:val="0"/>
                <w:bCs w:val="0"/>
                <w:lang w:val="en-US" w:eastAsia="zh-CN"/>
              </w:rPr>
              <w:t>3.符合《中华人民共和国食品安全法》、《中华人民共和国农产品质量安全法》等食品卫生生产标准和食品卫生安全相关要求。</w:t>
            </w:r>
          </w:p>
          <w:p w14:paraId="7FE4E946">
            <w:pPr>
              <w:rPr>
                <w:rFonts w:hint="eastAsia" w:eastAsia="宋体"/>
                <w:lang w:val="en-US" w:eastAsia="zh-CN"/>
              </w:rPr>
            </w:pPr>
            <w:r>
              <w:rPr>
                <w:rFonts w:hint="eastAsia"/>
                <w:b w:val="0"/>
                <w:bCs w:val="0"/>
                <w:sz w:val="21"/>
                <w:szCs w:val="21"/>
                <w:lang w:bidi="ar"/>
              </w:rPr>
              <w:t>▲</w:t>
            </w:r>
            <w:r>
              <w:rPr>
                <w:rFonts w:hint="eastAsia"/>
                <w:b w:val="0"/>
                <w:bCs w:val="0"/>
                <w:sz w:val="21"/>
                <w:szCs w:val="21"/>
                <w:lang w:val="en-US" w:eastAsia="zh-CN"/>
              </w:rPr>
              <w:t>4.供货时提供</w:t>
            </w:r>
            <w:r>
              <w:rPr>
                <w:rFonts w:hint="eastAsia" w:ascii="宋体" w:hAnsi="宋体" w:cs="宋体"/>
                <w:b w:val="0"/>
                <w:bCs w:val="0"/>
                <w:kern w:val="0"/>
                <w:sz w:val="21"/>
                <w:szCs w:val="21"/>
              </w:rPr>
              <w:t>检疫证明</w:t>
            </w:r>
            <w:r>
              <w:rPr>
                <w:rFonts w:hint="eastAsia" w:ascii="宋体" w:hAnsi="宋体" w:cs="宋体"/>
                <w:b w:val="0"/>
                <w:bCs w:val="0"/>
                <w:kern w:val="0"/>
                <w:sz w:val="21"/>
                <w:szCs w:val="21"/>
                <w:lang w:eastAsia="zh-CN"/>
              </w:rPr>
              <w:t>。</w:t>
            </w:r>
          </w:p>
        </w:tc>
      </w:tr>
      <w:tr w14:paraId="0C195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75" w:type="pct"/>
            <w:tcBorders>
              <w:tl2br w:val="nil"/>
              <w:tr2bl w:val="nil"/>
            </w:tcBorders>
            <w:shd w:val="clear" w:color="auto" w:fill="auto"/>
            <w:vAlign w:val="center"/>
          </w:tcPr>
          <w:p w14:paraId="1E624C7E">
            <w:pPr>
              <w:jc w:val="center"/>
            </w:pPr>
            <w:r>
              <w:rPr>
                <w:rFonts w:hint="eastAsia"/>
                <w:lang w:bidi="ar"/>
              </w:rPr>
              <w:t>2</w:t>
            </w:r>
          </w:p>
        </w:tc>
        <w:tc>
          <w:tcPr>
            <w:tcW w:w="889" w:type="pct"/>
            <w:gridSpan w:val="2"/>
            <w:tcBorders>
              <w:tl2br w:val="nil"/>
              <w:tr2bl w:val="nil"/>
            </w:tcBorders>
            <w:shd w:val="clear" w:color="auto" w:fill="auto"/>
            <w:noWrap/>
            <w:vAlign w:val="center"/>
          </w:tcPr>
          <w:p w14:paraId="3F94A85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五花肉</w:t>
            </w:r>
          </w:p>
        </w:tc>
        <w:tc>
          <w:tcPr>
            <w:tcW w:w="918" w:type="pct"/>
            <w:tcBorders>
              <w:tl2br w:val="nil"/>
              <w:tr2bl w:val="nil"/>
            </w:tcBorders>
            <w:shd w:val="clear" w:color="auto" w:fill="auto"/>
            <w:vAlign w:val="center"/>
          </w:tcPr>
          <w:p w14:paraId="6F06592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2000</w:t>
            </w:r>
          </w:p>
        </w:tc>
        <w:tc>
          <w:tcPr>
            <w:tcW w:w="605" w:type="pct"/>
            <w:tcBorders>
              <w:tl2br w:val="nil"/>
              <w:tr2bl w:val="nil"/>
            </w:tcBorders>
            <w:shd w:val="clear" w:color="auto" w:fill="auto"/>
            <w:noWrap/>
            <w:vAlign w:val="center"/>
          </w:tcPr>
          <w:p w14:paraId="28164946">
            <w:pPr>
              <w:jc w:val="center"/>
            </w:pPr>
            <w:r>
              <w:rPr>
                <w:rFonts w:hint="eastAsia"/>
                <w:lang w:bidi="ar"/>
              </w:rPr>
              <w:t>公斤</w:t>
            </w:r>
          </w:p>
        </w:tc>
        <w:tc>
          <w:tcPr>
            <w:tcW w:w="2209" w:type="pct"/>
            <w:vMerge w:val="continue"/>
            <w:tcBorders>
              <w:tl2br w:val="nil"/>
              <w:tr2bl w:val="nil"/>
            </w:tcBorders>
            <w:shd w:val="clear" w:color="auto" w:fill="auto"/>
            <w:vAlign w:val="center"/>
          </w:tcPr>
          <w:p w14:paraId="31B24530"/>
        </w:tc>
      </w:tr>
      <w:tr w14:paraId="112DE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75" w:type="pct"/>
            <w:tcBorders>
              <w:tl2br w:val="nil"/>
              <w:tr2bl w:val="nil"/>
            </w:tcBorders>
            <w:shd w:val="clear" w:color="auto" w:fill="auto"/>
            <w:vAlign w:val="center"/>
          </w:tcPr>
          <w:p w14:paraId="504FD9B0">
            <w:pPr>
              <w:jc w:val="center"/>
            </w:pPr>
            <w:r>
              <w:rPr>
                <w:rFonts w:hint="eastAsia"/>
                <w:lang w:bidi="ar"/>
              </w:rPr>
              <w:t>3</w:t>
            </w:r>
          </w:p>
        </w:tc>
        <w:tc>
          <w:tcPr>
            <w:tcW w:w="889" w:type="pct"/>
            <w:gridSpan w:val="2"/>
            <w:tcBorders>
              <w:tl2br w:val="nil"/>
              <w:tr2bl w:val="nil"/>
            </w:tcBorders>
            <w:shd w:val="clear" w:color="auto" w:fill="auto"/>
            <w:noWrap/>
            <w:vAlign w:val="center"/>
          </w:tcPr>
          <w:p w14:paraId="1EC97CA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鲜猪血</w:t>
            </w:r>
          </w:p>
        </w:tc>
        <w:tc>
          <w:tcPr>
            <w:tcW w:w="918" w:type="pct"/>
            <w:tcBorders>
              <w:tl2br w:val="nil"/>
              <w:tr2bl w:val="nil"/>
            </w:tcBorders>
            <w:shd w:val="clear" w:color="auto" w:fill="auto"/>
            <w:vAlign w:val="center"/>
          </w:tcPr>
          <w:p w14:paraId="5C845613">
            <w:pPr>
              <w:keepNext w:val="0"/>
              <w:keepLines w:val="0"/>
              <w:widowControl/>
              <w:suppressLineNumbers w:val="0"/>
              <w:jc w:val="center"/>
              <w:textAlignment w:val="center"/>
              <w:rPr>
                <w:rFonts w:hint="default"/>
                <w:lang w:val="en-US"/>
              </w:rPr>
            </w:pPr>
            <w:r>
              <w:rPr>
                <w:rFonts w:hint="eastAsia" w:cs="宋体"/>
                <w:i w:val="0"/>
                <w:iCs w:val="0"/>
                <w:color w:val="000000"/>
                <w:kern w:val="0"/>
                <w:sz w:val="20"/>
                <w:szCs w:val="20"/>
                <w:u w:val="none"/>
                <w:lang w:val="en-US" w:eastAsia="zh-CN" w:bidi="ar"/>
              </w:rPr>
              <w:t>1005</w:t>
            </w:r>
          </w:p>
        </w:tc>
        <w:tc>
          <w:tcPr>
            <w:tcW w:w="605" w:type="pct"/>
            <w:tcBorders>
              <w:tl2br w:val="nil"/>
              <w:tr2bl w:val="nil"/>
            </w:tcBorders>
            <w:shd w:val="clear" w:color="auto" w:fill="auto"/>
            <w:noWrap/>
            <w:vAlign w:val="center"/>
          </w:tcPr>
          <w:p w14:paraId="48AF757F">
            <w:pPr>
              <w:jc w:val="center"/>
            </w:pPr>
            <w:r>
              <w:rPr>
                <w:rFonts w:hint="eastAsia"/>
                <w:lang w:bidi="ar"/>
              </w:rPr>
              <w:t>公斤</w:t>
            </w:r>
          </w:p>
        </w:tc>
        <w:tc>
          <w:tcPr>
            <w:tcW w:w="2209" w:type="pct"/>
            <w:vMerge w:val="continue"/>
            <w:tcBorders>
              <w:tl2br w:val="nil"/>
              <w:tr2bl w:val="nil"/>
            </w:tcBorders>
            <w:shd w:val="clear" w:color="auto" w:fill="auto"/>
            <w:vAlign w:val="center"/>
          </w:tcPr>
          <w:p w14:paraId="45541EB0"/>
        </w:tc>
      </w:tr>
      <w:tr w14:paraId="22201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75" w:type="pct"/>
            <w:tcBorders>
              <w:tl2br w:val="nil"/>
              <w:tr2bl w:val="nil"/>
            </w:tcBorders>
            <w:shd w:val="clear" w:color="auto" w:fill="auto"/>
            <w:vAlign w:val="center"/>
          </w:tcPr>
          <w:p w14:paraId="05466233">
            <w:pPr>
              <w:jc w:val="center"/>
            </w:pPr>
            <w:r>
              <w:rPr>
                <w:rFonts w:hint="eastAsia"/>
                <w:lang w:bidi="ar"/>
              </w:rPr>
              <w:t>4</w:t>
            </w:r>
          </w:p>
        </w:tc>
        <w:tc>
          <w:tcPr>
            <w:tcW w:w="889" w:type="pct"/>
            <w:gridSpan w:val="2"/>
            <w:tcBorders>
              <w:tl2br w:val="nil"/>
              <w:tr2bl w:val="nil"/>
            </w:tcBorders>
            <w:shd w:val="clear" w:color="auto" w:fill="auto"/>
            <w:noWrap/>
            <w:vAlign w:val="center"/>
          </w:tcPr>
          <w:p w14:paraId="46F38A5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冻猪血</w:t>
            </w:r>
          </w:p>
        </w:tc>
        <w:tc>
          <w:tcPr>
            <w:tcW w:w="918" w:type="pct"/>
            <w:tcBorders>
              <w:tl2br w:val="nil"/>
              <w:tr2bl w:val="nil"/>
            </w:tcBorders>
            <w:shd w:val="clear" w:color="auto" w:fill="auto"/>
            <w:vAlign w:val="center"/>
          </w:tcPr>
          <w:p w14:paraId="0088F2E8">
            <w:pPr>
              <w:keepNext w:val="0"/>
              <w:keepLines w:val="0"/>
              <w:widowControl/>
              <w:suppressLineNumbers w:val="0"/>
              <w:jc w:val="center"/>
              <w:textAlignment w:val="center"/>
              <w:rPr>
                <w:rFonts w:hint="default"/>
                <w:lang w:val="en-US"/>
              </w:rPr>
            </w:pPr>
            <w:r>
              <w:rPr>
                <w:rFonts w:hint="eastAsia" w:cs="宋体"/>
                <w:i w:val="0"/>
                <w:iCs w:val="0"/>
                <w:color w:val="000000"/>
                <w:kern w:val="0"/>
                <w:sz w:val="22"/>
                <w:szCs w:val="22"/>
                <w:u w:val="none"/>
                <w:lang w:val="en-US" w:eastAsia="zh-CN" w:bidi="ar"/>
              </w:rPr>
              <w:t>1005</w:t>
            </w:r>
          </w:p>
        </w:tc>
        <w:tc>
          <w:tcPr>
            <w:tcW w:w="605" w:type="pct"/>
            <w:tcBorders>
              <w:tl2br w:val="nil"/>
              <w:tr2bl w:val="nil"/>
            </w:tcBorders>
            <w:shd w:val="clear" w:color="auto" w:fill="auto"/>
            <w:noWrap/>
            <w:vAlign w:val="center"/>
          </w:tcPr>
          <w:p w14:paraId="6C29D61F">
            <w:pPr>
              <w:jc w:val="center"/>
            </w:pPr>
            <w:r>
              <w:rPr>
                <w:rFonts w:hint="eastAsia"/>
                <w:lang w:bidi="ar"/>
              </w:rPr>
              <w:t>公斤</w:t>
            </w:r>
          </w:p>
        </w:tc>
        <w:tc>
          <w:tcPr>
            <w:tcW w:w="2209" w:type="pct"/>
            <w:vMerge w:val="continue"/>
            <w:tcBorders>
              <w:tl2br w:val="nil"/>
              <w:tr2bl w:val="nil"/>
            </w:tcBorders>
            <w:shd w:val="clear" w:color="auto" w:fill="auto"/>
            <w:vAlign w:val="center"/>
          </w:tcPr>
          <w:p w14:paraId="7CEE271B"/>
        </w:tc>
      </w:tr>
      <w:tr w14:paraId="6A67F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75" w:type="pct"/>
            <w:tcBorders>
              <w:tl2br w:val="nil"/>
              <w:tr2bl w:val="nil"/>
            </w:tcBorders>
            <w:shd w:val="clear" w:color="auto" w:fill="auto"/>
            <w:vAlign w:val="center"/>
          </w:tcPr>
          <w:p w14:paraId="2F7A19EB">
            <w:pPr>
              <w:jc w:val="center"/>
            </w:pPr>
            <w:r>
              <w:rPr>
                <w:rFonts w:hint="eastAsia"/>
                <w:lang w:bidi="ar"/>
              </w:rPr>
              <w:t>5</w:t>
            </w:r>
          </w:p>
        </w:tc>
        <w:tc>
          <w:tcPr>
            <w:tcW w:w="889" w:type="pct"/>
            <w:gridSpan w:val="2"/>
            <w:tcBorders>
              <w:tl2br w:val="nil"/>
              <w:tr2bl w:val="nil"/>
            </w:tcBorders>
            <w:shd w:val="clear" w:color="auto" w:fill="auto"/>
            <w:noWrap/>
            <w:vAlign w:val="center"/>
          </w:tcPr>
          <w:p w14:paraId="306D83C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猪脚</w:t>
            </w:r>
          </w:p>
        </w:tc>
        <w:tc>
          <w:tcPr>
            <w:tcW w:w="918" w:type="pct"/>
            <w:tcBorders>
              <w:tl2br w:val="nil"/>
              <w:tr2bl w:val="nil"/>
            </w:tcBorders>
            <w:shd w:val="clear" w:color="auto" w:fill="auto"/>
            <w:vAlign w:val="center"/>
          </w:tcPr>
          <w:p w14:paraId="5A5ABD6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1000</w:t>
            </w:r>
          </w:p>
        </w:tc>
        <w:tc>
          <w:tcPr>
            <w:tcW w:w="605" w:type="pct"/>
            <w:tcBorders>
              <w:tl2br w:val="nil"/>
              <w:tr2bl w:val="nil"/>
            </w:tcBorders>
            <w:shd w:val="clear" w:color="auto" w:fill="auto"/>
            <w:noWrap/>
            <w:vAlign w:val="center"/>
          </w:tcPr>
          <w:p w14:paraId="712A1B61">
            <w:pPr>
              <w:jc w:val="center"/>
            </w:pPr>
            <w:r>
              <w:rPr>
                <w:rFonts w:hint="eastAsia"/>
                <w:lang w:bidi="ar"/>
              </w:rPr>
              <w:t>公斤</w:t>
            </w:r>
          </w:p>
        </w:tc>
        <w:tc>
          <w:tcPr>
            <w:tcW w:w="2209" w:type="pct"/>
            <w:vMerge w:val="continue"/>
            <w:tcBorders>
              <w:tl2br w:val="nil"/>
              <w:tr2bl w:val="nil"/>
            </w:tcBorders>
            <w:shd w:val="clear" w:color="auto" w:fill="auto"/>
            <w:vAlign w:val="center"/>
          </w:tcPr>
          <w:p w14:paraId="1EF3450B"/>
        </w:tc>
      </w:tr>
      <w:tr w14:paraId="16883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75" w:type="pct"/>
            <w:tcBorders>
              <w:tl2br w:val="nil"/>
              <w:tr2bl w:val="nil"/>
            </w:tcBorders>
            <w:shd w:val="clear" w:color="auto" w:fill="auto"/>
            <w:vAlign w:val="center"/>
          </w:tcPr>
          <w:p w14:paraId="642B1AB4">
            <w:pPr>
              <w:jc w:val="center"/>
            </w:pPr>
            <w:r>
              <w:rPr>
                <w:rFonts w:hint="eastAsia"/>
                <w:lang w:bidi="ar"/>
              </w:rPr>
              <w:t>6</w:t>
            </w:r>
          </w:p>
        </w:tc>
        <w:tc>
          <w:tcPr>
            <w:tcW w:w="889" w:type="pct"/>
            <w:gridSpan w:val="2"/>
            <w:tcBorders>
              <w:tl2br w:val="nil"/>
              <w:tr2bl w:val="nil"/>
            </w:tcBorders>
            <w:shd w:val="clear" w:color="auto" w:fill="auto"/>
            <w:noWrap/>
            <w:vAlign w:val="center"/>
          </w:tcPr>
          <w:p w14:paraId="62EC4BB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猪肝</w:t>
            </w:r>
          </w:p>
        </w:tc>
        <w:tc>
          <w:tcPr>
            <w:tcW w:w="918" w:type="pct"/>
            <w:tcBorders>
              <w:tl2br w:val="nil"/>
              <w:tr2bl w:val="nil"/>
            </w:tcBorders>
            <w:shd w:val="clear" w:color="auto" w:fill="auto"/>
            <w:vAlign w:val="center"/>
          </w:tcPr>
          <w:p w14:paraId="41B3DD7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800</w:t>
            </w:r>
          </w:p>
        </w:tc>
        <w:tc>
          <w:tcPr>
            <w:tcW w:w="605" w:type="pct"/>
            <w:tcBorders>
              <w:tl2br w:val="nil"/>
              <w:tr2bl w:val="nil"/>
            </w:tcBorders>
            <w:shd w:val="clear" w:color="auto" w:fill="auto"/>
            <w:noWrap/>
            <w:vAlign w:val="center"/>
          </w:tcPr>
          <w:p w14:paraId="120CE62F">
            <w:pPr>
              <w:jc w:val="center"/>
            </w:pPr>
            <w:r>
              <w:rPr>
                <w:rFonts w:hint="eastAsia"/>
                <w:lang w:bidi="ar"/>
              </w:rPr>
              <w:t>公斤</w:t>
            </w:r>
          </w:p>
        </w:tc>
        <w:tc>
          <w:tcPr>
            <w:tcW w:w="2209" w:type="pct"/>
            <w:vMerge w:val="continue"/>
            <w:tcBorders>
              <w:tl2br w:val="nil"/>
              <w:tr2bl w:val="nil"/>
            </w:tcBorders>
            <w:shd w:val="clear" w:color="auto" w:fill="auto"/>
            <w:vAlign w:val="center"/>
          </w:tcPr>
          <w:p w14:paraId="14DAEF03"/>
        </w:tc>
      </w:tr>
      <w:tr w14:paraId="32B78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75" w:type="pct"/>
            <w:tcBorders>
              <w:tl2br w:val="nil"/>
              <w:tr2bl w:val="nil"/>
            </w:tcBorders>
            <w:shd w:val="clear" w:color="auto" w:fill="auto"/>
            <w:vAlign w:val="center"/>
          </w:tcPr>
          <w:p w14:paraId="0DC8B65C">
            <w:pPr>
              <w:jc w:val="center"/>
            </w:pPr>
            <w:r>
              <w:rPr>
                <w:rFonts w:hint="eastAsia"/>
                <w:lang w:bidi="ar"/>
              </w:rPr>
              <w:t>7</w:t>
            </w:r>
          </w:p>
        </w:tc>
        <w:tc>
          <w:tcPr>
            <w:tcW w:w="889" w:type="pct"/>
            <w:gridSpan w:val="2"/>
            <w:tcBorders>
              <w:tl2br w:val="nil"/>
              <w:tr2bl w:val="nil"/>
            </w:tcBorders>
            <w:shd w:val="clear" w:color="auto" w:fill="auto"/>
            <w:noWrap/>
            <w:vAlign w:val="center"/>
          </w:tcPr>
          <w:p w14:paraId="39784A7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排骨</w:t>
            </w:r>
          </w:p>
        </w:tc>
        <w:tc>
          <w:tcPr>
            <w:tcW w:w="918" w:type="pct"/>
            <w:tcBorders>
              <w:tl2br w:val="nil"/>
              <w:tr2bl w:val="nil"/>
            </w:tcBorders>
            <w:shd w:val="clear" w:color="auto" w:fill="auto"/>
            <w:vAlign w:val="center"/>
          </w:tcPr>
          <w:p w14:paraId="73910C1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800</w:t>
            </w:r>
          </w:p>
        </w:tc>
        <w:tc>
          <w:tcPr>
            <w:tcW w:w="605" w:type="pct"/>
            <w:tcBorders>
              <w:tl2br w:val="nil"/>
              <w:tr2bl w:val="nil"/>
            </w:tcBorders>
            <w:shd w:val="clear" w:color="auto" w:fill="auto"/>
            <w:noWrap/>
            <w:vAlign w:val="center"/>
          </w:tcPr>
          <w:p w14:paraId="30F4F63B">
            <w:pPr>
              <w:jc w:val="center"/>
            </w:pPr>
            <w:r>
              <w:rPr>
                <w:rFonts w:hint="eastAsia"/>
                <w:lang w:bidi="ar"/>
              </w:rPr>
              <w:t>公斤</w:t>
            </w:r>
          </w:p>
        </w:tc>
        <w:tc>
          <w:tcPr>
            <w:tcW w:w="2209" w:type="pct"/>
            <w:vMerge w:val="continue"/>
            <w:tcBorders>
              <w:tl2br w:val="nil"/>
              <w:tr2bl w:val="nil"/>
            </w:tcBorders>
            <w:shd w:val="clear" w:color="auto" w:fill="auto"/>
            <w:vAlign w:val="center"/>
          </w:tcPr>
          <w:p w14:paraId="6CC55EA1"/>
        </w:tc>
      </w:tr>
      <w:tr w14:paraId="2E7A4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75" w:type="pct"/>
            <w:tcBorders>
              <w:tl2br w:val="nil"/>
              <w:tr2bl w:val="nil"/>
            </w:tcBorders>
            <w:shd w:val="clear" w:color="auto" w:fill="auto"/>
            <w:vAlign w:val="center"/>
          </w:tcPr>
          <w:p w14:paraId="20C6B58D">
            <w:pPr>
              <w:jc w:val="center"/>
            </w:pPr>
            <w:r>
              <w:rPr>
                <w:rFonts w:hint="eastAsia"/>
                <w:lang w:bidi="ar"/>
              </w:rPr>
              <w:t>8</w:t>
            </w:r>
          </w:p>
        </w:tc>
        <w:tc>
          <w:tcPr>
            <w:tcW w:w="889" w:type="pct"/>
            <w:gridSpan w:val="2"/>
            <w:tcBorders>
              <w:tl2br w:val="nil"/>
              <w:tr2bl w:val="nil"/>
            </w:tcBorders>
            <w:shd w:val="clear" w:color="auto" w:fill="auto"/>
            <w:noWrap/>
            <w:vAlign w:val="center"/>
          </w:tcPr>
          <w:p w14:paraId="4731319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羊肉</w:t>
            </w:r>
            <w:r>
              <w:rPr>
                <w:rFonts w:hint="eastAsia" w:cs="宋体"/>
                <w:i w:val="0"/>
                <w:iCs w:val="0"/>
                <w:color w:val="000000"/>
                <w:kern w:val="0"/>
                <w:sz w:val="22"/>
                <w:szCs w:val="22"/>
                <w:u w:val="none"/>
                <w:lang w:val="en-US" w:eastAsia="zh-CN" w:bidi="ar"/>
              </w:rPr>
              <w:t>（切块）</w:t>
            </w:r>
          </w:p>
        </w:tc>
        <w:tc>
          <w:tcPr>
            <w:tcW w:w="918" w:type="pct"/>
            <w:tcBorders>
              <w:tl2br w:val="nil"/>
              <w:tr2bl w:val="nil"/>
            </w:tcBorders>
            <w:shd w:val="clear" w:color="auto" w:fill="auto"/>
            <w:vAlign w:val="center"/>
          </w:tcPr>
          <w:p w14:paraId="71D17DB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829</w:t>
            </w:r>
          </w:p>
        </w:tc>
        <w:tc>
          <w:tcPr>
            <w:tcW w:w="605" w:type="pct"/>
            <w:tcBorders>
              <w:tl2br w:val="nil"/>
              <w:tr2bl w:val="nil"/>
            </w:tcBorders>
            <w:shd w:val="clear" w:color="auto" w:fill="auto"/>
            <w:noWrap/>
            <w:vAlign w:val="center"/>
          </w:tcPr>
          <w:p w14:paraId="53B7B3C6">
            <w:pPr>
              <w:jc w:val="center"/>
            </w:pPr>
            <w:r>
              <w:rPr>
                <w:rFonts w:hint="eastAsia"/>
                <w:lang w:bidi="ar"/>
              </w:rPr>
              <w:t>公斤</w:t>
            </w:r>
          </w:p>
        </w:tc>
        <w:tc>
          <w:tcPr>
            <w:tcW w:w="2209" w:type="pct"/>
            <w:vMerge w:val="continue"/>
            <w:tcBorders>
              <w:tl2br w:val="nil"/>
              <w:tr2bl w:val="nil"/>
            </w:tcBorders>
            <w:shd w:val="clear" w:color="auto" w:fill="auto"/>
            <w:vAlign w:val="center"/>
          </w:tcPr>
          <w:p w14:paraId="643DE4F5"/>
        </w:tc>
      </w:tr>
      <w:tr w14:paraId="0BC67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75" w:type="pct"/>
            <w:tcBorders>
              <w:tl2br w:val="nil"/>
              <w:tr2bl w:val="nil"/>
            </w:tcBorders>
            <w:shd w:val="clear" w:color="auto" w:fill="auto"/>
            <w:vAlign w:val="center"/>
          </w:tcPr>
          <w:p w14:paraId="376FD7EC">
            <w:pPr>
              <w:jc w:val="center"/>
            </w:pPr>
            <w:r>
              <w:rPr>
                <w:rFonts w:hint="eastAsia"/>
                <w:lang w:bidi="ar"/>
              </w:rPr>
              <w:t>9</w:t>
            </w:r>
          </w:p>
        </w:tc>
        <w:tc>
          <w:tcPr>
            <w:tcW w:w="889" w:type="pct"/>
            <w:gridSpan w:val="2"/>
            <w:tcBorders>
              <w:tl2br w:val="nil"/>
              <w:tr2bl w:val="nil"/>
            </w:tcBorders>
            <w:shd w:val="clear" w:color="auto" w:fill="auto"/>
            <w:noWrap/>
            <w:vAlign w:val="center"/>
          </w:tcPr>
          <w:p w14:paraId="02E21F5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牛肉</w:t>
            </w:r>
          </w:p>
        </w:tc>
        <w:tc>
          <w:tcPr>
            <w:tcW w:w="918" w:type="pct"/>
            <w:tcBorders>
              <w:tl2br w:val="nil"/>
              <w:tr2bl w:val="nil"/>
            </w:tcBorders>
            <w:shd w:val="clear" w:color="auto" w:fill="auto"/>
            <w:vAlign w:val="center"/>
          </w:tcPr>
          <w:p w14:paraId="47A8614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700</w:t>
            </w:r>
          </w:p>
        </w:tc>
        <w:tc>
          <w:tcPr>
            <w:tcW w:w="605" w:type="pct"/>
            <w:tcBorders>
              <w:tl2br w:val="nil"/>
              <w:tr2bl w:val="nil"/>
            </w:tcBorders>
            <w:shd w:val="clear" w:color="auto" w:fill="auto"/>
            <w:noWrap/>
            <w:vAlign w:val="center"/>
          </w:tcPr>
          <w:p w14:paraId="08D0EDB2">
            <w:pPr>
              <w:jc w:val="center"/>
            </w:pPr>
            <w:r>
              <w:rPr>
                <w:rFonts w:hint="eastAsia"/>
                <w:lang w:bidi="ar"/>
              </w:rPr>
              <w:t>公斤</w:t>
            </w:r>
          </w:p>
        </w:tc>
        <w:tc>
          <w:tcPr>
            <w:tcW w:w="2209" w:type="pct"/>
            <w:vMerge w:val="continue"/>
            <w:tcBorders>
              <w:tl2br w:val="nil"/>
              <w:tr2bl w:val="nil"/>
            </w:tcBorders>
            <w:shd w:val="clear" w:color="auto" w:fill="auto"/>
            <w:vAlign w:val="center"/>
          </w:tcPr>
          <w:p w14:paraId="36F6FB5B"/>
        </w:tc>
      </w:tr>
      <w:tr w14:paraId="130B2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000" w:type="pct"/>
            <w:gridSpan w:val="6"/>
            <w:tcBorders>
              <w:tl2br w:val="nil"/>
              <w:tr2bl w:val="nil"/>
            </w:tcBorders>
            <w:shd w:val="clear" w:color="auto" w:fill="auto"/>
            <w:vAlign w:val="center"/>
          </w:tcPr>
          <w:p w14:paraId="18C3B828">
            <w:pPr>
              <w:rPr>
                <w:rFonts w:hint="eastAsia" w:eastAsia="宋体"/>
                <w:lang w:eastAsia="zh-CN"/>
              </w:rPr>
            </w:pPr>
            <w:r>
              <w:rPr>
                <w:rFonts w:hint="eastAsia"/>
              </w:rPr>
              <w:t>注：</w:t>
            </w:r>
            <w:r>
              <w:rPr>
                <w:rFonts w:hint="eastAsia"/>
                <w:lang w:eastAsia="zh-CN"/>
              </w:rPr>
              <w:t>以上采购数量为采购人一年的预计采购量，上述采购数量仅作为参考，实际采购数量根据采购人的实际需求确定，并根据实际采购数量及中标单价进行结算，中标人不得因实际供应量与中标数量不一致提出异议，不得因实际供应中批次采购量小而拒绝供应。</w:t>
            </w:r>
          </w:p>
        </w:tc>
      </w:tr>
      <w:tr w14:paraId="4A2F1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5000" w:type="pct"/>
            <w:gridSpan w:val="6"/>
            <w:tcBorders>
              <w:tl2br w:val="nil"/>
              <w:tr2bl w:val="nil"/>
            </w:tcBorders>
            <w:shd w:val="clear" w:color="auto" w:fill="auto"/>
            <w:vAlign w:val="center"/>
          </w:tcPr>
          <w:p w14:paraId="570CDBBF">
            <w:pPr>
              <w:rPr>
                <w:bCs/>
                <w:color w:val="000000"/>
              </w:rPr>
            </w:pPr>
            <w:r>
              <w:rPr>
                <w:rFonts w:hint="eastAsia"/>
                <w:b/>
                <w:bCs/>
                <w:lang w:bidi="ar"/>
              </w:rPr>
              <w:t>▲</w:t>
            </w:r>
            <w:r>
              <w:rPr>
                <w:rFonts w:hint="eastAsia"/>
                <w:b/>
                <w:bCs/>
              </w:rPr>
              <w:t>二、商务条款</w:t>
            </w:r>
          </w:p>
        </w:tc>
      </w:tr>
      <w:tr w14:paraId="31413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07" w:type="pct"/>
            <w:gridSpan w:val="2"/>
            <w:tcBorders>
              <w:tl2br w:val="nil"/>
              <w:tr2bl w:val="nil"/>
            </w:tcBorders>
            <w:shd w:val="clear" w:color="auto" w:fill="auto"/>
            <w:vAlign w:val="center"/>
          </w:tcPr>
          <w:p w14:paraId="5CDBF042">
            <w:pPr>
              <w:jc w:val="center"/>
            </w:pPr>
            <w:r>
              <w:rPr>
                <w:rFonts w:hint="eastAsia"/>
              </w:rPr>
              <w:t>合同签订期</w:t>
            </w:r>
          </w:p>
        </w:tc>
        <w:tc>
          <w:tcPr>
            <w:tcW w:w="4092" w:type="pct"/>
            <w:gridSpan w:val="4"/>
            <w:tcBorders>
              <w:tl2br w:val="nil"/>
              <w:tr2bl w:val="nil"/>
            </w:tcBorders>
            <w:shd w:val="clear" w:color="auto" w:fill="auto"/>
            <w:vAlign w:val="center"/>
          </w:tcPr>
          <w:p w14:paraId="596CDAA7">
            <w:r>
              <w:rPr>
                <w:rFonts w:hint="eastAsia"/>
              </w:rPr>
              <w:t>自中标通知书发出之日起25日历日内</w:t>
            </w:r>
          </w:p>
        </w:tc>
      </w:tr>
      <w:tr w14:paraId="08CF8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07" w:type="pct"/>
            <w:gridSpan w:val="2"/>
            <w:tcBorders>
              <w:tl2br w:val="nil"/>
              <w:tr2bl w:val="nil"/>
            </w:tcBorders>
            <w:shd w:val="clear" w:color="auto" w:fill="auto"/>
            <w:vAlign w:val="center"/>
          </w:tcPr>
          <w:p w14:paraId="5F9ABC1E">
            <w:pPr>
              <w:jc w:val="center"/>
            </w:pPr>
            <w:r>
              <w:rPr>
                <w:rFonts w:hint="eastAsia"/>
                <w:lang w:bidi="ar"/>
              </w:rPr>
              <w:t>投标报价要求</w:t>
            </w:r>
          </w:p>
        </w:tc>
        <w:tc>
          <w:tcPr>
            <w:tcW w:w="4092" w:type="pct"/>
            <w:gridSpan w:val="4"/>
            <w:tcBorders>
              <w:tl2br w:val="nil"/>
              <w:tr2bl w:val="nil"/>
            </w:tcBorders>
            <w:shd w:val="clear" w:color="auto" w:fill="auto"/>
            <w:vAlign w:val="center"/>
          </w:tcPr>
          <w:p w14:paraId="3305E448">
            <w:r>
              <w:rPr>
                <w:rFonts w:hint="eastAsia"/>
                <w:lang w:bidi="ar"/>
              </w:rPr>
              <w:t>1.投标报价按投标折扣系数报价，实际结算单价为基准单价×投标报价折扣系数</w:t>
            </w:r>
            <w:r>
              <w:rPr>
                <w:rFonts w:hint="eastAsia"/>
                <w:lang w:eastAsia="zh-CN" w:bidi="ar"/>
              </w:rPr>
              <w:t>（</w:t>
            </w:r>
            <w:r>
              <w:rPr>
                <w:rFonts w:hint="eastAsia"/>
                <w:lang w:val="en-US" w:eastAsia="zh-CN" w:bidi="ar"/>
              </w:rPr>
              <w:t>例如某项货物基准单价为100元，</w:t>
            </w:r>
            <w:r>
              <w:rPr>
                <w:rFonts w:hint="eastAsia"/>
                <w:lang w:bidi="ar"/>
              </w:rPr>
              <w:t>折扣系数</w:t>
            </w:r>
            <w:r>
              <w:rPr>
                <w:rFonts w:hint="eastAsia"/>
                <w:lang w:val="en-US" w:eastAsia="zh-CN" w:bidi="ar"/>
              </w:rPr>
              <w:t>为95%，实际结算单价为100</w:t>
            </w:r>
            <w:r>
              <w:rPr>
                <w:rFonts w:hint="eastAsia"/>
                <w:lang w:bidi="ar"/>
              </w:rPr>
              <w:t>×</w:t>
            </w:r>
            <w:r>
              <w:rPr>
                <w:rFonts w:hint="eastAsia"/>
                <w:lang w:val="en-US" w:eastAsia="zh-CN" w:bidi="ar"/>
              </w:rPr>
              <w:t>95%=95元</w:t>
            </w:r>
            <w:r>
              <w:rPr>
                <w:rFonts w:hint="eastAsia"/>
                <w:lang w:eastAsia="zh-CN" w:bidi="ar"/>
              </w:rPr>
              <w:t>）</w:t>
            </w:r>
            <w:r>
              <w:rPr>
                <w:rFonts w:hint="eastAsia"/>
                <w:lang w:bidi="ar"/>
              </w:rPr>
              <w:t>。报价包括货物及服务采购、检验检测、包装、</w:t>
            </w:r>
            <w:r>
              <w:rPr>
                <w:rFonts w:hint="eastAsia"/>
                <w:lang w:val="en-US" w:eastAsia="zh-CN" w:bidi="ar"/>
              </w:rPr>
              <w:t>配送、</w:t>
            </w:r>
            <w:r>
              <w:rPr>
                <w:rFonts w:hint="eastAsia"/>
                <w:lang w:bidi="ar"/>
              </w:rPr>
              <w:t>运输、</w:t>
            </w:r>
            <w:r>
              <w:rPr>
                <w:rFonts w:hint="eastAsia"/>
                <w:lang w:val="en-US" w:eastAsia="zh-CN" w:bidi="ar"/>
              </w:rPr>
              <w:t>装卸、</w:t>
            </w:r>
            <w:r>
              <w:rPr>
                <w:rFonts w:hint="eastAsia"/>
                <w:lang w:bidi="ar"/>
              </w:rPr>
              <w:t>仓储、</w:t>
            </w:r>
            <w:r>
              <w:rPr>
                <w:rFonts w:hint="eastAsia"/>
                <w:lang w:val="en-US" w:eastAsia="zh-CN" w:bidi="ar"/>
              </w:rPr>
              <w:t>退换货、损耗、保险、</w:t>
            </w:r>
            <w:r>
              <w:rPr>
                <w:rFonts w:hint="eastAsia"/>
                <w:lang w:bidi="ar"/>
              </w:rPr>
              <w:t>人工</w:t>
            </w:r>
            <w:r>
              <w:rPr>
                <w:rFonts w:hint="eastAsia"/>
                <w:lang w:eastAsia="zh-CN" w:bidi="ar"/>
              </w:rPr>
              <w:t>、</w:t>
            </w:r>
            <w:r>
              <w:rPr>
                <w:rFonts w:hint="eastAsia"/>
                <w:lang w:bidi="ar"/>
              </w:rPr>
              <w:t>售后服务、税金</w:t>
            </w:r>
            <w:r>
              <w:rPr>
                <w:rFonts w:hint="eastAsia"/>
                <w:lang w:val="en-US" w:eastAsia="zh-CN" w:bidi="ar"/>
              </w:rPr>
              <w:t>等合同实施过程中的应预见和不可预见费用等所有</w:t>
            </w:r>
            <w:r>
              <w:rPr>
                <w:rFonts w:hint="eastAsia"/>
                <w:lang w:bidi="ar"/>
              </w:rPr>
              <w:t>费用总和。</w:t>
            </w:r>
          </w:p>
          <w:p w14:paraId="1C34AAC1">
            <w:r>
              <w:rPr>
                <w:rFonts w:hint="eastAsia"/>
                <w:lang w:bidi="ar"/>
              </w:rPr>
              <w:t>2.投标报价折扣系数≤100%。</w:t>
            </w:r>
          </w:p>
        </w:tc>
      </w:tr>
      <w:tr w14:paraId="26DA1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07" w:type="pct"/>
            <w:gridSpan w:val="2"/>
            <w:tcBorders>
              <w:tl2br w:val="nil"/>
              <w:tr2bl w:val="nil"/>
            </w:tcBorders>
            <w:shd w:val="clear" w:color="auto" w:fill="auto"/>
            <w:vAlign w:val="center"/>
          </w:tcPr>
          <w:p w14:paraId="519F9987">
            <w:pPr>
              <w:jc w:val="center"/>
            </w:pPr>
            <w:r>
              <w:rPr>
                <w:rFonts w:hint="eastAsia"/>
                <w:lang w:bidi="ar"/>
              </w:rPr>
              <w:t>质保期</w:t>
            </w:r>
          </w:p>
        </w:tc>
        <w:tc>
          <w:tcPr>
            <w:tcW w:w="4092" w:type="pct"/>
            <w:gridSpan w:val="4"/>
            <w:tcBorders>
              <w:tl2br w:val="nil"/>
              <w:tr2bl w:val="nil"/>
            </w:tcBorders>
            <w:shd w:val="clear" w:color="auto" w:fill="auto"/>
            <w:vAlign w:val="center"/>
          </w:tcPr>
          <w:p w14:paraId="74C55610">
            <w:r>
              <w:rPr>
                <w:rFonts w:hint="eastAsia" w:ascii="宋体" w:hAnsi="宋体" w:cs="宋体"/>
                <w:kern w:val="0"/>
                <w:szCs w:val="21"/>
              </w:rPr>
              <w:t>自每批次货物验收合格之日起计算，不少于24小时。</w:t>
            </w:r>
          </w:p>
        </w:tc>
      </w:tr>
      <w:tr w14:paraId="105D7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07" w:type="pct"/>
            <w:gridSpan w:val="2"/>
            <w:tcBorders>
              <w:tl2br w:val="nil"/>
              <w:tr2bl w:val="nil"/>
            </w:tcBorders>
            <w:shd w:val="clear" w:color="auto" w:fill="auto"/>
            <w:vAlign w:val="center"/>
          </w:tcPr>
          <w:p w14:paraId="4429FB12">
            <w:pPr>
              <w:jc w:val="center"/>
              <w:rPr>
                <w:rFonts w:hint="eastAsia" w:eastAsia="宋体"/>
                <w:lang w:eastAsia="zh-CN"/>
              </w:rPr>
            </w:pPr>
            <w:r>
              <w:rPr>
                <w:rFonts w:hint="eastAsia"/>
                <w:lang w:bidi="ar"/>
              </w:rPr>
              <w:t>交货时间及交货地点、</w:t>
            </w:r>
            <w:r>
              <w:rPr>
                <w:rFonts w:hint="eastAsia"/>
                <w:lang w:eastAsia="zh-CN" w:bidi="ar"/>
              </w:rPr>
              <w:t>合同履行期限</w:t>
            </w:r>
          </w:p>
        </w:tc>
        <w:tc>
          <w:tcPr>
            <w:tcW w:w="4092" w:type="pct"/>
            <w:gridSpan w:val="4"/>
            <w:tcBorders>
              <w:tl2br w:val="nil"/>
              <w:tr2bl w:val="nil"/>
            </w:tcBorders>
            <w:shd w:val="clear" w:color="auto" w:fill="auto"/>
            <w:vAlign w:val="center"/>
          </w:tcPr>
          <w:p w14:paraId="2776E51C">
            <w:pPr>
              <w:rPr>
                <w:rFonts w:hint="eastAsia" w:eastAsia="宋体"/>
                <w:lang w:eastAsia="zh-CN"/>
              </w:rPr>
            </w:pPr>
            <w:r>
              <w:rPr>
                <w:rFonts w:hint="eastAsia"/>
                <w:lang w:bidi="ar"/>
              </w:rPr>
              <w:t>1.交货时间：</w:t>
            </w:r>
            <w:r>
              <w:rPr>
                <w:rFonts w:hint="eastAsia"/>
                <w:lang w:eastAsia="zh-CN" w:bidi="ar"/>
              </w:rPr>
              <w:t>分批次供货，按采购单位采购计划规定的时间全年无休供货。</w:t>
            </w:r>
          </w:p>
          <w:p w14:paraId="45BA015B">
            <w:r>
              <w:rPr>
                <w:rFonts w:hint="eastAsia"/>
                <w:lang w:bidi="ar"/>
              </w:rPr>
              <w:t>2.交货地点：</w:t>
            </w:r>
            <w:r>
              <w:rPr>
                <w:rFonts w:hint="eastAsia"/>
                <w:lang w:eastAsia="zh-CN" w:bidi="ar"/>
              </w:rPr>
              <w:t>广西壮族自治区贵港监狱监管区</w:t>
            </w:r>
            <w:r>
              <w:rPr>
                <w:rFonts w:hint="eastAsia"/>
                <w:lang w:bidi="ar"/>
              </w:rPr>
              <w:t>。</w:t>
            </w:r>
          </w:p>
          <w:p w14:paraId="7AF053C8">
            <w:pPr>
              <w:rPr>
                <w:rFonts w:hint="eastAsia" w:eastAsia="宋体"/>
                <w:lang w:eastAsia="zh-CN"/>
              </w:rPr>
            </w:pPr>
            <w:r>
              <w:rPr>
                <w:rFonts w:hint="eastAsia"/>
                <w:lang w:bidi="ar"/>
              </w:rPr>
              <w:t>3.</w:t>
            </w:r>
            <w:r>
              <w:rPr>
                <w:rFonts w:hint="eastAsia"/>
                <w:lang w:eastAsia="zh-CN" w:bidi="ar"/>
              </w:rPr>
              <w:t>合同履行期限</w:t>
            </w:r>
            <w:r>
              <w:rPr>
                <w:rFonts w:hint="eastAsia"/>
                <w:lang w:bidi="ar"/>
              </w:rPr>
              <w:t>：</w:t>
            </w:r>
            <w:r>
              <w:rPr>
                <w:rFonts w:hint="eastAsia"/>
                <w:lang w:eastAsia="zh-CN" w:bidi="ar"/>
              </w:rPr>
              <w:t>自签订合同之日起一年。</w:t>
            </w:r>
          </w:p>
        </w:tc>
      </w:tr>
      <w:tr w14:paraId="0283F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07" w:type="pct"/>
            <w:gridSpan w:val="2"/>
            <w:tcBorders>
              <w:tl2br w:val="nil"/>
              <w:tr2bl w:val="nil"/>
            </w:tcBorders>
            <w:shd w:val="clear" w:color="auto" w:fill="auto"/>
            <w:vAlign w:val="center"/>
          </w:tcPr>
          <w:p w14:paraId="1E37C475">
            <w:pPr>
              <w:jc w:val="center"/>
            </w:pPr>
            <w:r>
              <w:rPr>
                <w:rFonts w:hint="eastAsia"/>
                <w:lang w:bidi="ar"/>
              </w:rPr>
              <w:t>付款条件</w:t>
            </w:r>
          </w:p>
        </w:tc>
        <w:tc>
          <w:tcPr>
            <w:tcW w:w="4092" w:type="pct"/>
            <w:gridSpan w:val="4"/>
            <w:tcBorders>
              <w:tl2br w:val="nil"/>
              <w:tr2bl w:val="nil"/>
            </w:tcBorders>
            <w:shd w:val="clear" w:color="auto" w:fill="auto"/>
            <w:vAlign w:val="center"/>
          </w:tcPr>
          <w:p w14:paraId="66EA765D">
            <w:pPr>
              <w:rPr>
                <w:rFonts w:hint="eastAsia" w:eastAsia="宋体"/>
                <w:lang w:eastAsia="zh-CN" w:bidi="ar"/>
              </w:rPr>
            </w:pPr>
            <w:r>
              <w:rPr>
                <w:rFonts w:hint="eastAsia"/>
                <w:lang w:bidi="ar"/>
              </w:rPr>
              <w:t>1.</w:t>
            </w:r>
            <w:r>
              <w:rPr>
                <w:rFonts w:hint="eastAsia"/>
                <w:lang w:eastAsia="zh-CN" w:bidi="ar"/>
              </w:rPr>
              <w:t>分批供货，每批次货款根据双方确认的单价及该批次的实际供货数量进行结算。</w:t>
            </w:r>
          </w:p>
          <w:p w14:paraId="502F518B">
            <w:pPr>
              <w:rPr>
                <w:rFonts w:hint="eastAsia" w:eastAsia="宋体"/>
                <w:lang w:eastAsia="zh-CN" w:bidi="ar"/>
              </w:rPr>
            </w:pPr>
            <w:r>
              <w:rPr>
                <w:rFonts w:hint="eastAsia"/>
                <w:lang w:bidi="ar"/>
              </w:rPr>
              <w:t>2.</w:t>
            </w:r>
            <w:r>
              <w:rPr>
                <w:rFonts w:hint="eastAsia"/>
                <w:lang w:eastAsia="zh-CN" w:bidi="ar"/>
              </w:rPr>
              <w:t>按月结算，采购人在收到</w:t>
            </w:r>
            <w:r>
              <w:rPr>
                <w:rFonts w:hint="eastAsia"/>
                <w:lang w:val="en-US" w:eastAsia="zh-CN" w:bidi="ar"/>
              </w:rPr>
              <w:t>中标人</w:t>
            </w:r>
            <w:r>
              <w:rPr>
                <w:rFonts w:hint="eastAsia"/>
                <w:lang w:eastAsia="zh-CN" w:bidi="ar"/>
              </w:rPr>
              <w:t>上月全额发票后15个工作日内向</w:t>
            </w:r>
            <w:r>
              <w:rPr>
                <w:rFonts w:hint="eastAsia"/>
                <w:lang w:val="en-US" w:eastAsia="zh-CN" w:bidi="ar"/>
              </w:rPr>
              <w:t>中标人</w:t>
            </w:r>
            <w:r>
              <w:rPr>
                <w:rFonts w:hint="eastAsia"/>
                <w:lang w:eastAsia="zh-CN" w:bidi="ar"/>
              </w:rPr>
              <w:t>一次付清上月货物的全部货款。</w:t>
            </w:r>
          </w:p>
        </w:tc>
      </w:tr>
      <w:tr w14:paraId="4B050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07" w:type="pct"/>
            <w:gridSpan w:val="2"/>
            <w:tcBorders>
              <w:tl2br w:val="nil"/>
              <w:tr2bl w:val="nil"/>
            </w:tcBorders>
            <w:shd w:val="clear" w:color="auto" w:fill="auto"/>
            <w:vAlign w:val="center"/>
          </w:tcPr>
          <w:p w14:paraId="5D321AED">
            <w:pPr>
              <w:jc w:val="center"/>
            </w:pPr>
            <w:r>
              <w:rPr>
                <w:rFonts w:hint="eastAsia"/>
                <w:lang w:bidi="ar"/>
              </w:rPr>
              <w:t>配送要求</w:t>
            </w:r>
          </w:p>
        </w:tc>
        <w:tc>
          <w:tcPr>
            <w:tcW w:w="4092" w:type="pct"/>
            <w:gridSpan w:val="4"/>
            <w:tcBorders>
              <w:tl2br w:val="nil"/>
              <w:tr2bl w:val="nil"/>
            </w:tcBorders>
            <w:shd w:val="clear" w:color="auto" w:fill="auto"/>
            <w:vAlign w:val="center"/>
          </w:tcPr>
          <w:p w14:paraId="3B2AF871">
            <w:pPr>
              <w:rPr>
                <w:rFonts w:hint="eastAsia" w:eastAsia="宋体"/>
                <w:lang w:eastAsia="zh-CN" w:bidi="ar"/>
              </w:rPr>
            </w:pPr>
            <w:r>
              <w:rPr>
                <w:rFonts w:hint="eastAsia"/>
                <w:lang w:bidi="ar"/>
              </w:rPr>
              <w:t>1.</w:t>
            </w:r>
            <w:r>
              <w:rPr>
                <w:rFonts w:hint="eastAsia"/>
                <w:lang w:eastAsia="zh-CN" w:bidi="ar"/>
              </w:rPr>
              <w:t>中标人必须按照采购人通知的时间、数量、品种、品质要求及协定的价格，按采购人要求分装好准时送货，经验收合格后双方签字确认，中标人不能以任何理由推托，一旦影响到采购人工作的正常运转，中标人应承担相应的经济赔偿。临时性增加的品种，并签订书面补充协议，方可作为主合同不可分割的一部分。</w:t>
            </w:r>
          </w:p>
          <w:p w14:paraId="1995FA1F">
            <w:pPr>
              <w:rPr>
                <w:rFonts w:hint="eastAsia" w:eastAsia="宋体"/>
                <w:lang w:eastAsia="zh-CN" w:bidi="ar"/>
              </w:rPr>
            </w:pPr>
            <w:r>
              <w:rPr>
                <w:rFonts w:hint="eastAsia"/>
                <w:lang w:bidi="ar"/>
              </w:rPr>
              <w:t>2.</w:t>
            </w:r>
            <w:r>
              <w:rPr>
                <w:rFonts w:hint="eastAsia"/>
                <w:lang w:eastAsia="zh-CN" w:bidi="ar"/>
              </w:rPr>
              <w:t>一般供货要求：在收到采购人发出订货通知后，中标人最迟在次日上午8时前必须到达监管区大门。</w:t>
            </w:r>
          </w:p>
          <w:p w14:paraId="1BFD959E">
            <w:pPr>
              <w:rPr>
                <w:rFonts w:hint="eastAsia" w:eastAsia="宋体"/>
                <w:lang w:eastAsia="zh-CN" w:bidi="ar"/>
              </w:rPr>
            </w:pPr>
            <w:r>
              <w:rPr>
                <w:rFonts w:hint="eastAsia"/>
                <w:lang w:bidi="ar"/>
              </w:rPr>
              <w:t>3.紧急供货要求：</w:t>
            </w:r>
            <w:r>
              <w:rPr>
                <w:rFonts w:hint="eastAsia"/>
                <w:lang w:eastAsia="zh-CN" w:bidi="ar"/>
              </w:rPr>
              <w:t>在收到采购人发出紧急供货通知后，中标人最迟2小时内完成当次现场供货。</w:t>
            </w:r>
          </w:p>
          <w:p w14:paraId="7D510E6A">
            <w:pPr>
              <w:rPr>
                <w:lang w:bidi="ar"/>
              </w:rPr>
            </w:pPr>
            <w:r>
              <w:rPr>
                <w:rFonts w:hint="eastAsia"/>
                <w:lang w:bidi="ar"/>
              </w:rPr>
              <w:t>4.</w:t>
            </w:r>
            <w:r>
              <w:rPr>
                <w:rFonts w:hint="eastAsia"/>
                <w:lang w:eastAsia="zh-CN" w:bidi="ar"/>
              </w:rPr>
              <w:t>供应商必须安排至少2名固定配送人员及固定配送车辆长期送货，配送人员无犯罪记录，在办理好进入监区相关手续时提供无犯罪证明且后不得随意变动，如临时由非固定人员或固定车辆送货，须提前取得采购人同意。</w:t>
            </w:r>
          </w:p>
          <w:p w14:paraId="44DD8395">
            <w:pPr>
              <w:rPr>
                <w:lang w:bidi="ar"/>
              </w:rPr>
            </w:pPr>
            <w:r>
              <w:rPr>
                <w:rFonts w:hint="eastAsia"/>
                <w:lang w:bidi="ar"/>
              </w:rPr>
              <w:t>5.配送人员</w:t>
            </w:r>
            <w:r>
              <w:rPr>
                <w:rFonts w:hint="eastAsia"/>
                <w:lang w:val="en-US" w:eastAsia="zh-CN" w:bidi="ar"/>
              </w:rPr>
              <w:t>自觉</w:t>
            </w:r>
            <w:r>
              <w:rPr>
                <w:rFonts w:hint="eastAsia"/>
                <w:lang w:bidi="ar"/>
              </w:rPr>
              <w:t>接受采购</w:t>
            </w:r>
            <w:r>
              <w:rPr>
                <w:rFonts w:hint="eastAsia"/>
                <w:lang w:val="en-US" w:eastAsia="zh-CN" w:bidi="ar"/>
              </w:rPr>
              <w:t>人</w:t>
            </w:r>
            <w:r>
              <w:rPr>
                <w:rFonts w:hint="eastAsia"/>
                <w:lang w:bidi="ar"/>
              </w:rPr>
              <w:t>的现场管理，</w:t>
            </w:r>
            <w:r>
              <w:rPr>
                <w:rFonts w:hint="eastAsia"/>
                <w:lang w:val="en-US" w:eastAsia="zh-CN" w:bidi="ar"/>
              </w:rPr>
              <w:t>应</w:t>
            </w:r>
            <w:r>
              <w:rPr>
                <w:rFonts w:hint="eastAsia"/>
                <w:lang w:bidi="ar"/>
              </w:rPr>
              <w:t>穿着便于辨认的工衣或配戴胸卡，严格遵守采购人单位各项规章制度，</w:t>
            </w:r>
            <w:r>
              <w:rPr>
                <w:rFonts w:hint="eastAsia"/>
                <w:lang w:val="en-US" w:eastAsia="zh-CN" w:bidi="ar"/>
              </w:rPr>
              <w:t>不得携带违禁物品进入监狱监管区域，</w:t>
            </w:r>
            <w:r>
              <w:rPr>
                <w:rFonts w:hint="eastAsia"/>
                <w:lang w:bidi="ar"/>
              </w:rPr>
              <w:t>不得做出有损采购人形象和利益的事情</w:t>
            </w:r>
            <w:r>
              <w:rPr>
                <w:rFonts w:hint="eastAsia"/>
                <w:lang w:eastAsia="zh-CN" w:bidi="ar"/>
              </w:rPr>
              <w:t>。</w:t>
            </w:r>
            <w:r>
              <w:rPr>
                <w:rFonts w:hint="eastAsia"/>
                <w:lang w:bidi="ar"/>
              </w:rPr>
              <w:t>配送人员应当了解本项目采购需求，掌握送货各环节流程，熟悉送货路线、标准送货程序</w:t>
            </w:r>
            <w:r>
              <w:rPr>
                <w:rFonts w:hint="eastAsia"/>
                <w:lang w:eastAsia="zh-CN" w:bidi="ar"/>
              </w:rPr>
              <w:t>，</w:t>
            </w:r>
            <w:r>
              <w:rPr>
                <w:rFonts w:hint="eastAsia"/>
                <w:lang w:bidi="ar"/>
              </w:rPr>
              <w:t>安全</w:t>
            </w:r>
            <w:r>
              <w:rPr>
                <w:rFonts w:hint="eastAsia"/>
                <w:lang w:eastAsia="zh-CN" w:bidi="ar"/>
              </w:rPr>
              <w:t>、</w:t>
            </w:r>
            <w:r>
              <w:rPr>
                <w:rFonts w:hint="eastAsia"/>
                <w:lang w:bidi="ar"/>
              </w:rPr>
              <w:t>规范</w:t>
            </w:r>
            <w:r>
              <w:rPr>
                <w:rFonts w:hint="eastAsia"/>
                <w:lang w:eastAsia="zh-CN" w:bidi="ar"/>
              </w:rPr>
              <w:t>、</w:t>
            </w:r>
            <w:r>
              <w:rPr>
                <w:rFonts w:hint="eastAsia"/>
                <w:lang w:bidi="ar"/>
              </w:rPr>
              <w:t>高效做好送货工作。对于配送工作不认真，态度恶劣的配送人员，采购</w:t>
            </w:r>
            <w:r>
              <w:rPr>
                <w:rFonts w:hint="eastAsia"/>
                <w:lang w:val="en-US" w:eastAsia="zh-CN" w:bidi="ar"/>
              </w:rPr>
              <w:t>人</w:t>
            </w:r>
            <w:r>
              <w:rPr>
                <w:rFonts w:hint="eastAsia"/>
                <w:lang w:bidi="ar"/>
              </w:rPr>
              <w:t>有权要求</w:t>
            </w:r>
            <w:r>
              <w:rPr>
                <w:rFonts w:hint="eastAsia"/>
                <w:lang w:val="en-US" w:eastAsia="zh-CN" w:bidi="ar"/>
              </w:rPr>
              <w:t>中标人</w:t>
            </w:r>
            <w:r>
              <w:rPr>
                <w:rFonts w:hint="eastAsia"/>
                <w:lang w:bidi="ar"/>
              </w:rPr>
              <w:t>无条件更换人员，且不能影响</w:t>
            </w:r>
            <w:r>
              <w:rPr>
                <w:rFonts w:hint="eastAsia"/>
                <w:lang w:val="en-US" w:eastAsia="zh-CN" w:bidi="ar"/>
              </w:rPr>
              <w:t>采购人</w:t>
            </w:r>
            <w:r>
              <w:rPr>
                <w:rFonts w:hint="eastAsia"/>
                <w:lang w:eastAsia="zh-CN" w:bidi="ar"/>
              </w:rPr>
              <w:t>工作的正常运转。</w:t>
            </w:r>
            <w:r>
              <w:rPr>
                <w:rFonts w:hint="eastAsia"/>
                <w:lang w:val="en-US" w:eastAsia="zh-CN" w:bidi="ar"/>
              </w:rPr>
              <w:t>如因</w:t>
            </w:r>
            <w:r>
              <w:rPr>
                <w:rFonts w:hint="eastAsia"/>
                <w:lang w:bidi="ar"/>
              </w:rPr>
              <w:t>配送人员因离职等</w:t>
            </w:r>
            <w:r>
              <w:rPr>
                <w:rFonts w:hint="eastAsia"/>
                <w:lang w:val="en-US" w:eastAsia="zh-CN" w:bidi="ar"/>
              </w:rPr>
              <w:t>客观原因确实</w:t>
            </w:r>
            <w:r>
              <w:rPr>
                <w:rFonts w:hint="eastAsia"/>
                <w:lang w:bidi="ar"/>
              </w:rPr>
              <w:t>需要更换人员的，须提前7个工作日内向采购</w:t>
            </w:r>
            <w:r>
              <w:rPr>
                <w:rFonts w:hint="eastAsia"/>
                <w:lang w:val="en-US" w:eastAsia="zh-CN" w:bidi="ar"/>
              </w:rPr>
              <w:t>人</w:t>
            </w:r>
            <w:r>
              <w:rPr>
                <w:rFonts w:hint="eastAsia"/>
                <w:lang w:bidi="ar"/>
              </w:rPr>
              <w:t>提出申请，经采购</w:t>
            </w:r>
            <w:r>
              <w:rPr>
                <w:rFonts w:hint="eastAsia"/>
                <w:lang w:val="en-US" w:eastAsia="zh-CN" w:bidi="ar"/>
              </w:rPr>
              <w:t>人同意</w:t>
            </w:r>
            <w:r>
              <w:rPr>
                <w:rFonts w:hint="eastAsia"/>
                <w:lang w:bidi="ar"/>
              </w:rPr>
              <w:t>后，</w:t>
            </w:r>
            <w:r>
              <w:rPr>
                <w:rFonts w:hint="eastAsia"/>
                <w:lang w:val="en-US" w:eastAsia="zh-CN" w:bidi="ar"/>
              </w:rPr>
              <w:t>中标人</w:t>
            </w:r>
            <w:r>
              <w:rPr>
                <w:rFonts w:hint="eastAsia"/>
                <w:lang w:bidi="ar"/>
              </w:rPr>
              <w:t>方可</w:t>
            </w:r>
            <w:r>
              <w:rPr>
                <w:rFonts w:hint="eastAsia"/>
                <w:lang w:val="en-US" w:eastAsia="zh-CN" w:bidi="ar"/>
              </w:rPr>
              <w:t>更</w:t>
            </w:r>
            <w:r>
              <w:rPr>
                <w:rFonts w:hint="eastAsia"/>
                <w:lang w:bidi="ar"/>
              </w:rPr>
              <w:t>换</w:t>
            </w:r>
            <w:r>
              <w:rPr>
                <w:rFonts w:hint="eastAsia"/>
                <w:lang w:eastAsia="zh-CN" w:bidi="ar"/>
              </w:rPr>
              <w:t>人员</w:t>
            </w:r>
            <w:r>
              <w:rPr>
                <w:rFonts w:hint="eastAsia"/>
                <w:lang w:bidi="ar"/>
              </w:rPr>
              <w:t>，并确保配送工作的稳定交接。</w:t>
            </w:r>
          </w:p>
        </w:tc>
      </w:tr>
      <w:tr w14:paraId="2BDB5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07" w:type="pct"/>
            <w:gridSpan w:val="2"/>
            <w:tcBorders>
              <w:tl2br w:val="nil"/>
              <w:tr2bl w:val="nil"/>
            </w:tcBorders>
            <w:shd w:val="clear" w:color="auto" w:fill="auto"/>
            <w:vAlign w:val="center"/>
          </w:tcPr>
          <w:p w14:paraId="64259D63">
            <w:pPr>
              <w:jc w:val="center"/>
            </w:pPr>
            <w:r>
              <w:rPr>
                <w:rFonts w:hint="eastAsia"/>
                <w:lang w:bidi="ar"/>
              </w:rPr>
              <w:t>安全责任</w:t>
            </w:r>
          </w:p>
        </w:tc>
        <w:tc>
          <w:tcPr>
            <w:tcW w:w="4092" w:type="pct"/>
            <w:gridSpan w:val="4"/>
            <w:tcBorders>
              <w:tl2br w:val="nil"/>
              <w:tr2bl w:val="nil"/>
            </w:tcBorders>
            <w:shd w:val="clear" w:color="auto" w:fill="auto"/>
            <w:vAlign w:val="center"/>
          </w:tcPr>
          <w:p w14:paraId="30449B3F">
            <w:pPr>
              <w:rPr>
                <w:rFonts w:hint="eastAsia"/>
              </w:rPr>
            </w:pPr>
            <w:r>
              <w:rPr>
                <w:rFonts w:hint="eastAsia"/>
              </w:rPr>
              <w:t>1.中标人提供</w:t>
            </w:r>
            <w:r>
              <w:rPr>
                <w:rFonts w:hint="eastAsia"/>
                <w:lang w:val="en-US" w:eastAsia="zh-CN"/>
              </w:rPr>
              <w:t>食品必须</w:t>
            </w:r>
            <w:r>
              <w:rPr>
                <w:rFonts w:hint="eastAsia"/>
              </w:rPr>
              <w:t>是合格安全的产品</w:t>
            </w:r>
            <w:r>
              <w:rPr>
                <w:rFonts w:hint="eastAsia"/>
                <w:lang w:eastAsia="zh-CN"/>
              </w:rPr>
              <w:t>，</w:t>
            </w:r>
            <w:r>
              <w:rPr>
                <w:rFonts w:hint="eastAsia"/>
                <w:lang w:val="en-US" w:eastAsia="zh-CN"/>
              </w:rPr>
              <w:t>如出现</w:t>
            </w:r>
            <w:r>
              <w:rPr>
                <w:rFonts w:hint="eastAsia"/>
              </w:rPr>
              <w:t>质量不合格的食品，采购人有权要求无条件退货并及时换货，第一次按配送金额全额赔偿损失，第二次按配送金额的2倍赔偿损失，第三次采购</w:t>
            </w:r>
            <w:r>
              <w:rPr>
                <w:rFonts w:hint="eastAsia"/>
                <w:lang w:val="en-US" w:eastAsia="zh-CN"/>
              </w:rPr>
              <w:t>人有权单方</w:t>
            </w:r>
            <w:r>
              <w:rPr>
                <w:rFonts w:hint="eastAsia"/>
              </w:rPr>
              <w:t>终止合同并扣罚所有的履约保证金。</w:t>
            </w:r>
            <w:r>
              <w:rPr>
                <w:rFonts w:hint="eastAsia"/>
                <w:lang w:val="en-US" w:eastAsia="zh-CN"/>
              </w:rPr>
              <w:t>如中标人因</w:t>
            </w:r>
            <w:r>
              <w:rPr>
                <w:rFonts w:hint="eastAsia"/>
              </w:rPr>
              <w:t>非不可抗力原因故意不供货的，采购人可随时无条件终止合同并扣罚所有的履约保证金。</w:t>
            </w:r>
          </w:p>
          <w:p w14:paraId="43177CA1">
            <w:pPr>
              <w:rPr>
                <w:rFonts w:hint="eastAsia"/>
              </w:rPr>
            </w:pPr>
            <w:r>
              <w:rPr>
                <w:rFonts w:hint="eastAsia"/>
              </w:rPr>
              <w:t>2.中标人若提供有毒有害食品，造成食品安全事故的，经有关单位鉴定原因后，如确实为中标人提供的食品问题</w:t>
            </w:r>
            <w:r>
              <w:rPr>
                <w:rFonts w:hint="eastAsia"/>
                <w:lang w:val="en-US" w:eastAsia="zh-CN"/>
              </w:rPr>
              <w:t>造成的</w:t>
            </w:r>
            <w:r>
              <w:rPr>
                <w:rFonts w:hint="eastAsia"/>
              </w:rPr>
              <w:t>，中标人须</w:t>
            </w:r>
            <w:r>
              <w:rPr>
                <w:rFonts w:hint="eastAsia"/>
                <w:lang w:val="en-US" w:eastAsia="zh-CN"/>
              </w:rPr>
              <w:t>承担相关的</w:t>
            </w:r>
            <w:r>
              <w:rPr>
                <w:rFonts w:hint="eastAsia"/>
              </w:rPr>
              <w:t>住院费、医药费、护理费、护工费等</w:t>
            </w:r>
            <w:r>
              <w:rPr>
                <w:rFonts w:hint="eastAsia"/>
                <w:lang w:val="en-US" w:eastAsia="zh-CN"/>
              </w:rPr>
              <w:t>全额</w:t>
            </w:r>
            <w:r>
              <w:rPr>
                <w:rFonts w:hint="eastAsia"/>
              </w:rPr>
              <w:t>费用</w:t>
            </w:r>
            <w:r>
              <w:rPr>
                <w:rFonts w:hint="eastAsia"/>
                <w:lang w:eastAsia="zh-CN"/>
              </w:rPr>
              <w:t>。</w:t>
            </w:r>
            <w:r>
              <w:rPr>
                <w:rFonts w:hint="eastAsia"/>
                <w:lang w:val="en-US" w:eastAsia="zh-CN"/>
              </w:rPr>
              <w:t>同时</w:t>
            </w:r>
            <w:r>
              <w:rPr>
                <w:rFonts w:hint="eastAsia"/>
              </w:rPr>
              <w:t>采购人</w:t>
            </w:r>
            <w:r>
              <w:rPr>
                <w:rFonts w:hint="eastAsia"/>
                <w:lang w:val="en-US" w:eastAsia="zh-CN"/>
              </w:rPr>
              <w:t>有权</w:t>
            </w:r>
            <w:r>
              <w:rPr>
                <w:rFonts w:hint="eastAsia"/>
              </w:rPr>
              <w:t>取消中标人的供货资格，扣罚</w:t>
            </w:r>
            <w:r>
              <w:rPr>
                <w:rFonts w:hint="eastAsia"/>
                <w:lang w:val="en-US" w:eastAsia="zh-CN"/>
              </w:rPr>
              <w:t>所有</w:t>
            </w:r>
            <w:r>
              <w:rPr>
                <w:rFonts w:hint="eastAsia"/>
              </w:rPr>
              <w:t>履约保证金，中标人</w:t>
            </w:r>
            <w:r>
              <w:rPr>
                <w:rFonts w:hint="eastAsia"/>
                <w:lang w:val="en-US" w:eastAsia="zh-CN"/>
              </w:rPr>
              <w:t>还应</w:t>
            </w:r>
            <w:r>
              <w:rPr>
                <w:rFonts w:hint="eastAsia"/>
              </w:rPr>
              <w:t>承担相应的民事及刑事法律责任。采购人可以扣留中标人的货款用于支付中标人</w:t>
            </w:r>
            <w:r>
              <w:rPr>
                <w:rFonts w:hint="eastAsia"/>
                <w:lang w:val="en-US" w:eastAsia="zh-CN"/>
              </w:rPr>
              <w:t>承担</w:t>
            </w:r>
            <w:r>
              <w:rPr>
                <w:rFonts w:hint="eastAsia"/>
              </w:rPr>
              <w:t>的住院费、医药费、护理费、护工费等</w:t>
            </w:r>
            <w:r>
              <w:rPr>
                <w:rFonts w:hint="eastAsia"/>
                <w:lang w:val="en-US" w:eastAsia="zh-CN"/>
              </w:rPr>
              <w:t>相关</w:t>
            </w:r>
            <w:r>
              <w:rPr>
                <w:rFonts w:hint="eastAsia"/>
              </w:rPr>
              <w:t>费用。</w:t>
            </w:r>
          </w:p>
          <w:p w14:paraId="73F0EBA1">
            <w:pPr>
              <w:rPr>
                <w:rFonts w:hint="eastAsia"/>
                <w:lang w:val="en-US" w:eastAsia="zh-CN"/>
              </w:rPr>
            </w:pPr>
            <w:r>
              <w:rPr>
                <w:rFonts w:hint="eastAsia"/>
                <w:lang w:val="en-US" w:eastAsia="zh-CN"/>
              </w:rPr>
              <w:t>3.中标人故意提供假冒伪劣、过期、变质食品的，采购人可以拒付未付的所有货款，并扣罚所有履约保证金，同时采购人可以终止合同。</w:t>
            </w:r>
          </w:p>
          <w:p w14:paraId="39FFA811">
            <w:pPr>
              <w:rPr>
                <w:rFonts w:hint="default"/>
                <w:lang w:val="en-US" w:eastAsia="zh-CN"/>
              </w:rPr>
            </w:pPr>
            <w:r>
              <w:rPr>
                <w:rFonts w:hint="eastAsia"/>
                <w:lang w:val="en-US" w:eastAsia="zh-CN"/>
              </w:rPr>
              <w:t>4.不得采用金属制品、玻璃制品等危险包装。</w:t>
            </w:r>
          </w:p>
        </w:tc>
      </w:tr>
      <w:tr w14:paraId="307D0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07" w:type="pct"/>
            <w:gridSpan w:val="2"/>
            <w:tcBorders>
              <w:tl2br w:val="nil"/>
              <w:tr2bl w:val="nil"/>
            </w:tcBorders>
            <w:shd w:val="clear" w:color="auto" w:fill="auto"/>
            <w:vAlign w:val="center"/>
          </w:tcPr>
          <w:p w14:paraId="758AF965">
            <w:pPr>
              <w:jc w:val="center"/>
            </w:pPr>
            <w:r>
              <w:rPr>
                <w:rFonts w:hint="eastAsia"/>
                <w:lang w:bidi="ar"/>
              </w:rPr>
              <w:t>售后服务要求</w:t>
            </w:r>
          </w:p>
        </w:tc>
        <w:tc>
          <w:tcPr>
            <w:tcW w:w="4092" w:type="pct"/>
            <w:gridSpan w:val="4"/>
            <w:tcBorders>
              <w:tl2br w:val="nil"/>
              <w:tr2bl w:val="nil"/>
            </w:tcBorders>
            <w:shd w:val="clear" w:color="auto" w:fill="auto"/>
            <w:vAlign w:val="center"/>
          </w:tcPr>
          <w:p w14:paraId="2743EE6F">
            <w:pPr>
              <w:rPr>
                <w:lang w:bidi="ar"/>
              </w:rPr>
            </w:pPr>
            <w:r>
              <w:rPr>
                <w:rFonts w:hint="eastAsia"/>
                <w:lang w:bidi="ar"/>
              </w:rPr>
              <w:t>1.</w:t>
            </w:r>
            <w:r>
              <w:rPr>
                <w:rFonts w:hint="eastAsia" w:ascii="宋体" w:hAnsi="宋体" w:eastAsia="宋体" w:cs="宋体"/>
                <w:color w:val="auto"/>
                <w:kern w:val="0"/>
                <w:szCs w:val="21"/>
              </w:rPr>
              <w:t>属于国家规定“三包”范围</w:t>
            </w:r>
            <w:r>
              <w:rPr>
                <w:rFonts w:hint="eastAsia" w:ascii="宋体" w:hAnsi="宋体" w:eastAsia="宋体" w:cs="宋体"/>
                <w:color w:val="auto"/>
                <w:kern w:val="0"/>
                <w:szCs w:val="21"/>
                <w:lang w:val="en-US" w:eastAsia="zh-CN"/>
              </w:rPr>
              <w:t>执行</w:t>
            </w:r>
            <w:r>
              <w:rPr>
                <w:rFonts w:hint="eastAsia"/>
                <w:lang w:bidi="ar"/>
              </w:rPr>
              <w:t>“三包”；</w:t>
            </w:r>
          </w:p>
          <w:p w14:paraId="0E55D893">
            <w:pPr>
              <w:rPr>
                <w:lang w:bidi="ar"/>
              </w:rPr>
            </w:pPr>
            <w:r>
              <w:rPr>
                <w:rFonts w:hint="eastAsia"/>
                <w:lang w:bidi="ar"/>
              </w:rPr>
              <w:t>2.</w:t>
            </w:r>
            <w:r>
              <w:rPr>
                <w:rFonts w:hint="eastAsia"/>
                <w:lang w:val="en-US" w:eastAsia="zh-CN" w:bidi="ar"/>
              </w:rPr>
              <w:t>负责</w:t>
            </w:r>
            <w:r>
              <w:rPr>
                <w:rFonts w:hint="eastAsia"/>
                <w:lang w:bidi="ar"/>
              </w:rPr>
              <w:t>送货上门</w:t>
            </w:r>
            <w:r>
              <w:rPr>
                <w:rFonts w:hint="eastAsia"/>
                <w:lang w:val="en-US" w:eastAsia="zh-CN" w:bidi="ar"/>
              </w:rPr>
              <w:t>并承担相关费用</w:t>
            </w:r>
            <w:r>
              <w:rPr>
                <w:rFonts w:hint="eastAsia"/>
                <w:lang w:bidi="ar"/>
              </w:rPr>
              <w:t>；</w:t>
            </w:r>
          </w:p>
          <w:p w14:paraId="622BCE98">
            <w:pPr>
              <w:rPr>
                <w:lang w:bidi="ar"/>
              </w:rPr>
            </w:pPr>
            <w:r>
              <w:rPr>
                <w:rFonts w:hint="eastAsia"/>
                <w:lang w:bidi="ar"/>
              </w:rPr>
              <w:t>3.保质保量，如在质保期内发现质量问题，</w:t>
            </w:r>
            <w:r>
              <w:rPr>
                <w:rFonts w:hint="eastAsia"/>
                <w:lang w:val="en-US" w:eastAsia="zh-CN" w:bidi="ar"/>
              </w:rPr>
              <w:t>中标人</w:t>
            </w:r>
            <w:r>
              <w:rPr>
                <w:rFonts w:hint="eastAsia"/>
                <w:lang w:bidi="ar"/>
              </w:rPr>
              <w:t>必须在接到采购人通知后1小时内到达现场处理，如</w:t>
            </w:r>
            <w:r>
              <w:rPr>
                <w:rFonts w:hint="eastAsia"/>
                <w:lang w:val="en-US" w:eastAsia="zh-CN" w:bidi="ar"/>
              </w:rPr>
              <w:t>确实</w:t>
            </w:r>
            <w:r>
              <w:rPr>
                <w:rFonts w:hint="eastAsia"/>
                <w:lang w:bidi="ar"/>
              </w:rPr>
              <w:t>属</w:t>
            </w:r>
            <w:r>
              <w:rPr>
                <w:rFonts w:hint="eastAsia"/>
                <w:lang w:val="en-US" w:eastAsia="zh-CN" w:bidi="ar"/>
              </w:rPr>
              <w:t>于</w:t>
            </w:r>
            <w:r>
              <w:rPr>
                <w:rFonts w:hint="eastAsia"/>
                <w:lang w:bidi="ar"/>
              </w:rPr>
              <w:t>质量问题的</w:t>
            </w:r>
            <w:r>
              <w:rPr>
                <w:rFonts w:hint="eastAsia"/>
                <w:lang w:eastAsia="zh-CN" w:bidi="ar"/>
              </w:rPr>
              <w:t>，</w:t>
            </w:r>
            <w:r>
              <w:rPr>
                <w:rFonts w:hint="eastAsia"/>
                <w:lang w:val="en-US" w:eastAsia="zh-CN" w:bidi="ar"/>
              </w:rPr>
              <w:t>须在</w:t>
            </w:r>
            <w:r>
              <w:rPr>
                <w:rFonts w:hint="eastAsia"/>
                <w:lang w:bidi="ar"/>
              </w:rPr>
              <w:t>12小时内更换质量不合格的食品</w:t>
            </w:r>
            <w:r>
              <w:rPr>
                <w:rFonts w:hint="eastAsia"/>
                <w:lang w:val="en-US" w:eastAsia="zh-CN" w:bidi="ar"/>
              </w:rPr>
              <w:t>并承担相关费用</w:t>
            </w:r>
            <w:r>
              <w:rPr>
                <w:rFonts w:hint="eastAsia"/>
                <w:lang w:bidi="ar"/>
              </w:rPr>
              <w:t>。</w:t>
            </w:r>
          </w:p>
        </w:tc>
      </w:tr>
      <w:tr w14:paraId="169F2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07" w:type="pct"/>
            <w:gridSpan w:val="2"/>
            <w:tcBorders>
              <w:tl2br w:val="nil"/>
              <w:tr2bl w:val="nil"/>
            </w:tcBorders>
            <w:shd w:val="clear" w:color="auto" w:fill="auto"/>
            <w:vAlign w:val="center"/>
          </w:tcPr>
          <w:p w14:paraId="74891C9C">
            <w:pPr>
              <w:jc w:val="center"/>
              <w:rPr>
                <w:b/>
                <w:bCs/>
                <w:lang w:bidi="ar"/>
              </w:rPr>
            </w:pPr>
            <w:r>
              <w:rPr>
                <w:rFonts w:hint="eastAsia"/>
              </w:rPr>
              <w:t>履约保证金</w:t>
            </w:r>
          </w:p>
        </w:tc>
        <w:tc>
          <w:tcPr>
            <w:tcW w:w="4092" w:type="pct"/>
            <w:gridSpan w:val="4"/>
            <w:tcBorders>
              <w:tl2br w:val="nil"/>
              <w:tr2bl w:val="nil"/>
            </w:tcBorders>
            <w:shd w:val="clear" w:color="auto" w:fill="auto"/>
            <w:vAlign w:val="center"/>
          </w:tcPr>
          <w:p w14:paraId="17501DDD">
            <w:pPr>
              <w:rPr>
                <w:rFonts w:hint="eastAsia" w:eastAsia="宋体"/>
                <w:lang w:eastAsia="zh-CN" w:bidi="ar"/>
              </w:rPr>
            </w:pPr>
            <w:r>
              <w:rPr>
                <w:rFonts w:hint="eastAsia"/>
                <w:lang w:bidi="ar"/>
              </w:rPr>
              <w:t>1.履约保证金金额：</w:t>
            </w:r>
            <w:r>
              <w:rPr>
                <w:rFonts w:hint="eastAsia"/>
                <w:lang w:eastAsia="zh-CN" w:bidi="ar"/>
              </w:rPr>
              <w:t>中标金额的2%，中标人在与采购人签订合同前向采购人足额缴纳履约保证金。</w:t>
            </w:r>
          </w:p>
          <w:p w14:paraId="072DEE1E">
            <w:pPr>
              <w:rPr>
                <w:lang w:bidi="ar"/>
              </w:rPr>
            </w:pPr>
            <w:r>
              <w:rPr>
                <w:rFonts w:hint="eastAsia"/>
                <w:lang w:bidi="ar"/>
              </w:rPr>
              <w:t>2.递交方式：</w:t>
            </w:r>
            <w:r>
              <w:rPr>
                <w:rFonts w:hint="eastAsia"/>
                <w:lang w:eastAsia="zh-CN" w:bidi="ar"/>
              </w:rPr>
              <w:t>银行转账、支票、汇票、本票或者银行、保险机构出具的保函等非现金方式</w:t>
            </w:r>
            <w:r>
              <w:rPr>
                <w:rFonts w:hint="eastAsia"/>
                <w:lang w:bidi="ar"/>
              </w:rPr>
              <w:t>。</w:t>
            </w:r>
          </w:p>
          <w:p w14:paraId="72B34331">
            <w:pPr>
              <w:rPr>
                <w:rFonts w:hint="eastAsia"/>
                <w:lang w:bidi="ar"/>
              </w:rPr>
            </w:pPr>
            <w:r>
              <w:rPr>
                <w:rFonts w:hint="eastAsia"/>
                <w:lang w:bidi="ar"/>
              </w:rPr>
              <w:t>3.履约保证金在服务期限结束且最后一批货物质保期结束后，如无质量问题，由中标人向采购人提供《政府采购项目履约保证金退付意见书》及《广西壮族自治区政府采购项目合同验收书》，采购人在收到合格材料后10个工作日内退还（不计利息）。涉及违约的违约金和损失赔偿从履约保证金中扣减。</w:t>
            </w:r>
          </w:p>
          <w:p w14:paraId="1226CCA9">
            <w:pPr>
              <w:rPr>
                <w:rFonts w:hint="eastAsia" w:ascii="宋体" w:hAnsi="宋体" w:eastAsia="宋体" w:cs="宋体"/>
                <w:lang w:bidi="ar"/>
              </w:rPr>
            </w:pPr>
            <w:r>
              <w:rPr>
                <w:rFonts w:hint="eastAsia" w:ascii="宋体" w:hAnsi="宋体" w:eastAsia="宋体" w:cs="宋体"/>
                <w:lang w:bidi="ar"/>
              </w:rPr>
              <w:t>备注：</w:t>
            </w:r>
          </w:p>
          <w:p w14:paraId="0062B8D3">
            <w:pPr>
              <w:rPr>
                <w:rFonts w:hint="eastAsia" w:ascii="宋体" w:hAnsi="宋体" w:eastAsia="宋体" w:cs="宋体"/>
                <w:lang w:bidi="ar"/>
              </w:rPr>
            </w:pPr>
            <w:r>
              <w:rPr>
                <w:rFonts w:hint="eastAsia" w:ascii="宋体" w:hAnsi="宋体" w:eastAsia="宋体" w:cs="宋体"/>
                <w:lang w:bidi="ar"/>
              </w:rPr>
              <w:t>1.履约保证金不足额缴纳的，或者金融、担保机构出具的保函额度不足的或者保函有效期低于合同履行期限（即签订采购合同之日起至履行完合同约定的权利及义务之日止）的，不予签订合同。</w:t>
            </w:r>
          </w:p>
          <w:p w14:paraId="10BFC8BA">
            <w:r>
              <w:rPr>
                <w:rFonts w:hint="eastAsia" w:ascii="宋体" w:hAnsi="宋体" w:eastAsia="宋体" w:cs="宋体"/>
                <w:lang w:bidi="ar"/>
              </w:rPr>
              <w:t>2.采用金融、担保机构出具的保函的，必须为无条件保函，否则不予签订合同。</w:t>
            </w:r>
          </w:p>
        </w:tc>
      </w:tr>
      <w:tr w14:paraId="7C73E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07" w:type="pct"/>
            <w:gridSpan w:val="2"/>
            <w:tcBorders>
              <w:tl2br w:val="nil"/>
              <w:tr2bl w:val="nil"/>
            </w:tcBorders>
            <w:shd w:val="clear" w:color="auto" w:fill="auto"/>
            <w:vAlign w:val="center"/>
          </w:tcPr>
          <w:p w14:paraId="5A26A351">
            <w:pPr>
              <w:jc w:val="center"/>
            </w:pPr>
            <w:r>
              <w:rPr>
                <w:rFonts w:hint="eastAsia"/>
                <w:lang w:bidi="ar"/>
              </w:rPr>
              <w:t>其他要求</w:t>
            </w:r>
          </w:p>
        </w:tc>
        <w:tc>
          <w:tcPr>
            <w:tcW w:w="4092" w:type="pct"/>
            <w:gridSpan w:val="4"/>
            <w:tcBorders>
              <w:tl2br w:val="nil"/>
              <w:tr2bl w:val="nil"/>
            </w:tcBorders>
            <w:shd w:val="clear" w:color="auto" w:fill="auto"/>
            <w:vAlign w:val="center"/>
          </w:tcPr>
          <w:p w14:paraId="1CD54C96">
            <w:pPr>
              <w:rPr>
                <w:rFonts w:hint="eastAsia" w:ascii="宋体" w:hAnsi="宋体" w:eastAsia="宋体" w:cs="宋体"/>
                <w:lang w:bidi="ar"/>
              </w:rPr>
            </w:pPr>
            <w:r>
              <w:rPr>
                <w:rFonts w:hint="eastAsia" w:ascii="宋体" w:hAnsi="宋体" w:eastAsia="宋体" w:cs="宋体"/>
                <w:lang w:bidi="ar"/>
              </w:rPr>
              <w:t>1.供货时，</w:t>
            </w:r>
            <w:r>
              <w:rPr>
                <w:rFonts w:hint="eastAsia" w:ascii="宋体" w:hAnsi="宋体" w:eastAsia="宋体" w:cs="宋体"/>
                <w:lang w:val="en-US" w:eastAsia="zh-CN" w:bidi="ar"/>
              </w:rPr>
              <w:t>中标人</w:t>
            </w:r>
            <w:r>
              <w:rPr>
                <w:rFonts w:hint="eastAsia" w:ascii="宋体" w:hAnsi="宋体" w:eastAsia="宋体" w:cs="宋体"/>
                <w:lang w:bidi="ar"/>
              </w:rPr>
              <w:t>必须提供以下证明文件：</w:t>
            </w:r>
          </w:p>
          <w:p w14:paraId="5AA8A3D9">
            <w:pPr>
              <w:rPr>
                <w:rFonts w:hint="eastAsia" w:ascii="宋体" w:hAnsi="宋体" w:eastAsia="宋体" w:cs="宋体"/>
                <w:lang w:bidi="ar"/>
              </w:rPr>
            </w:pPr>
            <w:r>
              <w:rPr>
                <w:rFonts w:hint="eastAsia" w:ascii="宋体" w:hAnsi="宋体" w:eastAsia="宋体" w:cs="宋体"/>
                <w:lang w:bidi="ar"/>
              </w:rPr>
              <w:t>（1）每批货物必须提供相关的质量安全检验合格证明，且每批次货物都需经采购人抽验合格后方可供货。</w:t>
            </w:r>
          </w:p>
          <w:p w14:paraId="1BD752BC">
            <w:pPr>
              <w:rPr>
                <w:rFonts w:hint="eastAsia" w:ascii="宋体" w:hAnsi="宋体" w:eastAsia="宋体" w:cs="宋体"/>
                <w:lang w:bidi="ar"/>
              </w:rPr>
            </w:pPr>
            <w:r>
              <w:rPr>
                <w:rFonts w:hint="eastAsia" w:ascii="宋体" w:hAnsi="宋体" w:eastAsia="宋体" w:cs="宋体"/>
                <w:lang w:bidi="ar"/>
              </w:rPr>
              <w:t>（2）</w:t>
            </w:r>
            <w:r>
              <w:rPr>
                <w:rFonts w:hint="eastAsia" w:ascii="宋体" w:hAnsi="宋体" w:eastAsia="宋体" w:cs="宋体"/>
                <w:lang w:val="en-US" w:eastAsia="zh-CN" w:bidi="ar"/>
              </w:rPr>
              <w:t>中标人</w:t>
            </w:r>
            <w:r>
              <w:rPr>
                <w:rFonts w:hint="eastAsia" w:ascii="宋体" w:hAnsi="宋体" w:eastAsia="宋体" w:cs="宋体"/>
                <w:lang w:bidi="ar"/>
              </w:rPr>
              <w:t>必须提供相关供货清单（包括货物名称、数量、单价、金额等</w:t>
            </w:r>
            <w:r>
              <w:rPr>
                <w:rFonts w:hint="eastAsia" w:ascii="宋体" w:hAnsi="宋体" w:eastAsia="宋体" w:cs="宋体"/>
                <w:lang w:val="en-US" w:eastAsia="zh-CN" w:bidi="ar"/>
              </w:rPr>
              <w:t>信息</w:t>
            </w:r>
            <w:r>
              <w:rPr>
                <w:rFonts w:hint="eastAsia" w:ascii="宋体" w:hAnsi="宋体" w:eastAsia="宋体" w:cs="宋体"/>
                <w:lang w:bidi="ar"/>
              </w:rPr>
              <w:t>），以便采购人月底结算货款。</w:t>
            </w:r>
            <w:r>
              <w:rPr>
                <w:rFonts w:hint="eastAsia" w:ascii="宋体" w:hAnsi="宋体" w:eastAsia="宋体" w:cs="宋体"/>
                <w:lang w:val="en-US" w:eastAsia="zh-CN" w:bidi="ar"/>
              </w:rPr>
              <w:t>中标人</w:t>
            </w:r>
            <w:r>
              <w:rPr>
                <w:rFonts w:hint="eastAsia" w:ascii="宋体" w:hAnsi="宋体" w:eastAsia="宋体" w:cs="宋体"/>
                <w:lang w:bidi="ar"/>
              </w:rPr>
              <w:t>供货不符合要求的，采购人有权立即退货</w:t>
            </w:r>
            <w:r>
              <w:rPr>
                <w:rFonts w:hint="eastAsia" w:ascii="宋体" w:hAnsi="宋体" w:eastAsia="宋体" w:cs="宋体"/>
                <w:lang w:eastAsia="zh-CN" w:bidi="ar"/>
              </w:rPr>
              <w:t>，</w:t>
            </w:r>
            <w:r>
              <w:rPr>
                <w:rFonts w:hint="eastAsia" w:ascii="宋体" w:hAnsi="宋体" w:eastAsia="宋体" w:cs="宋体"/>
                <w:lang w:val="en-US" w:eastAsia="zh-CN" w:bidi="ar"/>
              </w:rPr>
              <w:t>中标人</w:t>
            </w:r>
            <w:r>
              <w:rPr>
                <w:rFonts w:hint="eastAsia" w:ascii="宋体" w:hAnsi="宋体" w:eastAsia="宋体" w:cs="宋体"/>
                <w:lang w:bidi="ar"/>
              </w:rPr>
              <w:t>应按采购人的要求</w:t>
            </w:r>
            <w:r>
              <w:rPr>
                <w:rFonts w:hint="eastAsia" w:ascii="宋体" w:hAnsi="宋体" w:eastAsia="宋体" w:cs="宋体"/>
                <w:lang w:val="en-US" w:eastAsia="zh-CN" w:bidi="ar"/>
              </w:rPr>
              <w:t>于</w:t>
            </w:r>
            <w:r>
              <w:rPr>
                <w:rFonts w:hint="eastAsia" w:ascii="宋体" w:hAnsi="宋体" w:eastAsia="宋体" w:cs="宋体"/>
                <w:lang w:bidi="ar"/>
              </w:rPr>
              <w:t>12小时内</w:t>
            </w:r>
            <w:r>
              <w:rPr>
                <w:rFonts w:hint="eastAsia" w:ascii="宋体" w:hAnsi="宋体" w:eastAsia="宋体" w:cs="宋体"/>
                <w:lang w:val="en-US" w:eastAsia="zh-CN" w:bidi="ar"/>
              </w:rPr>
              <w:t>更换</w:t>
            </w:r>
            <w:r>
              <w:rPr>
                <w:rFonts w:hint="eastAsia" w:ascii="宋体" w:hAnsi="宋体" w:eastAsia="宋体" w:cs="宋体"/>
                <w:lang w:bidi="ar"/>
              </w:rPr>
              <w:t>，具体</w:t>
            </w:r>
            <w:r>
              <w:rPr>
                <w:rFonts w:hint="eastAsia" w:ascii="宋体" w:hAnsi="宋体" w:eastAsia="宋体" w:cs="宋体"/>
                <w:lang w:val="en-US" w:eastAsia="zh-CN" w:bidi="ar"/>
              </w:rPr>
              <w:t>更换</w:t>
            </w:r>
            <w:r>
              <w:rPr>
                <w:rFonts w:hint="eastAsia" w:ascii="宋体" w:hAnsi="宋体" w:eastAsia="宋体" w:cs="宋体"/>
                <w:lang w:bidi="ar"/>
              </w:rPr>
              <w:t>时间以</w:t>
            </w:r>
            <w:r>
              <w:rPr>
                <w:rFonts w:hint="eastAsia" w:ascii="宋体" w:hAnsi="宋体" w:eastAsia="宋体" w:cs="宋体"/>
                <w:lang w:val="en-US" w:eastAsia="zh-CN" w:bidi="ar"/>
              </w:rPr>
              <w:t>双方</w:t>
            </w:r>
            <w:r>
              <w:rPr>
                <w:rFonts w:hint="eastAsia" w:ascii="宋体" w:hAnsi="宋体" w:eastAsia="宋体" w:cs="宋体"/>
                <w:lang w:bidi="ar"/>
              </w:rPr>
              <w:t>约定为准。</w:t>
            </w:r>
          </w:p>
          <w:p w14:paraId="7F176843">
            <w:pPr>
              <w:rPr>
                <w:lang w:bidi="ar"/>
              </w:rPr>
            </w:pPr>
            <w:r>
              <w:rPr>
                <w:rFonts w:hint="eastAsia"/>
                <w:lang w:bidi="ar"/>
              </w:rPr>
              <w:t>2.交货验收必须由采购人和</w:t>
            </w:r>
            <w:r>
              <w:rPr>
                <w:rFonts w:hint="eastAsia"/>
                <w:lang w:val="en-US" w:eastAsia="zh-CN" w:bidi="ar"/>
              </w:rPr>
              <w:t>中标人</w:t>
            </w:r>
            <w:r>
              <w:rPr>
                <w:rFonts w:hint="eastAsia"/>
                <w:lang w:bidi="ar"/>
              </w:rPr>
              <w:t>共同进行，采购人如认为有需要的，可委托相关检验部门对产品进行抽检，自检或检验部门抽检不合格的不给予验收，影</w:t>
            </w:r>
            <w:r>
              <w:rPr>
                <w:rFonts w:hint="eastAsia"/>
                <w:lang w:eastAsia="zh-CN" w:bidi="ar"/>
              </w:rPr>
              <w:t>响采购人工作的正常运转的将追究中标人相关责任</w:t>
            </w:r>
            <w:r>
              <w:rPr>
                <w:rFonts w:hint="eastAsia"/>
                <w:lang w:bidi="ar"/>
              </w:rPr>
              <w:t>，抽检所产生的费用全部由</w:t>
            </w:r>
            <w:r>
              <w:rPr>
                <w:rFonts w:hint="eastAsia"/>
                <w:lang w:val="en-US" w:eastAsia="zh-CN" w:bidi="ar"/>
              </w:rPr>
              <w:t>中标人承担</w:t>
            </w:r>
            <w:r>
              <w:rPr>
                <w:rFonts w:hint="eastAsia"/>
                <w:lang w:bidi="ar"/>
              </w:rPr>
              <w:t>。</w:t>
            </w:r>
          </w:p>
          <w:p w14:paraId="6DC6D27A">
            <w:pPr>
              <w:rPr>
                <w:lang w:bidi="ar"/>
              </w:rPr>
            </w:pPr>
            <w:r>
              <w:rPr>
                <w:rFonts w:hint="eastAsia"/>
                <w:lang w:bidi="ar"/>
              </w:rPr>
              <w:t>3.验收工作的一般程序为：采购人应当在到货后根据货物采购清单的具体要求，对所购名称进行清点、外观检查进行实测，并逐项记录。</w:t>
            </w:r>
            <w:r>
              <w:rPr>
                <w:rFonts w:hint="eastAsia"/>
                <w:lang w:eastAsia="zh-CN" w:bidi="ar"/>
              </w:rPr>
              <w:t>经验收合格后双方签字确认</w:t>
            </w:r>
            <w:r>
              <w:rPr>
                <w:rFonts w:hint="eastAsia"/>
                <w:lang w:bidi="ar"/>
              </w:rPr>
              <w:t>。对未能通过验收的，一律退货、更换直至验收合格。</w:t>
            </w:r>
          </w:p>
          <w:p w14:paraId="47A059E8">
            <w:pPr>
              <w:rPr>
                <w:lang w:bidi="ar"/>
              </w:rPr>
            </w:pPr>
            <w:r>
              <w:rPr>
                <w:rFonts w:hint="eastAsia"/>
                <w:lang w:bidi="ar"/>
              </w:rPr>
              <w:t>4.</w:t>
            </w:r>
            <w:r>
              <w:rPr>
                <w:rFonts w:hint="eastAsia"/>
                <w:lang w:val="en-US" w:eastAsia="zh-CN" w:bidi="ar"/>
              </w:rPr>
              <w:t>结算单价</w:t>
            </w:r>
            <w:r>
              <w:rPr>
                <w:rFonts w:hint="eastAsia"/>
                <w:lang w:bidi="ar"/>
              </w:rPr>
              <w:t>=基准单价×</w:t>
            </w:r>
            <w:r>
              <w:rPr>
                <w:rFonts w:hint="eastAsia"/>
                <w:lang w:val="en-US" w:eastAsia="zh-CN" w:bidi="ar"/>
              </w:rPr>
              <w:t>中标</w:t>
            </w:r>
            <w:r>
              <w:rPr>
                <w:rFonts w:hint="eastAsia"/>
                <w:lang w:bidi="ar"/>
              </w:rPr>
              <w:t>折扣系数，签订合同当月，</w:t>
            </w:r>
            <w:r>
              <w:rPr>
                <w:rFonts w:hint="eastAsia"/>
                <w:lang w:val="en-US" w:eastAsia="zh-CN" w:bidi="ar"/>
              </w:rPr>
              <w:t>中标人</w:t>
            </w:r>
            <w:r>
              <w:rPr>
                <w:rFonts w:hint="eastAsia"/>
                <w:lang w:bidi="ar"/>
              </w:rPr>
              <w:t>与采购</w:t>
            </w:r>
            <w:r>
              <w:rPr>
                <w:rFonts w:hint="eastAsia"/>
                <w:lang w:val="en-US" w:eastAsia="zh-CN" w:bidi="ar"/>
              </w:rPr>
              <w:t>人</w:t>
            </w:r>
            <w:r>
              <w:rPr>
                <w:rFonts w:hint="eastAsia"/>
                <w:lang w:bidi="ar"/>
              </w:rPr>
              <w:t>共同选择贵港市至少三家大型商场、市场、超市展开市场调查，选取调查的三个市场主体中货物的平均价作为基准单价。合同执行前三个月价格不变，合同执行三个月后，如果某品类物资当月市场价格在合同基准价格基础上上下浮动率≥10%时，可以进行价格调整。价格调整由中标人或采购人提出基准单价调整申请，由采购人面向市场主体选择贵港市3家</w:t>
            </w:r>
            <w:r>
              <w:rPr>
                <w:rFonts w:hint="eastAsia"/>
                <w:lang w:eastAsia="zh-CN" w:bidi="ar"/>
              </w:rPr>
              <w:t>（</w:t>
            </w:r>
            <w:r>
              <w:rPr>
                <w:rFonts w:hint="eastAsia"/>
                <w:lang w:val="en-US" w:eastAsia="zh-CN" w:bidi="ar"/>
              </w:rPr>
              <w:t>含</w:t>
            </w:r>
            <w:r>
              <w:rPr>
                <w:rFonts w:hint="eastAsia"/>
                <w:lang w:eastAsia="zh-CN" w:bidi="ar"/>
              </w:rPr>
              <w:t>）</w:t>
            </w:r>
            <w:r>
              <w:rPr>
                <w:rFonts w:hint="eastAsia"/>
                <w:lang w:bidi="ar"/>
              </w:rPr>
              <w:t>以上大型商场或者市场开展市场价格调查，选取调查的市场或者超市的平均</w:t>
            </w:r>
            <w:r>
              <w:rPr>
                <w:rFonts w:hint="eastAsia"/>
                <w:lang w:val="en-US" w:eastAsia="zh-CN" w:bidi="ar"/>
              </w:rPr>
              <w:t>价</w:t>
            </w:r>
            <w:r>
              <w:rPr>
                <w:rFonts w:hint="eastAsia"/>
                <w:lang w:bidi="ar"/>
              </w:rPr>
              <w:t>作为调查价格，调查结果符合调价规则的，经双方确认同意后方可调整价格。基准单价调整后，</w:t>
            </w:r>
            <w:r>
              <w:rPr>
                <w:rFonts w:hint="eastAsia"/>
                <w:lang w:val="en-US" w:eastAsia="zh-CN" w:bidi="ar"/>
              </w:rPr>
              <w:t>结算单价</w:t>
            </w:r>
            <w:r>
              <w:rPr>
                <w:rFonts w:hint="eastAsia"/>
                <w:lang w:bidi="ar"/>
              </w:rPr>
              <w:t>为变动后的基准单价×</w:t>
            </w:r>
            <w:r>
              <w:rPr>
                <w:rFonts w:hint="eastAsia"/>
                <w:lang w:val="en-US" w:eastAsia="zh-CN" w:bidi="ar"/>
              </w:rPr>
              <w:t>中标</w:t>
            </w:r>
            <w:r>
              <w:rPr>
                <w:rFonts w:hint="eastAsia"/>
                <w:lang w:bidi="ar"/>
              </w:rPr>
              <w:t>折扣系数。</w:t>
            </w:r>
          </w:p>
          <w:p w14:paraId="504A5BA3">
            <w:pPr>
              <w:rPr>
                <w:rFonts w:hint="eastAsia"/>
                <w:lang w:bidi="ar"/>
              </w:rPr>
            </w:pPr>
            <w:r>
              <w:rPr>
                <w:rFonts w:hint="eastAsia"/>
                <w:lang w:bidi="ar"/>
              </w:rPr>
              <w:t>5.关于扶贫产品的采购。如果政府部门或上级部门要求采购人在扶贫产品网站采购相应的扶贫产品的，</w:t>
            </w:r>
            <w:r>
              <w:rPr>
                <w:rFonts w:hint="eastAsia"/>
                <w:lang w:val="en-US" w:eastAsia="zh-CN" w:bidi="ar"/>
              </w:rPr>
              <w:t>中标人</w:t>
            </w:r>
            <w:r>
              <w:rPr>
                <w:rFonts w:hint="eastAsia"/>
                <w:lang w:bidi="ar"/>
              </w:rPr>
              <w:t>须无条件同意采购人减少合同执行金额，由采购人自行在扶贫产品网站采购扶贫产品。</w:t>
            </w:r>
          </w:p>
          <w:p w14:paraId="61CBA9B2">
            <w:pPr>
              <w:rPr>
                <w:rFonts w:hint="default" w:eastAsia="宋体"/>
                <w:lang w:val="en-US" w:eastAsia="zh-CN"/>
              </w:rPr>
            </w:pPr>
            <w:r>
              <w:rPr>
                <w:rFonts w:hint="eastAsia"/>
                <w:b/>
                <w:bCs/>
                <w:lang w:val="en-US" w:eastAsia="zh-CN" w:bidi="ar"/>
              </w:rPr>
              <w:t>6.如采购人因不可抗力原因、上级要求需要变更或提前终止合同的，采购人提前一个月告知成交供应商，成交供应商须无条件配合，并且采购人不负变更或提前终止合同的违约责任。</w:t>
            </w:r>
          </w:p>
        </w:tc>
      </w:tr>
      <w:tr w14:paraId="314CC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5000" w:type="pct"/>
            <w:gridSpan w:val="6"/>
            <w:tcBorders>
              <w:tl2br w:val="nil"/>
              <w:tr2bl w:val="nil"/>
            </w:tcBorders>
            <w:shd w:val="clear" w:color="auto" w:fill="auto"/>
            <w:vAlign w:val="center"/>
          </w:tcPr>
          <w:p w14:paraId="5198312D">
            <w:r>
              <w:rPr>
                <w:rFonts w:hint="eastAsia"/>
                <w:b/>
                <w:bCs/>
              </w:rPr>
              <w:t>三、采购人对项目的特殊要求及说明</w:t>
            </w:r>
          </w:p>
        </w:tc>
      </w:tr>
      <w:tr w14:paraId="4F0D7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07" w:type="pct"/>
            <w:gridSpan w:val="2"/>
            <w:tcBorders>
              <w:tl2br w:val="nil"/>
              <w:tr2bl w:val="nil"/>
            </w:tcBorders>
            <w:shd w:val="clear" w:color="auto" w:fill="auto"/>
            <w:vAlign w:val="center"/>
          </w:tcPr>
          <w:p w14:paraId="55CC7D89">
            <w:pPr>
              <w:jc w:val="center"/>
            </w:pPr>
            <w:r>
              <w:rPr>
                <w:rFonts w:hint="eastAsia"/>
              </w:rPr>
              <w:t>核心产品</w:t>
            </w:r>
          </w:p>
        </w:tc>
        <w:tc>
          <w:tcPr>
            <w:tcW w:w="4092" w:type="pct"/>
            <w:gridSpan w:val="4"/>
            <w:tcBorders>
              <w:tl2br w:val="nil"/>
              <w:tr2bl w:val="nil"/>
            </w:tcBorders>
            <w:shd w:val="clear" w:color="auto" w:fill="auto"/>
            <w:vAlign w:val="center"/>
          </w:tcPr>
          <w:p w14:paraId="0F7C3945">
            <w:r>
              <w:rPr>
                <w:rFonts w:hint="eastAsia"/>
              </w:rPr>
              <w:t>本分标无核心产品。</w:t>
            </w:r>
          </w:p>
        </w:tc>
      </w:tr>
      <w:tr w14:paraId="3E7B4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07" w:type="pct"/>
            <w:gridSpan w:val="2"/>
            <w:tcBorders>
              <w:tl2br w:val="nil"/>
              <w:tr2bl w:val="nil"/>
            </w:tcBorders>
            <w:shd w:val="clear" w:color="auto" w:fill="auto"/>
            <w:vAlign w:val="center"/>
          </w:tcPr>
          <w:p w14:paraId="2E498024">
            <w:pPr>
              <w:jc w:val="center"/>
              <w:rPr>
                <w:rFonts w:hint="eastAsia"/>
              </w:rPr>
            </w:pPr>
            <w:r>
              <w:rPr>
                <w:rFonts w:hint="eastAsia"/>
              </w:rPr>
              <w:t>进口产品说明</w:t>
            </w:r>
          </w:p>
        </w:tc>
        <w:tc>
          <w:tcPr>
            <w:tcW w:w="4092" w:type="pct"/>
            <w:gridSpan w:val="4"/>
            <w:tcBorders>
              <w:tl2br w:val="nil"/>
              <w:tr2bl w:val="nil"/>
            </w:tcBorders>
            <w:shd w:val="clear" w:color="auto" w:fill="auto"/>
            <w:vAlign w:val="center"/>
          </w:tcPr>
          <w:p w14:paraId="25A089F4">
            <w:pPr>
              <w:rPr>
                <w:rFonts w:hint="eastAsia"/>
              </w:rPr>
            </w:pPr>
            <w:r>
              <w:rPr>
                <w:rFonts w:hint="eastAsia"/>
              </w:rPr>
              <w:t>本分标货物所涉及的货物不接受进口产品（即通过中国海关报关验放进入中国境内且产自境外的产品）参与投标，如有进口产品参与投标的作无效标处理。</w:t>
            </w:r>
          </w:p>
        </w:tc>
      </w:tr>
    </w:tbl>
    <w:p w14:paraId="6295B2D8"/>
    <w:p w14:paraId="5D3995CA">
      <w:r>
        <w:rPr>
          <w:rFonts w:hint="eastAsia"/>
        </w:rPr>
        <w:br w:type="page"/>
      </w:r>
    </w:p>
    <w:p w14:paraId="283E2F09">
      <w:pPr>
        <w:outlineLvl w:val="1"/>
        <w:rPr>
          <w:b/>
          <w:bCs/>
        </w:rPr>
      </w:pPr>
      <w:r>
        <w:rPr>
          <w:rFonts w:hint="eastAsia"/>
          <w:b/>
          <w:bCs/>
          <w:u w:val="none"/>
          <w:lang w:val="en-US" w:eastAsia="zh-CN"/>
        </w:rPr>
        <w:t>分标2</w:t>
      </w:r>
      <w:r>
        <w:rPr>
          <w:rFonts w:hint="eastAsia"/>
          <w:b/>
          <w:bCs/>
        </w:rPr>
        <w:t>：</w:t>
      </w:r>
      <w:r>
        <w:rPr>
          <w:rFonts w:hint="eastAsia"/>
          <w:b/>
          <w:bCs/>
          <w:lang w:eastAsia="zh-CN"/>
        </w:rPr>
        <w:t>鸡鸭肉类</w:t>
      </w:r>
      <w:r>
        <w:rPr>
          <w:rFonts w:hint="eastAsia"/>
          <w:b/>
          <w:bCs/>
        </w:rPr>
        <w:t>，预算金额：</w:t>
      </w:r>
      <w:r>
        <w:rPr>
          <w:rFonts w:hint="eastAsia"/>
          <w:b/>
          <w:bCs/>
          <w:lang w:eastAsia="zh-CN"/>
        </w:rPr>
        <w:t>1000000.00</w:t>
      </w:r>
      <w:r>
        <w:rPr>
          <w:rFonts w:hint="eastAsia"/>
          <w:b/>
          <w:bCs/>
        </w:rPr>
        <w:t>元</w:t>
      </w:r>
    </w:p>
    <w:tbl>
      <w:tblPr>
        <w:tblStyle w:val="5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8"/>
        <w:gridCol w:w="1823"/>
        <w:gridCol w:w="283"/>
        <w:gridCol w:w="921"/>
        <w:gridCol w:w="704"/>
        <w:gridCol w:w="5186"/>
      </w:tblGrid>
      <w:tr w14:paraId="79447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5000" w:type="pct"/>
            <w:gridSpan w:val="6"/>
            <w:tcBorders>
              <w:tl2br w:val="nil"/>
              <w:tr2bl w:val="nil"/>
            </w:tcBorders>
            <w:shd w:val="clear" w:color="auto" w:fill="auto"/>
            <w:vAlign w:val="center"/>
          </w:tcPr>
          <w:p w14:paraId="6D1C0E31">
            <w:r>
              <w:rPr>
                <w:rFonts w:hint="eastAsia"/>
                <w:b/>
                <w:bCs/>
              </w:rPr>
              <w:t>一、项目要求及技术需求</w:t>
            </w:r>
          </w:p>
        </w:tc>
      </w:tr>
      <w:tr w14:paraId="4C335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347" w:type="pct"/>
            <w:tcBorders>
              <w:tl2br w:val="nil"/>
              <w:tr2bl w:val="nil"/>
            </w:tcBorders>
            <w:shd w:val="clear" w:color="auto" w:fill="auto"/>
            <w:vAlign w:val="center"/>
          </w:tcPr>
          <w:p w14:paraId="572EB001">
            <w:pPr>
              <w:jc w:val="center"/>
              <w:rPr>
                <w:lang w:bidi="ar"/>
              </w:rPr>
            </w:pPr>
            <w:r>
              <w:rPr>
                <w:rFonts w:hint="eastAsia"/>
                <w:lang w:bidi="ar"/>
              </w:rPr>
              <w:t>序号</w:t>
            </w:r>
          </w:p>
        </w:tc>
        <w:tc>
          <w:tcPr>
            <w:tcW w:w="654" w:type="pct"/>
            <w:gridSpan w:val="2"/>
            <w:tcBorders>
              <w:tl2br w:val="nil"/>
              <w:tr2bl w:val="nil"/>
            </w:tcBorders>
            <w:shd w:val="clear" w:color="auto" w:fill="auto"/>
            <w:vAlign w:val="center"/>
          </w:tcPr>
          <w:p w14:paraId="6C275F2F">
            <w:pPr>
              <w:jc w:val="center"/>
              <w:rPr>
                <w:rFonts w:hint="eastAsia" w:eastAsia="宋体"/>
                <w:lang w:eastAsia="zh-CN"/>
              </w:rPr>
            </w:pPr>
            <w:r>
              <w:rPr>
                <w:rFonts w:hint="eastAsia"/>
                <w:lang w:eastAsia="zh-CN"/>
              </w:rPr>
              <w:t>货物名称</w:t>
            </w:r>
          </w:p>
        </w:tc>
        <w:tc>
          <w:tcPr>
            <w:tcW w:w="611" w:type="pct"/>
            <w:tcBorders>
              <w:tl2br w:val="nil"/>
              <w:tr2bl w:val="nil"/>
            </w:tcBorders>
            <w:shd w:val="clear" w:color="auto" w:fill="auto"/>
            <w:vAlign w:val="center"/>
          </w:tcPr>
          <w:p w14:paraId="4D753E30">
            <w:pPr>
              <w:jc w:val="center"/>
              <w:rPr>
                <w:lang w:bidi="ar"/>
              </w:rPr>
            </w:pPr>
            <w:r>
              <w:rPr>
                <w:rFonts w:hint="eastAsia"/>
                <w:lang w:bidi="ar"/>
              </w:rPr>
              <w:t>计划采购数量</w:t>
            </w:r>
          </w:p>
        </w:tc>
        <w:tc>
          <w:tcPr>
            <w:tcW w:w="495" w:type="pct"/>
            <w:tcBorders>
              <w:tl2br w:val="nil"/>
              <w:tr2bl w:val="nil"/>
            </w:tcBorders>
            <w:shd w:val="clear" w:color="auto" w:fill="auto"/>
            <w:vAlign w:val="center"/>
          </w:tcPr>
          <w:p w14:paraId="25CFE40E">
            <w:pPr>
              <w:jc w:val="center"/>
            </w:pPr>
            <w:r>
              <w:rPr>
                <w:rFonts w:hint="eastAsia"/>
                <w:lang w:bidi="ar"/>
              </w:rPr>
              <w:t>单位</w:t>
            </w:r>
          </w:p>
        </w:tc>
        <w:tc>
          <w:tcPr>
            <w:tcW w:w="2891" w:type="pct"/>
            <w:tcBorders>
              <w:tl2br w:val="nil"/>
              <w:tr2bl w:val="nil"/>
            </w:tcBorders>
            <w:shd w:val="clear" w:color="auto" w:fill="auto"/>
            <w:vAlign w:val="center"/>
          </w:tcPr>
          <w:p w14:paraId="1A6306C8">
            <w:pPr>
              <w:jc w:val="center"/>
            </w:pPr>
            <w:r>
              <w:rPr>
                <w:rFonts w:hint="eastAsia"/>
              </w:rPr>
              <w:t>技术参数及质量（配置）要求</w:t>
            </w:r>
          </w:p>
        </w:tc>
      </w:tr>
      <w:tr w14:paraId="3E80E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trPr>
        <w:tc>
          <w:tcPr>
            <w:tcW w:w="347" w:type="pct"/>
            <w:tcBorders>
              <w:tl2br w:val="nil"/>
              <w:tr2bl w:val="nil"/>
            </w:tcBorders>
            <w:shd w:val="clear" w:color="auto" w:fill="auto"/>
            <w:vAlign w:val="center"/>
          </w:tcPr>
          <w:p w14:paraId="0F9681B5">
            <w:pPr>
              <w:jc w:val="center"/>
            </w:pPr>
            <w:r>
              <w:rPr>
                <w:rFonts w:hint="eastAsia"/>
                <w:lang w:bidi="ar"/>
              </w:rPr>
              <w:t>1</w:t>
            </w:r>
          </w:p>
        </w:tc>
        <w:tc>
          <w:tcPr>
            <w:tcW w:w="654" w:type="pct"/>
            <w:gridSpan w:val="2"/>
            <w:tcBorders>
              <w:tl2br w:val="nil"/>
              <w:tr2bl w:val="nil"/>
            </w:tcBorders>
            <w:shd w:val="clear" w:color="auto" w:fill="auto"/>
            <w:noWrap/>
            <w:vAlign w:val="center"/>
          </w:tcPr>
          <w:p w14:paraId="4D852612">
            <w:pPr>
              <w:jc w:val="center"/>
              <w:rPr>
                <w:rFonts w:hint="default" w:eastAsia="宋体"/>
                <w:color w:val="000000"/>
                <w:lang w:val="en-US" w:eastAsia="zh-CN"/>
              </w:rPr>
            </w:pPr>
            <w:r>
              <w:rPr>
                <w:rFonts w:hint="eastAsia"/>
                <w:lang w:val="en-US" w:eastAsia="zh-CN"/>
              </w:rPr>
              <w:t>全鸡（去毛、</w:t>
            </w:r>
            <w:r>
              <w:rPr>
                <w:rFonts w:hint="eastAsia"/>
                <w:b w:val="0"/>
                <w:bCs w:val="0"/>
                <w:lang w:val="en-US" w:eastAsia="zh-CN" w:bidi="ar"/>
              </w:rPr>
              <w:t>内脏</w:t>
            </w:r>
            <w:r>
              <w:rPr>
                <w:rFonts w:hint="eastAsia"/>
                <w:lang w:val="en-US" w:eastAsia="zh-CN"/>
              </w:rPr>
              <w:t>）</w:t>
            </w:r>
          </w:p>
        </w:tc>
        <w:tc>
          <w:tcPr>
            <w:tcW w:w="611" w:type="pct"/>
            <w:tcBorders>
              <w:tl2br w:val="nil"/>
              <w:tr2bl w:val="nil"/>
            </w:tcBorders>
            <w:shd w:val="clear" w:color="auto" w:fill="auto"/>
            <w:vAlign w:val="center"/>
          </w:tcPr>
          <w:p w14:paraId="39298EA1">
            <w:pPr>
              <w:jc w:val="center"/>
            </w:pPr>
            <w:r>
              <w:rPr>
                <w:rFonts w:hint="eastAsia"/>
                <w:lang w:bidi="ar"/>
              </w:rPr>
              <w:t>21200</w:t>
            </w:r>
          </w:p>
        </w:tc>
        <w:tc>
          <w:tcPr>
            <w:tcW w:w="495" w:type="pct"/>
            <w:tcBorders>
              <w:tl2br w:val="nil"/>
              <w:tr2bl w:val="nil"/>
            </w:tcBorders>
            <w:shd w:val="clear" w:color="auto" w:fill="auto"/>
            <w:noWrap/>
            <w:vAlign w:val="center"/>
          </w:tcPr>
          <w:p w14:paraId="100C3CC1">
            <w:pPr>
              <w:jc w:val="center"/>
            </w:pPr>
            <w:r>
              <w:rPr>
                <w:rFonts w:hint="eastAsia"/>
                <w:lang w:bidi="ar"/>
              </w:rPr>
              <w:t>公斤</w:t>
            </w:r>
          </w:p>
        </w:tc>
        <w:tc>
          <w:tcPr>
            <w:tcW w:w="2891" w:type="pct"/>
            <w:vMerge w:val="restart"/>
            <w:tcBorders>
              <w:tl2br w:val="nil"/>
              <w:tr2bl w:val="nil"/>
            </w:tcBorders>
            <w:shd w:val="clear" w:color="auto" w:fill="auto"/>
            <w:vAlign w:val="center"/>
          </w:tcPr>
          <w:p w14:paraId="5A50C635">
            <w:pPr>
              <w:rPr>
                <w:rFonts w:hint="default" w:eastAsia="宋体"/>
                <w:b w:val="0"/>
                <w:bCs w:val="0"/>
                <w:lang w:val="en-US" w:eastAsia="zh-CN" w:bidi="ar"/>
              </w:rPr>
            </w:pPr>
            <w:r>
              <w:rPr>
                <w:rFonts w:hint="eastAsia"/>
                <w:b w:val="0"/>
                <w:bCs w:val="0"/>
                <w:lang w:bidi="ar"/>
              </w:rPr>
              <w:t>▲</w:t>
            </w:r>
            <w:r>
              <w:rPr>
                <w:rFonts w:hint="eastAsia"/>
                <w:b w:val="0"/>
                <w:bCs w:val="0"/>
                <w:lang w:val="en-US" w:eastAsia="zh-CN" w:bidi="ar"/>
              </w:rPr>
              <w:t>1.所有肉类均为当日宰杀，不得提供冻品。</w:t>
            </w:r>
          </w:p>
          <w:p w14:paraId="6D433247">
            <w:pPr>
              <w:rPr>
                <w:rFonts w:hint="default" w:eastAsia="宋体"/>
                <w:b w:val="0"/>
                <w:bCs w:val="0"/>
                <w:lang w:val="en-US" w:eastAsia="zh-CN" w:bidi="ar"/>
              </w:rPr>
            </w:pPr>
            <w:r>
              <w:rPr>
                <w:rFonts w:hint="eastAsia"/>
                <w:b w:val="0"/>
                <w:bCs w:val="0"/>
                <w:lang w:bidi="ar"/>
              </w:rPr>
              <w:t>▲</w:t>
            </w:r>
            <w:r>
              <w:rPr>
                <w:rFonts w:hint="eastAsia"/>
                <w:b w:val="0"/>
                <w:bCs w:val="0"/>
                <w:lang w:val="en-US" w:eastAsia="zh-CN" w:bidi="ar"/>
              </w:rPr>
              <w:t>2.供货前须对鸡、鸭进行预加工处理再运送：燎毛去细毛，清理残留气管、食道、内脏残留、腹腔血块、淋巴组织。</w:t>
            </w:r>
          </w:p>
          <w:p w14:paraId="1F877788">
            <w:pPr>
              <w:rPr>
                <w:rFonts w:hint="eastAsia"/>
                <w:lang w:val="en-US" w:eastAsia="zh-CN"/>
              </w:rPr>
            </w:pPr>
            <w:r>
              <w:rPr>
                <w:rFonts w:hint="eastAsia"/>
                <w:b w:val="0"/>
                <w:bCs w:val="0"/>
                <w:lang w:bidi="ar"/>
              </w:rPr>
              <w:t>▲</w:t>
            </w:r>
            <w:r>
              <w:rPr>
                <w:rFonts w:hint="eastAsia"/>
                <w:lang w:val="en-US" w:eastAsia="zh-CN"/>
              </w:rPr>
              <w:t>3.符合《中华人民共和国食品安全法》、《中华人民共和国农产品质量安全法》等食品卫生生产标准和食品卫生安全相关要求。</w:t>
            </w:r>
          </w:p>
          <w:p w14:paraId="609CA38E">
            <w:r>
              <w:rPr>
                <w:rFonts w:hint="eastAsia"/>
                <w:b w:val="0"/>
                <w:bCs w:val="0"/>
                <w:lang w:bidi="ar"/>
              </w:rPr>
              <w:t>▲</w:t>
            </w:r>
            <w:r>
              <w:rPr>
                <w:rFonts w:hint="eastAsia"/>
                <w:lang w:val="en-US" w:eastAsia="zh-CN"/>
              </w:rPr>
              <w:t>4.供货时提供检疫证明。</w:t>
            </w:r>
          </w:p>
        </w:tc>
      </w:tr>
      <w:tr w14:paraId="6D7A3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atLeast"/>
        </w:trPr>
        <w:tc>
          <w:tcPr>
            <w:tcW w:w="347" w:type="pct"/>
            <w:tcBorders>
              <w:tl2br w:val="nil"/>
              <w:tr2bl w:val="nil"/>
            </w:tcBorders>
            <w:shd w:val="clear" w:color="auto" w:fill="auto"/>
            <w:vAlign w:val="center"/>
          </w:tcPr>
          <w:p w14:paraId="0B329280">
            <w:pPr>
              <w:jc w:val="center"/>
            </w:pPr>
            <w:r>
              <w:rPr>
                <w:rFonts w:hint="eastAsia"/>
                <w:lang w:bidi="ar"/>
              </w:rPr>
              <w:t>2</w:t>
            </w:r>
          </w:p>
        </w:tc>
        <w:tc>
          <w:tcPr>
            <w:tcW w:w="654" w:type="pct"/>
            <w:gridSpan w:val="2"/>
            <w:tcBorders>
              <w:tl2br w:val="nil"/>
              <w:tr2bl w:val="nil"/>
            </w:tcBorders>
            <w:shd w:val="clear" w:color="auto" w:fill="auto"/>
            <w:noWrap/>
            <w:vAlign w:val="center"/>
          </w:tcPr>
          <w:p w14:paraId="3CE1D9F8">
            <w:pPr>
              <w:jc w:val="center"/>
              <w:rPr>
                <w:color w:val="000000"/>
              </w:rPr>
            </w:pPr>
            <w:r>
              <w:rPr>
                <w:rFonts w:hint="eastAsia"/>
                <w:lang w:val="en-US" w:eastAsia="zh-CN"/>
              </w:rPr>
              <w:t>全鸭（去毛、</w:t>
            </w:r>
            <w:r>
              <w:rPr>
                <w:rFonts w:hint="eastAsia"/>
                <w:b w:val="0"/>
                <w:bCs w:val="0"/>
                <w:lang w:val="en-US" w:eastAsia="zh-CN" w:bidi="ar"/>
              </w:rPr>
              <w:t>内脏</w:t>
            </w:r>
            <w:r>
              <w:rPr>
                <w:rFonts w:hint="eastAsia"/>
                <w:lang w:val="en-US" w:eastAsia="zh-CN"/>
              </w:rPr>
              <w:t>）</w:t>
            </w:r>
          </w:p>
        </w:tc>
        <w:tc>
          <w:tcPr>
            <w:tcW w:w="611" w:type="pct"/>
            <w:tcBorders>
              <w:tl2br w:val="nil"/>
              <w:tr2bl w:val="nil"/>
            </w:tcBorders>
            <w:shd w:val="clear" w:color="auto" w:fill="auto"/>
            <w:vAlign w:val="center"/>
          </w:tcPr>
          <w:p w14:paraId="219093EB">
            <w:pPr>
              <w:jc w:val="center"/>
              <w:rPr>
                <w:rFonts w:hint="default" w:eastAsia="宋体"/>
                <w:lang w:val="en-US" w:eastAsia="zh-CN"/>
              </w:rPr>
            </w:pPr>
            <w:r>
              <w:rPr>
                <w:rFonts w:hint="eastAsia"/>
                <w:lang w:val="en-US" w:eastAsia="zh-CN" w:bidi="ar"/>
              </w:rPr>
              <w:t>21489</w:t>
            </w:r>
          </w:p>
        </w:tc>
        <w:tc>
          <w:tcPr>
            <w:tcW w:w="495" w:type="pct"/>
            <w:tcBorders>
              <w:tl2br w:val="nil"/>
              <w:tr2bl w:val="nil"/>
            </w:tcBorders>
            <w:shd w:val="clear" w:color="auto" w:fill="auto"/>
            <w:noWrap/>
            <w:vAlign w:val="center"/>
          </w:tcPr>
          <w:p w14:paraId="5B4E83A3">
            <w:pPr>
              <w:jc w:val="center"/>
            </w:pPr>
            <w:r>
              <w:rPr>
                <w:rFonts w:hint="eastAsia"/>
                <w:lang w:bidi="ar"/>
              </w:rPr>
              <w:t>公斤</w:t>
            </w:r>
          </w:p>
        </w:tc>
        <w:tc>
          <w:tcPr>
            <w:tcW w:w="2891" w:type="pct"/>
            <w:vMerge w:val="continue"/>
            <w:tcBorders>
              <w:tl2br w:val="nil"/>
              <w:tr2bl w:val="nil"/>
            </w:tcBorders>
            <w:shd w:val="clear" w:color="auto" w:fill="auto"/>
            <w:vAlign w:val="center"/>
          </w:tcPr>
          <w:p w14:paraId="77FF7303"/>
        </w:tc>
      </w:tr>
      <w:tr w14:paraId="5D666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000" w:type="pct"/>
            <w:gridSpan w:val="6"/>
            <w:tcBorders>
              <w:tl2br w:val="nil"/>
              <w:tr2bl w:val="nil"/>
            </w:tcBorders>
            <w:shd w:val="clear" w:color="auto" w:fill="auto"/>
            <w:vAlign w:val="center"/>
          </w:tcPr>
          <w:p w14:paraId="4DDC6B79">
            <w:pPr>
              <w:rPr>
                <w:rFonts w:hint="eastAsia" w:eastAsia="宋体"/>
                <w:lang w:eastAsia="zh-CN"/>
              </w:rPr>
            </w:pPr>
            <w:r>
              <w:rPr>
                <w:rFonts w:hint="eastAsia"/>
              </w:rPr>
              <w:t>注：</w:t>
            </w:r>
            <w:r>
              <w:rPr>
                <w:rFonts w:hint="eastAsia"/>
                <w:lang w:eastAsia="zh-CN"/>
              </w:rPr>
              <w:t>以上采购数量为采购人一年的预计采购量，上述采购数量仅作为参考，实际采购数量根据采购人的实际需求确定，并根据实际采购数量及中标单价进行结算，中标人不得因实际供应量与中标数量不一致提出异议，不得因实际供应中批次采购量小而拒绝供应。</w:t>
            </w:r>
          </w:p>
        </w:tc>
      </w:tr>
      <w:tr w14:paraId="0151E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5000" w:type="pct"/>
            <w:gridSpan w:val="6"/>
            <w:tcBorders>
              <w:tl2br w:val="nil"/>
              <w:tr2bl w:val="nil"/>
            </w:tcBorders>
            <w:shd w:val="clear" w:color="auto" w:fill="auto"/>
            <w:vAlign w:val="center"/>
          </w:tcPr>
          <w:p w14:paraId="7184613A">
            <w:pPr>
              <w:rPr>
                <w:bCs/>
                <w:color w:val="000000"/>
              </w:rPr>
            </w:pPr>
            <w:r>
              <w:rPr>
                <w:rFonts w:hint="eastAsia"/>
                <w:b/>
                <w:bCs/>
                <w:lang w:bidi="ar"/>
              </w:rPr>
              <w:t>▲</w:t>
            </w:r>
            <w:r>
              <w:rPr>
                <w:rFonts w:hint="eastAsia"/>
                <w:b/>
                <w:bCs/>
              </w:rPr>
              <w:t>二、商务条款</w:t>
            </w:r>
          </w:p>
        </w:tc>
      </w:tr>
      <w:tr w14:paraId="16139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3" w:type="pct"/>
            <w:gridSpan w:val="2"/>
            <w:tcBorders>
              <w:tl2br w:val="nil"/>
              <w:tr2bl w:val="nil"/>
            </w:tcBorders>
            <w:shd w:val="clear" w:color="auto" w:fill="auto"/>
            <w:vAlign w:val="center"/>
          </w:tcPr>
          <w:p w14:paraId="6839C430">
            <w:pPr>
              <w:jc w:val="center"/>
            </w:pPr>
            <w:r>
              <w:rPr>
                <w:rFonts w:hint="eastAsia"/>
              </w:rPr>
              <w:t>合同签订期</w:t>
            </w:r>
          </w:p>
        </w:tc>
        <w:tc>
          <w:tcPr>
            <w:tcW w:w="4086" w:type="pct"/>
            <w:gridSpan w:val="4"/>
            <w:tcBorders>
              <w:tl2br w:val="nil"/>
              <w:tr2bl w:val="nil"/>
            </w:tcBorders>
            <w:shd w:val="clear" w:color="auto" w:fill="auto"/>
            <w:vAlign w:val="center"/>
          </w:tcPr>
          <w:p w14:paraId="292EECDF">
            <w:r>
              <w:rPr>
                <w:rFonts w:hint="eastAsia"/>
              </w:rPr>
              <w:t>自中标通知书发出之日起25日历日内</w:t>
            </w:r>
          </w:p>
        </w:tc>
      </w:tr>
      <w:tr w14:paraId="7C1C0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3" w:type="pct"/>
            <w:gridSpan w:val="2"/>
            <w:tcBorders>
              <w:tl2br w:val="nil"/>
              <w:tr2bl w:val="nil"/>
            </w:tcBorders>
            <w:shd w:val="clear" w:color="auto" w:fill="auto"/>
            <w:vAlign w:val="center"/>
          </w:tcPr>
          <w:p w14:paraId="78F59FC0">
            <w:pPr>
              <w:jc w:val="center"/>
            </w:pPr>
            <w:r>
              <w:rPr>
                <w:rFonts w:hint="eastAsia"/>
                <w:lang w:bidi="ar"/>
              </w:rPr>
              <w:t>投标报价要求</w:t>
            </w:r>
          </w:p>
        </w:tc>
        <w:tc>
          <w:tcPr>
            <w:tcW w:w="4086" w:type="pct"/>
            <w:gridSpan w:val="4"/>
            <w:tcBorders>
              <w:tl2br w:val="nil"/>
              <w:tr2bl w:val="nil"/>
            </w:tcBorders>
            <w:shd w:val="clear" w:color="auto" w:fill="auto"/>
            <w:vAlign w:val="center"/>
          </w:tcPr>
          <w:p w14:paraId="75995EB8">
            <w:pPr>
              <w:rPr>
                <w:rFonts w:hint="eastAsia" w:eastAsia="宋体"/>
                <w:lang w:eastAsia="zh-CN"/>
              </w:rPr>
            </w:pPr>
            <w:r>
              <w:rPr>
                <w:rFonts w:hint="eastAsia"/>
              </w:rPr>
              <w:t>1.</w:t>
            </w:r>
            <w:r>
              <w:rPr>
                <w:rFonts w:hint="eastAsia"/>
                <w:lang w:eastAsia="zh-CN"/>
              </w:rPr>
              <w:t>投标报价按投标折扣系数报价，实际结算单价为基准单价×投标报价折扣系数（例如某项货物基准单价为100元，折扣系数为95%，实际结算单价为100×95%=95元）。报价包括货物及服务采购、检验检测、包装、配送、运输、装卸、仓储、退换货、损耗、保险、人工、售后服务、税金等合同实施过程中的应预见和不可预见费用等所有费用总和。</w:t>
            </w:r>
          </w:p>
          <w:p w14:paraId="039378DE">
            <w:r>
              <w:rPr>
                <w:rFonts w:hint="eastAsia"/>
              </w:rPr>
              <w:t>2.投标报价折扣系数≤100%。</w:t>
            </w:r>
          </w:p>
        </w:tc>
      </w:tr>
      <w:tr w14:paraId="11776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3" w:type="pct"/>
            <w:gridSpan w:val="2"/>
            <w:tcBorders>
              <w:tl2br w:val="nil"/>
              <w:tr2bl w:val="nil"/>
            </w:tcBorders>
            <w:shd w:val="clear" w:color="auto" w:fill="auto"/>
            <w:vAlign w:val="center"/>
          </w:tcPr>
          <w:p w14:paraId="6381FBFC">
            <w:pPr>
              <w:jc w:val="center"/>
            </w:pPr>
            <w:r>
              <w:rPr>
                <w:rFonts w:hint="eastAsia"/>
                <w:lang w:bidi="ar"/>
              </w:rPr>
              <w:t>质保期</w:t>
            </w:r>
          </w:p>
        </w:tc>
        <w:tc>
          <w:tcPr>
            <w:tcW w:w="4086" w:type="pct"/>
            <w:gridSpan w:val="4"/>
            <w:tcBorders>
              <w:tl2br w:val="nil"/>
              <w:tr2bl w:val="nil"/>
            </w:tcBorders>
            <w:shd w:val="clear" w:color="auto" w:fill="auto"/>
            <w:vAlign w:val="center"/>
          </w:tcPr>
          <w:p w14:paraId="0865C6C8">
            <w:r>
              <w:rPr>
                <w:rFonts w:hint="eastAsia" w:ascii="宋体" w:hAnsi="宋体" w:cs="宋体"/>
                <w:kern w:val="0"/>
                <w:szCs w:val="21"/>
              </w:rPr>
              <w:t>自每批次货物验收合格之日起计算，不少于24小时。</w:t>
            </w:r>
          </w:p>
        </w:tc>
      </w:tr>
      <w:tr w14:paraId="06585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3" w:type="pct"/>
            <w:gridSpan w:val="2"/>
            <w:tcBorders>
              <w:tl2br w:val="nil"/>
              <w:tr2bl w:val="nil"/>
            </w:tcBorders>
            <w:shd w:val="clear" w:color="auto" w:fill="auto"/>
            <w:vAlign w:val="center"/>
          </w:tcPr>
          <w:p w14:paraId="42B1677E">
            <w:pPr>
              <w:jc w:val="center"/>
              <w:rPr>
                <w:rFonts w:hint="eastAsia" w:eastAsia="宋体"/>
                <w:lang w:eastAsia="zh-CN"/>
              </w:rPr>
            </w:pPr>
            <w:r>
              <w:rPr>
                <w:rFonts w:hint="eastAsia"/>
                <w:lang w:bidi="ar"/>
              </w:rPr>
              <w:t>交货时间及交货地点、</w:t>
            </w:r>
            <w:r>
              <w:rPr>
                <w:rFonts w:hint="eastAsia"/>
                <w:lang w:eastAsia="zh-CN" w:bidi="ar"/>
              </w:rPr>
              <w:t>合同履行期限</w:t>
            </w:r>
          </w:p>
        </w:tc>
        <w:tc>
          <w:tcPr>
            <w:tcW w:w="4086" w:type="pct"/>
            <w:gridSpan w:val="4"/>
            <w:tcBorders>
              <w:tl2br w:val="nil"/>
              <w:tr2bl w:val="nil"/>
            </w:tcBorders>
            <w:shd w:val="clear" w:color="auto" w:fill="auto"/>
            <w:vAlign w:val="center"/>
          </w:tcPr>
          <w:p w14:paraId="2D5544A0">
            <w:pPr>
              <w:rPr>
                <w:rFonts w:hint="eastAsia" w:eastAsia="宋体"/>
                <w:lang w:eastAsia="zh-CN"/>
              </w:rPr>
            </w:pPr>
            <w:r>
              <w:rPr>
                <w:rFonts w:hint="eastAsia"/>
              </w:rPr>
              <w:t>1.交货时间：</w:t>
            </w:r>
            <w:r>
              <w:rPr>
                <w:rFonts w:hint="eastAsia"/>
                <w:lang w:eastAsia="zh-CN"/>
              </w:rPr>
              <w:t>分批次供货，按采购单位采购计划规定的时间全年无休供货。</w:t>
            </w:r>
          </w:p>
          <w:p w14:paraId="0C5E6871">
            <w:r>
              <w:rPr>
                <w:rFonts w:hint="eastAsia"/>
              </w:rPr>
              <w:t>2.交货地点：</w:t>
            </w:r>
            <w:r>
              <w:rPr>
                <w:rFonts w:hint="eastAsia"/>
                <w:lang w:eastAsia="zh-CN"/>
              </w:rPr>
              <w:t>广西壮族自治区贵港监狱监管区</w:t>
            </w:r>
            <w:r>
              <w:rPr>
                <w:rFonts w:hint="eastAsia"/>
              </w:rPr>
              <w:t>。</w:t>
            </w:r>
          </w:p>
          <w:p w14:paraId="7809810F">
            <w:pPr>
              <w:rPr>
                <w:rFonts w:hint="eastAsia" w:eastAsia="宋体"/>
                <w:lang w:eastAsia="zh-CN"/>
              </w:rPr>
            </w:pPr>
            <w:r>
              <w:rPr>
                <w:rFonts w:hint="eastAsia"/>
              </w:rPr>
              <w:t>3.</w:t>
            </w:r>
            <w:r>
              <w:rPr>
                <w:rFonts w:hint="eastAsia"/>
                <w:lang w:eastAsia="zh-CN"/>
              </w:rPr>
              <w:t>合同履行期限</w:t>
            </w:r>
            <w:r>
              <w:rPr>
                <w:rFonts w:hint="eastAsia"/>
              </w:rPr>
              <w:t>：</w:t>
            </w:r>
            <w:r>
              <w:rPr>
                <w:rFonts w:hint="eastAsia"/>
                <w:lang w:eastAsia="zh-CN"/>
              </w:rPr>
              <w:t>自签订合同之日起一年。</w:t>
            </w:r>
          </w:p>
        </w:tc>
      </w:tr>
      <w:tr w14:paraId="55DBB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3" w:type="pct"/>
            <w:gridSpan w:val="2"/>
            <w:tcBorders>
              <w:tl2br w:val="nil"/>
              <w:tr2bl w:val="nil"/>
            </w:tcBorders>
            <w:shd w:val="clear" w:color="auto" w:fill="auto"/>
            <w:vAlign w:val="center"/>
          </w:tcPr>
          <w:p w14:paraId="13F8A4CE">
            <w:pPr>
              <w:jc w:val="center"/>
            </w:pPr>
            <w:r>
              <w:rPr>
                <w:rFonts w:hint="eastAsia"/>
                <w:lang w:bidi="ar"/>
              </w:rPr>
              <w:t>付款条件</w:t>
            </w:r>
          </w:p>
        </w:tc>
        <w:tc>
          <w:tcPr>
            <w:tcW w:w="4086" w:type="pct"/>
            <w:gridSpan w:val="4"/>
            <w:tcBorders>
              <w:tl2br w:val="nil"/>
              <w:tr2bl w:val="nil"/>
            </w:tcBorders>
            <w:shd w:val="clear" w:color="auto" w:fill="auto"/>
            <w:vAlign w:val="center"/>
          </w:tcPr>
          <w:p w14:paraId="7829A71E">
            <w:pPr>
              <w:rPr>
                <w:rFonts w:hint="eastAsia" w:eastAsia="宋体"/>
                <w:lang w:eastAsia="zh-CN"/>
              </w:rPr>
            </w:pPr>
            <w:r>
              <w:rPr>
                <w:rFonts w:hint="eastAsia"/>
              </w:rPr>
              <w:t>1.</w:t>
            </w:r>
            <w:r>
              <w:rPr>
                <w:rFonts w:hint="eastAsia"/>
                <w:lang w:eastAsia="zh-CN"/>
              </w:rPr>
              <w:t>分批供货，每批次货款根据双方确认的单价及该批次的实际供货数量进行结算。</w:t>
            </w:r>
          </w:p>
          <w:p w14:paraId="1DC8B9B7">
            <w:pPr>
              <w:rPr>
                <w:rFonts w:hint="eastAsia" w:eastAsia="宋体"/>
                <w:lang w:eastAsia="zh-CN"/>
              </w:rPr>
            </w:pPr>
            <w:r>
              <w:rPr>
                <w:rFonts w:hint="eastAsia"/>
              </w:rPr>
              <w:t>2.</w:t>
            </w:r>
            <w:r>
              <w:rPr>
                <w:rFonts w:hint="eastAsia"/>
                <w:lang w:eastAsia="zh-CN"/>
              </w:rPr>
              <w:t>按月结算，采购人在收到</w:t>
            </w:r>
            <w:r>
              <w:rPr>
                <w:rFonts w:hint="eastAsia"/>
                <w:lang w:val="en-US" w:eastAsia="zh-CN"/>
              </w:rPr>
              <w:t>中</w:t>
            </w:r>
            <w:r>
              <w:rPr>
                <w:rFonts w:hint="eastAsia"/>
                <w:lang w:eastAsia="zh-CN"/>
              </w:rPr>
              <w:t>标人上月全额发票后15个工作日内向</w:t>
            </w:r>
            <w:r>
              <w:rPr>
                <w:rFonts w:hint="eastAsia"/>
                <w:lang w:val="en-US" w:eastAsia="zh-CN"/>
              </w:rPr>
              <w:t>中</w:t>
            </w:r>
            <w:r>
              <w:rPr>
                <w:rFonts w:hint="eastAsia"/>
                <w:lang w:eastAsia="zh-CN"/>
              </w:rPr>
              <w:t>标人一次付清上月货物的全部货款。</w:t>
            </w:r>
          </w:p>
        </w:tc>
      </w:tr>
      <w:tr w14:paraId="38186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3" w:type="pct"/>
            <w:gridSpan w:val="2"/>
            <w:tcBorders>
              <w:tl2br w:val="nil"/>
              <w:tr2bl w:val="nil"/>
            </w:tcBorders>
            <w:shd w:val="clear" w:color="auto" w:fill="auto"/>
            <w:vAlign w:val="center"/>
          </w:tcPr>
          <w:p w14:paraId="545BFBD6">
            <w:pPr>
              <w:jc w:val="center"/>
            </w:pPr>
            <w:r>
              <w:rPr>
                <w:rFonts w:hint="eastAsia"/>
                <w:lang w:bidi="ar"/>
              </w:rPr>
              <w:t>配送要求</w:t>
            </w:r>
          </w:p>
        </w:tc>
        <w:tc>
          <w:tcPr>
            <w:tcW w:w="4086" w:type="pct"/>
            <w:gridSpan w:val="4"/>
            <w:tcBorders>
              <w:tl2br w:val="nil"/>
              <w:tr2bl w:val="nil"/>
            </w:tcBorders>
            <w:shd w:val="clear" w:color="auto" w:fill="auto"/>
            <w:vAlign w:val="center"/>
          </w:tcPr>
          <w:p w14:paraId="56D24D6B">
            <w:pPr>
              <w:rPr>
                <w:rFonts w:hint="eastAsia" w:eastAsia="宋体"/>
                <w:lang w:eastAsia="zh-CN"/>
              </w:rPr>
            </w:pPr>
            <w:r>
              <w:rPr>
                <w:rFonts w:hint="eastAsia"/>
              </w:rPr>
              <w:t>1.</w:t>
            </w:r>
            <w:r>
              <w:rPr>
                <w:rFonts w:hint="eastAsia"/>
                <w:lang w:eastAsia="zh-CN"/>
              </w:rPr>
              <w:t>中标人必须按照采购人通知的时间、数量、品种、品质要求及协定的价格，按采购人要求分装好准时送货，经验收合格后双方签字确认，中标人不能以任何理由推托，一旦影响到采购人工作的正常运转，中标人应承担相应的经济赔偿。临时性增加的品种，并签订书面补充协议，方可作为主合同不可分割的一部分。</w:t>
            </w:r>
          </w:p>
          <w:p w14:paraId="24C766CF">
            <w:pPr>
              <w:rPr>
                <w:rFonts w:hint="eastAsia" w:eastAsia="宋体"/>
                <w:lang w:eastAsia="zh-CN"/>
              </w:rPr>
            </w:pPr>
            <w:r>
              <w:rPr>
                <w:rFonts w:hint="eastAsia"/>
              </w:rPr>
              <w:t>2.</w:t>
            </w:r>
            <w:r>
              <w:rPr>
                <w:rFonts w:hint="eastAsia"/>
                <w:lang w:eastAsia="zh-CN"/>
              </w:rPr>
              <w:t>一般供货要求：在收到采购人发出订货通知后，中标人最迟在次日上午8时前必须到达监管区大门。</w:t>
            </w:r>
          </w:p>
          <w:p w14:paraId="1EF0A1C6">
            <w:pPr>
              <w:rPr>
                <w:rFonts w:hint="eastAsia" w:eastAsia="宋体"/>
                <w:lang w:eastAsia="zh-CN"/>
              </w:rPr>
            </w:pPr>
            <w:r>
              <w:rPr>
                <w:rFonts w:hint="eastAsia"/>
              </w:rPr>
              <w:t>3.紧急供货要求：</w:t>
            </w:r>
            <w:r>
              <w:rPr>
                <w:rFonts w:hint="eastAsia"/>
                <w:lang w:eastAsia="zh-CN"/>
              </w:rPr>
              <w:t>在收到采购人发出紧急供货通知后，中标人最迟2小时内完成当次现场供货。</w:t>
            </w:r>
          </w:p>
          <w:p w14:paraId="405D196D">
            <w:r>
              <w:rPr>
                <w:rFonts w:hint="eastAsia"/>
              </w:rPr>
              <w:t>4.</w:t>
            </w:r>
            <w:r>
              <w:rPr>
                <w:rFonts w:hint="eastAsia"/>
                <w:lang w:eastAsia="zh-CN" w:bidi="ar"/>
              </w:rPr>
              <w:t>供应商必须安排至少2名固定配送人员及固定配送车辆长期送货，配送人员无犯罪记录，在办理好进入监区相关手续时提供无犯罪证明且后不得随意变动，如临时由非固定人员或固定车辆送货，须提前取得采购人同意。</w:t>
            </w:r>
          </w:p>
          <w:p w14:paraId="197DFD8E">
            <w:r>
              <w:rPr>
                <w:rFonts w:hint="eastAsia"/>
              </w:rPr>
              <w:t>5.</w:t>
            </w:r>
            <w:r>
              <w:rPr>
                <w:rFonts w:hint="eastAsia"/>
                <w:lang w:bidi="ar"/>
              </w:rPr>
              <w:t>配送人员</w:t>
            </w:r>
            <w:r>
              <w:rPr>
                <w:rFonts w:hint="eastAsia"/>
                <w:lang w:val="en-US" w:eastAsia="zh-CN" w:bidi="ar"/>
              </w:rPr>
              <w:t>自觉</w:t>
            </w:r>
            <w:r>
              <w:rPr>
                <w:rFonts w:hint="eastAsia"/>
                <w:lang w:bidi="ar"/>
              </w:rPr>
              <w:t>接受采购</w:t>
            </w:r>
            <w:r>
              <w:rPr>
                <w:rFonts w:hint="eastAsia"/>
                <w:lang w:val="en-US" w:eastAsia="zh-CN" w:bidi="ar"/>
              </w:rPr>
              <w:t>人</w:t>
            </w:r>
            <w:r>
              <w:rPr>
                <w:rFonts w:hint="eastAsia"/>
                <w:lang w:bidi="ar"/>
              </w:rPr>
              <w:t>的现场管理，</w:t>
            </w:r>
            <w:r>
              <w:rPr>
                <w:rFonts w:hint="eastAsia"/>
                <w:lang w:val="en-US" w:eastAsia="zh-CN" w:bidi="ar"/>
              </w:rPr>
              <w:t>应</w:t>
            </w:r>
            <w:r>
              <w:rPr>
                <w:rFonts w:hint="eastAsia"/>
                <w:lang w:bidi="ar"/>
              </w:rPr>
              <w:t>穿着便于辨认的工衣或配戴胸卡，严格遵守采购人单位各项规章制度，</w:t>
            </w:r>
            <w:r>
              <w:rPr>
                <w:rFonts w:hint="eastAsia"/>
                <w:lang w:val="en-US" w:eastAsia="zh-CN" w:bidi="ar"/>
              </w:rPr>
              <w:t>不得携带违禁物品进入监狱监管区域，</w:t>
            </w:r>
            <w:r>
              <w:rPr>
                <w:rFonts w:hint="eastAsia"/>
                <w:lang w:bidi="ar"/>
              </w:rPr>
              <w:t>不得做出有损采购人形象和利益的事情</w:t>
            </w:r>
            <w:r>
              <w:rPr>
                <w:rFonts w:hint="eastAsia"/>
                <w:lang w:eastAsia="zh-CN" w:bidi="ar"/>
              </w:rPr>
              <w:t>。</w:t>
            </w:r>
            <w:r>
              <w:rPr>
                <w:rFonts w:hint="eastAsia"/>
                <w:lang w:bidi="ar"/>
              </w:rPr>
              <w:t>配送人员应当了解本项目采购需求，掌握送货各环节流程，熟悉送货路线、标准送货程序</w:t>
            </w:r>
            <w:r>
              <w:rPr>
                <w:rFonts w:hint="eastAsia"/>
                <w:lang w:eastAsia="zh-CN" w:bidi="ar"/>
              </w:rPr>
              <w:t>，</w:t>
            </w:r>
            <w:r>
              <w:rPr>
                <w:rFonts w:hint="eastAsia"/>
                <w:lang w:bidi="ar"/>
              </w:rPr>
              <w:t>安全</w:t>
            </w:r>
            <w:r>
              <w:rPr>
                <w:rFonts w:hint="eastAsia"/>
                <w:lang w:eastAsia="zh-CN" w:bidi="ar"/>
              </w:rPr>
              <w:t>、</w:t>
            </w:r>
            <w:r>
              <w:rPr>
                <w:rFonts w:hint="eastAsia"/>
                <w:lang w:bidi="ar"/>
              </w:rPr>
              <w:t>规范</w:t>
            </w:r>
            <w:r>
              <w:rPr>
                <w:rFonts w:hint="eastAsia"/>
                <w:lang w:eastAsia="zh-CN" w:bidi="ar"/>
              </w:rPr>
              <w:t>、</w:t>
            </w:r>
            <w:r>
              <w:rPr>
                <w:rFonts w:hint="eastAsia"/>
                <w:lang w:bidi="ar"/>
              </w:rPr>
              <w:t>高效做好送货工作。对于配送工作不认真，态度恶劣的配送人员，采购</w:t>
            </w:r>
            <w:r>
              <w:rPr>
                <w:rFonts w:hint="eastAsia"/>
                <w:lang w:val="en-US" w:eastAsia="zh-CN" w:bidi="ar"/>
              </w:rPr>
              <w:t>人</w:t>
            </w:r>
            <w:r>
              <w:rPr>
                <w:rFonts w:hint="eastAsia"/>
                <w:lang w:bidi="ar"/>
              </w:rPr>
              <w:t>有权要求</w:t>
            </w:r>
            <w:r>
              <w:rPr>
                <w:rFonts w:hint="eastAsia"/>
                <w:lang w:val="en-US" w:eastAsia="zh-CN" w:bidi="ar"/>
              </w:rPr>
              <w:t>中标人</w:t>
            </w:r>
            <w:r>
              <w:rPr>
                <w:rFonts w:hint="eastAsia"/>
                <w:lang w:bidi="ar"/>
              </w:rPr>
              <w:t>无条件更换人员，且不能影响</w:t>
            </w:r>
            <w:r>
              <w:rPr>
                <w:rFonts w:hint="eastAsia"/>
                <w:lang w:val="en-US" w:eastAsia="zh-CN" w:bidi="ar"/>
              </w:rPr>
              <w:t>采购人</w:t>
            </w:r>
            <w:r>
              <w:rPr>
                <w:rFonts w:hint="eastAsia"/>
                <w:lang w:eastAsia="zh-CN" w:bidi="ar"/>
              </w:rPr>
              <w:t>工作的正常运转。</w:t>
            </w:r>
            <w:r>
              <w:rPr>
                <w:rFonts w:hint="eastAsia"/>
                <w:lang w:val="en-US" w:eastAsia="zh-CN" w:bidi="ar"/>
              </w:rPr>
              <w:t>如因</w:t>
            </w:r>
            <w:r>
              <w:rPr>
                <w:rFonts w:hint="eastAsia"/>
                <w:lang w:bidi="ar"/>
              </w:rPr>
              <w:t>配送人员因离职等</w:t>
            </w:r>
            <w:r>
              <w:rPr>
                <w:rFonts w:hint="eastAsia"/>
                <w:lang w:val="en-US" w:eastAsia="zh-CN" w:bidi="ar"/>
              </w:rPr>
              <w:t>客观原因确实</w:t>
            </w:r>
            <w:r>
              <w:rPr>
                <w:rFonts w:hint="eastAsia"/>
                <w:lang w:bidi="ar"/>
              </w:rPr>
              <w:t>需要更换人员的，须提前7个工作日内向采购</w:t>
            </w:r>
            <w:r>
              <w:rPr>
                <w:rFonts w:hint="eastAsia"/>
                <w:lang w:val="en-US" w:eastAsia="zh-CN" w:bidi="ar"/>
              </w:rPr>
              <w:t>人</w:t>
            </w:r>
            <w:r>
              <w:rPr>
                <w:rFonts w:hint="eastAsia"/>
                <w:lang w:bidi="ar"/>
              </w:rPr>
              <w:t>提出申请，经采购</w:t>
            </w:r>
            <w:r>
              <w:rPr>
                <w:rFonts w:hint="eastAsia"/>
                <w:lang w:val="en-US" w:eastAsia="zh-CN" w:bidi="ar"/>
              </w:rPr>
              <w:t>人同意</w:t>
            </w:r>
            <w:r>
              <w:rPr>
                <w:rFonts w:hint="eastAsia"/>
                <w:lang w:bidi="ar"/>
              </w:rPr>
              <w:t>后，</w:t>
            </w:r>
            <w:r>
              <w:rPr>
                <w:rFonts w:hint="eastAsia"/>
                <w:lang w:val="en-US" w:eastAsia="zh-CN" w:bidi="ar"/>
              </w:rPr>
              <w:t>中标人</w:t>
            </w:r>
            <w:r>
              <w:rPr>
                <w:rFonts w:hint="eastAsia"/>
                <w:lang w:bidi="ar"/>
              </w:rPr>
              <w:t>方可</w:t>
            </w:r>
            <w:r>
              <w:rPr>
                <w:rFonts w:hint="eastAsia"/>
                <w:lang w:val="en-US" w:eastAsia="zh-CN" w:bidi="ar"/>
              </w:rPr>
              <w:t>更</w:t>
            </w:r>
            <w:r>
              <w:rPr>
                <w:rFonts w:hint="eastAsia"/>
                <w:lang w:bidi="ar"/>
              </w:rPr>
              <w:t>换</w:t>
            </w:r>
            <w:r>
              <w:rPr>
                <w:rFonts w:hint="eastAsia"/>
                <w:lang w:eastAsia="zh-CN" w:bidi="ar"/>
              </w:rPr>
              <w:t>人员</w:t>
            </w:r>
            <w:r>
              <w:rPr>
                <w:rFonts w:hint="eastAsia"/>
                <w:lang w:bidi="ar"/>
              </w:rPr>
              <w:t>，并确保配送工作的稳定交接。</w:t>
            </w:r>
          </w:p>
        </w:tc>
      </w:tr>
      <w:tr w14:paraId="5F407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3" w:type="pct"/>
            <w:gridSpan w:val="2"/>
            <w:tcBorders>
              <w:tl2br w:val="nil"/>
              <w:tr2bl w:val="nil"/>
            </w:tcBorders>
            <w:shd w:val="clear" w:color="auto" w:fill="auto"/>
            <w:vAlign w:val="center"/>
          </w:tcPr>
          <w:p w14:paraId="70F469D0">
            <w:pPr>
              <w:jc w:val="center"/>
            </w:pPr>
            <w:r>
              <w:rPr>
                <w:rFonts w:hint="eastAsia"/>
                <w:lang w:bidi="ar"/>
              </w:rPr>
              <w:t>安全责任</w:t>
            </w:r>
          </w:p>
        </w:tc>
        <w:tc>
          <w:tcPr>
            <w:tcW w:w="4086" w:type="pct"/>
            <w:gridSpan w:val="4"/>
            <w:tcBorders>
              <w:tl2br w:val="nil"/>
              <w:tr2bl w:val="nil"/>
            </w:tcBorders>
            <w:shd w:val="clear" w:color="auto" w:fill="auto"/>
            <w:vAlign w:val="center"/>
          </w:tcPr>
          <w:p w14:paraId="5ECE2110">
            <w:pPr>
              <w:rPr>
                <w:rFonts w:hint="eastAsia"/>
              </w:rPr>
            </w:pPr>
            <w:r>
              <w:rPr>
                <w:rFonts w:hint="eastAsia"/>
              </w:rPr>
              <w:t>1.中标人提供</w:t>
            </w:r>
            <w:r>
              <w:rPr>
                <w:rFonts w:hint="eastAsia"/>
                <w:lang w:val="en-US" w:eastAsia="zh-CN"/>
              </w:rPr>
              <w:t>食品必须</w:t>
            </w:r>
            <w:r>
              <w:rPr>
                <w:rFonts w:hint="eastAsia"/>
              </w:rPr>
              <w:t>是合格安全的产品</w:t>
            </w:r>
            <w:r>
              <w:rPr>
                <w:rFonts w:hint="eastAsia"/>
                <w:lang w:eastAsia="zh-CN"/>
              </w:rPr>
              <w:t>，</w:t>
            </w:r>
            <w:r>
              <w:rPr>
                <w:rFonts w:hint="eastAsia"/>
                <w:lang w:val="en-US" w:eastAsia="zh-CN"/>
              </w:rPr>
              <w:t>如出现</w:t>
            </w:r>
            <w:r>
              <w:rPr>
                <w:rFonts w:hint="eastAsia"/>
              </w:rPr>
              <w:t>质量不合格的食品，采购人有权要求无条件退货并及时换货，第一次按配送金额全额赔偿损失，第二次按配送金额的2倍赔偿损失，第三次采购</w:t>
            </w:r>
            <w:r>
              <w:rPr>
                <w:rFonts w:hint="eastAsia"/>
                <w:lang w:val="en-US" w:eastAsia="zh-CN"/>
              </w:rPr>
              <w:t>人有权单方</w:t>
            </w:r>
            <w:r>
              <w:rPr>
                <w:rFonts w:hint="eastAsia"/>
              </w:rPr>
              <w:t>终止合同并扣罚所有的履约保证金。</w:t>
            </w:r>
            <w:r>
              <w:rPr>
                <w:rFonts w:hint="eastAsia"/>
                <w:lang w:val="en-US" w:eastAsia="zh-CN"/>
              </w:rPr>
              <w:t>如中标人因</w:t>
            </w:r>
            <w:r>
              <w:rPr>
                <w:rFonts w:hint="eastAsia"/>
              </w:rPr>
              <w:t>非不可抗力原因故意不供货的，采购人可随时无条件终止合同并扣罚所有的履约保证金。</w:t>
            </w:r>
          </w:p>
          <w:p w14:paraId="11360C87">
            <w:pPr>
              <w:rPr>
                <w:rFonts w:hint="eastAsia"/>
              </w:rPr>
            </w:pPr>
            <w:r>
              <w:rPr>
                <w:rFonts w:hint="eastAsia"/>
              </w:rPr>
              <w:t>2.中标人若提供有毒有害食品，造成食品安全事故的，经有关单位鉴定原因后，如确实为中标人提供的食品问题</w:t>
            </w:r>
            <w:r>
              <w:rPr>
                <w:rFonts w:hint="eastAsia"/>
                <w:lang w:val="en-US" w:eastAsia="zh-CN"/>
              </w:rPr>
              <w:t>造成的</w:t>
            </w:r>
            <w:r>
              <w:rPr>
                <w:rFonts w:hint="eastAsia"/>
              </w:rPr>
              <w:t>，中标人须</w:t>
            </w:r>
            <w:r>
              <w:rPr>
                <w:rFonts w:hint="eastAsia"/>
                <w:lang w:val="en-US" w:eastAsia="zh-CN"/>
              </w:rPr>
              <w:t>承担相关的</w:t>
            </w:r>
            <w:r>
              <w:rPr>
                <w:rFonts w:hint="eastAsia"/>
              </w:rPr>
              <w:t>住院费、医药费、护理费、护工费等</w:t>
            </w:r>
            <w:r>
              <w:rPr>
                <w:rFonts w:hint="eastAsia"/>
                <w:lang w:val="en-US" w:eastAsia="zh-CN"/>
              </w:rPr>
              <w:t>全额</w:t>
            </w:r>
            <w:r>
              <w:rPr>
                <w:rFonts w:hint="eastAsia"/>
              </w:rPr>
              <w:t>费用</w:t>
            </w:r>
            <w:r>
              <w:rPr>
                <w:rFonts w:hint="eastAsia"/>
                <w:lang w:eastAsia="zh-CN"/>
              </w:rPr>
              <w:t>。</w:t>
            </w:r>
            <w:r>
              <w:rPr>
                <w:rFonts w:hint="eastAsia"/>
                <w:lang w:val="en-US" w:eastAsia="zh-CN"/>
              </w:rPr>
              <w:t>同时</w:t>
            </w:r>
            <w:r>
              <w:rPr>
                <w:rFonts w:hint="eastAsia"/>
              </w:rPr>
              <w:t>采购人</w:t>
            </w:r>
            <w:r>
              <w:rPr>
                <w:rFonts w:hint="eastAsia"/>
                <w:lang w:val="en-US" w:eastAsia="zh-CN"/>
              </w:rPr>
              <w:t>有权</w:t>
            </w:r>
            <w:r>
              <w:rPr>
                <w:rFonts w:hint="eastAsia"/>
              </w:rPr>
              <w:t>取消中标人的供货资格，扣罚</w:t>
            </w:r>
            <w:r>
              <w:rPr>
                <w:rFonts w:hint="eastAsia"/>
                <w:lang w:val="en-US" w:eastAsia="zh-CN"/>
              </w:rPr>
              <w:t>所有</w:t>
            </w:r>
            <w:r>
              <w:rPr>
                <w:rFonts w:hint="eastAsia"/>
              </w:rPr>
              <w:t>履约保证金，中标人</w:t>
            </w:r>
            <w:r>
              <w:rPr>
                <w:rFonts w:hint="eastAsia"/>
                <w:lang w:val="en-US" w:eastAsia="zh-CN"/>
              </w:rPr>
              <w:t>还应</w:t>
            </w:r>
            <w:r>
              <w:rPr>
                <w:rFonts w:hint="eastAsia"/>
              </w:rPr>
              <w:t>承担相应的民事及刑事法律责任。采购人可以扣留中标人的货款用于支付中标人</w:t>
            </w:r>
            <w:r>
              <w:rPr>
                <w:rFonts w:hint="eastAsia"/>
                <w:lang w:val="en-US" w:eastAsia="zh-CN"/>
              </w:rPr>
              <w:t>承担</w:t>
            </w:r>
            <w:r>
              <w:rPr>
                <w:rFonts w:hint="eastAsia"/>
              </w:rPr>
              <w:t>的住院费、医药费、护理费、护工费等</w:t>
            </w:r>
            <w:r>
              <w:rPr>
                <w:rFonts w:hint="eastAsia"/>
                <w:lang w:val="en-US" w:eastAsia="zh-CN"/>
              </w:rPr>
              <w:t>相关</w:t>
            </w:r>
            <w:r>
              <w:rPr>
                <w:rFonts w:hint="eastAsia"/>
              </w:rPr>
              <w:t>费用。</w:t>
            </w:r>
          </w:p>
          <w:p w14:paraId="11F433CE">
            <w:pPr>
              <w:rPr>
                <w:rFonts w:hint="eastAsia"/>
                <w:lang w:val="en-US" w:eastAsia="zh-CN"/>
              </w:rPr>
            </w:pPr>
            <w:r>
              <w:rPr>
                <w:rFonts w:hint="eastAsia"/>
                <w:lang w:val="en-US" w:eastAsia="zh-CN"/>
              </w:rPr>
              <w:t>3.中标人故意提供假冒伪劣、过期、变质食品的，采购人可以拒付未付的所有货款，并扣罚所有履约保证金，同时采购人可以终止合同。</w:t>
            </w:r>
          </w:p>
          <w:p w14:paraId="23C0AE5B">
            <w:r>
              <w:rPr>
                <w:rFonts w:hint="eastAsia"/>
                <w:lang w:val="en-US" w:eastAsia="zh-CN"/>
              </w:rPr>
              <w:t>4.不得采用金属制品、玻璃制品等危险包装。</w:t>
            </w:r>
          </w:p>
        </w:tc>
      </w:tr>
      <w:tr w14:paraId="2E4F5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3" w:type="pct"/>
            <w:gridSpan w:val="2"/>
            <w:tcBorders>
              <w:tl2br w:val="nil"/>
              <w:tr2bl w:val="nil"/>
            </w:tcBorders>
            <w:shd w:val="clear" w:color="auto" w:fill="auto"/>
            <w:vAlign w:val="center"/>
          </w:tcPr>
          <w:p w14:paraId="7A5FE4F8">
            <w:pPr>
              <w:jc w:val="center"/>
            </w:pPr>
            <w:r>
              <w:rPr>
                <w:rFonts w:hint="eastAsia"/>
                <w:lang w:bidi="ar"/>
              </w:rPr>
              <w:t>售后服务要求</w:t>
            </w:r>
          </w:p>
        </w:tc>
        <w:tc>
          <w:tcPr>
            <w:tcW w:w="4086" w:type="pct"/>
            <w:gridSpan w:val="4"/>
            <w:tcBorders>
              <w:tl2br w:val="nil"/>
              <w:tr2bl w:val="nil"/>
            </w:tcBorders>
            <w:shd w:val="clear" w:color="auto" w:fill="auto"/>
            <w:vAlign w:val="center"/>
          </w:tcPr>
          <w:p w14:paraId="537434AA">
            <w:pPr>
              <w:rPr>
                <w:lang w:bidi="ar"/>
              </w:rPr>
            </w:pPr>
            <w:r>
              <w:rPr>
                <w:rFonts w:hint="eastAsia"/>
                <w:lang w:bidi="ar"/>
              </w:rPr>
              <w:t>1.</w:t>
            </w:r>
            <w:r>
              <w:rPr>
                <w:rFonts w:hint="eastAsia" w:ascii="宋体" w:hAnsi="宋体" w:eastAsia="宋体" w:cs="宋体"/>
                <w:color w:val="auto"/>
                <w:kern w:val="0"/>
                <w:szCs w:val="21"/>
              </w:rPr>
              <w:t>属于国家规定“三包”范围</w:t>
            </w:r>
            <w:r>
              <w:rPr>
                <w:rFonts w:hint="eastAsia" w:ascii="宋体" w:hAnsi="宋体" w:eastAsia="宋体" w:cs="宋体"/>
                <w:color w:val="auto"/>
                <w:kern w:val="0"/>
                <w:szCs w:val="21"/>
                <w:lang w:val="en-US" w:eastAsia="zh-CN"/>
              </w:rPr>
              <w:t>执行</w:t>
            </w:r>
            <w:r>
              <w:rPr>
                <w:rFonts w:hint="eastAsia"/>
                <w:lang w:bidi="ar"/>
              </w:rPr>
              <w:t>“三包”；</w:t>
            </w:r>
          </w:p>
          <w:p w14:paraId="6B8622F8">
            <w:pPr>
              <w:rPr>
                <w:lang w:bidi="ar"/>
              </w:rPr>
            </w:pPr>
            <w:r>
              <w:rPr>
                <w:rFonts w:hint="eastAsia"/>
                <w:lang w:bidi="ar"/>
              </w:rPr>
              <w:t>2.</w:t>
            </w:r>
            <w:r>
              <w:rPr>
                <w:rFonts w:hint="eastAsia"/>
                <w:lang w:val="en-US" w:eastAsia="zh-CN" w:bidi="ar"/>
              </w:rPr>
              <w:t>负责</w:t>
            </w:r>
            <w:r>
              <w:rPr>
                <w:rFonts w:hint="eastAsia"/>
                <w:lang w:bidi="ar"/>
              </w:rPr>
              <w:t>送货上门</w:t>
            </w:r>
            <w:r>
              <w:rPr>
                <w:rFonts w:hint="eastAsia"/>
                <w:lang w:val="en-US" w:eastAsia="zh-CN" w:bidi="ar"/>
              </w:rPr>
              <w:t>并承担相关费用</w:t>
            </w:r>
            <w:r>
              <w:rPr>
                <w:rFonts w:hint="eastAsia"/>
                <w:lang w:bidi="ar"/>
              </w:rPr>
              <w:t>；</w:t>
            </w:r>
          </w:p>
          <w:p w14:paraId="2CDF97DC">
            <w:r>
              <w:rPr>
                <w:rFonts w:hint="eastAsia"/>
                <w:lang w:bidi="ar"/>
              </w:rPr>
              <w:t>3.保质保量，如在质保期内发现质量问题，</w:t>
            </w:r>
            <w:r>
              <w:rPr>
                <w:rFonts w:hint="eastAsia"/>
                <w:lang w:val="en-US" w:eastAsia="zh-CN" w:bidi="ar"/>
              </w:rPr>
              <w:t>中标人</w:t>
            </w:r>
            <w:r>
              <w:rPr>
                <w:rFonts w:hint="eastAsia"/>
                <w:lang w:bidi="ar"/>
              </w:rPr>
              <w:t>必须在接到采购人通知后1小时内到达现场处理，如</w:t>
            </w:r>
            <w:r>
              <w:rPr>
                <w:rFonts w:hint="eastAsia"/>
                <w:lang w:val="en-US" w:eastAsia="zh-CN" w:bidi="ar"/>
              </w:rPr>
              <w:t>确实</w:t>
            </w:r>
            <w:r>
              <w:rPr>
                <w:rFonts w:hint="eastAsia"/>
                <w:lang w:bidi="ar"/>
              </w:rPr>
              <w:t>属</w:t>
            </w:r>
            <w:r>
              <w:rPr>
                <w:rFonts w:hint="eastAsia"/>
                <w:lang w:val="en-US" w:eastAsia="zh-CN" w:bidi="ar"/>
              </w:rPr>
              <w:t>于</w:t>
            </w:r>
            <w:r>
              <w:rPr>
                <w:rFonts w:hint="eastAsia"/>
                <w:lang w:bidi="ar"/>
              </w:rPr>
              <w:t>质量问题的</w:t>
            </w:r>
            <w:r>
              <w:rPr>
                <w:rFonts w:hint="eastAsia"/>
                <w:lang w:eastAsia="zh-CN" w:bidi="ar"/>
              </w:rPr>
              <w:t>，</w:t>
            </w:r>
            <w:r>
              <w:rPr>
                <w:rFonts w:hint="eastAsia"/>
                <w:lang w:val="en-US" w:eastAsia="zh-CN" w:bidi="ar"/>
              </w:rPr>
              <w:t>须在</w:t>
            </w:r>
            <w:r>
              <w:rPr>
                <w:rFonts w:hint="eastAsia"/>
                <w:lang w:bidi="ar"/>
              </w:rPr>
              <w:t>12小时内更换质量不合格的食品</w:t>
            </w:r>
            <w:r>
              <w:rPr>
                <w:rFonts w:hint="eastAsia"/>
                <w:lang w:val="en-US" w:eastAsia="zh-CN" w:bidi="ar"/>
              </w:rPr>
              <w:t>并承担相关费用</w:t>
            </w:r>
            <w:r>
              <w:rPr>
                <w:rFonts w:hint="eastAsia"/>
                <w:lang w:bidi="ar"/>
              </w:rPr>
              <w:t>。</w:t>
            </w:r>
          </w:p>
        </w:tc>
      </w:tr>
      <w:tr w14:paraId="32BA8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3" w:type="pct"/>
            <w:gridSpan w:val="2"/>
            <w:tcBorders>
              <w:tl2br w:val="nil"/>
              <w:tr2bl w:val="nil"/>
            </w:tcBorders>
            <w:shd w:val="clear" w:color="auto" w:fill="auto"/>
            <w:vAlign w:val="center"/>
          </w:tcPr>
          <w:p w14:paraId="396F4DF6">
            <w:pPr>
              <w:jc w:val="center"/>
              <w:rPr>
                <w:b/>
                <w:bCs/>
                <w:lang w:bidi="ar"/>
              </w:rPr>
            </w:pPr>
            <w:r>
              <w:rPr>
                <w:rFonts w:hint="eastAsia"/>
              </w:rPr>
              <w:t>履约保证金</w:t>
            </w:r>
          </w:p>
        </w:tc>
        <w:tc>
          <w:tcPr>
            <w:tcW w:w="4086" w:type="pct"/>
            <w:gridSpan w:val="4"/>
            <w:tcBorders>
              <w:tl2br w:val="nil"/>
              <w:tr2bl w:val="nil"/>
            </w:tcBorders>
            <w:shd w:val="clear" w:color="auto" w:fill="auto"/>
            <w:vAlign w:val="center"/>
          </w:tcPr>
          <w:p w14:paraId="01F39D9E">
            <w:pPr>
              <w:rPr>
                <w:rFonts w:hint="eastAsia" w:eastAsia="宋体"/>
                <w:lang w:eastAsia="zh-CN" w:bidi="ar"/>
              </w:rPr>
            </w:pPr>
            <w:r>
              <w:rPr>
                <w:rFonts w:hint="eastAsia"/>
                <w:lang w:bidi="ar"/>
              </w:rPr>
              <w:t>1.履约保证金金额：</w:t>
            </w:r>
            <w:r>
              <w:rPr>
                <w:rFonts w:hint="eastAsia"/>
                <w:lang w:eastAsia="zh-CN" w:bidi="ar"/>
              </w:rPr>
              <w:t>中标金额的2%，中标人在与采购人签订合同前向采购人足额缴纳履约保证金。</w:t>
            </w:r>
          </w:p>
          <w:p w14:paraId="34B8B0B7">
            <w:pPr>
              <w:rPr>
                <w:lang w:bidi="ar"/>
              </w:rPr>
            </w:pPr>
            <w:r>
              <w:rPr>
                <w:rFonts w:hint="eastAsia"/>
                <w:lang w:bidi="ar"/>
              </w:rPr>
              <w:t>2.递交方式：</w:t>
            </w:r>
            <w:r>
              <w:rPr>
                <w:rFonts w:hint="eastAsia"/>
                <w:lang w:eastAsia="zh-CN" w:bidi="ar"/>
              </w:rPr>
              <w:t>银行转账、支票、汇票、本票或者银行、保险机构出具的保函等非现金方式</w:t>
            </w:r>
            <w:r>
              <w:rPr>
                <w:rFonts w:hint="eastAsia"/>
                <w:lang w:bidi="ar"/>
              </w:rPr>
              <w:t>。</w:t>
            </w:r>
          </w:p>
          <w:p w14:paraId="22B3E796">
            <w:pPr>
              <w:rPr>
                <w:rFonts w:hint="eastAsia"/>
                <w:lang w:bidi="ar"/>
              </w:rPr>
            </w:pPr>
            <w:r>
              <w:rPr>
                <w:rFonts w:hint="eastAsia"/>
                <w:lang w:bidi="ar"/>
              </w:rPr>
              <w:t>3.履约保证金在服务期限结束且最后一批货物质保期结束后，如无质量问题，由中标人向采购人提供《政府采购项目履约保证金退付意见书》及《广西壮族自治区政府采购项目合同验收书》，采购人在收到合格材料后10个工作日内退还（不计利息）。涉及违约的违约金和损失赔偿从履约保证金中扣减。</w:t>
            </w:r>
          </w:p>
          <w:p w14:paraId="440A0309">
            <w:pPr>
              <w:rPr>
                <w:rFonts w:hint="eastAsia" w:ascii="宋体" w:hAnsi="宋体" w:eastAsia="宋体" w:cs="宋体"/>
                <w:lang w:bidi="ar"/>
              </w:rPr>
            </w:pPr>
            <w:r>
              <w:rPr>
                <w:rFonts w:hint="eastAsia" w:ascii="宋体" w:hAnsi="宋体" w:eastAsia="宋体" w:cs="宋体"/>
                <w:lang w:bidi="ar"/>
              </w:rPr>
              <w:t>备注：</w:t>
            </w:r>
          </w:p>
          <w:p w14:paraId="4E537429">
            <w:pPr>
              <w:rPr>
                <w:rFonts w:hint="eastAsia" w:ascii="宋体" w:hAnsi="宋体" w:eastAsia="宋体" w:cs="宋体"/>
                <w:lang w:bidi="ar"/>
              </w:rPr>
            </w:pPr>
            <w:r>
              <w:rPr>
                <w:rFonts w:hint="eastAsia" w:ascii="宋体" w:hAnsi="宋体" w:eastAsia="宋体" w:cs="宋体"/>
                <w:lang w:bidi="ar"/>
              </w:rPr>
              <w:t>1.履约保证金不足额缴纳的，或者金融、担保机构出具的保函额度不足的或者保函有效期低于合同履行期限（即签订采购合同之日起至履行完合同约定的权利及义务之日止）的，不予签订合同。</w:t>
            </w:r>
          </w:p>
          <w:p w14:paraId="4028A9A2">
            <w:r>
              <w:rPr>
                <w:rFonts w:hint="eastAsia" w:ascii="宋体" w:hAnsi="宋体" w:eastAsia="宋体" w:cs="宋体"/>
                <w:lang w:bidi="ar"/>
              </w:rPr>
              <w:t>2.采用金融、担保机构出具的保函的，必须为无条件保函，否则不予签订合同。</w:t>
            </w:r>
          </w:p>
        </w:tc>
      </w:tr>
      <w:tr w14:paraId="0E1BF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3" w:type="pct"/>
            <w:gridSpan w:val="2"/>
            <w:tcBorders>
              <w:tl2br w:val="nil"/>
              <w:tr2bl w:val="nil"/>
            </w:tcBorders>
            <w:shd w:val="clear" w:color="auto" w:fill="auto"/>
            <w:vAlign w:val="center"/>
          </w:tcPr>
          <w:p w14:paraId="257605BA">
            <w:pPr>
              <w:jc w:val="center"/>
            </w:pPr>
            <w:r>
              <w:rPr>
                <w:rFonts w:hint="eastAsia"/>
                <w:lang w:bidi="ar"/>
              </w:rPr>
              <w:t>其他要求</w:t>
            </w:r>
          </w:p>
        </w:tc>
        <w:tc>
          <w:tcPr>
            <w:tcW w:w="4086" w:type="pct"/>
            <w:gridSpan w:val="4"/>
            <w:tcBorders>
              <w:tl2br w:val="nil"/>
              <w:tr2bl w:val="nil"/>
            </w:tcBorders>
            <w:shd w:val="clear" w:color="auto" w:fill="auto"/>
            <w:vAlign w:val="center"/>
          </w:tcPr>
          <w:p w14:paraId="49BDFA97">
            <w:pPr>
              <w:rPr>
                <w:rFonts w:hint="eastAsia" w:ascii="宋体" w:hAnsi="宋体" w:eastAsia="宋体" w:cs="宋体"/>
                <w:lang w:bidi="ar"/>
              </w:rPr>
            </w:pPr>
            <w:r>
              <w:rPr>
                <w:rFonts w:hint="eastAsia" w:ascii="宋体" w:hAnsi="宋体" w:eastAsia="宋体" w:cs="宋体"/>
                <w:lang w:bidi="ar"/>
              </w:rPr>
              <w:t>1.供货时，</w:t>
            </w:r>
            <w:r>
              <w:rPr>
                <w:rFonts w:hint="eastAsia" w:ascii="宋体" w:hAnsi="宋体" w:eastAsia="宋体" w:cs="宋体"/>
                <w:lang w:val="en-US" w:eastAsia="zh-CN" w:bidi="ar"/>
              </w:rPr>
              <w:t>中标人</w:t>
            </w:r>
            <w:r>
              <w:rPr>
                <w:rFonts w:hint="eastAsia" w:ascii="宋体" w:hAnsi="宋体" w:eastAsia="宋体" w:cs="宋体"/>
                <w:lang w:bidi="ar"/>
              </w:rPr>
              <w:t>必须提供以下证明文件：</w:t>
            </w:r>
          </w:p>
          <w:p w14:paraId="669D24D3">
            <w:pPr>
              <w:rPr>
                <w:rFonts w:hint="eastAsia" w:ascii="宋体" w:hAnsi="宋体" w:eastAsia="宋体" w:cs="宋体"/>
                <w:lang w:bidi="ar"/>
              </w:rPr>
            </w:pPr>
            <w:r>
              <w:rPr>
                <w:rFonts w:hint="eastAsia" w:ascii="宋体" w:hAnsi="宋体" w:eastAsia="宋体" w:cs="宋体"/>
                <w:lang w:bidi="ar"/>
              </w:rPr>
              <w:t>（1）每批货物必须提供相关的质量安全检验合格证明，且每批次货物都需经采购人抽验合格后方可供货。</w:t>
            </w:r>
          </w:p>
          <w:p w14:paraId="0DD06404">
            <w:pPr>
              <w:rPr>
                <w:rFonts w:hint="eastAsia" w:ascii="宋体" w:hAnsi="宋体" w:eastAsia="宋体" w:cs="宋体"/>
                <w:lang w:bidi="ar"/>
              </w:rPr>
            </w:pPr>
            <w:r>
              <w:rPr>
                <w:rFonts w:hint="eastAsia" w:ascii="宋体" w:hAnsi="宋体" w:eastAsia="宋体" w:cs="宋体"/>
                <w:lang w:bidi="ar"/>
              </w:rPr>
              <w:t>（2）</w:t>
            </w:r>
            <w:r>
              <w:rPr>
                <w:rFonts w:hint="eastAsia" w:ascii="宋体" w:hAnsi="宋体" w:eastAsia="宋体" w:cs="宋体"/>
                <w:lang w:val="en-US" w:eastAsia="zh-CN" w:bidi="ar"/>
              </w:rPr>
              <w:t>中标人</w:t>
            </w:r>
            <w:r>
              <w:rPr>
                <w:rFonts w:hint="eastAsia" w:ascii="宋体" w:hAnsi="宋体" w:eastAsia="宋体" w:cs="宋体"/>
                <w:lang w:bidi="ar"/>
              </w:rPr>
              <w:t>必须提供相关供货清单（包括货物名称、数量、单价、金额等</w:t>
            </w:r>
            <w:r>
              <w:rPr>
                <w:rFonts w:hint="eastAsia" w:ascii="宋体" w:hAnsi="宋体" w:eastAsia="宋体" w:cs="宋体"/>
                <w:lang w:val="en-US" w:eastAsia="zh-CN" w:bidi="ar"/>
              </w:rPr>
              <w:t>信息</w:t>
            </w:r>
            <w:r>
              <w:rPr>
                <w:rFonts w:hint="eastAsia" w:ascii="宋体" w:hAnsi="宋体" w:eastAsia="宋体" w:cs="宋体"/>
                <w:lang w:bidi="ar"/>
              </w:rPr>
              <w:t>），以便采购人月底结算货款。</w:t>
            </w:r>
            <w:r>
              <w:rPr>
                <w:rFonts w:hint="eastAsia" w:ascii="宋体" w:hAnsi="宋体" w:eastAsia="宋体" w:cs="宋体"/>
                <w:lang w:val="en-US" w:eastAsia="zh-CN" w:bidi="ar"/>
              </w:rPr>
              <w:t>中标人</w:t>
            </w:r>
            <w:r>
              <w:rPr>
                <w:rFonts w:hint="eastAsia" w:ascii="宋体" w:hAnsi="宋体" w:eastAsia="宋体" w:cs="宋体"/>
                <w:lang w:bidi="ar"/>
              </w:rPr>
              <w:t>供货不符合要求的，采购人有权立即退货</w:t>
            </w:r>
            <w:r>
              <w:rPr>
                <w:rFonts w:hint="eastAsia" w:ascii="宋体" w:hAnsi="宋体" w:eastAsia="宋体" w:cs="宋体"/>
                <w:lang w:eastAsia="zh-CN" w:bidi="ar"/>
              </w:rPr>
              <w:t>，</w:t>
            </w:r>
            <w:r>
              <w:rPr>
                <w:rFonts w:hint="eastAsia" w:ascii="宋体" w:hAnsi="宋体" w:eastAsia="宋体" w:cs="宋体"/>
                <w:lang w:val="en-US" w:eastAsia="zh-CN" w:bidi="ar"/>
              </w:rPr>
              <w:t>中标人</w:t>
            </w:r>
            <w:r>
              <w:rPr>
                <w:rFonts w:hint="eastAsia" w:ascii="宋体" w:hAnsi="宋体" w:eastAsia="宋体" w:cs="宋体"/>
                <w:lang w:bidi="ar"/>
              </w:rPr>
              <w:t>应按采购人的要求</w:t>
            </w:r>
            <w:r>
              <w:rPr>
                <w:rFonts w:hint="eastAsia" w:ascii="宋体" w:hAnsi="宋体" w:eastAsia="宋体" w:cs="宋体"/>
                <w:lang w:val="en-US" w:eastAsia="zh-CN" w:bidi="ar"/>
              </w:rPr>
              <w:t>于</w:t>
            </w:r>
            <w:r>
              <w:rPr>
                <w:rFonts w:hint="eastAsia" w:ascii="宋体" w:hAnsi="宋体" w:eastAsia="宋体" w:cs="宋体"/>
                <w:lang w:bidi="ar"/>
              </w:rPr>
              <w:t>12小时内</w:t>
            </w:r>
            <w:r>
              <w:rPr>
                <w:rFonts w:hint="eastAsia" w:ascii="宋体" w:hAnsi="宋体" w:eastAsia="宋体" w:cs="宋体"/>
                <w:lang w:val="en-US" w:eastAsia="zh-CN" w:bidi="ar"/>
              </w:rPr>
              <w:t>更换</w:t>
            </w:r>
            <w:r>
              <w:rPr>
                <w:rFonts w:hint="eastAsia" w:ascii="宋体" w:hAnsi="宋体" w:eastAsia="宋体" w:cs="宋体"/>
                <w:lang w:bidi="ar"/>
              </w:rPr>
              <w:t>，具体</w:t>
            </w:r>
            <w:r>
              <w:rPr>
                <w:rFonts w:hint="eastAsia" w:ascii="宋体" w:hAnsi="宋体" w:eastAsia="宋体" w:cs="宋体"/>
                <w:lang w:val="en-US" w:eastAsia="zh-CN" w:bidi="ar"/>
              </w:rPr>
              <w:t>更换</w:t>
            </w:r>
            <w:r>
              <w:rPr>
                <w:rFonts w:hint="eastAsia" w:ascii="宋体" w:hAnsi="宋体" w:eastAsia="宋体" w:cs="宋体"/>
                <w:lang w:bidi="ar"/>
              </w:rPr>
              <w:t>时间以</w:t>
            </w:r>
            <w:r>
              <w:rPr>
                <w:rFonts w:hint="eastAsia" w:ascii="宋体" w:hAnsi="宋体" w:eastAsia="宋体" w:cs="宋体"/>
                <w:lang w:val="en-US" w:eastAsia="zh-CN" w:bidi="ar"/>
              </w:rPr>
              <w:t>双方</w:t>
            </w:r>
            <w:r>
              <w:rPr>
                <w:rFonts w:hint="eastAsia" w:ascii="宋体" w:hAnsi="宋体" w:eastAsia="宋体" w:cs="宋体"/>
                <w:lang w:bidi="ar"/>
              </w:rPr>
              <w:t>约定为准。</w:t>
            </w:r>
          </w:p>
          <w:p w14:paraId="20F2A372">
            <w:pPr>
              <w:rPr>
                <w:lang w:bidi="ar"/>
              </w:rPr>
            </w:pPr>
            <w:r>
              <w:rPr>
                <w:rFonts w:hint="eastAsia"/>
                <w:lang w:bidi="ar"/>
              </w:rPr>
              <w:t>2.交货验收必须由采购人和</w:t>
            </w:r>
            <w:r>
              <w:rPr>
                <w:rFonts w:hint="eastAsia"/>
                <w:lang w:val="en-US" w:eastAsia="zh-CN" w:bidi="ar"/>
              </w:rPr>
              <w:t>中标人</w:t>
            </w:r>
            <w:r>
              <w:rPr>
                <w:rFonts w:hint="eastAsia"/>
                <w:lang w:bidi="ar"/>
              </w:rPr>
              <w:t>共同进行，采购人如认为有需要的，可委托相关检验部门对产品进行抽检，自检或检验部门抽检不合格的不给予验收，影</w:t>
            </w:r>
            <w:r>
              <w:rPr>
                <w:rFonts w:hint="eastAsia"/>
                <w:lang w:eastAsia="zh-CN" w:bidi="ar"/>
              </w:rPr>
              <w:t>响采购人工作的正常运转的将追究中标人相关责任</w:t>
            </w:r>
            <w:r>
              <w:rPr>
                <w:rFonts w:hint="eastAsia"/>
                <w:lang w:bidi="ar"/>
              </w:rPr>
              <w:t>，抽检所产生的费用全部由</w:t>
            </w:r>
            <w:r>
              <w:rPr>
                <w:rFonts w:hint="eastAsia"/>
                <w:lang w:val="en-US" w:eastAsia="zh-CN" w:bidi="ar"/>
              </w:rPr>
              <w:t>中标人承担</w:t>
            </w:r>
            <w:r>
              <w:rPr>
                <w:rFonts w:hint="eastAsia"/>
                <w:lang w:bidi="ar"/>
              </w:rPr>
              <w:t>。</w:t>
            </w:r>
          </w:p>
          <w:p w14:paraId="60B22D9A">
            <w:pPr>
              <w:rPr>
                <w:lang w:bidi="ar"/>
              </w:rPr>
            </w:pPr>
            <w:r>
              <w:rPr>
                <w:rFonts w:hint="eastAsia"/>
                <w:lang w:bidi="ar"/>
              </w:rPr>
              <w:t>3.验收工作的一般程序为：采购人应当在到货后根据货物采购清单的具体要求，对所购名称进行清点、外观检查进行实测，并逐项记录。</w:t>
            </w:r>
            <w:r>
              <w:rPr>
                <w:rFonts w:hint="eastAsia"/>
                <w:lang w:eastAsia="zh-CN" w:bidi="ar"/>
              </w:rPr>
              <w:t>经验收合格后双方签字确认</w:t>
            </w:r>
            <w:r>
              <w:rPr>
                <w:rFonts w:hint="eastAsia"/>
                <w:lang w:bidi="ar"/>
              </w:rPr>
              <w:t>。对未能通过验收的，一律退货、更换直至验收合格。</w:t>
            </w:r>
          </w:p>
          <w:p w14:paraId="3BD4F02B">
            <w:pPr>
              <w:rPr>
                <w:lang w:bidi="ar"/>
              </w:rPr>
            </w:pPr>
            <w:r>
              <w:rPr>
                <w:rFonts w:hint="eastAsia"/>
                <w:lang w:bidi="ar"/>
              </w:rPr>
              <w:t>4.</w:t>
            </w:r>
            <w:r>
              <w:rPr>
                <w:rFonts w:hint="eastAsia"/>
                <w:lang w:val="en-US" w:eastAsia="zh-CN" w:bidi="ar"/>
              </w:rPr>
              <w:t>结算单价</w:t>
            </w:r>
            <w:r>
              <w:rPr>
                <w:rFonts w:hint="eastAsia"/>
                <w:lang w:bidi="ar"/>
              </w:rPr>
              <w:t>=基准单价×</w:t>
            </w:r>
            <w:r>
              <w:rPr>
                <w:rFonts w:hint="eastAsia"/>
                <w:lang w:val="en-US" w:eastAsia="zh-CN" w:bidi="ar"/>
              </w:rPr>
              <w:t>中标</w:t>
            </w:r>
            <w:r>
              <w:rPr>
                <w:rFonts w:hint="eastAsia"/>
                <w:lang w:bidi="ar"/>
              </w:rPr>
              <w:t>折扣系数，签订合同当月，</w:t>
            </w:r>
            <w:r>
              <w:rPr>
                <w:rFonts w:hint="eastAsia"/>
                <w:lang w:val="en-US" w:eastAsia="zh-CN" w:bidi="ar"/>
              </w:rPr>
              <w:t>中标人</w:t>
            </w:r>
            <w:r>
              <w:rPr>
                <w:rFonts w:hint="eastAsia"/>
                <w:lang w:bidi="ar"/>
              </w:rPr>
              <w:t>与采购</w:t>
            </w:r>
            <w:r>
              <w:rPr>
                <w:rFonts w:hint="eastAsia"/>
                <w:lang w:val="en-US" w:eastAsia="zh-CN" w:bidi="ar"/>
              </w:rPr>
              <w:t>人</w:t>
            </w:r>
            <w:r>
              <w:rPr>
                <w:rFonts w:hint="eastAsia"/>
                <w:lang w:bidi="ar"/>
              </w:rPr>
              <w:t>共同选择贵港市至少三家大型商场、市场、超市展开市场调查，选取调查的三个市场主体中货物的平均价作为基准单价。合同执行前三个月价格不变，合同执行三个月后，如果某品类物资当月市场价格在合同基准价格基础上上下浮动率≥10%时，可以进行价格调整。价格调整由中标人或采购人提出基准单价调整申请，由采购人面向市场主体选择贵港市3家</w:t>
            </w:r>
            <w:r>
              <w:rPr>
                <w:rFonts w:hint="eastAsia"/>
                <w:lang w:eastAsia="zh-CN" w:bidi="ar"/>
              </w:rPr>
              <w:t>（</w:t>
            </w:r>
            <w:r>
              <w:rPr>
                <w:rFonts w:hint="eastAsia"/>
                <w:lang w:val="en-US" w:eastAsia="zh-CN" w:bidi="ar"/>
              </w:rPr>
              <w:t>含</w:t>
            </w:r>
            <w:r>
              <w:rPr>
                <w:rFonts w:hint="eastAsia"/>
                <w:lang w:eastAsia="zh-CN" w:bidi="ar"/>
              </w:rPr>
              <w:t>）</w:t>
            </w:r>
            <w:r>
              <w:rPr>
                <w:rFonts w:hint="eastAsia"/>
                <w:lang w:bidi="ar"/>
              </w:rPr>
              <w:t>以上大型商场或者市场开展市场价格调查，选取调查的市场或者超市的平均</w:t>
            </w:r>
            <w:r>
              <w:rPr>
                <w:rFonts w:hint="eastAsia"/>
                <w:lang w:val="en-US" w:eastAsia="zh-CN" w:bidi="ar"/>
              </w:rPr>
              <w:t>价</w:t>
            </w:r>
            <w:r>
              <w:rPr>
                <w:rFonts w:hint="eastAsia"/>
                <w:lang w:bidi="ar"/>
              </w:rPr>
              <w:t>作为调查价格，调查结果符合调价规则的，经双方确认同意后方可调整价格。基准单价调整后，</w:t>
            </w:r>
            <w:r>
              <w:rPr>
                <w:rFonts w:hint="eastAsia"/>
                <w:lang w:val="en-US" w:eastAsia="zh-CN" w:bidi="ar"/>
              </w:rPr>
              <w:t>结算单价</w:t>
            </w:r>
            <w:r>
              <w:rPr>
                <w:rFonts w:hint="eastAsia"/>
                <w:lang w:bidi="ar"/>
              </w:rPr>
              <w:t>为变动后的基准单价×</w:t>
            </w:r>
            <w:r>
              <w:rPr>
                <w:rFonts w:hint="eastAsia"/>
                <w:lang w:val="en-US" w:eastAsia="zh-CN" w:bidi="ar"/>
              </w:rPr>
              <w:t>中标</w:t>
            </w:r>
            <w:r>
              <w:rPr>
                <w:rFonts w:hint="eastAsia"/>
                <w:lang w:bidi="ar"/>
              </w:rPr>
              <w:t>折扣系数。</w:t>
            </w:r>
          </w:p>
          <w:p w14:paraId="73875490">
            <w:pPr>
              <w:rPr>
                <w:rFonts w:hint="eastAsia"/>
                <w:lang w:bidi="ar"/>
              </w:rPr>
            </w:pPr>
            <w:r>
              <w:rPr>
                <w:rFonts w:hint="eastAsia"/>
                <w:lang w:bidi="ar"/>
              </w:rPr>
              <w:t>5.关于扶贫产品的采购。如果政府部门或上级部门要求采购人在扶贫产品网站采购相应的扶贫产品的，</w:t>
            </w:r>
            <w:r>
              <w:rPr>
                <w:rFonts w:hint="eastAsia"/>
                <w:lang w:val="en-US" w:eastAsia="zh-CN" w:bidi="ar"/>
              </w:rPr>
              <w:t>中标人</w:t>
            </w:r>
            <w:r>
              <w:rPr>
                <w:rFonts w:hint="eastAsia"/>
                <w:lang w:bidi="ar"/>
              </w:rPr>
              <w:t>须无条件同意采购人减少合同执行金额，由采购人自行在扶贫产品网站采购扶贫产品。</w:t>
            </w:r>
          </w:p>
          <w:p w14:paraId="1764C7FD">
            <w:r>
              <w:rPr>
                <w:rFonts w:hint="eastAsia"/>
                <w:b/>
                <w:bCs/>
                <w:lang w:val="en-US" w:eastAsia="zh-CN" w:bidi="ar"/>
              </w:rPr>
              <w:t>6.如采购人因不可抗力原因、上级要求需要变更或提前终止合同的，采购人提前一个月告知成交供应商，成交供应商须无条件配合，并且采购人不负变更或提前终止合同的违约责任。</w:t>
            </w:r>
          </w:p>
        </w:tc>
      </w:tr>
      <w:tr w14:paraId="0154E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5000" w:type="pct"/>
            <w:gridSpan w:val="6"/>
            <w:tcBorders>
              <w:tl2br w:val="nil"/>
              <w:tr2bl w:val="nil"/>
            </w:tcBorders>
            <w:shd w:val="clear" w:color="auto" w:fill="auto"/>
            <w:vAlign w:val="center"/>
          </w:tcPr>
          <w:p w14:paraId="113EE050">
            <w:r>
              <w:rPr>
                <w:rFonts w:hint="eastAsia"/>
                <w:b/>
                <w:bCs/>
              </w:rPr>
              <w:t>三、采购人对项目的特殊要求及说明</w:t>
            </w:r>
          </w:p>
        </w:tc>
      </w:tr>
      <w:tr w14:paraId="5EC79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3" w:type="pct"/>
            <w:gridSpan w:val="2"/>
            <w:tcBorders>
              <w:tl2br w:val="nil"/>
              <w:tr2bl w:val="nil"/>
            </w:tcBorders>
            <w:shd w:val="clear" w:color="auto" w:fill="auto"/>
            <w:vAlign w:val="center"/>
          </w:tcPr>
          <w:p w14:paraId="5C36B458">
            <w:pPr>
              <w:jc w:val="center"/>
            </w:pPr>
            <w:r>
              <w:rPr>
                <w:rFonts w:hint="eastAsia"/>
              </w:rPr>
              <w:t>核心产品</w:t>
            </w:r>
          </w:p>
        </w:tc>
        <w:tc>
          <w:tcPr>
            <w:tcW w:w="4086" w:type="pct"/>
            <w:gridSpan w:val="4"/>
            <w:tcBorders>
              <w:tl2br w:val="nil"/>
              <w:tr2bl w:val="nil"/>
            </w:tcBorders>
            <w:shd w:val="clear" w:color="auto" w:fill="auto"/>
            <w:vAlign w:val="center"/>
          </w:tcPr>
          <w:p w14:paraId="3ACFE6F7">
            <w:r>
              <w:rPr>
                <w:rFonts w:hint="eastAsia"/>
              </w:rPr>
              <w:t>本分标无核心产品。</w:t>
            </w:r>
          </w:p>
        </w:tc>
      </w:tr>
      <w:tr w14:paraId="701DA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3" w:type="pct"/>
            <w:gridSpan w:val="2"/>
            <w:tcBorders>
              <w:tl2br w:val="nil"/>
              <w:tr2bl w:val="nil"/>
            </w:tcBorders>
            <w:shd w:val="clear" w:color="auto" w:fill="auto"/>
            <w:vAlign w:val="center"/>
          </w:tcPr>
          <w:p w14:paraId="288E60DC">
            <w:pPr>
              <w:jc w:val="center"/>
              <w:rPr>
                <w:rFonts w:hint="eastAsia"/>
              </w:rPr>
            </w:pPr>
            <w:r>
              <w:rPr>
                <w:rFonts w:hint="eastAsia"/>
              </w:rPr>
              <w:t>进口产品说明</w:t>
            </w:r>
          </w:p>
        </w:tc>
        <w:tc>
          <w:tcPr>
            <w:tcW w:w="4086" w:type="pct"/>
            <w:gridSpan w:val="4"/>
            <w:tcBorders>
              <w:tl2br w:val="nil"/>
              <w:tr2bl w:val="nil"/>
            </w:tcBorders>
            <w:shd w:val="clear" w:color="auto" w:fill="auto"/>
            <w:vAlign w:val="center"/>
          </w:tcPr>
          <w:p w14:paraId="218CBEF2">
            <w:pPr>
              <w:rPr>
                <w:rFonts w:hint="eastAsia"/>
              </w:rPr>
            </w:pPr>
            <w:r>
              <w:rPr>
                <w:rFonts w:hint="eastAsia"/>
              </w:rPr>
              <w:t>本分标货物所涉及的货物不接受进口产品（即通过中国海关报关验放进入中国境内且产自境外的产品）参与投标，如有进口产品参与投标的作无效标处理。</w:t>
            </w:r>
          </w:p>
        </w:tc>
      </w:tr>
    </w:tbl>
    <w:p w14:paraId="2AB3EC0C">
      <w:pPr>
        <w:pStyle w:val="51"/>
      </w:pPr>
    </w:p>
    <w:p w14:paraId="22491D0F">
      <w:pPr>
        <w:pStyle w:val="51"/>
      </w:pPr>
    </w:p>
    <w:p w14:paraId="5A7B9742">
      <w:pPr>
        <w:pStyle w:val="51"/>
      </w:pPr>
    </w:p>
    <w:p w14:paraId="295383F3"/>
    <w:p w14:paraId="6B70A96D">
      <w:r>
        <w:rPr>
          <w:rFonts w:hint="eastAsia"/>
        </w:rPr>
        <w:br w:type="page"/>
      </w:r>
    </w:p>
    <w:p w14:paraId="43CE9E0C">
      <w:pPr>
        <w:outlineLvl w:val="1"/>
        <w:rPr>
          <w:b/>
          <w:bCs/>
        </w:rPr>
      </w:pPr>
      <w:r>
        <w:rPr>
          <w:rFonts w:hint="eastAsia"/>
          <w:b/>
          <w:bCs/>
          <w:u w:val="none"/>
          <w:lang w:val="en-US" w:eastAsia="zh-CN"/>
        </w:rPr>
        <w:t>分标3</w:t>
      </w:r>
      <w:r>
        <w:rPr>
          <w:rFonts w:hint="eastAsia"/>
          <w:b/>
          <w:bCs/>
        </w:rPr>
        <w:t>：</w:t>
      </w:r>
      <w:r>
        <w:rPr>
          <w:rFonts w:hint="eastAsia"/>
          <w:b/>
          <w:bCs/>
          <w:lang w:eastAsia="zh-CN"/>
        </w:rPr>
        <w:t>蔬菜类</w:t>
      </w:r>
      <w:r>
        <w:rPr>
          <w:rFonts w:hint="eastAsia"/>
          <w:b/>
          <w:bCs/>
        </w:rPr>
        <w:t>，预算金额：</w:t>
      </w:r>
      <w:r>
        <w:rPr>
          <w:rFonts w:hint="eastAsia"/>
          <w:b/>
          <w:bCs/>
          <w:lang w:eastAsia="zh-CN"/>
        </w:rPr>
        <w:t>2500000.00</w:t>
      </w:r>
      <w:r>
        <w:rPr>
          <w:rFonts w:hint="eastAsia"/>
          <w:b/>
          <w:bCs/>
        </w:rPr>
        <w:t>元</w:t>
      </w:r>
    </w:p>
    <w:tbl>
      <w:tblPr>
        <w:tblStyle w:val="5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1"/>
        <w:gridCol w:w="1081"/>
        <w:gridCol w:w="693"/>
        <w:gridCol w:w="1328"/>
        <w:gridCol w:w="958"/>
        <w:gridCol w:w="4634"/>
      </w:tblGrid>
      <w:tr w14:paraId="27442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5000" w:type="pct"/>
            <w:gridSpan w:val="6"/>
            <w:tcBorders>
              <w:tl2br w:val="nil"/>
              <w:tr2bl w:val="nil"/>
            </w:tcBorders>
            <w:shd w:val="clear" w:color="auto" w:fill="auto"/>
            <w:vAlign w:val="center"/>
          </w:tcPr>
          <w:p w14:paraId="48A87DFF">
            <w:r>
              <w:rPr>
                <w:rFonts w:hint="eastAsia"/>
                <w:b/>
                <w:bCs/>
              </w:rPr>
              <w:t>一、项目要求及技术需求</w:t>
            </w:r>
          </w:p>
        </w:tc>
      </w:tr>
      <w:tr w14:paraId="07AE2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354" w:type="pct"/>
            <w:tcBorders>
              <w:tl2br w:val="nil"/>
              <w:tr2bl w:val="nil"/>
            </w:tcBorders>
            <w:shd w:val="clear" w:color="auto" w:fill="auto"/>
            <w:vAlign w:val="center"/>
          </w:tcPr>
          <w:p w14:paraId="2B2E8953">
            <w:pPr>
              <w:jc w:val="center"/>
              <w:rPr>
                <w:lang w:bidi="ar"/>
              </w:rPr>
            </w:pPr>
            <w:r>
              <w:rPr>
                <w:rFonts w:hint="eastAsia"/>
                <w:lang w:bidi="ar"/>
              </w:rPr>
              <w:t>序号</w:t>
            </w:r>
          </w:p>
        </w:tc>
        <w:tc>
          <w:tcPr>
            <w:tcW w:w="927" w:type="pct"/>
            <w:gridSpan w:val="2"/>
            <w:tcBorders>
              <w:tl2br w:val="nil"/>
              <w:tr2bl w:val="nil"/>
            </w:tcBorders>
            <w:shd w:val="clear" w:color="auto" w:fill="auto"/>
            <w:vAlign w:val="center"/>
          </w:tcPr>
          <w:p w14:paraId="3C5458EF">
            <w:pPr>
              <w:jc w:val="center"/>
              <w:rPr>
                <w:rFonts w:hint="eastAsia" w:eastAsia="宋体"/>
                <w:lang w:eastAsia="zh-CN"/>
              </w:rPr>
            </w:pPr>
            <w:r>
              <w:rPr>
                <w:rFonts w:hint="eastAsia"/>
                <w:lang w:eastAsia="zh-CN"/>
              </w:rPr>
              <w:t>货物名称</w:t>
            </w:r>
          </w:p>
        </w:tc>
        <w:tc>
          <w:tcPr>
            <w:tcW w:w="716" w:type="pct"/>
            <w:tcBorders>
              <w:tl2br w:val="nil"/>
              <w:tr2bl w:val="nil"/>
            </w:tcBorders>
            <w:shd w:val="clear" w:color="auto" w:fill="auto"/>
            <w:vAlign w:val="center"/>
          </w:tcPr>
          <w:p w14:paraId="09DEFCC5">
            <w:pPr>
              <w:jc w:val="center"/>
              <w:rPr>
                <w:lang w:bidi="ar"/>
              </w:rPr>
            </w:pPr>
            <w:r>
              <w:rPr>
                <w:rFonts w:hint="eastAsia"/>
                <w:lang w:bidi="ar"/>
              </w:rPr>
              <w:t>计划采购数量</w:t>
            </w:r>
          </w:p>
        </w:tc>
        <w:tc>
          <w:tcPr>
            <w:tcW w:w="518" w:type="pct"/>
            <w:tcBorders>
              <w:tl2br w:val="nil"/>
              <w:tr2bl w:val="nil"/>
            </w:tcBorders>
            <w:shd w:val="clear" w:color="auto" w:fill="auto"/>
            <w:vAlign w:val="center"/>
          </w:tcPr>
          <w:p w14:paraId="52AC206B">
            <w:pPr>
              <w:jc w:val="center"/>
            </w:pPr>
            <w:r>
              <w:rPr>
                <w:rFonts w:hint="eastAsia"/>
                <w:lang w:bidi="ar"/>
              </w:rPr>
              <w:t>单位</w:t>
            </w:r>
          </w:p>
        </w:tc>
        <w:tc>
          <w:tcPr>
            <w:tcW w:w="2483" w:type="pct"/>
            <w:tcBorders>
              <w:tl2br w:val="nil"/>
              <w:tr2bl w:val="nil"/>
            </w:tcBorders>
            <w:shd w:val="clear" w:color="auto" w:fill="auto"/>
            <w:vAlign w:val="center"/>
          </w:tcPr>
          <w:p w14:paraId="47960A09">
            <w:pPr>
              <w:jc w:val="center"/>
            </w:pPr>
            <w:r>
              <w:rPr>
                <w:rFonts w:hint="eastAsia"/>
              </w:rPr>
              <w:t>技术参数及质量（配置）要求</w:t>
            </w:r>
          </w:p>
        </w:tc>
      </w:tr>
      <w:tr w14:paraId="19752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69F478EF">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w:t>
            </w:r>
          </w:p>
        </w:tc>
        <w:tc>
          <w:tcPr>
            <w:tcW w:w="1774" w:type="dxa"/>
            <w:gridSpan w:val="2"/>
            <w:tcBorders>
              <w:tl2br w:val="nil"/>
              <w:tr2bl w:val="nil"/>
            </w:tcBorders>
            <w:shd w:val="clear" w:color="auto" w:fill="auto"/>
            <w:noWrap/>
            <w:vAlign w:val="center"/>
          </w:tcPr>
          <w:p w14:paraId="6C1DF70F">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白菜</w:t>
            </w:r>
          </w:p>
        </w:tc>
        <w:tc>
          <w:tcPr>
            <w:tcW w:w="1371" w:type="dxa"/>
            <w:tcBorders>
              <w:tl2br w:val="nil"/>
              <w:tr2bl w:val="nil"/>
            </w:tcBorders>
            <w:shd w:val="clear" w:color="auto" w:fill="auto"/>
            <w:vAlign w:val="center"/>
          </w:tcPr>
          <w:p w14:paraId="49CF565C">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90000</w:t>
            </w:r>
          </w:p>
        </w:tc>
        <w:tc>
          <w:tcPr>
            <w:tcW w:w="518" w:type="pct"/>
            <w:tcBorders>
              <w:tl2br w:val="nil"/>
              <w:tr2bl w:val="nil"/>
            </w:tcBorders>
            <w:shd w:val="clear" w:color="auto" w:fill="auto"/>
            <w:noWrap/>
            <w:vAlign w:val="center"/>
          </w:tcPr>
          <w:p w14:paraId="248CC972">
            <w:pPr>
              <w:jc w:val="center"/>
            </w:pPr>
            <w:r>
              <w:rPr>
                <w:rFonts w:hint="eastAsia"/>
              </w:rPr>
              <w:t>公斤</w:t>
            </w:r>
          </w:p>
        </w:tc>
        <w:tc>
          <w:tcPr>
            <w:tcW w:w="2483" w:type="pct"/>
            <w:vMerge w:val="restart"/>
            <w:tcBorders>
              <w:tl2br w:val="nil"/>
              <w:tr2bl w:val="nil"/>
            </w:tcBorders>
            <w:shd w:val="clear" w:color="auto" w:fill="auto"/>
            <w:vAlign w:val="center"/>
          </w:tcPr>
          <w:p w14:paraId="54CBFB6E">
            <w:pPr>
              <w:rPr>
                <w:rFonts w:hint="eastAsia"/>
              </w:rPr>
            </w:pPr>
            <w:r>
              <w:rPr>
                <w:rFonts w:hint="eastAsia"/>
              </w:rPr>
              <w:t>1</w:t>
            </w:r>
            <w:r>
              <w:rPr>
                <w:rFonts w:hint="eastAsia"/>
                <w:lang w:val="en-US" w:eastAsia="zh-CN"/>
              </w:rPr>
              <w:t>.</w:t>
            </w:r>
            <w:r>
              <w:rPr>
                <w:rFonts w:hint="eastAsia"/>
              </w:rPr>
              <w:t>叶菜类：白菜、卷筒青、油麦菜、肉芥菜等蔬菜。属同一品种规格，肉质鲜嫩，形态好，色泽正常；茎基部削平，无枯黄叶、病叶、泥土、明显机械伤和病虫害伤；无烧心焦边、腐烂等现象；结球的叶菜应结球紧实；形状正常，肉质致密、新鲜，不带叶柄，茎基部削平，无腐烂、病虫害、机械伤。</w:t>
            </w:r>
          </w:p>
          <w:p w14:paraId="4B3BAA9A">
            <w:pPr>
              <w:rPr>
                <w:rFonts w:hint="eastAsia"/>
              </w:rPr>
            </w:pPr>
            <w:r>
              <w:rPr>
                <w:rFonts w:hint="eastAsia"/>
                <w:lang w:val="en-US" w:eastAsia="zh-CN"/>
              </w:rPr>
              <w:t>2.</w:t>
            </w:r>
            <w:r>
              <w:rPr>
                <w:rFonts w:hint="eastAsia"/>
              </w:rPr>
              <w:t>瓜类：包括茄子、嫩南瓜、青瓜、南瓜、冬瓜等。属于同一品种规格，形状、色泽一致，瓜条均匀，无疤点，无断裂，不带泥土，无畸形瓜、病虫害瓜，烂瓜、无明显机械伤。</w:t>
            </w:r>
          </w:p>
          <w:p w14:paraId="45124F82">
            <w:pPr>
              <w:rPr>
                <w:rFonts w:hint="eastAsia"/>
              </w:rPr>
            </w:pPr>
            <w:r>
              <w:rPr>
                <w:rFonts w:hint="eastAsia"/>
                <w:lang w:val="en-US" w:eastAsia="zh-CN"/>
              </w:rPr>
              <w:t>3.</w:t>
            </w:r>
            <w:r>
              <w:rPr>
                <w:rFonts w:hint="eastAsia"/>
              </w:rPr>
              <w:t>茄果类：包括番茄、苦瓜、辣椒等。属于同一品种规格，色鲜，果实圆整、光洁，成熟度适中，整齐，无烂果、异味、病虫和明显机械损伤。</w:t>
            </w:r>
          </w:p>
          <w:p w14:paraId="1DDE8B18">
            <w:pPr>
              <w:rPr>
                <w:rFonts w:hint="eastAsia"/>
              </w:rPr>
            </w:pPr>
            <w:r>
              <w:rPr>
                <w:rFonts w:hint="eastAsia"/>
                <w:lang w:val="en-US" w:eastAsia="zh-CN"/>
              </w:rPr>
              <w:t>4.</w:t>
            </w:r>
            <w:r>
              <w:rPr>
                <w:rFonts w:hint="eastAsia"/>
              </w:rPr>
              <w:t>根菜类：包括白萝卜、胡萝卜等。属于同一品种规格，皮细光滑，色泽良好，大小均匀，肉质脆嫩致密。新鲜，无畸形、裂痕、糠心、病虫害斑，不带泥沙，不带茎叶、须根。</w:t>
            </w:r>
          </w:p>
          <w:p w14:paraId="7D76277E">
            <w:pPr>
              <w:rPr>
                <w:rFonts w:hint="eastAsia"/>
              </w:rPr>
            </w:pPr>
            <w:r>
              <w:rPr>
                <w:rFonts w:hint="eastAsia"/>
                <w:lang w:val="en-US" w:eastAsia="zh-CN"/>
              </w:rPr>
              <w:t>5.</w:t>
            </w:r>
            <w:r>
              <w:rPr>
                <w:rFonts w:hint="eastAsia"/>
              </w:rPr>
              <w:t>薯芋类：包括土豆、红薯、芋头、生姜、莲藕等。属同一品种规格，色泽一致，不带泥沙，不带茎叶、须根，无机械和病虫害斑，无腐烂、干瘪。皮不能变绿色，长芽。</w:t>
            </w:r>
          </w:p>
          <w:p w14:paraId="2D4E4140">
            <w:pPr>
              <w:rPr>
                <w:rFonts w:hint="eastAsia"/>
              </w:rPr>
            </w:pPr>
            <w:r>
              <w:rPr>
                <w:rFonts w:hint="eastAsia"/>
                <w:lang w:val="en-US" w:eastAsia="zh-CN"/>
              </w:rPr>
              <w:t>6.</w:t>
            </w:r>
            <w:r>
              <w:rPr>
                <w:rFonts w:hint="eastAsia"/>
              </w:rPr>
              <w:t>蔬菜可食用</w:t>
            </w:r>
            <w:r>
              <w:rPr>
                <w:rFonts w:hint="eastAsia"/>
                <w:lang w:val="en-US" w:eastAsia="zh-CN"/>
              </w:rPr>
              <w:t>不低于</w:t>
            </w:r>
            <w:r>
              <w:rPr>
                <w:rFonts w:hint="eastAsia"/>
              </w:rPr>
              <w:t>95%；</w:t>
            </w:r>
          </w:p>
          <w:p w14:paraId="29BE602A">
            <w:r>
              <w:rPr>
                <w:rFonts w:hint="eastAsia"/>
                <w:b/>
                <w:bCs/>
                <w:lang w:bidi="ar"/>
              </w:rPr>
              <w:t>▲</w:t>
            </w:r>
            <w:r>
              <w:rPr>
                <w:rFonts w:hint="eastAsia"/>
                <w:lang w:val="en-US" w:eastAsia="zh-CN"/>
              </w:rPr>
              <w:t>7.</w:t>
            </w:r>
            <w:r>
              <w:rPr>
                <w:rFonts w:hint="eastAsia"/>
              </w:rPr>
              <w:t>蔬菜农药残留检测达标。</w:t>
            </w:r>
          </w:p>
        </w:tc>
      </w:tr>
      <w:tr w14:paraId="0C887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11966B87">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w:t>
            </w:r>
          </w:p>
        </w:tc>
        <w:tc>
          <w:tcPr>
            <w:tcW w:w="1774" w:type="dxa"/>
            <w:gridSpan w:val="2"/>
            <w:tcBorders>
              <w:tl2br w:val="nil"/>
              <w:tr2bl w:val="nil"/>
            </w:tcBorders>
            <w:shd w:val="clear" w:color="auto" w:fill="auto"/>
            <w:noWrap/>
            <w:vAlign w:val="center"/>
          </w:tcPr>
          <w:p w14:paraId="26D600F1">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卷筒青</w:t>
            </w:r>
          </w:p>
        </w:tc>
        <w:tc>
          <w:tcPr>
            <w:tcW w:w="1371" w:type="dxa"/>
            <w:tcBorders>
              <w:tl2br w:val="nil"/>
              <w:tr2bl w:val="nil"/>
            </w:tcBorders>
            <w:shd w:val="clear" w:color="auto" w:fill="auto"/>
            <w:vAlign w:val="center"/>
          </w:tcPr>
          <w:p w14:paraId="1BB20737">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80000</w:t>
            </w:r>
          </w:p>
        </w:tc>
        <w:tc>
          <w:tcPr>
            <w:tcW w:w="518" w:type="pct"/>
            <w:tcBorders>
              <w:tl2br w:val="nil"/>
              <w:tr2bl w:val="nil"/>
            </w:tcBorders>
            <w:shd w:val="clear" w:color="auto" w:fill="auto"/>
            <w:noWrap/>
            <w:vAlign w:val="center"/>
          </w:tcPr>
          <w:p w14:paraId="56019A46">
            <w:pPr>
              <w:jc w:val="center"/>
            </w:pPr>
            <w:r>
              <w:rPr>
                <w:rFonts w:hint="eastAsia"/>
              </w:rPr>
              <w:t>公斤</w:t>
            </w:r>
          </w:p>
        </w:tc>
        <w:tc>
          <w:tcPr>
            <w:tcW w:w="2483" w:type="pct"/>
            <w:vMerge w:val="continue"/>
            <w:tcBorders>
              <w:tl2br w:val="nil"/>
              <w:tr2bl w:val="nil"/>
            </w:tcBorders>
            <w:shd w:val="clear" w:color="auto" w:fill="auto"/>
            <w:vAlign w:val="center"/>
          </w:tcPr>
          <w:p w14:paraId="7078EED5"/>
        </w:tc>
      </w:tr>
      <w:tr w14:paraId="411D9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20F91690">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3</w:t>
            </w:r>
          </w:p>
        </w:tc>
        <w:tc>
          <w:tcPr>
            <w:tcW w:w="1774" w:type="dxa"/>
            <w:gridSpan w:val="2"/>
            <w:tcBorders>
              <w:tl2br w:val="nil"/>
              <w:tr2bl w:val="nil"/>
            </w:tcBorders>
            <w:shd w:val="clear" w:color="auto" w:fill="auto"/>
            <w:noWrap/>
            <w:vAlign w:val="center"/>
          </w:tcPr>
          <w:p w14:paraId="472B4721">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油麦菜</w:t>
            </w:r>
          </w:p>
        </w:tc>
        <w:tc>
          <w:tcPr>
            <w:tcW w:w="1371" w:type="dxa"/>
            <w:tcBorders>
              <w:tl2br w:val="nil"/>
              <w:tr2bl w:val="nil"/>
            </w:tcBorders>
            <w:shd w:val="clear" w:color="auto" w:fill="auto"/>
            <w:vAlign w:val="center"/>
          </w:tcPr>
          <w:p w14:paraId="72E0AF82">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10000</w:t>
            </w:r>
          </w:p>
        </w:tc>
        <w:tc>
          <w:tcPr>
            <w:tcW w:w="518" w:type="pct"/>
            <w:tcBorders>
              <w:tl2br w:val="nil"/>
              <w:tr2bl w:val="nil"/>
            </w:tcBorders>
            <w:shd w:val="clear" w:color="auto" w:fill="auto"/>
            <w:noWrap/>
            <w:vAlign w:val="center"/>
          </w:tcPr>
          <w:p w14:paraId="1FB8A7C0">
            <w:pPr>
              <w:jc w:val="center"/>
            </w:pPr>
            <w:r>
              <w:rPr>
                <w:rFonts w:hint="eastAsia"/>
              </w:rPr>
              <w:t>公斤</w:t>
            </w:r>
          </w:p>
        </w:tc>
        <w:tc>
          <w:tcPr>
            <w:tcW w:w="2483" w:type="pct"/>
            <w:vMerge w:val="continue"/>
            <w:tcBorders>
              <w:tl2br w:val="nil"/>
              <w:tr2bl w:val="nil"/>
            </w:tcBorders>
            <w:shd w:val="clear" w:color="auto" w:fill="auto"/>
            <w:vAlign w:val="center"/>
          </w:tcPr>
          <w:p w14:paraId="1AD5915F"/>
        </w:tc>
      </w:tr>
      <w:tr w14:paraId="44F3D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5C83BD88">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4</w:t>
            </w:r>
          </w:p>
        </w:tc>
        <w:tc>
          <w:tcPr>
            <w:tcW w:w="1774" w:type="dxa"/>
            <w:gridSpan w:val="2"/>
            <w:tcBorders>
              <w:tl2br w:val="nil"/>
              <w:tr2bl w:val="nil"/>
            </w:tcBorders>
            <w:shd w:val="clear" w:color="auto" w:fill="auto"/>
            <w:noWrap/>
            <w:vAlign w:val="center"/>
          </w:tcPr>
          <w:p w14:paraId="0E07213C">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肉芥菜</w:t>
            </w:r>
          </w:p>
        </w:tc>
        <w:tc>
          <w:tcPr>
            <w:tcW w:w="1371" w:type="dxa"/>
            <w:tcBorders>
              <w:tl2br w:val="nil"/>
              <w:tr2bl w:val="nil"/>
            </w:tcBorders>
            <w:shd w:val="clear" w:color="auto" w:fill="auto"/>
            <w:vAlign w:val="center"/>
          </w:tcPr>
          <w:p w14:paraId="7D427E83">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10000</w:t>
            </w:r>
          </w:p>
        </w:tc>
        <w:tc>
          <w:tcPr>
            <w:tcW w:w="518" w:type="pct"/>
            <w:tcBorders>
              <w:tl2br w:val="nil"/>
              <w:tr2bl w:val="nil"/>
            </w:tcBorders>
            <w:shd w:val="clear" w:color="auto" w:fill="auto"/>
            <w:noWrap/>
            <w:vAlign w:val="center"/>
          </w:tcPr>
          <w:p w14:paraId="4F3D7DDF">
            <w:pPr>
              <w:jc w:val="center"/>
            </w:pPr>
            <w:r>
              <w:rPr>
                <w:rFonts w:hint="eastAsia"/>
              </w:rPr>
              <w:t>公斤</w:t>
            </w:r>
          </w:p>
        </w:tc>
        <w:tc>
          <w:tcPr>
            <w:tcW w:w="2483" w:type="pct"/>
            <w:vMerge w:val="continue"/>
            <w:tcBorders>
              <w:tl2br w:val="nil"/>
              <w:tr2bl w:val="nil"/>
            </w:tcBorders>
            <w:shd w:val="clear" w:color="auto" w:fill="auto"/>
            <w:vAlign w:val="center"/>
          </w:tcPr>
          <w:p w14:paraId="23F55A0B"/>
        </w:tc>
      </w:tr>
      <w:tr w14:paraId="6B49E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36FC8497">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w:t>
            </w:r>
          </w:p>
        </w:tc>
        <w:tc>
          <w:tcPr>
            <w:tcW w:w="1774" w:type="dxa"/>
            <w:gridSpan w:val="2"/>
            <w:tcBorders>
              <w:tl2br w:val="nil"/>
              <w:tr2bl w:val="nil"/>
            </w:tcBorders>
            <w:shd w:val="clear" w:color="auto" w:fill="auto"/>
            <w:noWrap/>
            <w:vAlign w:val="center"/>
          </w:tcPr>
          <w:p w14:paraId="5839BBEA">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茄子</w:t>
            </w:r>
          </w:p>
        </w:tc>
        <w:tc>
          <w:tcPr>
            <w:tcW w:w="1371" w:type="dxa"/>
            <w:tcBorders>
              <w:tl2br w:val="nil"/>
              <w:tr2bl w:val="nil"/>
            </w:tcBorders>
            <w:shd w:val="clear" w:color="auto" w:fill="auto"/>
            <w:vAlign w:val="center"/>
          </w:tcPr>
          <w:p w14:paraId="462425BD">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10000</w:t>
            </w:r>
          </w:p>
        </w:tc>
        <w:tc>
          <w:tcPr>
            <w:tcW w:w="518" w:type="pct"/>
            <w:tcBorders>
              <w:tl2br w:val="nil"/>
              <w:tr2bl w:val="nil"/>
            </w:tcBorders>
            <w:shd w:val="clear" w:color="auto" w:fill="auto"/>
            <w:noWrap/>
            <w:vAlign w:val="center"/>
          </w:tcPr>
          <w:p w14:paraId="62B37986">
            <w:pPr>
              <w:jc w:val="center"/>
            </w:pPr>
            <w:r>
              <w:rPr>
                <w:rFonts w:hint="eastAsia"/>
              </w:rPr>
              <w:t>公斤</w:t>
            </w:r>
          </w:p>
        </w:tc>
        <w:tc>
          <w:tcPr>
            <w:tcW w:w="2483" w:type="pct"/>
            <w:vMerge w:val="continue"/>
            <w:tcBorders>
              <w:tl2br w:val="nil"/>
              <w:tr2bl w:val="nil"/>
            </w:tcBorders>
            <w:shd w:val="clear" w:color="auto" w:fill="auto"/>
            <w:vAlign w:val="center"/>
          </w:tcPr>
          <w:p w14:paraId="6E1C171E"/>
        </w:tc>
      </w:tr>
      <w:tr w14:paraId="413A7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2C818B08">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6</w:t>
            </w:r>
          </w:p>
        </w:tc>
        <w:tc>
          <w:tcPr>
            <w:tcW w:w="1774" w:type="dxa"/>
            <w:gridSpan w:val="2"/>
            <w:tcBorders>
              <w:tl2br w:val="nil"/>
              <w:tr2bl w:val="nil"/>
            </w:tcBorders>
            <w:shd w:val="clear" w:color="auto" w:fill="auto"/>
            <w:noWrap/>
            <w:vAlign w:val="center"/>
          </w:tcPr>
          <w:p w14:paraId="2B4486B5">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嫩南瓜</w:t>
            </w:r>
          </w:p>
        </w:tc>
        <w:tc>
          <w:tcPr>
            <w:tcW w:w="1371" w:type="dxa"/>
            <w:tcBorders>
              <w:tl2br w:val="nil"/>
              <w:tr2bl w:val="nil"/>
            </w:tcBorders>
            <w:shd w:val="clear" w:color="auto" w:fill="auto"/>
            <w:vAlign w:val="center"/>
          </w:tcPr>
          <w:p w14:paraId="27C8A9C6">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10000</w:t>
            </w:r>
          </w:p>
        </w:tc>
        <w:tc>
          <w:tcPr>
            <w:tcW w:w="518" w:type="pct"/>
            <w:tcBorders>
              <w:tl2br w:val="nil"/>
              <w:tr2bl w:val="nil"/>
            </w:tcBorders>
            <w:shd w:val="clear" w:color="auto" w:fill="auto"/>
            <w:noWrap/>
            <w:vAlign w:val="center"/>
          </w:tcPr>
          <w:p w14:paraId="6965B44B">
            <w:pPr>
              <w:jc w:val="center"/>
            </w:pPr>
            <w:r>
              <w:rPr>
                <w:rFonts w:hint="eastAsia"/>
              </w:rPr>
              <w:t>公斤</w:t>
            </w:r>
          </w:p>
        </w:tc>
        <w:tc>
          <w:tcPr>
            <w:tcW w:w="2483" w:type="pct"/>
            <w:vMerge w:val="continue"/>
            <w:tcBorders>
              <w:tl2br w:val="nil"/>
              <w:tr2bl w:val="nil"/>
            </w:tcBorders>
            <w:shd w:val="clear" w:color="auto" w:fill="auto"/>
            <w:vAlign w:val="center"/>
          </w:tcPr>
          <w:p w14:paraId="0F4B52D9"/>
        </w:tc>
      </w:tr>
      <w:tr w14:paraId="673B1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7441A4C5">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7</w:t>
            </w:r>
          </w:p>
        </w:tc>
        <w:tc>
          <w:tcPr>
            <w:tcW w:w="1774" w:type="dxa"/>
            <w:gridSpan w:val="2"/>
            <w:tcBorders>
              <w:tl2br w:val="nil"/>
              <w:tr2bl w:val="nil"/>
            </w:tcBorders>
            <w:shd w:val="clear" w:color="auto" w:fill="auto"/>
            <w:noWrap/>
            <w:vAlign w:val="center"/>
          </w:tcPr>
          <w:p w14:paraId="15CE1AB2">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青瓜</w:t>
            </w:r>
          </w:p>
        </w:tc>
        <w:tc>
          <w:tcPr>
            <w:tcW w:w="1371" w:type="dxa"/>
            <w:tcBorders>
              <w:tl2br w:val="nil"/>
              <w:tr2bl w:val="nil"/>
            </w:tcBorders>
            <w:shd w:val="clear" w:color="auto" w:fill="auto"/>
            <w:vAlign w:val="center"/>
          </w:tcPr>
          <w:p w14:paraId="3BEDE14F">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10000</w:t>
            </w:r>
          </w:p>
        </w:tc>
        <w:tc>
          <w:tcPr>
            <w:tcW w:w="518" w:type="pct"/>
            <w:tcBorders>
              <w:tl2br w:val="nil"/>
              <w:tr2bl w:val="nil"/>
            </w:tcBorders>
            <w:shd w:val="clear" w:color="auto" w:fill="auto"/>
            <w:noWrap/>
            <w:vAlign w:val="center"/>
          </w:tcPr>
          <w:p w14:paraId="525DB0BF">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03287A0C"/>
        </w:tc>
      </w:tr>
      <w:tr w14:paraId="5E369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3E71E1FB">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8</w:t>
            </w:r>
          </w:p>
        </w:tc>
        <w:tc>
          <w:tcPr>
            <w:tcW w:w="1774" w:type="dxa"/>
            <w:gridSpan w:val="2"/>
            <w:tcBorders>
              <w:tl2br w:val="nil"/>
              <w:tr2bl w:val="nil"/>
            </w:tcBorders>
            <w:shd w:val="clear" w:color="auto" w:fill="auto"/>
            <w:noWrap/>
            <w:vAlign w:val="center"/>
          </w:tcPr>
          <w:p w14:paraId="534FF415">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南瓜</w:t>
            </w:r>
          </w:p>
        </w:tc>
        <w:tc>
          <w:tcPr>
            <w:tcW w:w="1371" w:type="dxa"/>
            <w:tcBorders>
              <w:tl2br w:val="nil"/>
              <w:tr2bl w:val="nil"/>
            </w:tcBorders>
            <w:shd w:val="clear" w:color="auto" w:fill="auto"/>
            <w:vAlign w:val="center"/>
          </w:tcPr>
          <w:p w14:paraId="281CE8ED">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145000</w:t>
            </w:r>
          </w:p>
        </w:tc>
        <w:tc>
          <w:tcPr>
            <w:tcW w:w="518" w:type="pct"/>
            <w:tcBorders>
              <w:tl2br w:val="nil"/>
              <w:tr2bl w:val="nil"/>
            </w:tcBorders>
            <w:shd w:val="clear" w:color="auto" w:fill="auto"/>
            <w:noWrap/>
            <w:vAlign w:val="center"/>
          </w:tcPr>
          <w:p w14:paraId="55144772">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30405509"/>
        </w:tc>
      </w:tr>
      <w:tr w14:paraId="5858F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3876D8EF">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9</w:t>
            </w:r>
          </w:p>
        </w:tc>
        <w:tc>
          <w:tcPr>
            <w:tcW w:w="1774" w:type="dxa"/>
            <w:gridSpan w:val="2"/>
            <w:tcBorders>
              <w:tl2br w:val="nil"/>
              <w:tr2bl w:val="nil"/>
            </w:tcBorders>
            <w:shd w:val="clear" w:color="auto" w:fill="auto"/>
            <w:noWrap/>
            <w:vAlign w:val="center"/>
          </w:tcPr>
          <w:p w14:paraId="6D785A8B">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冬瓜</w:t>
            </w:r>
          </w:p>
        </w:tc>
        <w:tc>
          <w:tcPr>
            <w:tcW w:w="1371" w:type="dxa"/>
            <w:tcBorders>
              <w:tl2br w:val="nil"/>
              <w:tr2bl w:val="nil"/>
            </w:tcBorders>
            <w:shd w:val="clear" w:color="auto" w:fill="auto"/>
            <w:vAlign w:val="center"/>
          </w:tcPr>
          <w:p w14:paraId="23D48E23">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100000</w:t>
            </w:r>
          </w:p>
        </w:tc>
        <w:tc>
          <w:tcPr>
            <w:tcW w:w="518" w:type="pct"/>
            <w:tcBorders>
              <w:tl2br w:val="nil"/>
              <w:tr2bl w:val="nil"/>
            </w:tcBorders>
            <w:shd w:val="clear" w:color="auto" w:fill="auto"/>
            <w:noWrap/>
            <w:vAlign w:val="center"/>
          </w:tcPr>
          <w:p w14:paraId="3DC9577E">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2736F77D"/>
        </w:tc>
      </w:tr>
      <w:tr w14:paraId="043A7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30345D27">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10</w:t>
            </w:r>
          </w:p>
        </w:tc>
        <w:tc>
          <w:tcPr>
            <w:tcW w:w="1774" w:type="dxa"/>
            <w:gridSpan w:val="2"/>
            <w:tcBorders>
              <w:tl2br w:val="nil"/>
              <w:tr2bl w:val="nil"/>
            </w:tcBorders>
            <w:shd w:val="clear" w:color="auto" w:fill="auto"/>
            <w:noWrap/>
            <w:vAlign w:val="center"/>
          </w:tcPr>
          <w:p w14:paraId="63775768">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白萝卜</w:t>
            </w:r>
          </w:p>
        </w:tc>
        <w:tc>
          <w:tcPr>
            <w:tcW w:w="1371" w:type="dxa"/>
            <w:tcBorders>
              <w:tl2br w:val="nil"/>
              <w:tr2bl w:val="nil"/>
            </w:tcBorders>
            <w:shd w:val="clear" w:color="auto" w:fill="auto"/>
            <w:vAlign w:val="center"/>
          </w:tcPr>
          <w:p w14:paraId="3ADA51D6">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15000</w:t>
            </w:r>
          </w:p>
        </w:tc>
        <w:tc>
          <w:tcPr>
            <w:tcW w:w="518" w:type="pct"/>
            <w:tcBorders>
              <w:tl2br w:val="nil"/>
              <w:tr2bl w:val="nil"/>
            </w:tcBorders>
            <w:shd w:val="clear" w:color="auto" w:fill="auto"/>
            <w:noWrap/>
            <w:vAlign w:val="center"/>
          </w:tcPr>
          <w:p w14:paraId="2A4DE935">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4281384D"/>
        </w:tc>
      </w:tr>
      <w:tr w14:paraId="02EC5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7276F8D4">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11</w:t>
            </w:r>
          </w:p>
        </w:tc>
        <w:tc>
          <w:tcPr>
            <w:tcW w:w="1774" w:type="dxa"/>
            <w:gridSpan w:val="2"/>
            <w:tcBorders>
              <w:tl2br w:val="nil"/>
              <w:tr2bl w:val="nil"/>
            </w:tcBorders>
            <w:shd w:val="clear" w:color="auto" w:fill="auto"/>
            <w:noWrap/>
            <w:vAlign w:val="center"/>
          </w:tcPr>
          <w:p w14:paraId="48FE8B6B">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胡萝卜</w:t>
            </w:r>
          </w:p>
        </w:tc>
        <w:tc>
          <w:tcPr>
            <w:tcW w:w="1371" w:type="dxa"/>
            <w:tcBorders>
              <w:tl2br w:val="nil"/>
              <w:tr2bl w:val="nil"/>
            </w:tcBorders>
            <w:shd w:val="clear" w:color="auto" w:fill="auto"/>
            <w:vAlign w:val="center"/>
          </w:tcPr>
          <w:p w14:paraId="3E02BE65">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15000</w:t>
            </w:r>
          </w:p>
        </w:tc>
        <w:tc>
          <w:tcPr>
            <w:tcW w:w="518" w:type="pct"/>
            <w:tcBorders>
              <w:tl2br w:val="nil"/>
              <w:tr2bl w:val="nil"/>
            </w:tcBorders>
            <w:shd w:val="clear" w:color="auto" w:fill="auto"/>
            <w:noWrap/>
            <w:vAlign w:val="center"/>
          </w:tcPr>
          <w:p w14:paraId="237F060E">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773300B2"/>
        </w:tc>
      </w:tr>
      <w:tr w14:paraId="6DA8E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2297056D">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12</w:t>
            </w:r>
          </w:p>
        </w:tc>
        <w:tc>
          <w:tcPr>
            <w:tcW w:w="1774" w:type="dxa"/>
            <w:gridSpan w:val="2"/>
            <w:tcBorders>
              <w:tl2br w:val="nil"/>
              <w:tr2bl w:val="nil"/>
            </w:tcBorders>
            <w:shd w:val="clear" w:color="auto" w:fill="auto"/>
            <w:noWrap/>
            <w:vAlign w:val="center"/>
          </w:tcPr>
          <w:p w14:paraId="75BDBE8F">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莲藕</w:t>
            </w:r>
          </w:p>
        </w:tc>
        <w:tc>
          <w:tcPr>
            <w:tcW w:w="1371" w:type="dxa"/>
            <w:tcBorders>
              <w:tl2br w:val="nil"/>
              <w:tr2bl w:val="nil"/>
            </w:tcBorders>
            <w:shd w:val="clear" w:color="auto" w:fill="auto"/>
            <w:vAlign w:val="center"/>
          </w:tcPr>
          <w:p w14:paraId="34F55ECD">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4000</w:t>
            </w:r>
          </w:p>
        </w:tc>
        <w:tc>
          <w:tcPr>
            <w:tcW w:w="518" w:type="pct"/>
            <w:tcBorders>
              <w:tl2br w:val="nil"/>
              <w:tr2bl w:val="nil"/>
            </w:tcBorders>
            <w:shd w:val="clear" w:color="auto" w:fill="auto"/>
            <w:noWrap/>
            <w:vAlign w:val="center"/>
          </w:tcPr>
          <w:p w14:paraId="1640EE57">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05D55A27"/>
        </w:tc>
      </w:tr>
      <w:tr w14:paraId="4BAD2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02C6D964">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13</w:t>
            </w:r>
          </w:p>
        </w:tc>
        <w:tc>
          <w:tcPr>
            <w:tcW w:w="1774" w:type="dxa"/>
            <w:gridSpan w:val="2"/>
            <w:tcBorders>
              <w:tl2br w:val="nil"/>
              <w:tr2bl w:val="nil"/>
            </w:tcBorders>
            <w:shd w:val="clear" w:color="auto" w:fill="auto"/>
            <w:noWrap/>
            <w:vAlign w:val="center"/>
          </w:tcPr>
          <w:p w14:paraId="4E23391C">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土豆</w:t>
            </w:r>
          </w:p>
        </w:tc>
        <w:tc>
          <w:tcPr>
            <w:tcW w:w="1371" w:type="dxa"/>
            <w:tcBorders>
              <w:tl2br w:val="nil"/>
              <w:tr2bl w:val="nil"/>
            </w:tcBorders>
            <w:shd w:val="clear" w:color="auto" w:fill="auto"/>
            <w:vAlign w:val="center"/>
          </w:tcPr>
          <w:p w14:paraId="70C595E9">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8000</w:t>
            </w:r>
          </w:p>
        </w:tc>
        <w:tc>
          <w:tcPr>
            <w:tcW w:w="518" w:type="pct"/>
            <w:tcBorders>
              <w:tl2br w:val="nil"/>
              <w:tr2bl w:val="nil"/>
            </w:tcBorders>
            <w:shd w:val="clear" w:color="auto" w:fill="auto"/>
            <w:noWrap/>
            <w:vAlign w:val="center"/>
          </w:tcPr>
          <w:p w14:paraId="12F85DCE">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4ACE437A"/>
        </w:tc>
      </w:tr>
      <w:tr w14:paraId="5E913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41C29A09">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14</w:t>
            </w:r>
          </w:p>
        </w:tc>
        <w:tc>
          <w:tcPr>
            <w:tcW w:w="1774" w:type="dxa"/>
            <w:gridSpan w:val="2"/>
            <w:tcBorders>
              <w:tl2br w:val="nil"/>
              <w:tr2bl w:val="nil"/>
            </w:tcBorders>
            <w:shd w:val="clear" w:color="auto" w:fill="auto"/>
            <w:noWrap/>
            <w:vAlign w:val="center"/>
          </w:tcPr>
          <w:p w14:paraId="638E92E8">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苦瓜</w:t>
            </w:r>
          </w:p>
        </w:tc>
        <w:tc>
          <w:tcPr>
            <w:tcW w:w="1371" w:type="dxa"/>
            <w:tcBorders>
              <w:tl2br w:val="nil"/>
              <w:tr2bl w:val="nil"/>
            </w:tcBorders>
            <w:shd w:val="clear" w:color="auto" w:fill="auto"/>
            <w:vAlign w:val="center"/>
          </w:tcPr>
          <w:p w14:paraId="1F95F6DB">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3000</w:t>
            </w:r>
          </w:p>
        </w:tc>
        <w:tc>
          <w:tcPr>
            <w:tcW w:w="518" w:type="pct"/>
            <w:tcBorders>
              <w:tl2br w:val="nil"/>
              <w:tr2bl w:val="nil"/>
            </w:tcBorders>
            <w:shd w:val="clear" w:color="auto" w:fill="auto"/>
            <w:noWrap/>
            <w:vAlign w:val="center"/>
          </w:tcPr>
          <w:p w14:paraId="6604ACF4">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6203C81D"/>
        </w:tc>
      </w:tr>
      <w:tr w14:paraId="4A9BD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56EDAD6B">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15</w:t>
            </w:r>
          </w:p>
        </w:tc>
        <w:tc>
          <w:tcPr>
            <w:tcW w:w="1774" w:type="dxa"/>
            <w:gridSpan w:val="2"/>
            <w:tcBorders>
              <w:tl2br w:val="nil"/>
              <w:tr2bl w:val="nil"/>
            </w:tcBorders>
            <w:shd w:val="clear" w:color="auto" w:fill="auto"/>
            <w:noWrap/>
            <w:vAlign w:val="center"/>
          </w:tcPr>
          <w:p w14:paraId="6B17504B">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绿豆芽</w:t>
            </w:r>
          </w:p>
        </w:tc>
        <w:tc>
          <w:tcPr>
            <w:tcW w:w="1371" w:type="dxa"/>
            <w:tcBorders>
              <w:tl2br w:val="nil"/>
              <w:tr2bl w:val="nil"/>
            </w:tcBorders>
            <w:shd w:val="clear" w:color="auto" w:fill="auto"/>
            <w:vAlign w:val="center"/>
          </w:tcPr>
          <w:p w14:paraId="2C881147">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3000</w:t>
            </w:r>
          </w:p>
        </w:tc>
        <w:tc>
          <w:tcPr>
            <w:tcW w:w="518" w:type="pct"/>
            <w:tcBorders>
              <w:tl2br w:val="nil"/>
              <w:tr2bl w:val="nil"/>
            </w:tcBorders>
            <w:shd w:val="clear" w:color="auto" w:fill="auto"/>
            <w:noWrap/>
            <w:vAlign w:val="center"/>
          </w:tcPr>
          <w:p w14:paraId="66C45D9E">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0D51B670"/>
        </w:tc>
      </w:tr>
      <w:tr w14:paraId="086DA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4CB94A88">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16</w:t>
            </w:r>
          </w:p>
        </w:tc>
        <w:tc>
          <w:tcPr>
            <w:tcW w:w="1774" w:type="dxa"/>
            <w:gridSpan w:val="2"/>
            <w:tcBorders>
              <w:tl2br w:val="nil"/>
              <w:tr2bl w:val="nil"/>
            </w:tcBorders>
            <w:shd w:val="clear" w:color="auto" w:fill="auto"/>
            <w:noWrap/>
            <w:vAlign w:val="center"/>
          </w:tcPr>
          <w:p w14:paraId="142E3156">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西红柿</w:t>
            </w:r>
          </w:p>
        </w:tc>
        <w:tc>
          <w:tcPr>
            <w:tcW w:w="1371" w:type="dxa"/>
            <w:tcBorders>
              <w:tl2br w:val="nil"/>
              <w:tr2bl w:val="nil"/>
            </w:tcBorders>
            <w:shd w:val="clear" w:color="auto" w:fill="auto"/>
            <w:vAlign w:val="center"/>
          </w:tcPr>
          <w:p w14:paraId="298BD4C4">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2000</w:t>
            </w:r>
          </w:p>
        </w:tc>
        <w:tc>
          <w:tcPr>
            <w:tcW w:w="518" w:type="pct"/>
            <w:tcBorders>
              <w:tl2br w:val="nil"/>
              <w:tr2bl w:val="nil"/>
            </w:tcBorders>
            <w:shd w:val="clear" w:color="auto" w:fill="auto"/>
            <w:noWrap/>
            <w:vAlign w:val="center"/>
          </w:tcPr>
          <w:p w14:paraId="3A4C2FF1">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6458EB0B"/>
        </w:tc>
      </w:tr>
      <w:tr w14:paraId="00744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7F2D7507">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17</w:t>
            </w:r>
          </w:p>
        </w:tc>
        <w:tc>
          <w:tcPr>
            <w:tcW w:w="1774" w:type="dxa"/>
            <w:gridSpan w:val="2"/>
            <w:tcBorders>
              <w:tl2br w:val="nil"/>
              <w:tr2bl w:val="nil"/>
            </w:tcBorders>
            <w:shd w:val="clear" w:color="auto" w:fill="auto"/>
            <w:noWrap/>
            <w:vAlign w:val="center"/>
          </w:tcPr>
          <w:p w14:paraId="4A36B00C">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西芹</w:t>
            </w:r>
          </w:p>
        </w:tc>
        <w:tc>
          <w:tcPr>
            <w:tcW w:w="1371" w:type="dxa"/>
            <w:tcBorders>
              <w:tl2br w:val="nil"/>
              <w:tr2bl w:val="nil"/>
            </w:tcBorders>
            <w:shd w:val="clear" w:color="auto" w:fill="auto"/>
            <w:vAlign w:val="center"/>
          </w:tcPr>
          <w:p w14:paraId="7106FC66">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4000</w:t>
            </w:r>
          </w:p>
        </w:tc>
        <w:tc>
          <w:tcPr>
            <w:tcW w:w="518" w:type="pct"/>
            <w:tcBorders>
              <w:tl2br w:val="nil"/>
              <w:tr2bl w:val="nil"/>
            </w:tcBorders>
            <w:shd w:val="clear" w:color="auto" w:fill="auto"/>
            <w:noWrap/>
            <w:vAlign w:val="center"/>
          </w:tcPr>
          <w:p w14:paraId="3B63D892">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3A107CD5"/>
        </w:tc>
      </w:tr>
      <w:tr w14:paraId="58331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69B7B9A0">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18</w:t>
            </w:r>
          </w:p>
        </w:tc>
        <w:tc>
          <w:tcPr>
            <w:tcW w:w="1774" w:type="dxa"/>
            <w:gridSpan w:val="2"/>
            <w:tcBorders>
              <w:tl2br w:val="nil"/>
              <w:tr2bl w:val="nil"/>
            </w:tcBorders>
            <w:shd w:val="clear" w:color="auto" w:fill="auto"/>
            <w:noWrap/>
            <w:vAlign w:val="center"/>
          </w:tcPr>
          <w:p w14:paraId="7BF1BB38">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洋葱</w:t>
            </w:r>
          </w:p>
        </w:tc>
        <w:tc>
          <w:tcPr>
            <w:tcW w:w="1371" w:type="dxa"/>
            <w:tcBorders>
              <w:tl2br w:val="nil"/>
              <w:tr2bl w:val="nil"/>
            </w:tcBorders>
            <w:shd w:val="clear" w:color="auto" w:fill="auto"/>
            <w:vAlign w:val="center"/>
          </w:tcPr>
          <w:p w14:paraId="7B2783BC">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3500</w:t>
            </w:r>
          </w:p>
        </w:tc>
        <w:tc>
          <w:tcPr>
            <w:tcW w:w="518" w:type="pct"/>
            <w:tcBorders>
              <w:tl2br w:val="nil"/>
              <w:tr2bl w:val="nil"/>
            </w:tcBorders>
            <w:shd w:val="clear" w:color="auto" w:fill="auto"/>
            <w:noWrap/>
            <w:vAlign w:val="center"/>
          </w:tcPr>
          <w:p w14:paraId="7185D1BA">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401EC297"/>
        </w:tc>
      </w:tr>
      <w:tr w14:paraId="60F75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7E99B7E6">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19</w:t>
            </w:r>
          </w:p>
        </w:tc>
        <w:tc>
          <w:tcPr>
            <w:tcW w:w="1774" w:type="dxa"/>
            <w:gridSpan w:val="2"/>
            <w:tcBorders>
              <w:tl2br w:val="nil"/>
              <w:tr2bl w:val="nil"/>
            </w:tcBorders>
            <w:shd w:val="clear" w:color="auto" w:fill="auto"/>
            <w:noWrap/>
            <w:vAlign w:val="center"/>
          </w:tcPr>
          <w:p w14:paraId="6E276414">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鲜鸡腿菇</w:t>
            </w:r>
          </w:p>
        </w:tc>
        <w:tc>
          <w:tcPr>
            <w:tcW w:w="1371" w:type="dxa"/>
            <w:tcBorders>
              <w:tl2br w:val="nil"/>
              <w:tr2bl w:val="nil"/>
            </w:tcBorders>
            <w:shd w:val="clear" w:color="auto" w:fill="auto"/>
            <w:vAlign w:val="center"/>
          </w:tcPr>
          <w:p w14:paraId="13DB43DB">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1E607053">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66DF479D"/>
        </w:tc>
      </w:tr>
      <w:tr w14:paraId="0487B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505BC21D">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20</w:t>
            </w:r>
          </w:p>
        </w:tc>
        <w:tc>
          <w:tcPr>
            <w:tcW w:w="1774" w:type="dxa"/>
            <w:gridSpan w:val="2"/>
            <w:tcBorders>
              <w:tl2br w:val="nil"/>
              <w:tr2bl w:val="nil"/>
            </w:tcBorders>
            <w:shd w:val="clear" w:color="auto" w:fill="auto"/>
            <w:noWrap/>
            <w:vAlign w:val="center"/>
          </w:tcPr>
          <w:p w14:paraId="3EA9BCE3">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青蒜苗</w:t>
            </w:r>
          </w:p>
        </w:tc>
        <w:tc>
          <w:tcPr>
            <w:tcW w:w="1371" w:type="dxa"/>
            <w:tcBorders>
              <w:tl2br w:val="nil"/>
              <w:tr2bl w:val="nil"/>
            </w:tcBorders>
            <w:shd w:val="clear" w:color="auto" w:fill="auto"/>
            <w:vAlign w:val="center"/>
          </w:tcPr>
          <w:p w14:paraId="359771CF">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509A24D8">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2E14E6E3"/>
        </w:tc>
      </w:tr>
      <w:tr w14:paraId="1835D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6ED168A5">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21</w:t>
            </w:r>
          </w:p>
        </w:tc>
        <w:tc>
          <w:tcPr>
            <w:tcW w:w="1774" w:type="dxa"/>
            <w:gridSpan w:val="2"/>
            <w:tcBorders>
              <w:tl2br w:val="nil"/>
              <w:tr2bl w:val="nil"/>
            </w:tcBorders>
            <w:shd w:val="clear" w:color="auto" w:fill="auto"/>
            <w:noWrap/>
            <w:vAlign w:val="center"/>
          </w:tcPr>
          <w:p w14:paraId="43AD1334">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芹菜</w:t>
            </w:r>
          </w:p>
        </w:tc>
        <w:tc>
          <w:tcPr>
            <w:tcW w:w="1371" w:type="dxa"/>
            <w:tcBorders>
              <w:tl2br w:val="nil"/>
              <w:tr2bl w:val="nil"/>
            </w:tcBorders>
            <w:shd w:val="clear" w:color="auto" w:fill="auto"/>
            <w:vAlign w:val="center"/>
          </w:tcPr>
          <w:p w14:paraId="605CE71B">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65BC8988">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45184F90"/>
        </w:tc>
      </w:tr>
      <w:tr w14:paraId="6E126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200F15C3">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22</w:t>
            </w:r>
          </w:p>
        </w:tc>
        <w:tc>
          <w:tcPr>
            <w:tcW w:w="1774" w:type="dxa"/>
            <w:gridSpan w:val="2"/>
            <w:tcBorders>
              <w:tl2br w:val="nil"/>
              <w:tr2bl w:val="nil"/>
            </w:tcBorders>
            <w:shd w:val="clear" w:color="auto" w:fill="auto"/>
            <w:noWrap/>
            <w:vAlign w:val="center"/>
          </w:tcPr>
          <w:p w14:paraId="4EADF8C3">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生姜</w:t>
            </w:r>
          </w:p>
        </w:tc>
        <w:tc>
          <w:tcPr>
            <w:tcW w:w="1371" w:type="dxa"/>
            <w:tcBorders>
              <w:tl2br w:val="nil"/>
              <w:tr2bl w:val="nil"/>
            </w:tcBorders>
            <w:shd w:val="clear" w:color="auto" w:fill="auto"/>
            <w:vAlign w:val="center"/>
          </w:tcPr>
          <w:p w14:paraId="76ABED1E">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68201E12">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7918CBA8"/>
        </w:tc>
      </w:tr>
      <w:tr w14:paraId="298CD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29627152">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23</w:t>
            </w:r>
          </w:p>
        </w:tc>
        <w:tc>
          <w:tcPr>
            <w:tcW w:w="1774" w:type="dxa"/>
            <w:gridSpan w:val="2"/>
            <w:tcBorders>
              <w:tl2br w:val="nil"/>
              <w:tr2bl w:val="nil"/>
            </w:tcBorders>
            <w:shd w:val="clear" w:color="auto" w:fill="auto"/>
            <w:noWrap/>
            <w:vAlign w:val="center"/>
          </w:tcPr>
          <w:p w14:paraId="1664C70A">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葱花</w:t>
            </w:r>
          </w:p>
        </w:tc>
        <w:tc>
          <w:tcPr>
            <w:tcW w:w="1371" w:type="dxa"/>
            <w:tcBorders>
              <w:tl2br w:val="nil"/>
              <w:tr2bl w:val="nil"/>
            </w:tcBorders>
            <w:shd w:val="clear" w:color="auto" w:fill="auto"/>
            <w:vAlign w:val="center"/>
          </w:tcPr>
          <w:p w14:paraId="65502387">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4E4293E0">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68626E6B"/>
        </w:tc>
      </w:tr>
      <w:tr w14:paraId="5E1E5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756FBF7A">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24</w:t>
            </w:r>
          </w:p>
        </w:tc>
        <w:tc>
          <w:tcPr>
            <w:tcW w:w="1774" w:type="dxa"/>
            <w:gridSpan w:val="2"/>
            <w:tcBorders>
              <w:tl2br w:val="nil"/>
              <w:tr2bl w:val="nil"/>
            </w:tcBorders>
            <w:shd w:val="clear" w:color="auto" w:fill="auto"/>
            <w:noWrap/>
            <w:vAlign w:val="center"/>
          </w:tcPr>
          <w:p w14:paraId="69D0FE3C">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大蒜米</w:t>
            </w:r>
          </w:p>
        </w:tc>
        <w:tc>
          <w:tcPr>
            <w:tcW w:w="1371" w:type="dxa"/>
            <w:tcBorders>
              <w:tl2br w:val="nil"/>
              <w:tr2bl w:val="nil"/>
            </w:tcBorders>
            <w:shd w:val="clear" w:color="auto" w:fill="auto"/>
            <w:vAlign w:val="center"/>
          </w:tcPr>
          <w:p w14:paraId="57215030">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45691FC2">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2188943F"/>
        </w:tc>
      </w:tr>
      <w:tr w14:paraId="50D09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2EBD8622">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25</w:t>
            </w:r>
          </w:p>
        </w:tc>
        <w:tc>
          <w:tcPr>
            <w:tcW w:w="1774" w:type="dxa"/>
            <w:gridSpan w:val="2"/>
            <w:tcBorders>
              <w:tl2br w:val="nil"/>
              <w:tr2bl w:val="nil"/>
            </w:tcBorders>
            <w:shd w:val="clear" w:color="auto" w:fill="auto"/>
            <w:noWrap/>
            <w:vAlign w:val="center"/>
          </w:tcPr>
          <w:p w14:paraId="00E4EDAE">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红薯</w:t>
            </w:r>
          </w:p>
        </w:tc>
        <w:tc>
          <w:tcPr>
            <w:tcW w:w="1371" w:type="dxa"/>
            <w:tcBorders>
              <w:tl2br w:val="nil"/>
              <w:tr2bl w:val="nil"/>
            </w:tcBorders>
            <w:shd w:val="clear" w:color="auto" w:fill="auto"/>
            <w:vAlign w:val="center"/>
          </w:tcPr>
          <w:p w14:paraId="1F67E7F5">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10000</w:t>
            </w:r>
          </w:p>
        </w:tc>
        <w:tc>
          <w:tcPr>
            <w:tcW w:w="518" w:type="pct"/>
            <w:tcBorders>
              <w:tl2br w:val="nil"/>
              <w:tr2bl w:val="nil"/>
            </w:tcBorders>
            <w:shd w:val="clear" w:color="auto" w:fill="auto"/>
            <w:noWrap/>
            <w:vAlign w:val="center"/>
          </w:tcPr>
          <w:p w14:paraId="512F30C5">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66371412"/>
        </w:tc>
      </w:tr>
      <w:tr w14:paraId="335C7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712CA935">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26</w:t>
            </w:r>
          </w:p>
        </w:tc>
        <w:tc>
          <w:tcPr>
            <w:tcW w:w="1774" w:type="dxa"/>
            <w:gridSpan w:val="2"/>
            <w:tcBorders>
              <w:tl2br w:val="nil"/>
              <w:tr2bl w:val="nil"/>
            </w:tcBorders>
            <w:shd w:val="clear" w:color="auto" w:fill="auto"/>
            <w:noWrap/>
            <w:vAlign w:val="center"/>
          </w:tcPr>
          <w:p w14:paraId="6396403F">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芋头</w:t>
            </w:r>
          </w:p>
        </w:tc>
        <w:tc>
          <w:tcPr>
            <w:tcW w:w="1371" w:type="dxa"/>
            <w:tcBorders>
              <w:tl2br w:val="nil"/>
              <w:tr2bl w:val="nil"/>
            </w:tcBorders>
            <w:shd w:val="clear" w:color="auto" w:fill="auto"/>
            <w:vAlign w:val="center"/>
          </w:tcPr>
          <w:p w14:paraId="06A82B9F">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2500</w:t>
            </w:r>
          </w:p>
        </w:tc>
        <w:tc>
          <w:tcPr>
            <w:tcW w:w="518" w:type="pct"/>
            <w:tcBorders>
              <w:tl2br w:val="nil"/>
              <w:tr2bl w:val="nil"/>
            </w:tcBorders>
            <w:shd w:val="clear" w:color="auto" w:fill="auto"/>
            <w:noWrap/>
            <w:vAlign w:val="center"/>
          </w:tcPr>
          <w:p w14:paraId="743D193E">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535A48F8"/>
        </w:tc>
      </w:tr>
      <w:tr w14:paraId="079BA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1168223A">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27</w:t>
            </w:r>
          </w:p>
        </w:tc>
        <w:tc>
          <w:tcPr>
            <w:tcW w:w="1774" w:type="dxa"/>
            <w:gridSpan w:val="2"/>
            <w:tcBorders>
              <w:tl2br w:val="nil"/>
              <w:tr2bl w:val="nil"/>
            </w:tcBorders>
            <w:shd w:val="clear" w:color="auto" w:fill="auto"/>
            <w:noWrap/>
            <w:vAlign w:val="center"/>
          </w:tcPr>
          <w:p w14:paraId="3A18ADA7">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糯玉米</w:t>
            </w:r>
          </w:p>
        </w:tc>
        <w:tc>
          <w:tcPr>
            <w:tcW w:w="1371" w:type="dxa"/>
            <w:tcBorders>
              <w:tl2br w:val="nil"/>
              <w:tr2bl w:val="nil"/>
            </w:tcBorders>
            <w:shd w:val="clear" w:color="auto" w:fill="auto"/>
            <w:vAlign w:val="center"/>
          </w:tcPr>
          <w:p w14:paraId="6D14D3DD">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2500</w:t>
            </w:r>
          </w:p>
        </w:tc>
        <w:tc>
          <w:tcPr>
            <w:tcW w:w="518" w:type="pct"/>
            <w:tcBorders>
              <w:tl2br w:val="nil"/>
              <w:tr2bl w:val="nil"/>
            </w:tcBorders>
            <w:shd w:val="clear" w:color="auto" w:fill="auto"/>
            <w:noWrap/>
            <w:vAlign w:val="center"/>
          </w:tcPr>
          <w:p w14:paraId="6105D0F3">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433B082F"/>
        </w:tc>
      </w:tr>
      <w:tr w14:paraId="3E018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66D12510">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28</w:t>
            </w:r>
          </w:p>
        </w:tc>
        <w:tc>
          <w:tcPr>
            <w:tcW w:w="1774" w:type="dxa"/>
            <w:gridSpan w:val="2"/>
            <w:tcBorders>
              <w:tl2br w:val="nil"/>
              <w:tr2bl w:val="nil"/>
            </w:tcBorders>
            <w:shd w:val="clear" w:color="auto" w:fill="auto"/>
            <w:noWrap/>
            <w:vAlign w:val="center"/>
          </w:tcPr>
          <w:p w14:paraId="22D71968">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甜玉米棒（带皮）</w:t>
            </w:r>
          </w:p>
        </w:tc>
        <w:tc>
          <w:tcPr>
            <w:tcW w:w="1371" w:type="dxa"/>
            <w:tcBorders>
              <w:tl2br w:val="nil"/>
              <w:tr2bl w:val="nil"/>
            </w:tcBorders>
            <w:shd w:val="clear" w:color="auto" w:fill="auto"/>
            <w:vAlign w:val="center"/>
          </w:tcPr>
          <w:p w14:paraId="7F9AFE6E">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5001</w:t>
            </w:r>
          </w:p>
        </w:tc>
        <w:tc>
          <w:tcPr>
            <w:tcW w:w="518" w:type="pct"/>
            <w:tcBorders>
              <w:tl2br w:val="nil"/>
              <w:tr2bl w:val="nil"/>
            </w:tcBorders>
            <w:shd w:val="clear" w:color="auto" w:fill="auto"/>
            <w:noWrap/>
            <w:vAlign w:val="center"/>
          </w:tcPr>
          <w:p w14:paraId="23B0640F">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2ADC08A2"/>
        </w:tc>
      </w:tr>
      <w:tr w14:paraId="376AD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48F54FBB">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29</w:t>
            </w:r>
          </w:p>
        </w:tc>
        <w:tc>
          <w:tcPr>
            <w:tcW w:w="1774" w:type="dxa"/>
            <w:gridSpan w:val="2"/>
            <w:tcBorders>
              <w:tl2br w:val="nil"/>
              <w:tr2bl w:val="nil"/>
            </w:tcBorders>
            <w:shd w:val="clear" w:color="auto" w:fill="auto"/>
            <w:noWrap/>
            <w:vAlign w:val="center"/>
          </w:tcPr>
          <w:p w14:paraId="50823813">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韭菜</w:t>
            </w:r>
          </w:p>
        </w:tc>
        <w:tc>
          <w:tcPr>
            <w:tcW w:w="1371" w:type="dxa"/>
            <w:tcBorders>
              <w:tl2br w:val="nil"/>
              <w:tr2bl w:val="nil"/>
            </w:tcBorders>
            <w:shd w:val="clear" w:color="auto" w:fill="auto"/>
            <w:vAlign w:val="center"/>
          </w:tcPr>
          <w:p w14:paraId="2048EE86">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23156837">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70EA6A35"/>
        </w:tc>
      </w:tr>
      <w:tr w14:paraId="7ABE7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1A4DC138">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30</w:t>
            </w:r>
          </w:p>
        </w:tc>
        <w:tc>
          <w:tcPr>
            <w:tcW w:w="1774" w:type="dxa"/>
            <w:gridSpan w:val="2"/>
            <w:tcBorders>
              <w:tl2br w:val="nil"/>
              <w:tr2bl w:val="nil"/>
            </w:tcBorders>
            <w:shd w:val="clear" w:color="auto" w:fill="auto"/>
            <w:noWrap/>
            <w:vAlign w:val="center"/>
          </w:tcPr>
          <w:p w14:paraId="6307615A">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青椒</w:t>
            </w:r>
          </w:p>
        </w:tc>
        <w:tc>
          <w:tcPr>
            <w:tcW w:w="1371" w:type="dxa"/>
            <w:tcBorders>
              <w:tl2br w:val="nil"/>
              <w:tr2bl w:val="nil"/>
            </w:tcBorders>
            <w:shd w:val="clear" w:color="auto" w:fill="auto"/>
            <w:vAlign w:val="center"/>
          </w:tcPr>
          <w:p w14:paraId="58747313">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7C7B0E93">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21BDF167"/>
        </w:tc>
      </w:tr>
      <w:tr w14:paraId="6EB74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3C162642">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31</w:t>
            </w:r>
          </w:p>
        </w:tc>
        <w:tc>
          <w:tcPr>
            <w:tcW w:w="1774" w:type="dxa"/>
            <w:gridSpan w:val="2"/>
            <w:tcBorders>
              <w:tl2br w:val="nil"/>
              <w:tr2bl w:val="nil"/>
            </w:tcBorders>
            <w:shd w:val="clear" w:color="auto" w:fill="auto"/>
            <w:noWrap/>
            <w:vAlign w:val="center"/>
          </w:tcPr>
          <w:p w14:paraId="08E03AEF">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红辣椒（小米椒）</w:t>
            </w:r>
          </w:p>
        </w:tc>
        <w:tc>
          <w:tcPr>
            <w:tcW w:w="1371" w:type="dxa"/>
            <w:tcBorders>
              <w:tl2br w:val="nil"/>
              <w:tr2bl w:val="nil"/>
            </w:tcBorders>
            <w:shd w:val="clear" w:color="auto" w:fill="auto"/>
            <w:vAlign w:val="center"/>
          </w:tcPr>
          <w:p w14:paraId="050E427F">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79B2DF5B">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6F44F4A9"/>
        </w:tc>
      </w:tr>
      <w:tr w14:paraId="6F2FB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07494E2B">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32</w:t>
            </w:r>
          </w:p>
        </w:tc>
        <w:tc>
          <w:tcPr>
            <w:tcW w:w="1774" w:type="dxa"/>
            <w:gridSpan w:val="2"/>
            <w:tcBorders>
              <w:tl2br w:val="nil"/>
              <w:tr2bl w:val="nil"/>
            </w:tcBorders>
            <w:shd w:val="clear" w:color="auto" w:fill="auto"/>
            <w:noWrap/>
            <w:vAlign w:val="center"/>
          </w:tcPr>
          <w:p w14:paraId="017FF5E5">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菠菜</w:t>
            </w:r>
          </w:p>
        </w:tc>
        <w:tc>
          <w:tcPr>
            <w:tcW w:w="1371" w:type="dxa"/>
            <w:tcBorders>
              <w:tl2br w:val="nil"/>
              <w:tr2bl w:val="nil"/>
            </w:tcBorders>
            <w:shd w:val="clear" w:color="auto" w:fill="auto"/>
            <w:vAlign w:val="center"/>
          </w:tcPr>
          <w:p w14:paraId="03E04957">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5A31FCCB">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439D2BCC"/>
        </w:tc>
      </w:tr>
      <w:tr w14:paraId="33D79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70E0086B">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33</w:t>
            </w:r>
          </w:p>
        </w:tc>
        <w:tc>
          <w:tcPr>
            <w:tcW w:w="1774" w:type="dxa"/>
            <w:gridSpan w:val="2"/>
            <w:tcBorders>
              <w:tl2br w:val="nil"/>
              <w:tr2bl w:val="nil"/>
            </w:tcBorders>
            <w:shd w:val="clear" w:color="auto" w:fill="auto"/>
            <w:noWrap/>
            <w:vAlign w:val="center"/>
          </w:tcPr>
          <w:p w14:paraId="0AB32784">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枸杞叶</w:t>
            </w:r>
          </w:p>
        </w:tc>
        <w:tc>
          <w:tcPr>
            <w:tcW w:w="1371" w:type="dxa"/>
            <w:tcBorders>
              <w:tl2br w:val="nil"/>
              <w:tr2bl w:val="nil"/>
            </w:tcBorders>
            <w:shd w:val="clear" w:color="auto" w:fill="auto"/>
            <w:vAlign w:val="center"/>
          </w:tcPr>
          <w:p w14:paraId="31B816E9">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76547994">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074CB503"/>
        </w:tc>
      </w:tr>
      <w:tr w14:paraId="0C880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62F7FD14">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34</w:t>
            </w:r>
          </w:p>
        </w:tc>
        <w:tc>
          <w:tcPr>
            <w:tcW w:w="1774" w:type="dxa"/>
            <w:gridSpan w:val="2"/>
            <w:tcBorders>
              <w:tl2br w:val="nil"/>
              <w:tr2bl w:val="nil"/>
            </w:tcBorders>
            <w:shd w:val="clear" w:color="auto" w:fill="auto"/>
            <w:noWrap/>
            <w:vAlign w:val="center"/>
          </w:tcPr>
          <w:p w14:paraId="69129A30">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西兰花</w:t>
            </w:r>
          </w:p>
        </w:tc>
        <w:tc>
          <w:tcPr>
            <w:tcW w:w="1371" w:type="dxa"/>
            <w:tcBorders>
              <w:tl2br w:val="nil"/>
              <w:tr2bl w:val="nil"/>
            </w:tcBorders>
            <w:shd w:val="clear" w:color="auto" w:fill="auto"/>
            <w:vAlign w:val="center"/>
          </w:tcPr>
          <w:p w14:paraId="1C9B90B8">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018CF49D">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1D911595"/>
        </w:tc>
      </w:tr>
      <w:tr w14:paraId="4C141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7F95F6CE">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35</w:t>
            </w:r>
          </w:p>
        </w:tc>
        <w:tc>
          <w:tcPr>
            <w:tcW w:w="1774" w:type="dxa"/>
            <w:gridSpan w:val="2"/>
            <w:tcBorders>
              <w:tl2br w:val="nil"/>
              <w:tr2bl w:val="nil"/>
            </w:tcBorders>
            <w:shd w:val="clear" w:color="auto" w:fill="auto"/>
            <w:noWrap/>
            <w:vAlign w:val="center"/>
          </w:tcPr>
          <w:p w14:paraId="4D1272E8">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西葫芦</w:t>
            </w:r>
          </w:p>
        </w:tc>
        <w:tc>
          <w:tcPr>
            <w:tcW w:w="1371" w:type="dxa"/>
            <w:tcBorders>
              <w:tl2br w:val="nil"/>
              <w:tr2bl w:val="nil"/>
            </w:tcBorders>
            <w:shd w:val="clear" w:color="auto" w:fill="auto"/>
            <w:vAlign w:val="center"/>
          </w:tcPr>
          <w:p w14:paraId="25CD6C79">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29E0DFEF">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13F6ACF2"/>
        </w:tc>
      </w:tr>
      <w:tr w14:paraId="00F3C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1C306C68">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36</w:t>
            </w:r>
          </w:p>
        </w:tc>
        <w:tc>
          <w:tcPr>
            <w:tcW w:w="1774" w:type="dxa"/>
            <w:gridSpan w:val="2"/>
            <w:tcBorders>
              <w:tl2br w:val="nil"/>
              <w:tr2bl w:val="nil"/>
            </w:tcBorders>
            <w:shd w:val="clear" w:color="auto" w:fill="auto"/>
            <w:noWrap/>
            <w:vAlign w:val="center"/>
          </w:tcPr>
          <w:p w14:paraId="7459D55D">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生菜</w:t>
            </w:r>
          </w:p>
        </w:tc>
        <w:tc>
          <w:tcPr>
            <w:tcW w:w="1371" w:type="dxa"/>
            <w:tcBorders>
              <w:tl2br w:val="nil"/>
              <w:tr2bl w:val="nil"/>
            </w:tcBorders>
            <w:shd w:val="clear" w:color="auto" w:fill="auto"/>
            <w:vAlign w:val="center"/>
          </w:tcPr>
          <w:p w14:paraId="513B5D2B">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4280B2FF">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7BA7C0AC"/>
        </w:tc>
      </w:tr>
      <w:tr w14:paraId="6733C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656FA602">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37</w:t>
            </w:r>
          </w:p>
        </w:tc>
        <w:tc>
          <w:tcPr>
            <w:tcW w:w="1774" w:type="dxa"/>
            <w:gridSpan w:val="2"/>
            <w:tcBorders>
              <w:tl2br w:val="nil"/>
              <w:tr2bl w:val="nil"/>
            </w:tcBorders>
            <w:shd w:val="clear" w:color="auto" w:fill="auto"/>
            <w:noWrap/>
            <w:vAlign w:val="center"/>
          </w:tcPr>
          <w:p w14:paraId="5B55823B">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菜心</w:t>
            </w:r>
          </w:p>
        </w:tc>
        <w:tc>
          <w:tcPr>
            <w:tcW w:w="1371" w:type="dxa"/>
            <w:tcBorders>
              <w:tl2br w:val="nil"/>
              <w:tr2bl w:val="nil"/>
            </w:tcBorders>
            <w:shd w:val="clear" w:color="auto" w:fill="auto"/>
            <w:vAlign w:val="center"/>
          </w:tcPr>
          <w:p w14:paraId="57C3E497">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2304793E">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2B863618"/>
        </w:tc>
      </w:tr>
      <w:tr w14:paraId="58C93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31CAF91F">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38</w:t>
            </w:r>
          </w:p>
        </w:tc>
        <w:tc>
          <w:tcPr>
            <w:tcW w:w="1774" w:type="dxa"/>
            <w:gridSpan w:val="2"/>
            <w:tcBorders>
              <w:tl2br w:val="nil"/>
              <w:tr2bl w:val="nil"/>
            </w:tcBorders>
            <w:shd w:val="clear" w:color="auto" w:fill="auto"/>
            <w:noWrap/>
            <w:vAlign w:val="center"/>
          </w:tcPr>
          <w:p w14:paraId="5D68B715">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苞菜</w:t>
            </w:r>
          </w:p>
        </w:tc>
        <w:tc>
          <w:tcPr>
            <w:tcW w:w="1371" w:type="dxa"/>
            <w:tcBorders>
              <w:tl2br w:val="nil"/>
              <w:tr2bl w:val="nil"/>
            </w:tcBorders>
            <w:shd w:val="clear" w:color="auto" w:fill="auto"/>
            <w:vAlign w:val="center"/>
          </w:tcPr>
          <w:p w14:paraId="1F60ECB7">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316B1783">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726A843D"/>
        </w:tc>
      </w:tr>
      <w:tr w14:paraId="3174B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306D7749">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39</w:t>
            </w:r>
          </w:p>
        </w:tc>
        <w:tc>
          <w:tcPr>
            <w:tcW w:w="1774" w:type="dxa"/>
            <w:gridSpan w:val="2"/>
            <w:tcBorders>
              <w:tl2br w:val="nil"/>
              <w:tr2bl w:val="nil"/>
            </w:tcBorders>
            <w:shd w:val="clear" w:color="auto" w:fill="auto"/>
            <w:noWrap/>
            <w:vAlign w:val="center"/>
          </w:tcPr>
          <w:p w14:paraId="17FC3DF5">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莴笋</w:t>
            </w:r>
          </w:p>
        </w:tc>
        <w:tc>
          <w:tcPr>
            <w:tcW w:w="1371" w:type="dxa"/>
            <w:tcBorders>
              <w:tl2br w:val="nil"/>
              <w:tr2bl w:val="nil"/>
            </w:tcBorders>
            <w:shd w:val="clear" w:color="auto" w:fill="auto"/>
            <w:vAlign w:val="center"/>
          </w:tcPr>
          <w:p w14:paraId="6EF62E29">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1100</w:t>
            </w:r>
          </w:p>
        </w:tc>
        <w:tc>
          <w:tcPr>
            <w:tcW w:w="518" w:type="pct"/>
            <w:tcBorders>
              <w:tl2br w:val="nil"/>
              <w:tr2bl w:val="nil"/>
            </w:tcBorders>
            <w:shd w:val="clear" w:color="auto" w:fill="auto"/>
            <w:noWrap/>
            <w:vAlign w:val="center"/>
          </w:tcPr>
          <w:p w14:paraId="682669FB">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4A584E97"/>
        </w:tc>
      </w:tr>
      <w:tr w14:paraId="5439F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03C837FE">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40</w:t>
            </w:r>
          </w:p>
        </w:tc>
        <w:tc>
          <w:tcPr>
            <w:tcW w:w="1774" w:type="dxa"/>
            <w:gridSpan w:val="2"/>
            <w:tcBorders>
              <w:tl2br w:val="nil"/>
              <w:tr2bl w:val="nil"/>
            </w:tcBorders>
            <w:shd w:val="clear" w:color="auto" w:fill="auto"/>
            <w:noWrap/>
            <w:vAlign w:val="center"/>
          </w:tcPr>
          <w:p w14:paraId="534B3C34">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空心菜</w:t>
            </w:r>
          </w:p>
        </w:tc>
        <w:tc>
          <w:tcPr>
            <w:tcW w:w="1371" w:type="dxa"/>
            <w:tcBorders>
              <w:tl2br w:val="nil"/>
              <w:tr2bl w:val="nil"/>
            </w:tcBorders>
            <w:shd w:val="clear" w:color="auto" w:fill="auto"/>
            <w:vAlign w:val="center"/>
          </w:tcPr>
          <w:p w14:paraId="475C689C">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79A9F7F2">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6DE89BD2"/>
        </w:tc>
      </w:tr>
      <w:tr w14:paraId="119DC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2B1049B3">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41</w:t>
            </w:r>
          </w:p>
        </w:tc>
        <w:tc>
          <w:tcPr>
            <w:tcW w:w="1774" w:type="dxa"/>
            <w:gridSpan w:val="2"/>
            <w:tcBorders>
              <w:tl2br w:val="nil"/>
              <w:tr2bl w:val="nil"/>
            </w:tcBorders>
            <w:shd w:val="clear" w:color="auto" w:fill="auto"/>
            <w:noWrap/>
            <w:vAlign w:val="center"/>
          </w:tcPr>
          <w:p w14:paraId="64A0482E">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上海青</w:t>
            </w:r>
          </w:p>
        </w:tc>
        <w:tc>
          <w:tcPr>
            <w:tcW w:w="1371" w:type="dxa"/>
            <w:tcBorders>
              <w:tl2br w:val="nil"/>
              <w:tr2bl w:val="nil"/>
            </w:tcBorders>
            <w:shd w:val="clear" w:color="auto" w:fill="auto"/>
            <w:vAlign w:val="center"/>
          </w:tcPr>
          <w:p w14:paraId="340921FF">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2681CFB1">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6996501B"/>
        </w:tc>
      </w:tr>
      <w:tr w14:paraId="11EF3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0A68D529">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42</w:t>
            </w:r>
          </w:p>
        </w:tc>
        <w:tc>
          <w:tcPr>
            <w:tcW w:w="1774" w:type="dxa"/>
            <w:gridSpan w:val="2"/>
            <w:tcBorders>
              <w:tl2br w:val="nil"/>
              <w:tr2bl w:val="nil"/>
            </w:tcBorders>
            <w:shd w:val="clear" w:color="auto" w:fill="auto"/>
            <w:noWrap/>
            <w:vAlign w:val="center"/>
          </w:tcPr>
          <w:p w14:paraId="4D79E58F">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蒜苔</w:t>
            </w:r>
          </w:p>
        </w:tc>
        <w:tc>
          <w:tcPr>
            <w:tcW w:w="1371" w:type="dxa"/>
            <w:tcBorders>
              <w:tl2br w:val="nil"/>
              <w:tr2bl w:val="nil"/>
            </w:tcBorders>
            <w:shd w:val="clear" w:color="auto" w:fill="auto"/>
            <w:vAlign w:val="center"/>
          </w:tcPr>
          <w:p w14:paraId="520B4D54">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60237C6C">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6DD9A4E1"/>
        </w:tc>
      </w:tr>
      <w:tr w14:paraId="18F0D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77721D4F">
            <w:pPr>
              <w:keepNext w:val="0"/>
              <w:keepLines w:val="0"/>
              <w:widowControl/>
              <w:suppressLineNumbers w:val="0"/>
              <w:spacing w:line="360" w:lineRule="auto"/>
              <w:jc w:val="center"/>
              <w:textAlignment w:val="center"/>
              <w:rPr>
                <w:rFonts w:hint="eastAsia" w:ascii="宋体" w:hAnsi="宋体" w:eastAsia="宋体" w:cs="宋体"/>
                <w:sz w:val="21"/>
                <w:szCs w:val="21"/>
                <w:lang w:bidi="ar"/>
              </w:rPr>
            </w:pPr>
            <w:r>
              <w:rPr>
                <w:rFonts w:hint="eastAsia" w:ascii="宋体" w:hAnsi="宋体" w:eastAsia="宋体" w:cs="宋体"/>
                <w:i w:val="0"/>
                <w:iCs w:val="0"/>
                <w:color w:val="000000"/>
                <w:kern w:val="0"/>
                <w:sz w:val="21"/>
                <w:szCs w:val="21"/>
                <w:u w:val="none"/>
                <w:lang w:val="en-US" w:eastAsia="zh-CN" w:bidi="ar"/>
              </w:rPr>
              <w:t>43</w:t>
            </w:r>
          </w:p>
        </w:tc>
        <w:tc>
          <w:tcPr>
            <w:tcW w:w="1774" w:type="dxa"/>
            <w:gridSpan w:val="2"/>
            <w:tcBorders>
              <w:tl2br w:val="nil"/>
              <w:tr2bl w:val="nil"/>
            </w:tcBorders>
            <w:shd w:val="clear" w:color="auto" w:fill="auto"/>
            <w:noWrap/>
            <w:vAlign w:val="center"/>
          </w:tcPr>
          <w:p w14:paraId="6DF42DE6">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金针菇</w:t>
            </w:r>
          </w:p>
        </w:tc>
        <w:tc>
          <w:tcPr>
            <w:tcW w:w="1371" w:type="dxa"/>
            <w:tcBorders>
              <w:tl2br w:val="nil"/>
              <w:tr2bl w:val="nil"/>
            </w:tcBorders>
            <w:shd w:val="clear" w:color="auto" w:fill="auto"/>
            <w:vAlign w:val="center"/>
          </w:tcPr>
          <w:p w14:paraId="6AABD261">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4C8F39DC">
            <w:pPr>
              <w:jc w:val="center"/>
              <w:rPr>
                <w:rFonts w:hint="eastAsia"/>
              </w:rPr>
            </w:pPr>
            <w:r>
              <w:rPr>
                <w:rFonts w:hint="eastAsia"/>
              </w:rPr>
              <w:t>公斤</w:t>
            </w:r>
          </w:p>
        </w:tc>
        <w:tc>
          <w:tcPr>
            <w:tcW w:w="2483" w:type="pct"/>
            <w:vMerge w:val="continue"/>
            <w:tcBorders>
              <w:tl2br w:val="nil"/>
              <w:tr2bl w:val="nil"/>
            </w:tcBorders>
            <w:shd w:val="clear" w:color="auto" w:fill="auto"/>
            <w:vAlign w:val="center"/>
          </w:tcPr>
          <w:p w14:paraId="18BBD2EC"/>
        </w:tc>
      </w:tr>
      <w:tr w14:paraId="21BA2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7" w:type="dxa"/>
            <w:tcBorders>
              <w:tl2br w:val="nil"/>
              <w:tr2bl w:val="nil"/>
            </w:tcBorders>
            <w:shd w:val="clear" w:color="auto" w:fill="auto"/>
            <w:vAlign w:val="center"/>
          </w:tcPr>
          <w:p w14:paraId="25A2005C">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44</w:t>
            </w:r>
          </w:p>
        </w:tc>
        <w:tc>
          <w:tcPr>
            <w:tcW w:w="1774" w:type="dxa"/>
            <w:gridSpan w:val="2"/>
            <w:tcBorders>
              <w:tl2br w:val="nil"/>
              <w:tr2bl w:val="nil"/>
            </w:tcBorders>
            <w:shd w:val="clear" w:color="auto" w:fill="auto"/>
            <w:noWrap/>
            <w:vAlign w:val="center"/>
          </w:tcPr>
          <w:p w14:paraId="4812E14A">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豆角</w:t>
            </w:r>
          </w:p>
        </w:tc>
        <w:tc>
          <w:tcPr>
            <w:tcW w:w="1371" w:type="dxa"/>
            <w:tcBorders>
              <w:tl2br w:val="nil"/>
              <w:tr2bl w:val="nil"/>
            </w:tcBorders>
            <w:shd w:val="clear" w:color="auto" w:fill="auto"/>
            <w:vAlign w:val="center"/>
          </w:tcPr>
          <w:p w14:paraId="41757116">
            <w:pPr>
              <w:keepNext w:val="0"/>
              <w:keepLines w:val="0"/>
              <w:widowControl/>
              <w:suppressLineNumbers w:val="0"/>
              <w:spacing w:line="36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518" w:type="pct"/>
            <w:tcBorders>
              <w:tl2br w:val="nil"/>
              <w:tr2bl w:val="nil"/>
            </w:tcBorders>
            <w:shd w:val="clear" w:color="auto" w:fill="auto"/>
            <w:noWrap/>
            <w:vAlign w:val="center"/>
          </w:tcPr>
          <w:p w14:paraId="7F2F1435">
            <w:pPr>
              <w:jc w:val="center"/>
            </w:pPr>
            <w:r>
              <w:rPr>
                <w:rFonts w:hint="eastAsia"/>
              </w:rPr>
              <w:t>公斤</w:t>
            </w:r>
          </w:p>
        </w:tc>
        <w:tc>
          <w:tcPr>
            <w:tcW w:w="2483" w:type="pct"/>
            <w:vMerge w:val="continue"/>
            <w:tcBorders>
              <w:tl2br w:val="nil"/>
              <w:tr2bl w:val="nil"/>
            </w:tcBorders>
            <w:shd w:val="clear" w:color="auto" w:fill="auto"/>
            <w:vAlign w:val="center"/>
          </w:tcPr>
          <w:p w14:paraId="1150CA8E"/>
        </w:tc>
      </w:tr>
      <w:tr w14:paraId="45B87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000" w:type="pct"/>
            <w:gridSpan w:val="6"/>
            <w:tcBorders>
              <w:tl2br w:val="nil"/>
              <w:tr2bl w:val="nil"/>
            </w:tcBorders>
            <w:shd w:val="clear" w:color="auto" w:fill="auto"/>
            <w:vAlign w:val="center"/>
          </w:tcPr>
          <w:p w14:paraId="63F959BC">
            <w:pPr>
              <w:rPr>
                <w:rFonts w:hint="eastAsia" w:eastAsia="宋体"/>
                <w:lang w:eastAsia="zh-CN"/>
              </w:rPr>
            </w:pPr>
            <w:r>
              <w:rPr>
                <w:rFonts w:hint="eastAsia"/>
              </w:rPr>
              <w:t>注：</w:t>
            </w:r>
            <w:r>
              <w:rPr>
                <w:rFonts w:hint="eastAsia"/>
                <w:lang w:eastAsia="zh-CN"/>
              </w:rPr>
              <w:t>以上采购数量为采购人一年的预计采购量，上述采购数量仅作为参考，实际采购数量根据采购人的实际需求确定，并根据实际采购数量及中标单价进行结算，中标人不得因实际供应量与中标数量不一致提出异议，不得因实际供应中批次采购量小而拒绝供应。</w:t>
            </w:r>
          </w:p>
        </w:tc>
      </w:tr>
      <w:tr w14:paraId="6325D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5000" w:type="pct"/>
            <w:gridSpan w:val="6"/>
            <w:tcBorders>
              <w:tl2br w:val="nil"/>
              <w:tr2bl w:val="nil"/>
            </w:tcBorders>
            <w:shd w:val="clear" w:color="auto" w:fill="auto"/>
            <w:vAlign w:val="center"/>
          </w:tcPr>
          <w:p w14:paraId="59C6E5A9">
            <w:pPr>
              <w:rPr>
                <w:b/>
                <w:bCs/>
                <w:color w:val="000000"/>
              </w:rPr>
            </w:pPr>
            <w:r>
              <w:rPr>
                <w:rFonts w:hint="eastAsia"/>
                <w:b/>
                <w:bCs/>
                <w:lang w:bidi="ar"/>
              </w:rPr>
              <w:t>▲</w:t>
            </w:r>
            <w:r>
              <w:rPr>
                <w:rFonts w:hint="eastAsia"/>
                <w:b/>
                <w:bCs/>
              </w:rPr>
              <w:t>二、商务条款</w:t>
            </w:r>
          </w:p>
        </w:tc>
      </w:tr>
      <w:tr w14:paraId="04EF7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9" w:type="pct"/>
            <w:gridSpan w:val="2"/>
            <w:tcBorders>
              <w:tl2br w:val="nil"/>
              <w:tr2bl w:val="nil"/>
            </w:tcBorders>
            <w:shd w:val="clear" w:color="auto" w:fill="auto"/>
            <w:vAlign w:val="center"/>
          </w:tcPr>
          <w:p w14:paraId="7DAD43D8">
            <w:pPr>
              <w:jc w:val="center"/>
            </w:pPr>
            <w:r>
              <w:rPr>
                <w:rFonts w:hint="eastAsia"/>
              </w:rPr>
              <w:t>合同签订期</w:t>
            </w:r>
          </w:p>
        </w:tc>
        <w:tc>
          <w:tcPr>
            <w:tcW w:w="4080" w:type="pct"/>
            <w:gridSpan w:val="4"/>
            <w:tcBorders>
              <w:tl2br w:val="nil"/>
              <w:tr2bl w:val="nil"/>
            </w:tcBorders>
            <w:shd w:val="clear" w:color="auto" w:fill="auto"/>
            <w:vAlign w:val="center"/>
          </w:tcPr>
          <w:p w14:paraId="13296D4A">
            <w:r>
              <w:rPr>
                <w:rFonts w:hint="eastAsia"/>
              </w:rPr>
              <w:t>自中标通知书发出之日起25日历日内</w:t>
            </w:r>
          </w:p>
        </w:tc>
      </w:tr>
      <w:tr w14:paraId="58C58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9" w:type="pct"/>
            <w:gridSpan w:val="2"/>
            <w:tcBorders>
              <w:tl2br w:val="nil"/>
              <w:tr2bl w:val="nil"/>
            </w:tcBorders>
            <w:shd w:val="clear" w:color="auto" w:fill="auto"/>
            <w:vAlign w:val="center"/>
          </w:tcPr>
          <w:p w14:paraId="18E62B1D">
            <w:pPr>
              <w:jc w:val="center"/>
            </w:pPr>
            <w:r>
              <w:rPr>
                <w:rFonts w:hint="eastAsia"/>
                <w:lang w:bidi="ar"/>
              </w:rPr>
              <w:t>投标报价要求</w:t>
            </w:r>
          </w:p>
        </w:tc>
        <w:tc>
          <w:tcPr>
            <w:tcW w:w="4080" w:type="pct"/>
            <w:gridSpan w:val="4"/>
            <w:tcBorders>
              <w:tl2br w:val="nil"/>
              <w:tr2bl w:val="nil"/>
            </w:tcBorders>
            <w:shd w:val="clear" w:color="auto" w:fill="auto"/>
            <w:vAlign w:val="center"/>
          </w:tcPr>
          <w:p w14:paraId="07B435B1">
            <w:pPr>
              <w:rPr>
                <w:rFonts w:hint="eastAsia" w:eastAsia="宋体"/>
                <w:lang w:eastAsia="zh-CN"/>
              </w:rPr>
            </w:pPr>
            <w:r>
              <w:rPr>
                <w:rFonts w:hint="eastAsia"/>
              </w:rPr>
              <w:t>1.</w:t>
            </w:r>
            <w:r>
              <w:rPr>
                <w:rFonts w:hint="eastAsia"/>
                <w:lang w:eastAsia="zh-CN"/>
              </w:rPr>
              <w:t>投标报价按投标折扣系数报价，实际结算单价为基准单价×投标报价折扣系数（例如某项货物基准单价为100元，折扣系数为95%，实际结算单价为100×95%=95元）。报价包括货物及服务采购、检验检测、包装、配送、运输、装卸、仓储、退换货、损耗、保险、人工、售后服务、税金等合同实施过程中的应预见和不可预见费用等所有费用总和。</w:t>
            </w:r>
          </w:p>
          <w:p w14:paraId="1D102F97">
            <w:r>
              <w:rPr>
                <w:rFonts w:hint="eastAsia"/>
              </w:rPr>
              <w:t>2.投标报价折扣系数≤100%。</w:t>
            </w:r>
          </w:p>
        </w:tc>
      </w:tr>
      <w:tr w14:paraId="11A57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9" w:type="pct"/>
            <w:gridSpan w:val="2"/>
            <w:tcBorders>
              <w:tl2br w:val="nil"/>
              <w:tr2bl w:val="nil"/>
            </w:tcBorders>
            <w:shd w:val="clear" w:color="auto" w:fill="auto"/>
            <w:vAlign w:val="center"/>
          </w:tcPr>
          <w:p w14:paraId="015C3A64">
            <w:pPr>
              <w:jc w:val="center"/>
            </w:pPr>
            <w:r>
              <w:rPr>
                <w:rFonts w:hint="eastAsia"/>
                <w:lang w:bidi="ar"/>
              </w:rPr>
              <w:t>质保期</w:t>
            </w:r>
          </w:p>
        </w:tc>
        <w:tc>
          <w:tcPr>
            <w:tcW w:w="4080" w:type="pct"/>
            <w:gridSpan w:val="4"/>
            <w:tcBorders>
              <w:tl2br w:val="nil"/>
              <w:tr2bl w:val="nil"/>
            </w:tcBorders>
            <w:shd w:val="clear" w:color="auto" w:fill="auto"/>
            <w:vAlign w:val="center"/>
          </w:tcPr>
          <w:p w14:paraId="3D8AB56D">
            <w:r>
              <w:rPr>
                <w:rFonts w:hint="eastAsia" w:ascii="宋体" w:hAnsi="宋体" w:cs="宋体"/>
                <w:kern w:val="0"/>
                <w:szCs w:val="21"/>
              </w:rPr>
              <w:t>自每批次货物验收合格之日起计算，不少于24小时。</w:t>
            </w:r>
          </w:p>
        </w:tc>
      </w:tr>
      <w:tr w14:paraId="6BE23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9" w:type="pct"/>
            <w:gridSpan w:val="2"/>
            <w:tcBorders>
              <w:tl2br w:val="nil"/>
              <w:tr2bl w:val="nil"/>
            </w:tcBorders>
            <w:shd w:val="clear" w:color="auto" w:fill="auto"/>
            <w:vAlign w:val="center"/>
          </w:tcPr>
          <w:p w14:paraId="53408BC5">
            <w:pPr>
              <w:jc w:val="center"/>
              <w:rPr>
                <w:rFonts w:hint="eastAsia" w:eastAsia="宋体"/>
                <w:lang w:eastAsia="zh-CN"/>
              </w:rPr>
            </w:pPr>
            <w:r>
              <w:rPr>
                <w:rFonts w:hint="eastAsia"/>
                <w:lang w:bidi="ar"/>
              </w:rPr>
              <w:t>交货时间及交货地点、</w:t>
            </w:r>
            <w:r>
              <w:rPr>
                <w:rFonts w:hint="eastAsia"/>
                <w:lang w:eastAsia="zh-CN" w:bidi="ar"/>
              </w:rPr>
              <w:t>合同履行期限</w:t>
            </w:r>
          </w:p>
        </w:tc>
        <w:tc>
          <w:tcPr>
            <w:tcW w:w="4080" w:type="pct"/>
            <w:gridSpan w:val="4"/>
            <w:tcBorders>
              <w:tl2br w:val="nil"/>
              <w:tr2bl w:val="nil"/>
            </w:tcBorders>
            <w:shd w:val="clear" w:color="auto" w:fill="auto"/>
            <w:vAlign w:val="center"/>
          </w:tcPr>
          <w:p w14:paraId="1687ED12">
            <w:pPr>
              <w:rPr>
                <w:rFonts w:hint="eastAsia" w:eastAsia="宋体"/>
                <w:lang w:eastAsia="zh-CN"/>
              </w:rPr>
            </w:pPr>
            <w:r>
              <w:rPr>
                <w:rFonts w:hint="eastAsia"/>
              </w:rPr>
              <w:t>1.交货时间：</w:t>
            </w:r>
            <w:r>
              <w:rPr>
                <w:rFonts w:hint="eastAsia"/>
                <w:lang w:eastAsia="zh-CN"/>
              </w:rPr>
              <w:t>分批次供货，按采购单位采购计划规定的时间全年无休供货。</w:t>
            </w:r>
          </w:p>
          <w:p w14:paraId="4EB79F03">
            <w:r>
              <w:rPr>
                <w:rFonts w:hint="eastAsia"/>
              </w:rPr>
              <w:t>2.交货地点：</w:t>
            </w:r>
            <w:r>
              <w:rPr>
                <w:rFonts w:hint="eastAsia"/>
                <w:lang w:eastAsia="zh-CN"/>
              </w:rPr>
              <w:t>广西壮族自治区贵港监狱监管区</w:t>
            </w:r>
            <w:r>
              <w:rPr>
                <w:rFonts w:hint="eastAsia"/>
              </w:rPr>
              <w:t>。</w:t>
            </w:r>
          </w:p>
          <w:p w14:paraId="1097A384">
            <w:pPr>
              <w:rPr>
                <w:rFonts w:hint="eastAsia" w:eastAsia="宋体"/>
                <w:lang w:eastAsia="zh-CN"/>
              </w:rPr>
            </w:pPr>
            <w:r>
              <w:rPr>
                <w:rFonts w:hint="eastAsia"/>
              </w:rPr>
              <w:t>3.</w:t>
            </w:r>
            <w:r>
              <w:rPr>
                <w:rFonts w:hint="eastAsia"/>
                <w:lang w:eastAsia="zh-CN"/>
              </w:rPr>
              <w:t>合同履行期限</w:t>
            </w:r>
            <w:r>
              <w:rPr>
                <w:rFonts w:hint="eastAsia"/>
              </w:rPr>
              <w:t>：</w:t>
            </w:r>
            <w:r>
              <w:rPr>
                <w:rFonts w:hint="eastAsia"/>
                <w:lang w:eastAsia="zh-CN"/>
              </w:rPr>
              <w:t>自签订合同之日起一年。</w:t>
            </w:r>
          </w:p>
        </w:tc>
      </w:tr>
      <w:tr w14:paraId="17846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9" w:type="pct"/>
            <w:gridSpan w:val="2"/>
            <w:tcBorders>
              <w:tl2br w:val="nil"/>
              <w:tr2bl w:val="nil"/>
            </w:tcBorders>
            <w:shd w:val="clear" w:color="auto" w:fill="auto"/>
            <w:vAlign w:val="center"/>
          </w:tcPr>
          <w:p w14:paraId="2BB62BF9">
            <w:pPr>
              <w:jc w:val="center"/>
            </w:pPr>
            <w:r>
              <w:rPr>
                <w:rFonts w:hint="eastAsia"/>
                <w:lang w:bidi="ar"/>
              </w:rPr>
              <w:t>付款条件</w:t>
            </w:r>
          </w:p>
        </w:tc>
        <w:tc>
          <w:tcPr>
            <w:tcW w:w="4080" w:type="pct"/>
            <w:gridSpan w:val="4"/>
            <w:tcBorders>
              <w:tl2br w:val="nil"/>
              <w:tr2bl w:val="nil"/>
            </w:tcBorders>
            <w:shd w:val="clear" w:color="auto" w:fill="auto"/>
            <w:vAlign w:val="center"/>
          </w:tcPr>
          <w:p w14:paraId="71B37EC6">
            <w:pPr>
              <w:rPr>
                <w:rFonts w:hint="eastAsia" w:eastAsia="宋体"/>
                <w:lang w:eastAsia="zh-CN"/>
              </w:rPr>
            </w:pPr>
            <w:r>
              <w:rPr>
                <w:rFonts w:hint="eastAsia"/>
              </w:rPr>
              <w:t>1.</w:t>
            </w:r>
            <w:r>
              <w:rPr>
                <w:rFonts w:hint="eastAsia"/>
                <w:lang w:eastAsia="zh-CN"/>
              </w:rPr>
              <w:t>分批供货，每批次货款根据双方确认的单价及该批次的实际供货数量进行结算。</w:t>
            </w:r>
          </w:p>
          <w:p w14:paraId="266EC1A4">
            <w:pPr>
              <w:rPr>
                <w:rFonts w:hint="eastAsia" w:eastAsia="宋体"/>
                <w:lang w:eastAsia="zh-CN"/>
              </w:rPr>
            </w:pPr>
            <w:r>
              <w:rPr>
                <w:rFonts w:hint="eastAsia"/>
              </w:rPr>
              <w:t>2.</w:t>
            </w:r>
            <w:r>
              <w:rPr>
                <w:rFonts w:hint="eastAsia"/>
                <w:lang w:eastAsia="zh-CN"/>
              </w:rPr>
              <w:t>按月结算，采购人在收到</w:t>
            </w:r>
            <w:r>
              <w:rPr>
                <w:rFonts w:hint="eastAsia"/>
                <w:lang w:val="en-US" w:eastAsia="zh-CN"/>
              </w:rPr>
              <w:t>中</w:t>
            </w:r>
            <w:r>
              <w:rPr>
                <w:rFonts w:hint="eastAsia"/>
                <w:lang w:eastAsia="zh-CN"/>
              </w:rPr>
              <w:t>标人上月全额发票后15个工作日内向</w:t>
            </w:r>
            <w:r>
              <w:rPr>
                <w:rFonts w:hint="eastAsia"/>
                <w:lang w:val="en-US" w:eastAsia="zh-CN"/>
              </w:rPr>
              <w:t>中</w:t>
            </w:r>
            <w:r>
              <w:rPr>
                <w:rFonts w:hint="eastAsia"/>
                <w:lang w:eastAsia="zh-CN"/>
              </w:rPr>
              <w:t>标人一次付清上月货物的全部货款。</w:t>
            </w:r>
          </w:p>
        </w:tc>
      </w:tr>
      <w:tr w14:paraId="441B2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9" w:type="pct"/>
            <w:gridSpan w:val="2"/>
            <w:tcBorders>
              <w:tl2br w:val="nil"/>
              <w:tr2bl w:val="nil"/>
            </w:tcBorders>
            <w:shd w:val="clear" w:color="auto" w:fill="auto"/>
            <w:vAlign w:val="center"/>
          </w:tcPr>
          <w:p w14:paraId="7C21C663">
            <w:pPr>
              <w:jc w:val="center"/>
            </w:pPr>
            <w:r>
              <w:rPr>
                <w:rFonts w:hint="eastAsia"/>
                <w:lang w:bidi="ar"/>
              </w:rPr>
              <w:t>配送要求</w:t>
            </w:r>
          </w:p>
        </w:tc>
        <w:tc>
          <w:tcPr>
            <w:tcW w:w="4080" w:type="pct"/>
            <w:gridSpan w:val="4"/>
            <w:tcBorders>
              <w:tl2br w:val="nil"/>
              <w:tr2bl w:val="nil"/>
            </w:tcBorders>
            <w:shd w:val="clear" w:color="auto" w:fill="auto"/>
            <w:vAlign w:val="center"/>
          </w:tcPr>
          <w:p w14:paraId="15BF2936">
            <w:pPr>
              <w:rPr>
                <w:rFonts w:hint="eastAsia" w:eastAsia="宋体"/>
                <w:lang w:eastAsia="zh-CN"/>
              </w:rPr>
            </w:pPr>
            <w:r>
              <w:rPr>
                <w:rFonts w:hint="eastAsia"/>
              </w:rPr>
              <w:t>1.</w:t>
            </w:r>
            <w:r>
              <w:rPr>
                <w:rFonts w:hint="eastAsia"/>
                <w:lang w:eastAsia="zh-CN"/>
              </w:rPr>
              <w:t>中标人必须按照采购人通知的时间、数量、品种、品质要求及协定的价格，按采购人要求分装好准时送货，经验收合格后双方签字确认，中标人不能以任何理由推托，一旦影响到采购人工作的正常运转，中标人应承担相应的经济赔偿。临时性增加的品种，并签订书面补充协议，方可作为主合同不可分割的一部分。</w:t>
            </w:r>
          </w:p>
          <w:p w14:paraId="194E60F6">
            <w:pPr>
              <w:rPr>
                <w:rFonts w:hint="eastAsia" w:eastAsia="宋体"/>
                <w:lang w:eastAsia="zh-CN"/>
              </w:rPr>
            </w:pPr>
            <w:r>
              <w:rPr>
                <w:rFonts w:hint="eastAsia"/>
              </w:rPr>
              <w:t>2.</w:t>
            </w:r>
            <w:r>
              <w:rPr>
                <w:rFonts w:hint="eastAsia"/>
                <w:lang w:eastAsia="zh-CN"/>
              </w:rPr>
              <w:t>一般供货要求：在收到采购人发出订货通知后，中标人最迟在次日上午8时前必须到达监管区大门。</w:t>
            </w:r>
          </w:p>
          <w:p w14:paraId="38CF2B33">
            <w:pPr>
              <w:rPr>
                <w:rFonts w:hint="eastAsia" w:eastAsia="宋体"/>
                <w:lang w:eastAsia="zh-CN"/>
              </w:rPr>
            </w:pPr>
            <w:r>
              <w:rPr>
                <w:rFonts w:hint="eastAsia"/>
              </w:rPr>
              <w:t>3.紧急供货要求：</w:t>
            </w:r>
            <w:r>
              <w:rPr>
                <w:rFonts w:hint="eastAsia"/>
                <w:lang w:eastAsia="zh-CN"/>
              </w:rPr>
              <w:t>在收到采购人发出紧急供货通知后，中标人最迟2小时内完成当次现场供货。</w:t>
            </w:r>
          </w:p>
          <w:p w14:paraId="4D973EB5">
            <w:r>
              <w:rPr>
                <w:rFonts w:hint="eastAsia"/>
              </w:rPr>
              <w:t>4.</w:t>
            </w:r>
            <w:r>
              <w:rPr>
                <w:rFonts w:hint="eastAsia"/>
                <w:lang w:eastAsia="zh-CN" w:bidi="ar"/>
              </w:rPr>
              <w:t>供应商必须安排至少2名固定配送人员及固定配送车辆长期送货，配送人员无犯罪记录，在办理好进入监区相关手续时提供无犯罪证明且后不得随意变动，如临时由非固定人员或固定车辆送货，须提前取得采购人同意。</w:t>
            </w:r>
          </w:p>
          <w:p w14:paraId="3783522A">
            <w:r>
              <w:rPr>
                <w:rFonts w:hint="eastAsia"/>
              </w:rPr>
              <w:t>5.</w:t>
            </w:r>
            <w:r>
              <w:rPr>
                <w:rFonts w:hint="eastAsia"/>
                <w:lang w:bidi="ar"/>
              </w:rPr>
              <w:t>配送人员</w:t>
            </w:r>
            <w:r>
              <w:rPr>
                <w:rFonts w:hint="eastAsia"/>
                <w:lang w:val="en-US" w:eastAsia="zh-CN" w:bidi="ar"/>
              </w:rPr>
              <w:t>自觉</w:t>
            </w:r>
            <w:r>
              <w:rPr>
                <w:rFonts w:hint="eastAsia"/>
                <w:lang w:bidi="ar"/>
              </w:rPr>
              <w:t>接受采购</w:t>
            </w:r>
            <w:r>
              <w:rPr>
                <w:rFonts w:hint="eastAsia"/>
                <w:lang w:val="en-US" w:eastAsia="zh-CN" w:bidi="ar"/>
              </w:rPr>
              <w:t>人</w:t>
            </w:r>
            <w:r>
              <w:rPr>
                <w:rFonts w:hint="eastAsia"/>
                <w:lang w:bidi="ar"/>
              </w:rPr>
              <w:t>的现场管理，</w:t>
            </w:r>
            <w:r>
              <w:rPr>
                <w:rFonts w:hint="eastAsia"/>
                <w:lang w:val="en-US" w:eastAsia="zh-CN" w:bidi="ar"/>
              </w:rPr>
              <w:t>应</w:t>
            </w:r>
            <w:r>
              <w:rPr>
                <w:rFonts w:hint="eastAsia"/>
                <w:lang w:bidi="ar"/>
              </w:rPr>
              <w:t>穿着便于辨认的工衣或配戴胸卡，严格遵守采购人单位各项规章制度，</w:t>
            </w:r>
            <w:r>
              <w:rPr>
                <w:rFonts w:hint="eastAsia"/>
                <w:lang w:val="en-US" w:eastAsia="zh-CN" w:bidi="ar"/>
              </w:rPr>
              <w:t>不得携带违禁物品进入监狱监管区域，</w:t>
            </w:r>
            <w:r>
              <w:rPr>
                <w:rFonts w:hint="eastAsia"/>
                <w:lang w:bidi="ar"/>
              </w:rPr>
              <w:t>不得做出有损采购人形象和利益的事情</w:t>
            </w:r>
            <w:r>
              <w:rPr>
                <w:rFonts w:hint="eastAsia"/>
                <w:lang w:eastAsia="zh-CN" w:bidi="ar"/>
              </w:rPr>
              <w:t>。</w:t>
            </w:r>
            <w:r>
              <w:rPr>
                <w:rFonts w:hint="eastAsia"/>
                <w:lang w:bidi="ar"/>
              </w:rPr>
              <w:t>配送人员应当了解本项目采购需求，掌握送货各环节流程，熟悉送货路线、标准送货程序</w:t>
            </w:r>
            <w:r>
              <w:rPr>
                <w:rFonts w:hint="eastAsia"/>
                <w:lang w:eastAsia="zh-CN" w:bidi="ar"/>
              </w:rPr>
              <w:t>，</w:t>
            </w:r>
            <w:r>
              <w:rPr>
                <w:rFonts w:hint="eastAsia"/>
                <w:lang w:bidi="ar"/>
              </w:rPr>
              <w:t>安全</w:t>
            </w:r>
            <w:r>
              <w:rPr>
                <w:rFonts w:hint="eastAsia"/>
                <w:lang w:eastAsia="zh-CN" w:bidi="ar"/>
              </w:rPr>
              <w:t>、</w:t>
            </w:r>
            <w:r>
              <w:rPr>
                <w:rFonts w:hint="eastAsia"/>
                <w:lang w:bidi="ar"/>
              </w:rPr>
              <w:t>规范</w:t>
            </w:r>
            <w:r>
              <w:rPr>
                <w:rFonts w:hint="eastAsia"/>
                <w:lang w:eastAsia="zh-CN" w:bidi="ar"/>
              </w:rPr>
              <w:t>、</w:t>
            </w:r>
            <w:r>
              <w:rPr>
                <w:rFonts w:hint="eastAsia"/>
                <w:lang w:bidi="ar"/>
              </w:rPr>
              <w:t>高效做好送货工作。对于配送工作不认真，态度恶劣的配送人员，采购</w:t>
            </w:r>
            <w:r>
              <w:rPr>
                <w:rFonts w:hint="eastAsia"/>
                <w:lang w:val="en-US" w:eastAsia="zh-CN" w:bidi="ar"/>
              </w:rPr>
              <w:t>人</w:t>
            </w:r>
            <w:r>
              <w:rPr>
                <w:rFonts w:hint="eastAsia"/>
                <w:lang w:bidi="ar"/>
              </w:rPr>
              <w:t>有权要求</w:t>
            </w:r>
            <w:r>
              <w:rPr>
                <w:rFonts w:hint="eastAsia"/>
                <w:lang w:val="en-US" w:eastAsia="zh-CN" w:bidi="ar"/>
              </w:rPr>
              <w:t>中标人</w:t>
            </w:r>
            <w:r>
              <w:rPr>
                <w:rFonts w:hint="eastAsia"/>
                <w:lang w:bidi="ar"/>
              </w:rPr>
              <w:t>无条件更换人员，且不能影响</w:t>
            </w:r>
            <w:r>
              <w:rPr>
                <w:rFonts w:hint="eastAsia"/>
                <w:lang w:val="en-US" w:eastAsia="zh-CN" w:bidi="ar"/>
              </w:rPr>
              <w:t>采购人</w:t>
            </w:r>
            <w:r>
              <w:rPr>
                <w:rFonts w:hint="eastAsia"/>
                <w:lang w:eastAsia="zh-CN" w:bidi="ar"/>
              </w:rPr>
              <w:t>工作的正常运转。</w:t>
            </w:r>
            <w:r>
              <w:rPr>
                <w:rFonts w:hint="eastAsia"/>
                <w:lang w:val="en-US" w:eastAsia="zh-CN" w:bidi="ar"/>
              </w:rPr>
              <w:t>如因</w:t>
            </w:r>
            <w:r>
              <w:rPr>
                <w:rFonts w:hint="eastAsia"/>
                <w:lang w:bidi="ar"/>
              </w:rPr>
              <w:t>配送人员因离职等</w:t>
            </w:r>
            <w:r>
              <w:rPr>
                <w:rFonts w:hint="eastAsia"/>
                <w:lang w:val="en-US" w:eastAsia="zh-CN" w:bidi="ar"/>
              </w:rPr>
              <w:t>客观原因确实</w:t>
            </w:r>
            <w:r>
              <w:rPr>
                <w:rFonts w:hint="eastAsia"/>
                <w:lang w:bidi="ar"/>
              </w:rPr>
              <w:t>需要更换人员的，须提前7个工作日内向采购</w:t>
            </w:r>
            <w:r>
              <w:rPr>
                <w:rFonts w:hint="eastAsia"/>
                <w:lang w:val="en-US" w:eastAsia="zh-CN" w:bidi="ar"/>
              </w:rPr>
              <w:t>人</w:t>
            </w:r>
            <w:r>
              <w:rPr>
                <w:rFonts w:hint="eastAsia"/>
                <w:lang w:bidi="ar"/>
              </w:rPr>
              <w:t>提出申请，经采购</w:t>
            </w:r>
            <w:r>
              <w:rPr>
                <w:rFonts w:hint="eastAsia"/>
                <w:lang w:val="en-US" w:eastAsia="zh-CN" w:bidi="ar"/>
              </w:rPr>
              <w:t>人同意</w:t>
            </w:r>
            <w:r>
              <w:rPr>
                <w:rFonts w:hint="eastAsia"/>
                <w:lang w:bidi="ar"/>
              </w:rPr>
              <w:t>后，</w:t>
            </w:r>
            <w:r>
              <w:rPr>
                <w:rFonts w:hint="eastAsia"/>
                <w:lang w:val="en-US" w:eastAsia="zh-CN" w:bidi="ar"/>
              </w:rPr>
              <w:t>中标人</w:t>
            </w:r>
            <w:r>
              <w:rPr>
                <w:rFonts w:hint="eastAsia"/>
                <w:lang w:bidi="ar"/>
              </w:rPr>
              <w:t>方可</w:t>
            </w:r>
            <w:r>
              <w:rPr>
                <w:rFonts w:hint="eastAsia"/>
                <w:lang w:val="en-US" w:eastAsia="zh-CN" w:bidi="ar"/>
              </w:rPr>
              <w:t>更</w:t>
            </w:r>
            <w:r>
              <w:rPr>
                <w:rFonts w:hint="eastAsia"/>
                <w:lang w:bidi="ar"/>
              </w:rPr>
              <w:t>换</w:t>
            </w:r>
            <w:r>
              <w:rPr>
                <w:rFonts w:hint="eastAsia"/>
                <w:lang w:eastAsia="zh-CN" w:bidi="ar"/>
              </w:rPr>
              <w:t>人员</w:t>
            </w:r>
            <w:r>
              <w:rPr>
                <w:rFonts w:hint="eastAsia"/>
                <w:lang w:bidi="ar"/>
              </w:rPr>
              <w:t>，并确保配送工作的稳定交接。</w:t>
            </w:r>
          </w:p>
        </w:tc>
      </w:tr>
      <w:tr w14:paraId="1B97F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9" w:type="pct"/>
            <w:gridSpan w:val="2"/>
            <w:tcBorders>
              <w:tl2br w:val="nil"/>
              <w:tr2bl w:val="nil"/>
            </w:tcBorders>
            <w:shd w:val="clear" w:color="auto" w:fill="auto"/>
            <w:vAlign w:val="center"/>
          </w:tcPr>
          <w:p w14:paraId="339ED0FC">
            <w:pPr>
              <w:jc w:val="center"/>
            </w:pPr>
            <w:r>
              <w:rPr>
                <w:rFonts w:hint="eastAsia"/>
                <w:lang w:bidi="ar"/>
              </w:rPr>
              <w:t>安全责任</w:t>
            </w:r>
          </w:p>
        </w:tc>
        <w:tc>
          <w:tcPr>
            <w:tcW w:w="4080" w:type="pct"/>
            <w:gridSpan w:val="4"/>
            <w:tcBorders>
              <w:tl2br w:val="nil"/>
              <w:tr2bl w:val="nil"/>
            </w:tcBorders>
            <w:shd w:val="clear" w:color="auto" w:fill="auto"/>
            <w:vAlign w:val="center"/>
          </w:tcPr>
          <w:p w14:paraId="64879F8F">
            <w:pPr>
              <w:rPr>
                <w:rFonts w:hint="eastAsia"/>
              </w:rPr>
            </w:pPr>
            <w:r>
              <w:rPr>
                <w:rFonts w:hint="eastAsia"/>
              </w:rPr>
              <w:t>1.中标人提供</w:t>
            </w:r>
            <w:r>
              <w:rPr>
                <w:rFonts w:hint="eastAsia"/>
                <w:lang w:val="en-US" w:eastAsia="zh-CN"/>
              </w:rPr>
              <w:t>食品必须</w:t>
            </w:r>
            <w:r>
              <w:rPr>
                <w:rFonts w:hint="eastAsia"/>
              </w:rPr>
              <w:t>是合格安全的产品</w:t>
            </w:r>
            <w:r>
              <w:rPr>
                <w:rFonts w:hint="eastAsia"/>
                <w:lang w:eastAsia="zh-CN"/>
              </w:rPr>
              <w:t>，</w:t>
            </w:r>
            <w:r>
              <w:rPr>
                <w:rFonts w:hint="eastAsia"/>
                <w:lang w:val="en-US" w:eastAsia="zh-CN"/>
              </w:rPr>
              <w:t>如出现</w:t>
            </w:r>
            <w:r>
              <w:rPr>
                <w:rFonts w:hint="eastAsia"/>
              </w:rPr>
              <w:t>质量不合格的食品，采购人有权要求无条件退货并及时换货，第一次按配送金额全额赔偿损失，第二次按配送金额的2倍赔偿损失，第三次采购</w:t>
            </w:r>
            <w:r>
              <w:rPr>
                <w:rFonts w:hint="eastAsia"/>
                <w:lang w:val="en-US" w:eastAsia="zh-CN"/>
              </w:rPr>
              <w:t>人有权单方</w:t>
            </w:r>
            <w:r>
              <w:rPr>
                <w:rFonts w:hint="eastAsia"/>
              </w:rPr>
              <w:t>终止合同并扣罚所有的履约保证金。</w:t>
            </w:r>
            <w:r>
              <w:rPr>
                <w:rFonts w:hint="eastAsia"/>
                <w:lang w:val="en-US" w:eastAsia="zh-CN"/>
              </w:rPr>
              <w:t>如中标人因</w:t>
            </w:r>
            <w:r>
              <w:rPr>
                <w:rFonts w:hint="eastAsia"/>
              </w:rPr>
              <w:t>非不可抗力原因故意不供货的，采购人可随时无条件终止合同并扣罚所有的履约保证金。</w:t>
            </w:r>
          </w:p>
          <w:p w14:paraId="4AE58EFE">
            <w:pPr>
              <w:rPr>
                <w:rFonts w:hint="eastAsia"/>
              </w:rPr>
            </w:pPr>
            <w:r>
              <w:rPr>
                <w:rFonts w:hint="eastAsia"/>
              </w:rPr>
              <w:t>2.中标人若提供有毒有害食品，造成食品安全事故的，经有关单位鉴定原因后，如确实为中标人提供的食品问题</w:t>
            </w:r>
            <w:r>
              <w:rPr>
                <w:rFonts w:hint="eastAsia"/>
                <w:lang w:val="en-US" w:eastAsia="zh-CN"/>
              </w:rPr>
              <w:t>造成的</w:t>
            </w:r>
            <w:r>
              <w:rPr>
                <w:rFonts w:hint="eastAsia"/>
              </w:rPr>
              <w:t>，中标人须</w:t>
            </w:r>
            <w:r>
              <w:rPr>
                <w:rFonts w:hint="eastAsia"/>
                <w:lang w:val="en-US" w:eastAsia="zh-CN"/>
              </w:rPr>
              <w:t>承担相关的</w:t>
            </w:r>
            <w:r>
              <w:rPr>
                <w:rFonts w:hint="eastAsia"/>
              </w:rPr>
              <w:t>住院费、医药费、护理费、护工费等</w:t>
            </w:r>
            <w:r>
              <w:rPr>
                <w:rFonts w:hint="eastAsia"/>
                <w:lang w:val="en-US" w:eastAsia="zh-CN"/>
              </w:rPr>
              <w:t>全额</w:t>
            </w:r>
            <w:r>
              <w:rPr>
                <w:rFonts w:hint="eastAsia"/>
              </w:rPr>
              <w:t>费用</w:t>
            </w:r>
            <w:r>
              <w:rPr>
                <w:rFonts w:hint="eastAsia"/>
                <w:lang w:eastAsia="zh-CN"/>
              </w:rPr>
              <w:t>。</w:t>
            </w:r>
            <w:r>
              <w:rPr>
                <w:rFonts w:hint="eastAsia"/>
                <w:lang w:val="en-US" w:eastAsia="zh-CN"/>
              </w:rPr>
              <w:t>同时</w:t>
            </w:r>
            <w:r>
              <w:rPr>
                <w:rFonts w:hint="eastAsia"/>
              </w:rPr>
              <w:t>采购人</w:t>
            </w:r>
            <w:r>
              <w:rPr>
                <w:rFonts w:hint="eastAsia"/>
                <w:lang w:val="en-US" w:eastAsia="zh-CN"/>
              </w:rPr>
              <w:t>有权</w:t>
            </w:r>
            <w:r>
              <w:rPr>
                <w:rFonts w:hint="eastAsia"/>
              </w:rPr>
              <w:t>取消中标人的供货资格，扣罚</w:t>
            </w:r>
            <w:r>
              <w:rPr>
                <w:rFonts w:hint="eastAsia"/>
                <w:lang w:val="en-US" w:eastAsia="zh-CN"/>
              </w:rPr>
              <w:t>所有</w:t>
            </w:r>
            <w:r>
              <w:rPr>
                <w:rFonts w:hint="eastAsia"/>
              </w:rPr>
              <w:t>履约保证金，中标人</w:t>
            </w:r>
            <w:r>
              <w:rPr>
                <w:rFonts w:hint="eastAsia"/>
                <w:lang w:val="en-US" w:eastAsia="zh-CN"/>
              </w:rPr>
              <w:t>还应</w:t>
            </w:r>
            <w:r>
              <w:rPr>
                <w:rFonts w:hint="eastAsia"/>
              </w:rPr>
              <w:t>承担相应的民事及刑事法律责任。采购人可以扣留中标人的货款用于支付中标人</w:t>
            </w:r>
            <w:r>
              <w:rPr>
                <w:rFonts w:hint="eastAsia"/>
                <w:lang w:val="en-US" w:eastAsia="zh-CN"/>
              </w:rPr>
              <w:t>承担</w:t>
            </w:r>
            <w:r>
              <w:rPr>
                <w:rFonts w:hint="eastAsia"/>
              </w:rPr>
              <w:t>的住院费、医药费、护理费、护工费等</w:t>
            </w:r>
            <w:r>
              <w:rPr>
                <w:rFonts w:hint="eastAsia"/>
                <w:lang w:val="en-US" w:eastAsia="zh-CN"/>
              </w:rPr>
              <w:t>相关</w:t>
            </w:r>
            <w:r>
              <w:rPr>
                <w:rFonts w:hint="eastAsia"/>
              </w:rPr>
              <w:t>费用。</w:t>
            </w:r>
          </w:p>
          <w:p w14:paraId="25769198">
            <w:pPr>
              <w:rPr>
                <w:rFonts w:hint="eastAsia"/>
                <w:lang w:val="en-US" w:eastAsia="zh-CN"/>
              </w:rPr>
            </w:pPr>
            <w:r>
              <w:rPr>
                <w:rFonts w:hint="eastAsia"/>
                <w:lang w:val="en-US" w:eastAsia="zh-CN"/>
              </w:rPr>
              <w:t>3.中标人故意提供假冒伪劣、过期、变质食品的，采购人可以拒付未付的所有货款，并扣罚所有履约保证金，同时采购人可以终止合同。</w:t>
            </w:r>
          </w:p>
          <w:p w14:paraId="1951F74D">
            <w:r>
              <w:rPr>
                <w:rFonts w:hint="eastAsia"/>
                <w:lang w:val="en-US" w:eastAsia="zh-CN"/>
              </w:rPr>
              <w:t>4.不得采用金属制品、玻璃制品等危险包装。</w:t>
            </w:r>
          </w:p>
        </w:tc>
      </w:tr>
      <w:tr w14:paraId="3AC62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9" w:type="pct"/>
            <w:gridSpan w:val="2"/>
            <w:tcBorders>
              <w:tl2br w:val="nil"/>
              <w:tr2bl w:val="nil"/>
            </w:tcBorders>
            <w:shd w:val="clear" w:color="auto" w:fill="auto"/>
            <w:vAlign w:val="center"/>
          </w:tcPr>
          <w:p w14:paraId="72545974">
            <w:pPr>
              <w:jc w:val="center"/>
            </w:pPr>
            <w:r>
              <w:rPr>
                <w:rFonts w:hint="eastAsia"/>
                <w:lang w:bidi="ar"/>
              </w:rPr>
              <w:t>售后服务要求</w:t>
            </w:r>
          </w:p>
        </w:tc>
        <w:tc>
          <w:tcPr>
            <w:tcW w:w="4080" w:type="pct"/>
            <w:gridSpan w:val="4"/>
            <w:tcBorders>
              <w:tl2br w:val="nil"/>
              <w:tr2bl w:val="nil"/>
            </w:tcBorders>
            <w:shd w:val="clear" w:color="auto" w:fill="auto"/>
            <w:vAlign w:val="center"/>
          </w:tcPr>
          <w:p w14:paraId="0EBD4C8B">
            <w:pPr>
              <w:rPr>
                <w:lang w:bidi="ar"/>
              </w:rPr>
            </w:pPr>
            <w:r>
              <w:rPr>
                <w:rFonts w:hint="eastAsia"/>
                <w:lang w:bidi="ar"/>
              </w:rPr>
              <w:t>1.</w:t>
            </w:r>
            <w:r>
              <w:rPr>
                <w:rFonts w:hint="eastAsia" w:ascii="宋体" w:hAnsi="宋体" w:eastAsia="宋体" w:cs="宋体"/>
                <w:color w:val="auto"/>
                <w:kern w:val="0"/>
                <w:szCs w:val="21"/>
              </w:rPr>
              <w:t>属于国家规定“三包”范围</w:t>
            </w:r>
            <w:r>
              <w:rPr>
                <w:rFonts w:hint="eastAsia" w:ascii="宋体" w:hAnsi="宋体" w:eastAsia="宋体" w:cs="宋体"/>
                <w:color w:val="auto"/>
                <w:kern w:val="0"/>
                <w:szCs w:val="21"/>
                <w:lang w:val="en-US" w:eastAsia="zh-CN"/>
              </w:rPr>
              <w:t>执行</w:t>
            </w:r>
            <w:r>
              <w:rPr>
                <w:rFonts w:hint="eastAsia"/>
                <w:lang w:bidi="ar"/>
              </w:rPr>
              <w:t>“三包”；</w:t>
            </w:r>
          </w:p>
          <w:p w14:paraId="7B3CA40D">
            <w:pPr>
              <w:rPr>
                <w:lang w:bidi="ar"/>
              </w:rPr>
            </w:pPr>
            <w:r>
              <w:rPr>
                <w:rFonts w:hint="eastAsia"/>
                <w:lang w:bidi="ar"/>
              </w:rPr>
              <w:t>2.</w:t>
            </w:r>
            <w:r>
              <w:rPr>
                <w:rFonts w:hint="eastAsia"/>
                <w:lang w:val="en-US" w:eastAsia="zh-CN" w:bidi="ar"/>
              </w:rPr>
              <w:t>负责</w:t>
            </w:r>
            <w:r>
              <w:rPr>
                <w:rFonts w:hint="eastAsia"/>
                <w:lang w:bidi="ar"/>
              </w:rPr>
              <w:t>送货上门</w:t>
            </w:r>
            <w:r>
              <w:rPr>
                <w:rFonts w:hint="eastAsia"/>
                <w:lang w:val="en-US" w:eastAsia="zh-CN" w:bidi="ar"/>
              </w:rPr>
              <w:t>并承担相关费用</w:t>
            </w:r>
            <w:r>
              <w:rPr>
                <w:rFonts w:hint="eastAsia"/>
                <w:lang w:bidi="ar"/>
              </w:rPr>
              <w:t>；</w:t>
            </w:r>
          </w:p>
          <w:p w14:paraId="6A0A5A43">
            <w:r>
              <w:rPr>
                <w:rFonts w:hint="eastAsia"/>
                <w:lang w:bidi="ar"/>
              </w:rPr>
              <w:t>3.保质保量，如在质保期内发现质量问题，</w:t>
            </w:r>
            <w:r>
              <w:rPr>
                <w:rFonts w:hint="eastAsia"/>
                <w:lang w:val="en-US" w:eastAsia="zh-CN" w:bidi="ar"/>
              </w:rPr>
              <w:t>中标人</w:t>
            </w:r>
            <w:r>
              <w:rPr>
                <w:rFonts w:hint="eastAsia"/>
                <w:lang w:bidi="ar"/>
              </w:rPr>
              <w:t>必须在接到采购人通知后1小时内到达现场处理，如</w:t>
            </w:r>
            <w:r>
              <w:rPr>
                <w:rFonts w:hint="eastAsia"/>
                <w:lang w:val="en-US" w:eastAsia="zh-CN" w:bidi="ar"/>
              </w:rPr>
              <w:t>确实</w:t>
            </w:r>
            <w:r>
              <w:rPr>
                <w:rFonts w:hint="eastAsia"/>
                <w:lang w:bidi="ar"/>
              </w:rPr>
              <w:t>属</w:t>
            </w:r>
            <w:r>
              <w:rPr>
                <w:rFonts w:hint="eastAsia"/>
                <w:lang w:val="en-US" w:eastAsia="zh-CN" w:bidi="ar"/>
              </w:rPr>
              <w:t>于</w:t>
            </w:r>
            <w:r>
              <w:rPr>
                <w:rFonts w:hint="eastAsia"/>
                <w:lang w:bidi="ar"/>
              </w:rPr>
              <w:t>质量问题的</w:t>
            </w:r>
            <w:r>
              <w:rPr>
                <w:rFonts w:hint="eastAsia"/>
                <w:lang w:eastAsia="zh-CN" w:bidi="ar"/>
              </w:rPr>
              <w:t>，</w:t>
            </w:r>
            <w:r>
              <w:rPr>
                <w:rFonts w:hint="eastAsia"/>
                <w:lang w:val="en-US" w:eastAsia="zh-CN" w:bidi="ar"/>
              </w:rPr>
              <w:t>须在</w:t>
            </w:r>
            <w:r>
              <w:rPr>
                <w:rFonts w:hint="eastAsia"/>
                <w:lang w:bidi="ar"/>
              </w:rPr>
              <w:t>12小时内更换质量不合格的食品</w:t>
            </w:r>
            <w:r>
              <w:rPr>
                <w:rFonts w:hint="eastAsia"/>
                <w:lang w:val="en-US" w:eastAsia="zh-CN" w:bidi="ar"/>
              </w:rPr>
              <w:t>并承担相关费用</w:t>
            </w:r>
            <w:r>
              <w:rPr>
                <w:rFonts w:hint="eastAsia"/>
                <w:lang w:bidi="ar"/>
              </w:rPr>
              <w:t>。</w:t>
            </w:r>
          </w:p>
        </w:tc>
      </w:tr>
      <w:tr w14:paraId="171FF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9" w:type="pct"/>
            <w:gridSpan w:val="2"/>
            <w:tcBorders>
              <w:tl2br w:val="nil"/>
              <w:tr2bl w:val="nil"/>
            </w:tcBorders>
            <w:shd w:val="clear" w:color="auto" w:fill="auto"/>
            <w:vAlign w:val="center"/>
          </w:tcPr>
          <w:p w14:paraId="56B893C8">
            <w:pPr>
              <w:jc w:val="center"/>
              <w:rPr>
                <w:b/>
                <w:bCs/>
                <w:lang w:bidi="ar"/>
              </w:rPr>
            </w:pPr>
            <w:r>
              <w:rPr>
                <w:rFonts w:hint="eastAsia"/>
              </w:rPr>
              <w:t>履约保证金</w:t>
            </w:r>
          </w:p>
        </w:tc>
        <w:tc>
          <w:tcPr>
            <w:tcW w:w="4080" w:type="pct"/>
            <w:gridSpan w:val="4"/>
            <w:tcBorders>
              <w:tl2br w:val="nil"/>
              <w:tr2bl w:val="nil"/>
            </w:tcBorders>
            <w:shd w:val="clear" w:color="auto" w:fill="auto"/>
            <w:vAlign w:val="center"/>
          </w:tcPr>
          <w:p w14:paraId="0889ECB3">
            <w:pPr>
              <w:rPr>
                <w:rFonts w:hint="eastAsia" w:eastAsia="宋体"/>
                <w:lang w:eastAsia="zh-CN" w:bidi="ar"/>
              </w:rPr>
            </w:pPr>
            <w:r>
              <w:rPr>
                <w:rFonts w:hint="eastAsia"/>
                <w:lang w:bidi="ar"/>
              </w:rPr>
              <w:t>1.履约保证金金额：</w:t>
            </w:r>
            <w:r>
              <w:rPr>
                <w:rFonts w:hint="eastAsia"/>
                <w:lang w:eastAsia="zh-CN" w:bidi="ar"/>
              </w:rPr>
              <w:t>中标金额的2%，中标人在与采购人签订合同前向采购人足额缴纳履约保证金。</w:t>
            </w:r>
          </w:p>
          <w:p w14:paraId="2EAD636B">
            <w:pPr>
              <w:rPr>
                <w:lang w:bidi="ar"/>
              </w:rPr>
            </w:pPr>
            <w:r>
              <w:rPr>
                <w:rFonts w:hint="eastAsia"/>
                <w:lang w:bidi="ar"/>
              </w:rPr>
              <w:t>2.递交方式：</w:t>
            </w:r>
            <w:r>
              <w:rPr>
                <w:rFonts w:hint="eastAsia"/>
                <w:lang w:eastAsia="zh-CN" w:bidi="ar"/>
              </w:rPr>
              <w:t>银行转账、支票、汇票、本票或者银行、保险机构出具的保函等非现金方式</w:t>
            </w:r>
            <w:r>
              <w:rPr>
                <w:rFonts w:hint="eastAsia"/>
                <w:lang w:bidi="ar"/>
              </w:rPr>
              <w:t>。</w:t>
            </w:r>
          </w:p>
          <w:p w14:paraId="20051DF1">
            <w:pPr>
              <w:rPr>
                <w:rFonts w:hint="eastAsia"/>
                <w:lang w:bidi="ar"/>
              </w:rPr>
            </w:pPr>
            <w:r>
              <w:rPr>
                <w:rFonts w:hint="eastAsia"/>
                <w:lang w:bidi="ar"/>
              </w:rPr>
              <w:t>3.履约保证金在服务期限结束且最后一批货物质保期结束后，如无质量问题，由中标人向采购人提供《政府采购项目履约保证金退付意见书》及《广西壮族自治区政府采购项目合同验收书》，采购人在收到合格材料后10个工作日内退还（不计利息）。涉及违约的违约金和损失赔偿从履约保证金中扣减。</w:t>
            </w:r>
          </w:p>
          <w:p w14:paraId="3C78DE3E">
            <w:pPr>
              <w:rPr>
                <w:rFonts w:hint="eastAsia" w:ascii="宋体" w:hAnsi="宋体" w:eastAsia="宋体" w:cs="宋体"/>
                <w:lang w:bidi="ar"/>
              </w:rPr>
            </w:pPr>
            <w:r>
              <w:rPr>
                <w:rFonts w:hint="eastAsia" w:ascii="宋体" w:hAnsi="宋体" w:eastAsia="宋体" w:cs="宋体"/>
                <w:lang w:bidi="ar"/>
              </w:rPr>
              <w:t>备注：</w:t>
            </w:r>
          </w:p>
          <w:p w14:paraId="339CE924">
            <w:pPr>
              <w:rPr>
                <w:rFonts w:hint="eastAsia" w:ascii="宋体" w:hAnsi="宋体" w:eastAsia="宋体" w:cs="宋体"/>
                <w:lang w:bidi="ar"/>
              </w:rPr>
            </w:pPr>
            <w:r>
              <w:rPr>
                <w:rFonts w:hint="eastAsia" w:ascii="宋体" w:hAnsi="宋体" w:eastAsia="宋体" w:cs="宋体"/>
                <w:lang w:bidi="ar"/>
              </w:rPr>
              <w:t>1.履约保证金不足额缴纳的，或者金融、担保机构出具的保函额度不足的或者保函有效期低于合同履行期限（即签订采购合同之日起至履行完合同约定的权利及义务之日止）的，不予签订合同。</w:t>
            </w:r>
          </w:p>
          <w:p w14:paraId="4F394D25">
            <w:r>
              <w:rPr>
                <w:rFonts w:hint="eastAsia" w:ascii="宋体" w:hAnsi="宋体" w:eastAsia="宋体" w:cs="宋体"/>
                <w:lang w:bidi="ar"/>
              </w:rPr>
              <w:t>2.采用金融、担保机构出具的保函的，必须为无条件保函，否则不予签订合同。</w:t>
            </w:r>
          </w:p>
        </w:tc>
      </w:tr>
      <w:tr w14:paraId="6B1A2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9" w:type="pct"/>
            <w:gridSpan w:val="2"/>
            <w:tcBorders>
              <w:tl2br w:val="nil"/>
              <w:tr2bl w:val="nil"/>
            </w:tcBorders>
            <w:shd w:val="clear" w:color="auto" w:fill="auto"/>
            <w:vAlign w:val="center"/>
          </w:tcPr>
          <w:p w14:paraId="4F182884">
            <w:pPr>
              <w:jc w:val="center"/>
            </w:pPr>
            <w:r>
              <w:rPr>
                <w:rFonts w:hint="eastAsia"/>
                <w:lang w:bidi="ar"/>
              </w:rPr>
              <w:t>其他要求</w:t>
            </w:r>
          </w:p>
        </w:tc>
        <w:tc>
          <w:tcPr>
            <w:tcW w:w="4080" w:type="pct"/>
            <w:gridSpan w:val="4"/>
            <w:tcBorders>
              <w:tl2br w:val="nil"/>
              <w:tr2bl w:val="nil"/>
            </w:tcBorders>
            <w:shd w:val="clear" w:color="auto" w:fill="auto"/>
            <w:vAlign w:val="center"/>
          </w:tcPr>
          <w:p w14:paraId="38DBDAAE">
            <w:pPr>
              <w:rPr>
                <w:rFonts w:hint="eastAsia" w:ascii="宋体" w:hAnsi="宋体" w:eastAsia="宋体" w:cs="宋体"/>
                <w:lang w:bidi="ar"/>
              </w:rPr>
            </w:pPr>
            <w:r>
              <w:rPr>
                <w:rFonts w:hint="eastAsia" w:ascii="宋体" w:hAnsi="宋体" w:eastAsia="宋体" w:cs="宋体"/>
                <w:lang w:bidi="ar"/>
              </w:rPr>
              <w:t>1.供货时，</w:t>
            </w:r>
            <w:r>
              <w:rPr>
                <w:rFonts w:hint="eastAsia" w:ascii="宋体" w:hAnsi="宋体" w:eastAsia="宋体" w:cs="宋体"/>
                <w:lang w:val="en-US" w:eastAsia="zh-CN" w:bidi="ar"/>
              </w:rPr>
              <w:t>中标人</w:t>
            </w:r>
            <w:r>
              <w:rPr>
                <w:rFonts w:hint="eastAsia" w:ascii="宋体" w:hAnsi="宋体" w:eastAsia="宋体" w:cs="宋体"/>
                <w:lang w:bidi="ar"/>
              </w:rPr>
              <w:t>必须提供以下证明文件：</w:t>
            </w:r>
          </w:p>
          <w:p w14:paraId="5EEF9047">
            <w:pPr>
              <w:rPr>
                <w:rFonts w:hint="eastAsia" w:ascii="宋体" w:hAnsi="宋体" w:eastAsia="宋体" w:cs="宋体"/>
                <w:lang w:bidi="ar"/>
              </w:rPr>
            </w:pPr>
            <w:r>
              <w:rPr>
                <w:rFonts w:hint="eastAsia" w:ascii="宋体" w:hAnsi="宋体" w:eastAsia="宋体" w:cs="宋体"/>
                <w:lang w:bidi="ar"/>
              </w:rPr>
              <w:t>（1）每批货物必须提供相关的质量安全检验合格证明，且每批次货物都需经采购人抽验合格后方可供货。</w:t>
            </w:r>
          </w:p>
          <w:p w14:paraId="41DA6B4C">
            <w:pPr>
              <w:rPr>
                <w:rFonts w:hint="eastAsia" w:ascii="宋体" w:hAnsi="宋体" w:eastAsia="宋体" w:cs="宋体"/>
                <w:lang w:bidi="ar"/>
              </w:rPr>
            </w:pPr>
            <w:r>
              <w:rPr>
                <w:rFonts w:hint="eastAsia" w:ascii="宋体" w:hAnsi="宋体" w:eastAsia="宋体" w:cs="宋体"/>
                <w:lang w:bidi="ar"/>
              </w:rPr>
              <w:t>（2）</w:t>
            </w:r>
            <w:r>
              <w:rPr>
                <w:rFonts w:hint="eastAsia" w:ascii="宋体" w:hAnsi="宋体" w:eastAsia="宋体" w:cs="宋体"/>
                <w:lang w:val="en-US" w:eastAsia="zh-CN" w:bidi="ar"/>
              </w:rPr>
              <w:t>中标人</w:t>
            </w:r>
            <w:r>
              <w:rPr>
                <w:rFonts w:hint="eastAsia" w:ascii="宋体" w:hAnsi="宋体" w:eastAsia="宋体" w:cs="宋体"/>
                <w:lang w:bidi="ar"/>
              </w:rPr>
              <w:t>必须提供相关供货清单（包括货物名称、数量、单价、金额等</w:t>
            </w:r>
            <w:r>
              <w:rPr>
                <w:rFonts w:hint="eastAsia" w:ascii="宋体" w:hAnsi="宋体" w:eastAsia="宋体" w:cs="宋体"/>
                <w:lang w:val="en-US" w:eastAsia="zh-CN" w:bidi="ar"/>
              </w:rPr>
              <w:t>信息</w:t>
            </w:r>
            <w:r>
              <w:rPr>
                <w:rFonts w:hint="eastAsia" w:ascii="宋体" w:hAnsi="宋体" w:eastAsia="宋体" w:cs="宋体"/>
                <w:lang w:bidi="ar"/>
              </w:rPr>
              <w:t>），以便采购人月底结算货款。</w:t>
            </w:r>
            <w:r>
              <w:rPr>
                <w:rFonts w:hint="eastAsia" w:ascii="宋体" w:hAnsi="宋体" w:eastAsia="宋体" w:cs="宋体"/>
                <w:lang w:val="en-US" w:eastAsia="zh-CN" w:bidi="ar"/>
              </w:rPr>
              <w:t>中标人</w:t>
            </w:r>
            <w:r>
              <w:rPr>
                <w:rFonts w:hint="eastAsia" w:ascii="宋体" w:hAnsi="宋体" w:eastAsia="宋体" w:cs="宋体"/>
                <w:lang w:bidi="ar"/>
              </w:rPr>
              <w:t>供货不符合要求的，采购人有权立即退货</w:t>
            </w:r>
            <w:r>
              <w:rPr>
                <w:rFonts w:hint="eastAsia" w:ascii="宋体" w:hAnsi="宋体" w:eastAsia="宋体" w:cs="宋体"/>
                <w:lang w:eastAsia="zh-CN" w:bidi="ar"/>
              </w:rPr>
              <w:t>，</w:t>
            </w:r>
            <w:r>
              <w:rPr>
                <w:rFonts w:hint="eastAsia" w:ascii="宋体" w:hAnsi="宋体" w:eastAsia="宋体" w:cs="宋体"/>
                <w:lang w:val="en-US" w:eastAsia="zh-CN" w:bidi="ar"/>
              </w:rPr>
              <w:t>中标人</w:t>
            </w:r>
            <w:r>
              <w:rPr>
                <w:rFonts w:hint="eastAsia" w:ascii="宋体" w:hAnsi="宋体" w:eastAsia="宋体" w:cs="宋体"/>
                <w:lang w:bidi="ar"/>
              </w:rPr>
              <w:t>应按采购人的要求</w:t>
            </w:r>
            <w:r>
              <w:rPr>
                <w:rFonts w:hint="eastAsia" w:ascii="宋体" w:hAnsi="宋体" w:eastAsia="宋体" w:cs="宋体"/>
                <w:lang w:val="en-US" w:eastAsia="zh-CN" w:bidi="ar"/>
              </w:rPr>
              <w:t>于</w:t>
            </w:r>
            <w:r>
              <w:rPr>
                <w:rFonts w:hint="eastAsia" w:ascii="宋体" w:hAnsi="宋体" w:eastAsia="宋体" w:cs="宋体"/>
                <w:lang w:bidi="ar"/>
              </w:rPr>
              <w:t>12小时内</w:t>
            </w:r>
            <w:r>
              <w:rPr>
                <w:rFonts w:hint="eastAsia" w:ascii="宋体" w:hAnsi="宋体" w:eastAsia="宋体" w:cs="宋体"/>
                <w:lang w:val="en-US" w:eastAsia="zh-CN" w:bidi="ar"/>
              </w:rPr>
              <w:t>更换</w:t>
            </w:r>
            <w:r>
              <w:rPr>
                <w:rFonts w:hint="eastAsia" w:ascii="宋体" w:hAnsi="宋体" w:eastAsia="宋体" w:cs="宋体"/>
                <w:lang w:bidi="ar"/>
              </w:rPr>
              <w:t>，具体</w:t>
            </w:r>
            <w:r>
              <w:rPr>
                <w:rFonts w:hint="eastAsia" w:ascii="宋体" w:hAnsi="宋体" w:eastAsia="宋体" w:cs="宋体"/>
                <w:lang w:val="en-US" w:eastAsia="zh-CN" w:bidi="ar"/>
              </w:rPr>
              <w:t>更换</w:t>
            </w:r>
            <w:r>
              <w:rPr>
                <w:rFonts w:hint="eastAsia" w:ascii="宋体" w:hAnsi="宋体" w:eastAsia="宋体" w:cs="宋体"/>
                <w:lang w:bidi="ar"/>
              </w:rPr>
              <w:t>时间以</w:t>
            </w:r>
            <w:r>
              <w:rPr>
                <w:rFonts w:hint="eastAsia" w:ascii="宋体" w:hAnsi="宋体" w:eastAsia="宋体" w:cs="宋体"/>
                <w:lang w:val="en-US" w:eastAsia="zh-CN" w:bidi="ar"/>
              </w:rPr>
              <w:t>双方</w:t>
            </w:r>
            <w:r>
              <w:rPr>
                <w:rFonts w:hint="eastAsia" w:ascii="宋体" w:hAnsi="宋体" w:eastAsia="宋体" w:cs="宋体"/>
                <w:lang w:bidi="ar"/>
              </w:rPr>
              <w:t>约定为准。</w:t>
            </w:r>
          </w:p>
          <w:p w14:paraId="16ED6F42">
            <w:pPr>
              <w:rPr>
                <w:lang w:bidi="ar"/>
              </w:rPr>
            </w:pPr>
            <w:r>
              <w:rPr>
                <w:rFonts w:hint="eastAsia"/>
                <w:lang w:bidi="ar"/>
              </w:rPr>
              <w:t>2.交货验收必须由采购人和</w:t>
            </w:r>
            <w:r>
              <w:rPr>
                <w:rFonts w:hint="eastAsia"/>
                <w:lang w:val="en-US" w:eastAsia="zh-CN" w:bidi="ar"/>
              </w:rPr>
              <w:t>中标人</w:t>
            </w:r>
            <w:r>
              <w:rPr>
                <w:rFonts w:hint="eastAsia"/>
                <w:lang w:bidi="ar"/>
              </w:rPr>
              <w:t>共同进行，采购人如认为有需要的，可委托相关检验部门对产品进行抽检，自检或检验部门抽检不合格的不给予验收，影</w:t>
            </w:r>
            <w:r>
              <w:rPr>
                <w:rFonts w:hint="eastAsia"/>
                <w:lang w:eastAsia="zh-CN" w:bidi="ar"/>
              </w:rPr>
              <w:t>响采购人工作的正常运转的将追究中标人相关责任</w:t>
            </w:r>
            <w:r>
              <w:rPr>
                <w:rFonts w:hint="eastAsia"/>
                <w:lang w:bidi="ar"/>
              </w:rPr>
              <w:t>，抽检所产生的费用全部由</w:t>
            </w:r>
            <w:r>
              <w:rPr>
                <w:rFonts w:hint="eastAsia"/>
                <w:lang w:val="en-US" w:eastAsia="zh-CN" w:bidi="ar"/>
              </w:rPr>
              <w:t>中标人承担</w:t>
            </w:r>
            <w:r>
              <w:rPr>
                <w:rFonts w:hint="eastAsia"/>
                <w:lang w:bidi="ar"/>
              </w:rPr>
              <w:t>。</w:t>
            </w:r>
          </w:p>
          <w:p w14:paraId="1AB6960B">
            <w:pPr>
              <w:rPr>
                <w:lang w:bidi="ar"/>
              </w:rPr>
            </w:pPr>
            <w:r>
              <w:rPr>
                <w:rFonts w:hint="eastAsia"/>
                <w:lang w:bidi="ar"/>
              </w:rPr>
              <w:t>3.验收工作的一般程序为：采购人应当在到货后根据货物采购清单的具体要求，对所购名称进行清点、外观检查进行实测，并逐项记录。</w:t>
            </w:r>
            <w:r>
              <w:rPr>
                <w:rFonts w:hint="eastAsia"/>
                <w:lang w:eastAsia="zh-CN" w:bidi="ar"/>
              </w:rPr>
              <w:t>经验收合格后双方签字确认</w:t>
            </w:r>
            <w:r>
              <w:rPr>
                <w:rFonts w:hint="eastAsia"/>
                <w:lang w:bidi="ar"/>
              </w:rPr>
              <w:t>。对未能通过验收的，一律退货、更换直至验收合格。</w:t>
            </w:r>
          </w:p>
          <w:p w14:paraId="0FD21AA9">
            <w:pPr>
              <w:rPr>
                <w:lang w:bidi="ar"/>
              </w:rPr>
            </w:pPr>
            <w:r>
              <w:rPr>
                <w:rFonts w:hint="eastAsia"/>
                <w:lang w:bidi="ar"/>
              </w:rPr>
              <w:t>4.</w:t>
            </w:r>
            <w:r>
              <w:rPr>
                <w:rFonts w:hint="eastAsia"/>
                <w:lang w:val="en-US" w:eastAsia="zh-CN" w:bidi="ar"/>
              </w:rPr>
              <w:t>结算单价</w:t>
            </w:r>
            <w:r>
              <w:rPr>
                <w:rFonts w:hint="eastAsia"/>
                <w:lang w:bidi="ar"/>
              </w:rPr>
              <w:t>=基准单价×</w:t>
            </w:r>
            <w:r>
              <w:rPr>
                <w:rFonts w:hint="eastAsia"/>
                <w:lang w:val="en-US" w:eastAsia="zh-CN" w:bidi="ar"/>
              </w:rPr>
              <w:t>中标</w:t>
            </w:r>
            <w:r>
              <w:rPr>
                <w:rFonts w:hint="eastAsia"/>
                <w:lang w:bidi="ar"/>
              </w:rPr>
              <w:t>折扣系数，签订合同当月，</w:t>
            </w:r>
            <w:r>
              <w:rPr>
                <w:rFonts w:hint="eastAsia"/>
                <w:lang w:val="en-US" w:eastAsia="zh-CN" w:bidi="ar"/>
              </w:rPr>
              <w:t>中标人</w:t>
            </w:r>
            <w:r>
              <w:rPr>
                <w:rFonts w:hint="eastAsia"/>
                <w:lang w:bidi="ar"/>
              </w:rPr>
              <w:t>与采购</w:t>
            </w:r>
            <w:r>
              <w:rPr>
                <w:rFonts w:hint="eastAsia"/>
                <w:lang w:val="en-US" w:eastAsia="zh-CN" w:bidi="ar"/>
              </w:rPr>
              <w:t>人</w:t>
            </w:r>
            <w:r>
              <w:rPr>
                <w:rFonts w:hint="eastAsia"/>
                <w:lang w:bidi="ar"/>
              </w:rPr>
              <w:t>共同选择贵港市至少三家大型商场、市场、超市展开市场调查，选取调查的三个市场主体中货物的平均价作为基准单价。合同执行前三个月价格不变，合同执行三个月后，如果某品类物资当月市场价格在合同基准价格基础上上下浮动率≥10%时，可以进行价格调整。价格调整由中标人或采购人提出基准单价调整申请，由采购人面向市场主体选择贵港市3家</w:t>
            </w:r>
            <w:r>
              <w:rPr>
                <w:rFonts w:hint="eastAsia"/>
                <w:lang w:eastAsia="zh-CN" w:bidi="ar"/>
              </w:rPr>
              <w:t>（</w:t>
            </w:r>
            <w:r>
              <w:rPr>
                <w:rFonts w:hint="eastAsia"/>
                <w:lang w:val="en-US" w:eastAsia="zh-CN" w:bidi="ar"/>
              </w:rPr>
              <w:t>含</w:t>
            </w:r>
            <w:r>
              <w:rPr>
                <w:rFonts w:hint="eastAsia"/>
                <w:lang w:eastAsia="zh-CN" w:bidi="ar"/>
              </w:rPr>
              <w:t>）</w:t>
            </w:r>
            <w:r>
              <w:rPr>
                <w:rFonts w:hint="eastAsia"/>
                <w:lang w:bidi="ar"/>
              </w:rPr>
              <w:t>以上大型商场或者市场开展市场价格调查，选取调查的市场或者超市的平均</w:t>
            </w:r>
            <w:r>
              <w:rPr>
                <w:rFonts w:hint="eastAsia"/>
                <w:lang w:val="en-US" w:eastAsia="zh-CN" w:bidi="ar"/>
              </w:rPr>
              <w:t>价</w:t>
            </w:r>
            <w:r>
              <w:rPr>
                <w:rFonts w:hint="eastAsia"/>
                <w:lang w:bidi="ar"/>
              </w:rPr>
              <w:t>作为调查价格，调查结果符合调价规则的，经双方确认同意后方可调整价格。基准单价调整后，</w:t>
            </w:r>
            <w:r>
              <w:rPr>
                <w:rFonts w:hint="eastAsia"/>
                <w:lang w:val="en-US" w:eastAsia="zh-CN" w:bidi="ar"/>
              </w:rPr>
              <w:t>结算单价</w:t>
            </w:r>
            <w:r>
              <w:rPr>
                <w:rFonts w:hint="eastAsia"/>
                <w:lang w:bidi="ar"/>
              </w:rPr>
              <w:t>为变动后的基准单价×</w:t>
            </w:r>
            <w:r>
              <w:rPr>
                <w:rFonts w:hint="eastAsia"/>
                <w:lang w:val="en-US" w:eastAsia="zh-CN" w:bidi="ar"/>
              </w:rPr>
              <w:t>中标</w:t>
            </w:r>
            <w:r>
              <w:rPr>
                <w:rFonts w:hint="eastAsia"/>
                <w:lang w:bidi="ar"/>
              </w:rPr>
              <w:t>折扣系数。</w:t>
            </w:r>
          </w:p>
          <w:p w14:paraId="0829B328">
            <w:pPr>
              <w:rPr>
                <w:rFonts w:hint="eastAsia"/>
                <w:lang w:bidi="ar"/>
              </w:rPr>
            </w:pPr>
            <w:r>
              <w:rPr>
                <w:rFonts w:hint="eastAsia"/>
                <w:lang w:bidi="ar"/>
              </w:rPr>
              <w:t>5.关于扶贫产品的采购。如果政府部门或上级部门要求采购人在扶贫产品网站采购相应的扶贫产品的，</w:t>
            </w:r>
            <w:r>
              <w:rPr>
                <w:rFonts w:hint="eastAsia"/>
                <w:lang w:val="en-US" w:eastAsia="zh-CN" w:bidi="ar"/>
              </w:rPr>
              <w:t>中标人</w:t>
            </w:r>
            <w:r>
              <w:rPr>
                <w:rFonts w:hint="eastAsia"/>
                <w:lang w:bidi="ar"/>
              </w:rPr>
              <w:t>须无条件同意采购人减少合同执行金额，由采购人自行在扶贫产品网站采购扶贫产品。</w:t>
            </w:r>
          </w:p>
          <w:p w14:paraId="0DF85DBD">
            <w:r>
              <w:rPr>
                <w:rFonts w:hint="eastAsia"/>
                <w:b/>
                <w:bCs/>
                <w:lang w:val="en-US" w:eastAsia="zh-CN" w:bidi="ar"/>
              </w:rPr>
              <w:t>6.如采购人因不可抗力原因、上级要求需要变更或提前终止合同的，采购人提前一个月告知成交供应商，成交供应商须无条件配合，并且采购人不负变更或提前终止合同的违约责任。</w:t>
            </w:r>
          </w:p>
        </w:tc>
      </w:tr>
      <w:tr w14:paraId="06691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5000" w:type="pct"/>
            <w:gridSpan w:val="6"/>
            <w:tcBorders>
              <w:tl2br w:val="nil"/>
              <w:tr2bl w:val="nil"/>
            </w:tcBorders>
            <w:shd w:val="clear" w:color="auto" w:fill="auto"/>
            <w:vAlign w:val="center"/>
          </w:tcPr>
          <w:p w14:paraId="5408614F">
            <w:r>
              <w:rPr>
                <w:rFonts w:hint="eastAsia"/>
                <w:b/>
                <w:bCs/>
              </w:rPr>
              <w:t>三、采购人对项目的特殊要求及说明</w:t>
            </w:r>
          </w:p>
        </w:tc>
      </w:tr>
      <w:tr w14:paraId="0D012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9" w:type="pct"/>
            <w:gridSpan w:val="2"/>
            <w:tcBorders>
              <w:tl2br w:val="nil"/>
              <w:tr2bl w:val="nil"/>
            </w:tcBorders>
            <w:shd w:val="clear" w:color="auto" w:fill="auto"/>
            <w:vAlign w:val="center"/>
          </w:tcPr>
          <w:p w14:paraId="07958D92">
            <w:pPr>
              <w:jc w:val="center"/>
            </w:pPr>
            <w:r>
              <w:rPr>
                <w:rFonts w:hint="eastAsia"/>
              </w:rPr>
              <w:t>核心产品</w:t>
            </w:r>
          </w:p>
        </w:tc>
        <w:tc>
          <w:tcPr>
            <w:tcW w:w="4080" w:type="pct"/>
            <w:gridSpan w:val="4"/>
            <w:tcBorders>
              <w:tl2br w:val="nil"/>
              <w:tr2bl w:val="nil"/>
            </w:tcBorders>
            <w:shd w:val="clear" w:color="auto" w:fill="auto"/>
            <w:vAlign w:val="center"/>
          </w:tcPr>
          <w:p w14:paraId="7E1BB7E7">
            <w:r>
              <w:rPr>
                <w:rFonts w:hint="eastAsia"/>
              </w:rPr>
              <w:t>本分标无核心产品。</w:t>
            </w:r>
          </w:p>
        </w:tc>
      </w:tr>
      <w:tr w14:paraId="0968C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9" w:type="pct"/>
            <w:gridSpan w:val="2"/>
            <w:tcBorders>
              <w:tl2br w:val="nil"/>
              <w:tr2bl w:val="nil"/>
            </w:tcBorders>
            <w:shd w:val="clear" w:color="auto" w:fill="auto"/>
            <w:vAlign w:val="center"/>
          </w:tcPr>
          <w:p w14:paraId="776A9061">
            <w:pPr>
              <w:jc w:val="center"/>
              <w:rPr>
                <w:rFonts w:hint="eastAsia"/>
              </w:rPr>
            </w:pPr>
            <w:r>
              <w:rPr>
                <w:rFonts w:hint="eastAsia"/>
              </w:rPr>
              <w:t>进口产品说明</w:t>
            </w:r>
          </w:p>
        </w:tc>
        <w:tc>
          <w:tcPr>
            <w:tcW w:w="4080" w:type="pct"/>
            <w:gridSpan w:val="4"/>
            <w:tcBorders>
              <w:tl2br w:val="nil"/>
              <w:tr2bl w:val="nil"/>
            </w:tcBorders>
            <w:shd w:val="clear" w:color="auto" w:fill="auto"/>
            <w:vAlign w:val="center"/>
          </w:tcPr>
          <w:p w14:paraId="2BD1E57D">
            <w:pPr>
              <w:rPr>
                <w:rFonts w:hint="eastAsia"/>
              </w:rPr>
            </w:pPr>
            <w:r>
              <w:rPr>
                <w:rFonts w:hint="eastAsia"/>
              </w:rPr>
              <w:t>本分标货物所涉及的货物不接受进口产品（即通过中国海关报关验放进入中国境内且产自境外的产品）参与投标，如有进口产品参与投标的作无效标处理。</w:t>
            </w:r>
          </w:p>
        </w:tc>
      </w:tr>
    </w:tbl>
    <w:p w14:paraId="73C56505">
      <w:r>
        <w:br w:type="page"/>
      </w:r>
    </w:p>
    <w:p w14:paraId="06C2E0FE">
      <w:pPr>
        <w:outlineLvl w:val="1"/>
        <w:rPr>
          <w:b/>
          <w:bCs/>
        </w:rPr>
      </w:pPr>
      <w:r>
        <w:rPr>
          <w:rFonts w:hint="eastAsia"/>
          <w:b/>
          <w:bCs/>
          <w:u w:val="none"/>
          <w:lang w:val="en-US" w:eastAsia="zh-CN"/>
        </w:rPr>
        <w:t>分标4</w:t>
      </w:r>
      <w:r>
        <w:rPr>
          <w:rFonts w:hint="eastAsia"/>
          <w:b/>
          <w:bCs/>
        </w:rPr>
        <w:t>：</w:t>
      </w:r>
      <w:r>
        <w:rPr>
          <w:rFonts w:hint="eastAsia"/>
          <w:b/>
          <w:bCs/>
          <w:lang w:eastAsia="zh-CN"/>
        </w:rPr>
        <w:t>其他类</w:t>
      </w:r>
      <w:r>
        <w:rPr>
          <w:rFonts w:hint="eastAsia"/>
          <w:b/>
          <w:bCs/>
        </w:rPr>
        <w:t>，预算金额：</w:t>
      </w:r>
      <w:r>
        <w:rPr>
          <w:rFonts w:hint="eastAsia"/>
          <w:b/>
          <w:bCs/>
          <w:lang w:eastAsia="zh-CN"/>
        </w:rPr>
        <w:t>1600000.00</w:t>
      </w:r>
      <w:r>
        <w:rPr>
          <w:rFonts w:hint="eastAsia"/>
          <w:b/>
          <w:bCs/>
        </w:rPr>
        <w:t>元</w:t>
      </w:r>
    </w:p>
    <w:tbl>
      <w:tblPr>
        <w:tblStyle w:val="52"/>
        <w:tblW w:w="499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8"/>
        <w:gridCol w:w="862"/>
        <w:gridCol w:w="687"/>
        <w:gridCol w:w="1280"/>
        <w:gridCol w:w="1820"/>
        <w:gridCol w:w="3996"/>
      </w:tblGrid>
      <w:tr w14:paraId="298F0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5000" w:type="pct"/>
            <w:gridSpan w:val="6"/>
            <w:tcBorders>
              <w:tl2br w:val="nil"/>
              <w:tr2bl w:val="nil"/>
            </w:tcBorders>
            <w:shd w:val="clear" w:color="auto" w:fill="auto"/>
            <w:vAlign w:val="center"/>
          </w:tcPr>
          <w:p w14:paraId="4FFE9536">
            <w:r>
              <w:rPr>
                <w:rFonts w:hint="eastAsia"/>
                <w:b/>
                <w:bCs/>
              </w:rPr>
              <w:t>一、项目要求及技术需求</w:t>
            </w:r>
          </w:p>
        </w:tc>
      </w:tr>
      <w:tr w14:paraId="1B7AB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368" w:type="pct"/>
            <w:tcBorders>
              <w:tl2br w:val="nil"/>
              <w:tr2bl w:val="nil"/>
            </w:tcBorders>
            <w:shd w:val="clear" w:color="auto" w:fill="auto"/>
            <w:vAlign w:val="center"/>
          </w:tcPr>
          <w:p w14:paraId="04342DB4">
            <w:pPr>
              <w:jc w:val="center"/>
              <w:rPr>
                <w:lang w:bidi="ar"/>
              </w:rPr>
            </w:pPr>
            <w:r>
              <w:rPr>
                <w:rFonts w:hint="eastAsia"/>
                <w:lang w:bidi="ar"/>
              </w:rPr>
              <w:t>序号</w:t>
            </w:r>
          </w:p>
        </w:tc>
        <w:tc>
          <w:tcPr>
            <w:tcW w:w="830" w:type="pct"/>
            <w:gridSpan w:val="2"/>
            <w:tcBorders>
              <w:tl2br w:val="nil"/>
              <w:tr2bl w:val="nil"/>
            </w:tcBorders>
            <w:shd w:val="clear" w:color="auto" w:fill="auto"/>
            <w:vAlign w:val="center"/>
          </w:tcPr>
          <w:p w14:paraId="2D2B5B3E">
            <w:pPr>
              <w:jc w:val="center"/>
              <w:rPr>
                <w:rFonts w:hint="eastAsia" w:eastAsia="宋体"/>
                <w:lang w:eastAsia="zh-CN"/>
              </w:rPr>
            </w:pPr>
            <w:r>
              <w:rPr>
                <w:rFonts w:hint="eastAsia"/>
                <w:lang w:eastAsia="zh-CN"/>
              </w:rPr>
              <w:t>货物名称</w:t>
            </w:r>
          </w:p>
        </w:tc>
        <w:tc>
          <w:tcPr>
            <w:tcW w:w="685" w:type="pct"/>
            <w:tcBorders>
              <w:tl2br w:val="nil"/>
              <w:tr2bl w:val="nil"/>
            </w:tcBorders>
            <w:shd w:val="clear" w:color="auto" w:fill="auto"/>
            <w:vAlign w:val="center"/>
          </w:tcPr>
          <w:p w14:paraId="2D169713">
            <w:pPr>
              <w:jc w:val="center"/>
              <w:rPr>
                <w:lang w:bidi="ar"/>
              </w:rPr>
            </w:pPr>
            <w:r>
              <w:rPr>
                <w:rFonts w:hint="eastAsia"/>
                <w:lang w:bidi="ar"/>
              </w:rPr>
              <w:t>计划采购数量</w:t>
            </w:r>
          </w:p>
        </w:tc>
        <w:tc>
          <w:tcPr>
            <w:tcW w:w="974" w:type="pct"/>
            <w:tcBorders>
              <w:tl2br w:val="nil"/>
              <w:tr2bl w:val="nil"/>
            </w:tcBorders>
            <w:shd w:val="clear" w:color="auto" w:fill="auto"/>
            <w:vAlign w:val="center"/>
          </w:tcPr>
          <w:p w14:paraId="24A400F3">
            <w:pPr>
              <w:jc w:val="center"/>
            </w:pPr>
            <w:r>
              <w:rPr>
                <w:rFonts w:hint="eastAsia"/>
                <w:lang w:bidi="ar"/>
              </w:rPr>
              <w:t>单位</w:t>
            </w:r>
          </w:p>
        </w:tc>
        <w:tc>
          <w:tcPr>
            <w:tcW w:w="2140" w:type="pct"/>
            <w:tcBorders>
              <w:tl2br w:val="nil"/>
              <w:tr2bl w:val="nil"/>
            </w:tcBorders>
            <w:shd w:val="clear" w:color="auto" w:fill="auto"/>
            <w:vAlign w:val="center"/>
          </w:tcPr>
          <w:p w14:paraId="5247E497">
            <w:pPr>
              <w:jc w:val="center"/>
            </w:pPr>
            <w:r>
              <w:rPr>
                <w:rFonts w:hint="eastAsia"/>
              </w:rPr>
              <w:t>技术参数及质量（配置）要求</w:t>
            </w:r>
          </w:p>
        </w:tc>
      </w:tr>
      <w:tr w14:paraId="3F531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26F2FFA5">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w:t>
            </w:r>
          </w:p>
        </w:tc>
        <w:tc>
          <w:tcPr>
            <w:tcW w:w="830" w:type="pct"/>
            <w:gridSpan w:val="2"/>
            <w:tcBorders>
              <w:tl2br w:val="nil"/>
              <w:tr2bl w:val="nil"/>
            </w:tcBorders>
            <w:shd w:val="clear" w:color="auto" w:fill="auto"/>
            <w:noWrap/>
            <w:vAlign w:val="center"/>
          </w:tcPr>
          <w:p w14:paraId="06C3F84F">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鸡蛋</w:t>
            </w:r>
          </w:p>
        </w:tc>
        <w:tc>
          <w:tcPr>
            <w:tcW w:w="685" w:type="pct"/>
            <w:tcBorders>
              <w:tl2br w:val="nil"/>
              <w:tr2bl w:val="nil"/>
            </w:tcBorders>
            <w:shd w:val="clear" w:color="auto" w:fill="auto"/>
            <w:vAlign w:val="center"/>
          </w:tcPr>
          <w:p w14:paraId="6C2A387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50724</w:t>
            </w:r>
          </w:p>
        </w:tc>
        <w:tc>
          <w:tcPr>
            <w:tcW w:w="974" w:type="pct"/>
            <w:tcBorders>
              <w:tl2br w:val="nil"/>
              <w:tr2bl w:val="nil"/>
            </w:tcBorders>
            <w:shd w:val="clear" w:color="auto" w:fill="auto"/>
            <w:noWrap/>
            <w:vAlign w:val="center"/>
          </w:tcPr>
          <w:p w14:paraId="7E52563B">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tcBorders>
              <w:tl2br w:val="nil"/>
              <w:tr2bl w:val="nil"/>
            </w:tcBorders>
            <w:shd w:val="clear" w:color="auto" w:fill="auto"/>
            <w:vAlign w:val="center"/>
          </w:tcPr>
          <w:p w14:paraId="339B715C">
            <w:pPr>
              <w:jc w:val="left"/>
              <w:rPr>
                <w:rFonts w:hint="eastAsia"/>
                <w:lang w:eastAsia="zh-CN"/>
              </w:rPr>
            </w:pPr>
            <w:r>
              <w:rPr>
                <w:rFonts w:hint="eastAsia"/>
                <w:b/>
                <w:bCs/>
                <w:lang w:bidi="ar"/>
              </w:rPr>
              <w:t>▲</w:t>
            </w:r>
            <w:r>
              <w:rPr>
                <w:rFonts w:hint="eastAsia"/>
                <w:lang w:val="en-US" w:eastAsia="zh-CN"/>
              </w:rPr>
              <w:t>1.</w:t>
            </w:r>
            <w:r>
              <w:rPr>
                <w:rFonts w:hint="eastAsia"/>
              </w:rPr>
              <w:t>符合《食品安全国家标准 蛋与蛋制品》（GB 2749-2015）相关的要求</w:t>
            </w:r>
            <w:r>
              <w:rPr>
                <w:rFonts w:hint="eastAsia"/>
                <w:lang w:eastAsia="zh-CN"/>
              </w:rPr>
              <w:t>。</w:t>
            </w:r>
          </w:p>
          <w:p w14:paraId="2D46FBA7">
            <w:pPr>
              <w:jc w:val="left"/>
              <w:rPr>
                <w:rFonts w:hint="eastAsia"/>
              </w:rPr>
            </w:pPr>
            <w:r>
              <w:rPr>
                <w:rFonts w:hint="eastAsia"/>
                <w:lang w:val="en-US" w:eastAsia="zh-CN"/>
              </w:rPr>
              <w:t>2.</w:t>
            </w:r>
            <w:r>
              <w:rPr>
                <w:rFonts w:hint="eastAsia"/>
              </w:rPr>
              <w:t>具有禽蛋固有的色泽。</w:t>
            </w:r>
          </w:p>
          <w:p w14:paraId="5A670CC1">
            <w:pPr>
              <w:jc w:val="left"/>
              <w:rPr>
                <w:rFonts w:hint="eastAsia"/>
              </w:rPr>
            </w:pPr>
            <w:r>
              <w:rPr>
                <w:rFonts w:hint="eastAsia"/>
                <w:lang w:val="en-US" w:eastAsia="zh-CN"/>
              </w:rPr>
              <w:t>3.</w:t>
            </w:r>
            <w:r>
              <w:rPr>
                <w:rFonts w:hint="eastAsia"/>
              </w:rPr>
              <w:t>组织形态：蛋壳清洁、无破裂、打开后蛋壳凸起、完整、有韧性，蛋白澄清透明，稀稠分明。</w:t>
            </w:r>
          </w:p>
          <w:p w14:paraId="69594EFC">
            <w:pPr>
              <w:jc w:val="left"/>
              <w:rPr>
                <w:rFonts w:hint="eastAsia"/>
              </w:rPr>
            </w:pPr>
            <w:r>
              <w:rPr>
                <w:rFonts w:hint="eastAsia"/>
                <w:lang w:val="en-US" w:eastAsia="zh-CN"/>
              </w:rPr>
              <w:t>4.</w:t>
            </w:r>
            <w:r>
              <w:rPr>
                <w:rFonts w:hint="eastAsia"/>
              </w:rPr>
              <w:t>气味：具有产品固有的气味，无异味。</w:t>
            </w:r>
          </w:p>
          <w:p w14:paraId="3D697C74">
            <w:pPr>
              <w:jc w:val="left"/>
              <w:rPr>
                <w:rFonts w:hint="default" w:eastAsia="宋体"/>
                <w:lang w:val="en-US" w:eastAsia="zh-CN"/>
              </w:rPr>
            </w:pPr>
            <w:r>
              <w:rPr>
                <w:rFonts w:hint="eastAsia"/>
                <w:lang w:val="en-US" w:eastAsia="zh-CN"/>
              </w:rPr>
              <w:t>5.</w:t>
            </w:r>
            <w:r>
              <w:rPr>
                <w:rFonts w:hint="eastAsia"/>
              </w:rPr>
              <w:t>杂质：无杂质，内容不得有血块及其他组织异物。</w:t>
            </w:r>
          </w:p>
        </w:tc>
      </w:tr>
      <w:tr w14:paraId="043E6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4926F47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w:t>
            </w:r>
          </w:p>
        </w:tc>
        <w:tc>
          <w:tcPr>
            <w:tcW w:w="830" w:type="pct"/>
            <w:gridSpan w:val="2"/>
            <w:tcBorders>
              <w:tl2br w:val="nil"/>
              <w:tr2bl w:val="nil"/>
            </w:tcBorders>
            <w:shd w:val="clear" w:color="auto" w:fill="auto"/>
            <w:noWrap/>
            <w:vAlign w:val="center"/>
          </w:tcPr>
          <w:p w14:paraId="12E1C4C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水豆腐</w:t>
            </w:r>
          </w:p>
        </w:tc>
        <w:tc>
          <w:tcPr>
            <w:tcW w:w="685" w:type="pct"/>
            <w:tcBorders>
              <w:tl2br w:val="nil"/>
              <w:tr2bl w:val="nil"/>
            </w:tcBorders>
            <w:shd w:val="clear" w:color="auto" w:fill="auto"/>
            <w:vAlign w:val="center"/>
          </w:tcPr>
          <w:p w14:paraId="5BF7CCD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8000</w:t>
            </w:r>
          </w:p>
        </w:tc>
        <w:tc>
          <w:tcPr>
            <w:tcW w:w="974" w:type="pct"/>
            <w:tcBorders>
              <w:tl2br w:val="nil"/>
              <w:tr2bl w:val="nil"/>
            </w:tcBorders>
            <w:shd w:val="clear" w:color="auto" w:fill="auto"/>
            <w:noWrap/>
            <w:vAlign w:val="center"/>
          </w:tcPr>
          <w:p w14:paraId="1AAC5FA6">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restart"/>
            <w:tcBorders>
              <w:tl2br w:val="nil"/>
              <w:tr2bl w:val="nil"/>
            </w:tcBorders>
            <w:shd w:val="clear" w:color="auto" w:fill="auto"/>
            <w:vAlign w:val="center"/>
          </w:tcPr>
          <w:p w14:paraId="0F50BDBB">
            <w:pPr>
              <w:jc w:val="left"/>
              <w:rPr>
                <w:rFonts w:hint="eastAsia"/>
                <w:lang w:bidi="ar"/>
              </w:rPr>
            </w:pPr>
            <w:r>
              <w:rPr>
                <w:rFonts w:hint="eastAsia"/>
                <w:b/>
                <w:bCs/>
                <w:lang w:bidi="ar"/>
              </w:rPr>
              <w:t>▲</w:t>
            </w:r>
            <w:r>
              <w:rPr>
                <w:rFonts w:hint="eastAsia"/>
                <w:lang w:bidi="ar"/>
              </w:rPr>
              <w:t>1</w:t>
            </w:r>
            <w:r>
              <w:rPr>
                <w:rFonts w:hint="eastAsia"/>
                <w:lang w:val="en-US" w:eastAsia="zh-CN" w:bidi="ar"/>
              </w:rPr>
              <w:t>.</w:t>
            </w:r>
            <w:r>
              <w:rPr>
                <w:rFonts w:hint="eastAsia"/>
                <w:lang w:bidi="ar"/>
              </w:rPr>
              <w:t>符合《中华人民共和国食品安全法》</w:t>
            </w:r>
            <w:r>
              <w:rPr>
                <w:rFonts w:hint="eastAsia"/>
                <w:lang w:val="en-US" w:eastAsia="zh-CN" w:bidi="ar"/>
              </w:rPr>
              <w:t>等</w:t>
            </w:r>
            <w:r>
              <w:rPr>
                <w:rFonts w:hint="eastAsia"/>
                <w:lang w:bidi="ar"/>
              </w:rPr>
              <w:t>食品卫生生产标准和食品卫生安全相关的要求。</w:t>
            </w:r>
          </w:p>
          <w:p w14:paraId="704C4218">
            <w:pPr>
              <w:jc w:val="left"/>
              <w:rPr>
                <w:rFonts w:hint="eastAsia"/>
                <w:lang w:bidi="ar"/>
              </w:rPr>
            </w:pPr>
            <w:r>
              <w:rPr>
                <w:rFonts w:hint="eastAsia"/>
                <w:lang w:bidi="ar"/>
              </w:rPr>
              <w:t>2</w:t>
            </w:r>
            <w:r>
              <w:rPr>
                <w:rFonts w:hint="eastAsia"/>
                <w:lang w:val="en-US" w:eastAsia="zh-CN" w:bidi="ar"/>
              </w:rPr>
              <w:t>.</w:t>
            </w:r>
            <w:r>
              <w:rPr>
                <w:rFonts w:hint="eastAsia"/>
                <w:lang w:bidi="ar"/>
              </w:rPr>
              <w:t>有豆香味，无其它异味，有弹性，质地细嫩，无石膏脚，无肉眼可见外来质。</w:t>
            </w:r>
          </w:p>
          <w:p w14:paraId="67FE4CDE">
            <w:pPr>
              <w:jc w:val="left"/>
              <w:rPr>
                <w:rFonts w:hint="eastAsia"/>
              </w:rPr>
            </w:pPr>
            <w:r>
              <w:rPr>
                <w:rFonts w:hint="eastAsia"/>
                <w:b/>
                <w:bCs/>
                <w:lang w:bidi="ar"/>
              </w:rPr>
              <w:t>▲</w:t>
            </w:r>
            <w:r>
              <w:rPr>
                <w:rFonts w:hint="eastAsia"/>
                <w:lang w:bidi="ar"/>
              </w:rPr>
              <w:t>3</w:t>
            </w:r>
            <w:r>
              <w:rPr>
                <w:rFonts w:hint="eastAsia"/>
                <w:lang w:val="en-US" w:eastAsia="zh-CN" w:bidi="ar"/>
              </w:rPr>
              <w:t>.</w:t>
            </w:r>
            <w:r>
              <w:rPr>
                <w:rFonts w:hint="eastAsia"/>
                <w:lang w:bidi="ar"/>
              </w:rPr>
              <w:t>符合行业质量标准，无危害人体健康的各种有害激素以及大肠杆菌不超标。</w:t>
            </w:r>
          </w:p>
        </w:tc>
      </w:tr>
      <w:tr w14:paraId="379A8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393D78E5">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3</w:t>
            </w:r>
          </w:p>
        </w:tc>
        <w:tc>
          <w:tcPr>
            <w:tcW w:w="830" w:type="pct"/>
            <w:gridSpan w:val="2"/>
            <w:tcBorders>
              <w:tl2br w:val="nil"/>
              <w:tr2bl w:val="nil"/>
            </w:tcBorders>
            <w:shd w:val="clear" w:color="auto" w:fill="auto"/>
            <w:noWrap/>
            <w:vAlign w:val="center"/>
          </w:tcPr>
          <w:p w14:paraId="1D62927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油豆腐</w:t>
            </w:r>
          </w:p>
        </w:tc>
        <w:tc>
          <w:tcPr>
            <w:tcW w:w="685" w:type="pct"/>
            <w:tcBorders>
              <w:tl2br w:val="nil"/>
              <w:tr2bl w:val="nil"/>
            </w:tcBorders>
            <w:shd w:val="clear" w:color="auto" w:fill="auto"/>
            <w:vAlign w:val="center"/>
          </w:tcPr>
          <w:p w14:paraId="75EAC97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3000</w:t>
            </w:r>
          </w:p>
        </w:tc>
        <w:tc>
          <w:tcPr>
            <w:tcW w:w="974" w:type="pct"/>
            <w:tcBorders>
              <w:tl2br w:val="nil"/>
              <w:tr2bl w:val="nil"/>
            </w:tcBorders>
            <w:shd w:val="clear" w:color="auto" w:fill="auto"/>
            <w:noWrap/>
            <w:vAlign w:val="center"/>
          </w:tcPr>
          <w:p w14:paraId="6812EC10">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66509847">
            <w:pPr>
              <w:jc w:val="left"/>
              <w:rPr>
                <w:rFonts w:hint="eastAsia"/>
                <w:lang w:bidi="ar"/>
              </w:rPr>
            </w:pPr>
          </w:p>
        </w:tc>
      </w:tr>
      <w:tr w14:paraId="0FBD0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231772EF">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4</w:t>
            </w:r>
          </w:p>
        </w:tc>
        <w:tc>
          <w:tcPr>
            <w:tcW w:w="830" w:type="pct"/>
            <w:gridSpan w:val="2"/>
            <w:tcBorders>
              <w:tl2br w:val="nil"/>
              <w:tr2bl w:val="nil"/>
            </w:tcBorders>
            <w:shd w:val="clear" w:color="auto" w:fill="auto"/>
            <w:noWrap/>
            <w:vAlign w:val="center"/>
          </w:tcPr>
          <w:p w14:paraId="06DA2AC6">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千张豆腐</w:t>
            </w:r>
          </w:p>
        </w:tc>
        <w:tc>
          <w:tcPr>
            <w:tcW w:w="685" w:type="pct"/>
            <w:tcBorders>
              <w:tl2br w:val="nil"/>
              <w:tr2bl w:val="nil"/>
            </w:tcBorders>
            <w:shd w:val="clear" w:color="auto" w:fill="auto"/>
            <w:vAlign w:val="center"/>
          </w:tcPr>
          <w:p w14:paraId="7084360B">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3682</w:t>
            </w:r>
          </w:p>
        </w:tc>
        <w:tc>
          <w:tcPr>
            <w:tcW w:w="974" w:type="pct"/>
            <w:tcBorders>
              <w:tl2br w:val="nil"/>
              <w:tr2bl w:val="nil"/>
            </w:tcBorders>
            <w:shd w:val="clear" w:color="auto" w:fill="auto"/>
            <w:noWrap/>
            <w:vAlign w:val="center"/>
          </w:tcPr>
          <w:p w14:paraId="38920924">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7323333E">
            <w:pPr>
              <w:jc w:val="left"/>
              <w:rPr>
                <w:rFonts w:hint="eastAsia"/>
                <w:lang w:bidi="ar"/>
              </w:rPr>
            </w:pPr>
          </w:p>
        </w:tc>
      </w:tr>
      <w:tr w14:paraId="36BE6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34FF58DE">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w:t>
            </w:r>
          </w:p>
        </w:tc>
        <w:tc>
          <w:tcPr>
            <w:tcW w:w="830" w:type="pct"/>
            <w:gridSpan w:val="2"/>
            <w:tcBorders>
              <w:tl2br w:val="nil"/>
              <w:tr2bl w:val="nil"/>
            </w:tcBorders>
            <w:shd w:val="clear" w:color="auto" w:fill="auto"/>
            <w:noWrap/>
            <w:vAlign w:val="center"/>
          </w:tcPr>
          <w:p w14:paraId="751D902A">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腐竹</w:t>
            </w:r>
          </w:p>
        </w:tc>
        <w:tc>
          <w:tcPr>
            <w:tcW w:w="685" w:type="pct"/>
            <w:tcBorders>
              <w:tl2br w:val="nil"/>
              <w:tr2bl w:val="nil"/>
            </w:tcBorders>
            <w:shd w:val="clear" w:color="auto" w:fill="auto"/>
            <w:vAlign w:val="center"/>
          </w:tcPr>
          <w:p w14:paraId="12ECD18B">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3000</w:t>
            </w:r>
          </w:p>
        </w:tc>
        <w:tc>
          <w:tcPr>
            <w:tcW w:w="974" w:type="pct"/>
            <w:tcBorders>
              <w:tl2br w:val="nil"/>
              <w:tr2bl w:val="nil"/>
            </w:tcBorders>
            <w:shd w:val="clear" w:color="auto" w:fill="auto"/>
            <w:noWrap/>
            <w:vAlign w:val="center"/>
          </w:tcPr>
          <w:p w14:paraId="2CBC7376">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tcBorders>
              <w:tl2br w:val="nil"/>
              <w:tr2bl w:val="nil"/>
            </w:tcBorders>
            <w:shd w:val="clear" w:color="auto" w:fill="auto"/>
            <w:vAlign w:val="center"/>
          </w:tcPr>
          <w:p w14:paraId="58DF1CE0">
            <w:pPr>
              <w:jc w:val="left"/>
              <w:rPr>
                <w:rFonts w:hint="eastAsia"/>
                <w:lang w:bidi="ar"/>
              </w:rPr>
            </w:pPr>
            <w:r>
              <w:rPr>
                <w:rFonts w:hint="eastAsia"/>
                <w:b/>
                <w:bCs/>
                <w:lang w:bidi="ar"/>
              </w:rPr>
              <w:t>▲</w:t>
            </w:r>
            <w:r>
              <w:rPr>
                <w:rFonts w:hint="eastAsia"/>
                <w:lang w:bidi="ar"/>
              </w:rPr>
              <w:t>1</w:t>
            </w:r>
            <w:r>
              <w:rPr>
                <w:rFonts w:hint="eastAsia"/>
                <w:lang w:val="en-US" w:eastAsia="zh-CN" w:bidi="ar"/>
              </w:rPr>
              <w:t>.</w:t>
            </w:r>
            <w:r>
              <w:rPr>
                <w:rFonts w:hint="eastAsia"/>
                <w:lang w:bidi="ar"/>
              </w:rPr>
              <w:t>符合《中华人民共和国食品安全法》</w:t>
            </w:r>
            <w:r>
              <w:rPr>
                <w:rFonts w:hint="eastAsia"/>
                <w:lang w:val="en-US" w:eastAsia="zh-CN" w:bidi="ar"/>
              </w:rPr>
              <w:t>等</w:t>
            </w:r>
            <w:r>
              <w:rPr>
                <w:rFonts w:hint="eastAsia"/>
                <w:lang w:bidi="ar"/>
              </w:rPr>
              <w:t>食品卫生生产标准和食品卫生安全相关的要求。</w:t>
            </w:r>
          </w:p>
          <w:p w14:paraId="5A764429">
            <w:pPr>
              <w:jc w:val="left"/>
              <w:rPr>
                <w:rFonts w:hint="eastAsia"/>
                <w:lang w:bidi="ar"/>
              </w:rPr>
            </w:pPr>
            <w:r>
              <w:rPr>
                <w:rFonts w:hint="eastAsia"/>
                <w:lang w:bidi="ar"/>
              </w:rPr>
              <w:t>2</w:t>
            </w:r>
            <w:r>
              <w:rPr>
                <w:rFonts w:hint="eastAsia"/>
                <w:lang w:val="en-US" w:eastAsia="zh-CN" w:bidi="ar"/>
              </w:rPr>
              <w:t>.</w:t>
            </w:r>
            <w:r>
              <w:rPr>
                <w:rFonts w:hint="eastAsia"/>
                <w:lang w:bidi="ar"/>
              </w:rPr>
              <w:t>有豆香味，无其它异味，</w:t>
            </w:r>
            <w:r>
              <w:rPr>
                <w:rFonts w:hint="eastAsia"/>
                <w:lang w:val="en-US" w:eastAsia="zh-CN" w:bidi="ar"/>
              </w:rPr>
              <w:t>无杂质</w:t>
            </w:r>
            <w:r>
              <w:rPr>
                <w:rFonts w:hint="eastAsia"/>
                <w:lang w:bidi="ar"/>
              </w:rPr>
              <w:t>。</w:t>
            </w:r>
          </w:p>
          <w:p w14:paraId="58E65BE6">
            <w:pPr>
              <w:jc w:val="left"/>
              <w:rPr>
                <w:rFonts w:hint="eastAsia"/>
              </w:rPr>
            </w:pPr>
            <w:r>
              <w:rPr>
                <w:rFonts w:hint="eastAsia"/>
                <w:b/>
                <w:bCs/>
                <w:lang w:bidi="ar"/>
              </w:rPr>
              <w:t>▲</w:t>
            </w:r>
            <w:r>
              <w:rPr>
                <w:rFonts w:hint="eastAsia"/>
                <w:lang w:bidi="ar"/>
              </w:rPr>
              <w:t>3</w:t>
            </w:r>
            <w:r>
              <w:rPr>
                <w:rFonts w:hint="eastAsia"/>
                <w:lang w:val="en-US" w:eastAsia="zh-CN" w:bidi="ar"/>
              </w:rPr>
              <w:t>.</w:t>
            </w:r>
            <w:r>
              <w:rPr>
                <w:rFonts w:hint="eastAsia"/>
                <w:lang w:bidi="ar"/>
              </w:rPr>
              <w:t>符合行业质量标准，无危害人体健康的各种有害激素以及大肠杆菌不超标。</w:t>
            </w:r>
          </w:p>
        </w:tc>
      </w:tr>
      <w:tr w14:paraId="1AD56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0F6D849C">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6</w:t>
            </w:r>
          </w:p>
        </w:tc>
        <w:tc>
          <w:tcPr>
            <w:tcW w:w="830" w:type="pct"/>
            <w:gridSpan w:val="2"/>
            <w:tcBorders>
              <w:tl2br w:val="nil"/>
              <w:tr2bl w:val="nil"/>
            </w:tcBorders>
            <w:shd w:val="clear" w:color="auto" w:fill="auto"/>
            <w:noWrap/>
            <w:vAlign w:val="center"/>
          </w:tcPr>
          <w:p w14:paraId="030B14F0">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黄豆</w:t>
            </w:r>
          </w:p>
        </w:tc>
        <w:tc>
          <w:tcPr>
            <w:tcW w:w="685" w:type="pct"/>
            <w:tcBorders>
              <w:tl2br w:val="nil"/>
              <w:tr2bl w:val="nil"/>
            </w:tcBorders>
            <w:shd w:val="clear" w:color="auto" w:fill="auto"/>
            <w:vAlign w:val="center"/>
          </w:tcPr>
          <w:p w14:paraId="2B735ADB">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12000</w:t>
            </w:r>
          </w:p>
        </w:tc>
        <w:tc>
          <w:tcPr>
            <w:tcW w:w="974" w:type="pct"/>
            <w:tcBorders>
              <w:tl2br w:val="nil"/>
              <w:tr2bl w:val="nil"/>
            </w:tcBorders>
            <w:shd w:val="clear" w:color="auto" w:fill="auto"/>
            <w:noWrap/>
            <w:vAlign w:val="center"/>
          </w:tcPr>
          <w:p w14:paraId="6B3F8386">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restart"/>
            <w:tcBorders>
              <w:tl2br w:val="nil"/>
              <w:tr2bl w:val="nil"/>
            </w:tcBorders>
            <w:shd w:val="clear" w:color="auto" w:fill="auto"/>
            <w:vAlign w:val="center"/>
          </w:tcPr>
          <w:p w14:paraId="485CE81D">
            <w:pPr>
              <w:jc w:val="left"/>
              <w:rPr>
                <w:rFonts w:hint="eastAsia"/>
                <w:lang w:bidi="ar"/>
              </w:rPr>
            </w:pPr>
            <w:r>
              <w:rPr>
                <w:rFonts w:hint="eastAsia"/>
                <w:b/>
                <w:bCs/>
                <w:lang w:bidi="ar"/>
              </w:rPr>
              <w:t>▲</w:t>
            </w:r>
            <w:r>
              <w:rPr>
                <w:rFonts w:hint="eastAsia"/>
                <w:lang w:bidi="ar"/>
              </w:rPr>
              <w:t>1</w:t>
            </w:r>
            <w:r>
              <w:rPr>
                <w:rFonts w:hint="eastAsia"/>
                <w:lang w:val="en-US" w:eastAsia="zh-CN" w:bidi="ar"/>
              </w:rPr>
              <w:t>.</w:t>
            </w:r>
            <w:r>
              <w:rPr>
                <w:rFonts w:hint="eastAsia"/>
                <w:lang w:bidi="ar"/>
              </w:rPr>
              <w:t>符合《中华人民共和国食品安全法》</w:t>
            </w:r>
            <w:r>
              <w:rPr>
                <w:rFonts w:hint="eastAsia"/>
                <w:lang w:val="en-US" w:eastAsia="zh-CN" w:bidi="ar"/>
              </w:rPr>
              <w:t>等</w:t>
            </w:r>
            <w:r>
              <w:rPr>
                <w:rFonts w:hint="eastAsia"/>
                <w:lang w:bidi="ar"/>
              </w:rPr>
              <w:t>食品卫生生产标准和食品卫生安全相关的要求。</w:t>
            </w:r>
          </w:p>
          <w:p w14:paraId="71DB0711">
            <w:pPr>
              <w:jc w:val="left"/>
              <w:rPr>
                <w:rFonts w:hint="eastAsia"/>
                <w:lang w:bidi="ar"/>
              </w:rPr>
            </w:pPr>
            <w:r>
              <w:rPr>
                <w:rFonts w:hint="eastAsia"/>
                <w:lang w:bidi="ar"/>
              </w:rPr>
              <w:t>2</w:t>
            </w:r>
            <w:r>
              <w:rPr>
                <w:rFonts w:hint="eastAsia"/>
                <w:lang w:val="en-US" w:eastAsia="zh-CN" w:bidi="ar"/>
              </w:rPr>
              <w:t>.</w:t>
            </w:r>
            <w:r>
              <w:rPr>
                <w:rFonts w:hint="eastAsia"/>
                <w:lang w:bidi="ar"/>
              </w:rPr>
              <w:t>外观具有新鲜的状态，无变色、霉烂变质、虫害侵蚀、泥沙等杂质；</w:t>
            </w:r>
          </w:p>
          <w:p w14:paraId="07BB82A1">
            <w:pPr>
              <w:jc w:val="left"/>
              <w:rPr>
                <w:rFonts w:hint="eastAsia"/>
                <w:lang w:bidi="ar"/>
              </w:rPr>
            </w:pPr>
            <w:r>
              <w:rPr>
                <w:rFonts w:hint="eastAsia"/>
                <w:lang w:bidi="ar"/>
              </w:rPr>
              <w:t>▲3</w:t>
            </w:r>
            <w:r>
              <w:rPr>
                <w:rFonts w:hint="eastAsia"/>
                <w:lang w:val="en-US" w:eastAsia="zh-CN" w:bidi="ar"/>
              </w:rPr>
              <w:t>.</w:t>
            </w:r>
            <w:r>
              <w:rPr>
                <w:rFonts w:hint="eastAsia"/>
                <w:lang w:bidi="ar"/>
              </w:rPr>
              <w:t>必须是经过工商部门登记注册的厂家生产、品质良好，包装密封性能良好、无毒、无害，包装的正面需印有</w:t>
            </w:r>
            <w:r>
              <w:rPr>
                <w:rFonts w:hint="eastAsia"/>
                <w:lang w:val="en-US" w:eastAsia="zh-CN" w:bidi="ar"/>
              </w:rPr>
              <w:t>厂家</w:t>
            </w:r>
            <w:r>
              <w:rPr>
                <w:rFonts w:hint="eastAsia"/>
                <w:lang w:bidi="ar"/>
              </w:rPr>
              <w:t>名称、地址、联系电话及生产日期等字样。</w:t>
            </w:r>
          </w:p>
          <w:p w14:paraId="20D41862">
            <w:pPr>
              <w:jc w:val="left"/>
              <w:rPr>
                <w:rFonts w:hint="eastAsia"/>
              </w:rPr>
            </w:pPr>
            <w:r>
              <w:rPr>
                <w:rFonts w:hint="eastAsia"/>
                <w:lang w:bidi="ar"/>
              </w:rPr>
              <w:t>4</w:t>
            </w:r>
            <w:r>
              <w:rPr>
                <w:rFonts w:hint="eastAsia"/>
                <w:lang w:val="en-US" w:eastAsia="zh-CN" w:bidi="ar"/>
              </w:rPr>
              <w:t>.剩余</w:t>
            </w:r>
            <w:r>
              <w:rPr>
                <w:rFonts w:hint="eastAsia"/>
                <w:lang w:bidi="ar"/>
              </w:rPr>
              <w:t>保质期不少于总保质期的二分之一。</w:t>
            </w:r>
          </w:p>
        </w:tc>
      </w:tr>
      <w:tr w14:paraId="37F80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11F07629">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7</w:t>
            </w:r>
          </w:p>
        </w:tc>
        <w:tc>
          <w:tcPr>
            <w:tcW w:w="830" w:type="pct"/>
            <w:gridSpan w:val="2"/>
            <w:tcBorders>
              <w:tl2br w:val="nil"/>
              <w:tr2bl w:val="nil"/>
            </w:tcBorders>
            <w:shd w:val="clear" w:color="auto" w:fill="auto"/>
            <w:noWrap/>
            <w:vAlign w:val="center"/>
          </w:tcPr>
          <w:p w14:paraId="6AB9F68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绿豆</w:t>
            </w:r>
          </w:p>
        </w:tc>
        <w:tc>
          <w:tcPr>
            <w:tcW w:w="685" w:type="pct"/>
            <w:tcBorders>
              <w:tl2br w:val="nil"/>
              <w:tr2bl w:val="nil"/>
            </w:tcBorders>
            <w:shd w:val="clear" w:color="auto" w:fill="auto"/>
            <w:vAlign w:val="center"/>
          </w:tcPr>
          <w:p w14:paraId="547125BE">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12000</w:t>
            </w:r>
          </w:p>
        </w:tc>
        <w:tc>
          <w:tcPr>
            <w:tcW w:w="974" w:type="pct"/>
            <w:tcBorders>
              <w:tl2br w:val="nil"/>
              <w:tr2bl w:val="nil"/>
            </w:tcBorders>
            <w:shd w:val="clear" w:color="auto" w:fill="auto"/>
            <w:noWrap/>
            <w:vAlign w:val="center"/>
          </w:tcPr>
          <w:p w14:paraId="3F2FE07F">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58F7C35F">
            <w:pPr>
              <w:jc w:val="left"/>
              <w:rPr>
                <w:rFonts w:hint="eastAsia"/>
                <w:lang w:bidi="ar"/>
              </w:rPr>
            </w:pPr>
          </w:p>
        </w:tc>
      </w:tr>
      <w:tr w14:paraId="34047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09335A19">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8</w:t>
            </w:r>
          </w:p>
        </w:tc>
        <w:tc>
          <w:tcPr>
            <w:tcW w:w="830" w:type="pct"/>
            <w:gridSpan w:val="2"/>
            <w:tcBorders>
              <w:tl2br w:val="nil"/>
              <w:tr2bl w:val="nil"/>
            </w:tcBorders>
            <w:shd w:val="clear" w:color="auto" w:fill="auto"/>
            <w:noWrap/>
            <w:vAlign w:val="center"/>
          </w:tcPr>
          <w:p w14:paraId="42D3F033">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面粉</w:t>
            </w:r>
          </w:p>
        </w:tc>
        <w:tc>
          <w:tcPr>
            <w:tcW w:w="685" w:type="pct"/>
            <w:tcBorders>
              <w:tl2br w:val="nil"/>
              <w:tr2bl w:val="nil"/>
            </w:tcBorders>
            <w:shd w:val="clear" w:color="auto" w:fill="auto"/>
            <w:vAlign w:val="center"/>
          </w:tcPr>
          <w:p w14:paraId="10FEF0F0">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18563</w:t>
            </w:r>
          </w:p>
        </w:tc>
        <w:tc>
          <w:tcPr>
            <w:tcW w:w="974" w:type="pct"/>
            <w:tcBorders>
              <w:tl2br w:val="nil"/>
              <w:tr2bl w:val="nil"/>
            </w:tcBorders>
            <w:shd w:val="clear" w:color="auto" w:fill="auto"/>
            <w:noWrap/>
            <w:vAlign w:val="center"/>
          </w:tcPr>
          <w:p w14:paraId="6F61E49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restart"/>
            <w:tcBorders>
              <w:tl2br w:val="nil"/>
              <w:tr2bl w:val="nil"/>
            </w:tcBorders>
            <w:shd w:val="clear" w:color="auto" w:fill="auto"/>
            <w:vAlign w:val="center"/>
          </w:tcPr>
          <w:p w14:paraId="29B85BB9">
            <w:pPr>
              <w:jc w:val="left"/>
              <w:rPr>
                <w:rFonts w:hint="eastAsia"/>
                <w:lang w:bidi="ar"/>
              </w:rPr>
            </w:pPr>
            <w:r>
              <w:rPr>
                <w:rFonts w:hint="eastAsia"/>
                <w:b/>
                <w:bCs/>
                <w:lang w:bidi="ar"/>
              </w:rPr>
              <w:t>▲</w:t>
            </w:r>
            <w:r>
              <w:rPr>
                <w:rFonts w:hint="eastAsia"/>
                <w:lang w:bidi="ar"/>
              </w:rPr>
              <w:t>1</w:t>
            </w:r>
            <w:r>
              <w:rPr>
                <w:rFonts w:hint="eastAsia"/>
                <w:lang w:val="en-US" w:eastAsia="zh-CN" w:bidi="ar"/>
              </w:rPr>
              <w:t>.</w:t>
            </w:r>
            <w:r>
              <w:rPr>
                <w:rFonts w:hint="eastAsia"/>
                <w:lang w:bidi="ar"/>
              </w:rPr>
              <w:t>符合《中华人民共和国食品安全法》</w:t>
            </w:r>
            <w:r>
              <w:rPr>
                <w:rFonts w:hint="eastAsia"/>
                <w:lang w:val="en-US" w:eastAsia="zh-CN" w:bidi="ar"/>
              </w:rPr>
              <w:t>等</w:t>
            </w:r>
            <w:r>
              <w:rPr>
                <w:rFonts w:hint="eastAsia"/>
                <w:lang w:bidi="ar"/>
              </w:rPr>
              <w:t>食品卫生生产标准和食品卫生安全相关的要求。</w:t>
            </w:r>
          </w:p>
          <w:p w14:paraId="27E8ADC1">
            <w:pPr>
              <w:jc w:val="left"/>
              <w:rPr>
                <w:rFonts w:hint="eastAsia"/>
                <w:lang w:bidi="ar"/>
              </w:rPr>
            </w:pPr>
            <w:r>
              <w:rPr>
                <w:rFonts w:hint="eastAsia"/>
                <w:lang w:bidi="ar"/>
              </w:rPr>
              <w:t>▲2</w:t>
            </w:r>
            <w:r>
              <w:rPr>
                <w:rFonts w:hint="eastAsia"/>
                <w:lang w:val="en-US" w:eastAsia="zh-CN" w:bidi="ar"/>
              </w:rPr>
              <w:t>.</w:t>
            </w:r>
            <w:r>
              <w:rPr>
                <w:rFonts w:hint="eastAsia"/>
                <w:lang w:bidi="ar"/>
              </w:rPr>
              <w:t>必须是经过工商部门登记注册的厂家生产、品质良好，包装密封性能良好、无毒、无害，包装的正面需印有</w:t>
            </w:r>
            <w:r>
              <w:rPr>
                <w:rFonts w:hint="eastAsia"/>
                <w:lang w:val="en-US" w:eastAsia="zh-CN" w:bidi="ar"/>
              </w:rPr>
              <w:t>厂家</w:t>
            </w:r>
            <w:r>
              <w:rPr>
                <w:rFonts w:hint="eastAsia"/>
                <w:lang w:bidi="ar"/>
              </w:rPr>
              <w:t>名称、地址、联系电话及生产日期等字样；</w:t>
            </w:r>
          </w:p>
          <w:p w14:paraId="2FE7423F">
            <w:pPr>
              <w:jc w:val="left"/>
              <w:rPr>
                <w:rFonts w:hint="eastAsia"/>
                <w:lang w:bidi="ar"/>
              </w:rPr>
            </w:pPr>
            <w:r>
              <w:rPr>
                <w:rFonts w:hint="eastAsia"/>
                <w:lang w:val="en-US" w:eastAsia="zh-CN" w:bidi="ar"/>
              </w:rPr>
              <w:t>3.</w:t>
            </w:r>
            <w:r>
              <w:rPr>
                <w:rFonts w:hint="eastAsia"/>
                <w:lang w:bidi="ar"/>
              </w:rPr>
              <w:t>符合国家食品安全规定的一级（强筋）小麦粉。</w:t>
            </w:r>
          </w:p>
          <w:p w14:paraId="4C025BE3">
            <w:pPr>
              <w:jc w:val="left"/>
              <w:rPr>
                <w:rFonts w:hint="eastAsia"/>
              </w:rPr>
            </w:pPr>
            <w:r>
              <w:rPr>
                <w:rFonts w:hint="eastAsia"/>
                <w:lang w:bidi="ar"/>
              </w:rPr>
              <w:t>4</w:t>
            </w:r>
            <w:r>
              <w:rPr>
                <w:rFonts w:hint="eastAsia"/>
                <w:lang w:val="en-US" w:eastAsia="zh-CN" w:bidi="ar"/>
              </w:rPr>
              <w:t>.剩余</w:t>
            </w:r>
            <w:r>
              <w:rPr>
                <w:rFonts w:hint="eastAsia"/>
                <w:lang w:bidi="ar"/>
              </w:rPr>
              <w:t>保质期不少于总保质期的二分之一。</w:t>
            </w:r>
          </w:p>
        </w:tc>
      </w:tr>
      <w:tr w14:paraId="3769B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09A3E75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9</w:t>
            </w:r>
          </w:p>
        </w:tc>
        <w:tc>
          <w:tcPr>
            <w:tcW w:w="830" w:type="pct"/>
            <w:gridSpan w:val="2"/>
            <w:tcBorders>
              <w:tl2br w:val="nil"/>
              <w:tr2bl w:val="nil"/>
            </w:tcBorders>
            <w:shd w:val="clear" w:color="auto" w:fill="auto"/>
            <w:noWrap/>
            <w:vAlign w:val="center"/>
          </w:tcPr>
          <w:p w14:paraId="67169B01">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面条</w:t>
            </w:r>
          </w:p>
        </w:tc>
        <w:tc>
          <w:tcPr>
            <w:tcW w:w="685" w:type="pct"/>
            <w:tcBorders>
              <w:tl2br w:val="nil"/>
              <w:tr2bl w:val="nil"/>
            </w:tcBorders>
            <w:shd w:val="clear" w:color="auto" w:fill="auto"/>
            <w:vAlign w:val="center"/>
          </w:tcPr>
          <w:p w14:paraId="7FEEAF96">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12000</w:t>
            </w:r>
          </w:p>
        </w:tc>
        <w:tc>
          <w:tcPr>
            <w:tcW w:w="974" w:type="pct"/>
            <w:tcBorders>
              <w:tl2br w:val="nil"/>
              <w:tr2bl w:val="nil"/>
            </w:tcBorders>
            <w:shd w:val="clear" w:color="auto" w:fill="auto"/>
            <w:noWrap/>
            <w:vAlign w:val="center"/>
          </w:tcPr>
          <w:p w14:paraId="1A3642B8">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04ACA29C">
            <w:pPr>
              <w:jc w:val="left"/>
              <w:rPr>
                <w:rFonts w:hint="eastAsia"/>
                <w:lang w:bidi="ar"/>
              </w:rPr>
            </w:pPr>
          </w:p>
        </w:tc>
      </w:tr>
      <w:tr w14:paraId="2A747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4458D4A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10</w:t>
            </w:r>
          </w:p>
        </w:tc>
        <w:tc>
          <w:tcPr>
            <w:tcW w:w="830" w:type="pct"/>
            <w:gridSpan w:val="2"/>
            <w:tcBorders>
              <w:tl2br w:val="nil"/>
              <w:tr2bl w:val="nil"/>
            </w:tcBorders>
            <w:shd w:val="clear" w:color="auto" w:fill="auto"/>
            <w:noWrap/>
            <w:vAlign w:val="center"/>
          </w:tcPr>
          <w:p w14:paraId="472F0D9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草鱼（活）</w:t>
            </w:r>
          </w:p>
        </w:tc>
        <w:tc>
          <w:tcPr>
            <w:tcW w:w="685" w:type="pct"/>
            <w:tcBorders>
              <w:tl2br w:val="nil"/>
              <w:tr2bl w:val="nil"/>
            </w:tcBorders>
            <w:shd w:val="clear" w:color="auto" w:fill="auto"/>
            <w:vAlign w:val="center"/>
          </w:tcPr>
          <w:p w14:paraId="04A6F9F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800</w:t>
            </w:r>
          </w:p>
        </w:tc>
        <w:tc>
          <w:tcPr>
            <w:tcW w:w="974" w:type="pct"/>
            <w:tcBorders>
              <w:tl2br w:val="nil"/>
              <w:tr2bl w:val="nil"/>
            </w:tcBorders>
            <w:shd w:val="clear" w:color="auto" w:fill="auto"/>
            <w:noWrap/>
            <w:vAlign w:val="center"/>
          </w:tcPr>
          <w:p w14:paraId="61EC8AB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restart"/>
            <w:tcBorders>
              <w:tl2br w:val="nil"/>
              <w:tr2bl w:val="nil"/>
            </w:tcBorders>
            <w:shd w:val="clear" w:color="auto" w:fill="auto"/>
            <w:vAlign w:val="center"/>
          </w:tcPr>
          <w:p w14:paraId="50775713">
            <w:pPr>
              <w:jc w:val="left"/>
              <w:rPr>
                <w:rFonts w:hint="default" w:eastAsia="宋体"/>
                <w:lang w:val="en-US" w:eastAsia="zh-CN" w:bidi="ar"/>
              </w:rPr>
            </w:pPr>
            <w:r>
              <w:rPr>
                <w:rFonts w:hint="eastAsia"/>
                <w:lang w:bidi="ar"/>
              </w:rPr>
              <w:t>1</w:t>
            </w:r>
            <w:r>
              <w:rPr>
                <w:rFonts w:hint="eastAsia"/>
                <w:lang w:val="en-US" w:eastAsia="zh-CN" w:bidi="ar"/>
              </w:rPr>
              <w:t>.在采购人的监督下进行宰杀后运送。</w:t>
            </w:r>
          </w:p>
          <w:p w14:paraId="33E0F926">
            <w:pPr>
              <w:jc w:val="left"/>
              <w:rPr>
                <w:rFonts w:hint="eastAsia"/>
                <w:lang w:bidi="ar"/>
              </w:rPr>
            </w:pPr>
            <w:r>
              <w:rPr>
                <w:rFonts w:hint="eastAsia"/>
                <w:lang w:bidi="ar"/>
              </w:rPr>
              <w:t>2</w:t>
            </w:r>
            <w:r>
              <w:rPr>
                <w:rFonts w:hint="eastAsia"/>
                <w:lang w:val="en-US" w:eastAsia="zh-CN" w:bidi="ar"/>
              </w:rPr>
              <w:t>.</w:t>
            </w:r>
            <w:r>
              <w:rPr>
                <w:rFonts w:hint="eastAsia"/>
                <w:lang w:bidi="ar"/>
              </w:rPr>
              <w:t>新鲜活鱼，1-2千克/条以上。</w:t>
            </w:r>
          </w:p>
          <w:p w14:paraId="31D4DFB1">
            <w:pPr>
              <w:jc w:val="left"/>
              <w:rPr>
                <w:rFonts w:hint="eastAsia"/>
              </w:rPr>
            </w:pPr>
            <w:r>
              <w:rPr>
                <w:rFonts w:hint="eastAsia"/>
                <w:lang w:bidi="ar"/>
              </w:rPr>
              <w:t>3</w:t>
            </w:r>
            <w:r>
              <w:rPr>
                <w:rFonts w:hint="eastAsia"/>
                <w:lang w:val="en-US" w:eastAsia="zh-CN" w:bidi="ar"/>
              </w:rPr>
              <w:t>.</w:t>
            </w:r>
            <w:r>
              <w:rPr>
                <w:rFonts w:hint="eastAsia"/>
                <w:lang w:bidi="ar"/>
              </w:rPr>
              <w:t>质量要求：鱼的形态正常，无畸形，体态匀称，无伤痕；体表具有正常的体色和光泽，鳞片完整紧密，不易脱落，无病灶；眼球明亮饱满，角膜清晰；鳃丝清晰，呈鲜红或紫红色，无异味，无粘液或有少量透明黏液；鱼的肌肉紧密，有弹性，整体有鲜鱼固有的腥气味，无异味。</w:t>
            </w:r>
          </w:p>
        </w:tc>
      </w:tr>
      <w:tr w14:paraId="52913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25D1D0D9">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11</w:t>
            </w:r>
          </w:p>
        </w:tc>
        <w:tc>
          <w:tcPr>
            <w:tcW w:w="830" w:type="pct"/>
            <w:gridSpan w:val="2"/>
            <w:tcBorders>
              <w:tl2br w:val="nil"/>
              <w:tr2bl w:val="nil"/>
            </w:tcBorders>
            <w:shd w:val="clear" w:color="auto" w:fill="auto"/>
            <w:noWrap/>
            <w:vAlign w:val="center"/>
          </w:tcPr>
          <w:p w14:paraId="0DFD634F">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鲢鱼（活）</w:t>
            </w:r>
          </w:p>
        </w:tc>
        <w:tc>
          <w:tcPr>
            <w:tcW w:w="685" w:type="pct"/>
            <w:tcBorders>
              <w:tl2br w:val="nil"/>
              <w:tr2bl w:val="nil"/>
            </w:tcBorders>
            <w:shd w:val="clear" w:color="auto" w:fill="auto"/>
            <w:vAlign w:val="center"/>
          </w:tcPr>
          <w:p w14:paraId="569065E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700</w:t>
            </w:r>
          </w:p>
        </w:tc>
        <w:tc>
          <w:tcPr>
            <w:tcW w:w="974" w:type="pct"/>
            <w:tcBorders>
              <w:tl2br w:val="nil"/>
              <w:tr2bl w:val="nil"/>
            </w:tcBorders>
            <w:shd w:val="clear" w:color="auto" w:fill="auto"/>
            <w:noWrap/>
            <w:vAlign w:val="center"/>
          </w:tcPr>
          <w:p w14:paraId="40BC0E91">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550A20B1">
            <w:pPr>
              <w:jc w:val="left"/>
              <w:rPr>
                <w:rFonts w:hint="eastAsia"/>
                <w:lang w:bidi="ar"/>
              </w:rPr>
            </w:pPr>
          </w:p>
        </w:tc>
      </w:tr>
      <w:tr w14:paraId="50699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4000CE23">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12</w:t>
            </w:r>
          </w:p>
        </w:tc>
        <w:tc>
          <w:tcPr>
            <w:tcW w:w="830" w:type="pct"/>
            <w:gridSpan w:val="2"/>
            <w:tcBorders>
              <w:tl2br w:val="nil"/>
              <w:tr2bl w:val="nil"/>
            </w:tcBorders>
            <w:shd w:val="clear" w:color="auto" w:fill="auto"/>
            <w:noWrap/>
            <w:vAlign w:val="center"/>
          </w:tcPr>
          <w:p w14:paraId="5FA9F16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罗非鱼（活）</w:t>
            </w:r>
          </w:p>
        </w:tc>
        <w:tc>
          <w:tcPr>
            <w:tcW w:w="685" w:type="pct"/>
            <w:tcBorders>
              <w:tl2br w:val="nil"/>
              <w:tr2bl w:val="nil"/>
            </w:tcBorders>
            <w:shd w:val="clear" w:color="auto" w:fill="auto"/>
            <w:vAlign w:val="center"/>
          </w:tcPr>
          <w:p w14:paraId="4F39B8E3">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871</w:t>
            </w:r>
          </w:p>
        </w:tc>
        <w:tc>
          <w:tcPr>
            <w:tcW w:w="974" w:type="pct"/>
            <w:tcBorders>
              <w:tl2br w:val="nil"/>
              <w:tr2bl w:val="nil"/>
            </w:tcBorders>
            <w:shd w:val="clear" w:color="auto" w:fill="auto"/>
            <w:noWrap/>
            <w:vAlign w:val="center"/>
          </w:tcPr>
          <w:p w14:paraId="6B1FC5B1">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062C968F">
            <w:pPr>
              <w:jc w:val="left"/>
              <w:rPr>
                <w:rFonts w:hint="eastAsia"/>
                <w:lang w:bidi="ar"/>
              </w:rPr>
            </w:pPr>
          </w:p>
        </w:tc>
      </w:tr>
      <w:tr w14:paraId="02140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32A9B681">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13</w:t>
            </w:r>
          </w:p>
        </w:tc>
        <w:tc>
          <w:tcPr>
            <w:tcW w:w="830" w:type="pct"/>
            <w:gridSpan w:val="2"/>
            <w:tcBorders>
              <w:tl2br w:val="nil"/>
              <w:tr2bl w:val="nil"/>
            </w:tcBorders>
            <w:shd w:val="clear" w:color="auto" w:fill="auto"/>
            <w:noWrap/>
            <w:vAlign w:val="center"/>
          </w:tcPr>
          <w:p w14:paraId="0878C5E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榨菜丝</w:t>
            </w:r>
          </w:p>
        </w:tc>
        <w:tc>
          <w:tcPr>
            <w:tcW w:w="685" w:type="pct"/>
            <w:tcBorders>
              <w:tl2br w:val="nil"/>
              <w:tr2bl w:val="nil"/>
            </w:tcBorders>
            <w:shd w:val="clear" w:color="auto" w:fill="auto"/>
            <w:vAlign w:val="center"/>
          </w:tcPr>
          <w:p w14:paraId="46E6AC4E">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500</w:t>
            </w:r>
          </w:p>
        </w:tc>
        <w:tc>
          <w:tcPr>
            <w:tcW w:w="974" w:type="pct"/>
            <w:tcBorders>
              <w:tl2br w:val="nil"/>
              <w:tr2bl w:val="nil"/>
            </w:tcBorders>
            <w:shd w:val="clear" w:color="auto" w:fill="auto"/>
            <w:noWrap/>
            <w:vAlign w:val="center"/>
          </w:tcPr>
          <w:p w14:paraId="34EDAE1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restart"/>
            <w:tcBorders>
              <w:tl2br w:val="nil"/>
              <w:tr2bl w:val="nil"/>
            </w:tcBorders>
            <w:shd w:val="clear" w:color="auto" w:fill="auto"/>
            <w:vAlign w:val="center"/>
          </w:tcPr>
          <w:p w14:paraId="2A5AD5F8">
            <w:pPr>
              <w:jc w:val="left"/>
              <w:rPr>
                <w:rFonts w:hint="eastAsia"/>
                <w:lang w:bidi="ar"/>
              </w:rPr>
            </w:pPr>
            <w:r>
              <w:rPr>
                <w:rFonts w:hint="eastAsia"/>
                <w:b/>
                <w:bCs/>
                <w:lang w:bidi="ar"/>
              </w:rPr>
              <w:t>▲</w:t>
            </w:r>
            <w:r>
              <w:rPr>
                <w:rFonts w:hint="eastAsia"/>
                <w:lang w:bidi="ar"/>
              </w:rPr>
              <w:t>1</w:t>
            </w:r>
            <w:r>
              <w:rPr>
                <w:rFonts w:hint="eastAsia"/>
                <w:lang w:val="en-US" w:eastAsia="zh-CN" w:bidi="ar"/>
              </w:rPr>
              <w:t>.</w:t>
            </w:r>
            <w:r>
              <w:rPr>
                <w:rFonts w:hint="eastAsia"/>
                <w:lang w:bidi="ar"/>
              </w:rPr>
              <w:t>符合《中华人民共和国食品安全法》</w:t>
            </w:r>
            <w:r>
              <w:rPr>
                <w:rFonts w:hint="eastAsia"/>
                <w:lang w:val="en-US" w:eastAsia="zh-CN" w:bidi="ar"/>
              </w:rPr>
              <w:t>等</w:t>
            </w:r>
            <w:r>
              <w:rPr>
                <w:rFonts w:hint="eastAsia"/>
                <w:lang w:bidi="ar"/>
              </w:rPr>
              <w:t>食品卫生生产标准和食品卫生安全相关的要求。</w:t>
            </w:r>
          </w:p>
          <w:p w14:paraId="5ABD1805">
            <w:pPr>
              <w:jc w:val="left"/>
              <w:rPr>
                <w:rFonts w:hint="eastAsia"/>
                <w:lang w:bidi="ar"/>
              </w:rPr>
            </w:pPr>
            <w:r>
              <w:rPr>
                <w:rFonts w:hint="eastAsia"/>
                <w:lang w:bidi="ar"/>
              </w:rPr>
              <w:t>2</w:t>
            </w:r>
            <w:r>
              <w:rPr>
                <w:rFonts w:hint="eastAsia"/>
                <w:lang w:val="en-US" w:eastAsia="zh-CN" w:bidi="ar"/>
              </w:rPr>
              <w:t>.</w:t>
            </w:r>
            <w:r>
              <w:rPr>
                <w:rFonts w:hint="eastAsia"/>
                <w:lang w:bidi="ar"/>
              </w:rPr>
              <w:t>要求表面无霉斑、杂质、蛀虫无变质，无霉味等不良气味，符合质量标准。</w:t>
            </w:r>
          </w:p>
          <w:p w14:paraId="75657921">
            <w:pPr>
              <w:jc w:val="left"/>
              <w:rPr>
                <w:rFonts w:hint="eastAsia"/>
                <w:lang w:bidi="ar"/>
              </w:rPr>
            </w:pPr>
            <w:r>
              <w:rPr>
                <w:rFonts w:hint="eastAsia"/>
                <w:lang w:bidi="ar"/>
              </w:rPr>
              <w:t>▲3</w:t>
            </w:r>
            <w:r>
              <w:rPr>
                <w:rFonts w:hint="eastAsia"/>
                <w:lang w:val="en-US" w:eastAsia="zh-CN" w:bidi="ar"/>
              </w:rPr>
              <w:t>.</w:t>
            </w:r>
            <w:r>
              <w:rPr>
                <w:rFonts w:hint="eastAsia"/>
                <w:lang w:bidi="ar"/>
              </w:rPr>
              <w:t>必须是经过工商部门登记注册的厂家生产、品质良好，包装密封性能良好、无毒、无害，包装的正面需印有</w:t>
            </w:r>
            <w:r>
              <w:rPr>
                <w:rFonts w:hint="eastAsia"/>
                <w:lang w:val="en-US" w:eastAsia="zh-CN" w:bidi="ar"/>
              </w:rPr>
              <w:t>厂家</w:t>
            </w:r>
            <w:r>
              <w:rPr>
                <w:rFonts w:hint="eastAsia"/>
                <w:lang w:bidi="ar"/>
              </w:rPr>
              <w:t>名称、地址、联系电话及生产日期等字样；</w:t>
            </w:r>
          </w:p>
          <w:p w14:paraId="3E7160CE">
            <w:pPr>
              <w:jc w:val="left"/>
              <w:rPr>
                <w:rFonts w:hint="eastAsia"/>
              </w:rPr>
            </w:pPr>
            <w:r>
              <w:rPr>
                <w:rFonts w:hint="eastAsia"/>
                <w:lang w:bidi="ar"/>
              </w:rPr>
              <w:t>4</w:t>
            </w:r>
            <w:r>
              <w:rPr>
                <w:rFonts w:hint="eastAsia"/>
                <w:lang w:val="en-US" w:eastAsia="zh-CN" w:bidi="ar"/>
              </w:rPr>
              <w:t>.剩余</w:t>
            </w:r>
            <w:r>
              <w:rPr>
                <w:rFonts w:hint="eastAsia"/>
                <w:lang w:bidi="ar"/>
              </w:rPr>
              <w:t>保质期不少于总保质期的二分之一。</w:t>
            </w:r>
          </w:p>
        </w:tc>
      </w:tr>
      <w:tr w14:paraId="1F6A8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5BBCA006">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14</w:t>
            </w:r>
          </w:p>
        </w:tc>
        <w:tc>
          <w:tcPr>
            <w:tcW w:w="830" w:type="pct"/>
            <w:gridSpan w:val="2"/>
            <w:tcBorders>
              <w:tl2br w:val="nil"/>
              <w:tr2bl w:val="nil"/>
            </w:tcBorders>
            <w:shd w:val="clear" w:color="auto" w:fill="auto"/>
            <w:noWrap/>
            <w:vAlign w:val="center"/>
          </w:tcPr>
          <w:p w14:paraId="5A8F17E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萝卜干</w:t>
            </w:r>
          </w:p>
        </w:tc>
        <w:tc>
          <w:tcPr>
            <w:tcW w:w="685" w:type="pct"/>
            <w:tcBorders>
              <w:tl2br w:val="nil"/>
              <w:tr2bl w:val="nil"/>
            </w:tcBorders>
            <w:shd w:val="clear" w:color="auto" w:fill="auto"/>
            <w:vAlign w:val="center"/>
          </w:tcPr>
          <w:p w14:paraId="22E220E3">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500</w:t>
            </w:r>
          </w:p>
        </w:tc>
        <w:tc>
          <w:tcPr>
            <w:tcW w:w="974" w:type="pct"/>
            <w:tcBorders>
              <w:tl2br w:val="nil"/>
              <w:tr2bl w:val="nil"/>
            </w:tcBorders>
            <w:shd w:val="clear" w:color="auto" w:fill="auto"/>
            <w:noWrap/>
            <w:vAlign w:val="center"/>
          </w:tcPr>
          <w:p w14:paraId="4E2B872E">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6D489645">
            <w:pPr>
              <w:jc w:val="left"/>
              <w:rPr>
                <w:rFonts w:hint="eastAsia"/>
                <w:lang w:bidi="ar"/>
              </w:rPr>
            </w:pPr>
          </w:p>
        </w:tc>
      </w:tr>
      <w:tr w14:paraId="40FDA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5B25F00A">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15</w:t>
            </w:r>
          </w:p>
        </w:tc>
        <w:tc>
          <w:tcPr>
            <w:tcW w:w="830" w:type="pct"/>
            <w:gridSpan w:val="2"/>
            <w:tcBorders>
              <w:tl2br w:val="nil"/>
              <w:tr2bl w:val="nil"/>
            </w:tcBorders>
            <w:shd w:val="clear" w:color="auto" w:fill="auto"/>
            <w:noWrap/>
            <w:vAlign w:val="center"/>
          </w:tcPr>
          <w:p w14:paraId="2051EF5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酸菜</w:t>
            </w:r>
          </w:p>
        </w:tc>
        <w:tc>
          <w:tcPr>
            <w:tcW w:w="685" w:type="pct"/>
            <w:tcBorders>
              <w:tl2br w:val="nil"/>
              <w:tr2bl w:val="nil"/>
            </w:tcBorders>
            <w:shd w:val="clear" w:color="auto" w:fill="auto"/>
            <w:vAlign w:val="center"/>
          </w:tcPr>
          <w:p w14:paraId="7FCBEF3E">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300</w:t>
            </w:r>
          </w:p>
        </w:tc>
        <w:tc>
          <w:tcPr>
            <w:tcW w:w="974" w:type="pct"/>
            <w:tcBorders>
              <w:tl2br w:val="nil"/>
              <w:tr2bl w:val="nil"/>
            </w:tcBorders>
            <w:shd w:val="clear" w:color="auto" w:fill="auto"/>
            <w:noWrap/>
            <w:vAlign w:val="center"/>
          </w:tcPr>
          <w:p w14:paraId="2E8B73B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0621D87C">
            <w:pPr>
              <w:jc w:val="left"/>
              <w:rPr>
                <w:rFonts w:hint="eastAsia"/>
                <w:lang w:bidi="ar"/>
              </w:rPr>
            </w:pPr>
          </w:p>
        </w:tc>
      </w:tr>
      <w:tr w14:paraId="4F367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75FCFF4F">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16</w:t>
            </w:r>
          </w:p>
        </w:tc>
        <w:tc>
          <w:tcPr>
            <w:tcW w:w="830" w:type="pct"/>
            <w:gridSpan w:val="2"/>
            <w:tcBorders>
              <w:tl2br w:val="nil"/>
              <w:tr2bl w:val="nil"/>
            </w:tcBorders>
            <w:shd w:val="clear" w:color="auto" w:fill="auto"/>
            <w:noWrap/>
            <w:vAlign w:val="center"/>
          </w:tcPr>
          <w:p w14:paraId="71539D95">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花生</w:t>
            </w:r>
          </w:p>
        </w:tc>
        <w:tc>
          <w:tcPr>
            <w:tcW w:w="685" w:type="pct"/>
            <w:tcBorders>
              <w:tl2br w:val="nil"/>
              <w:tr2bl w:val="nil"/>
            </w:tcBorders>
            <w:shd w:val="clear" w:color="auto" w:fill="auto"/>
            <w:vAlign w:val="center"/>
          </w:tcPr>
          <w:p w14:paraId="12A14E83">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500</w:t>
            </w:r>
          </w:p>
        </w:tc>
        <w:tc>
          <w:tcPr>
            <w:tcW w:w="974" w:type="pct"/>
            <w:tcBorders>
              <w:tl2br w:val="nil"/>
              <w:tr2bl w:val="nil"/>
            </w:tcBorders>
            <w:shd w:val="clear" w:color="auto" w:fill="auto"/>
            <w:noWrap/>
            <w:vAlign w:val="center"/>
          </w:tcPr>
          <w:p w14:paraId="20433E8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21D46E14">
            <w:pPr>
              <w:jc w:val="left"/>
              <w:rPr>
                <w:rFonts w:hint="eastAsia"/>
                <w:lang w:bidi="ar"/>
              </w:rPr>
            </w:pPr>
          </w:p>
        </w:tc>
      </w:tr>
      <w:tr w14:paraId="3DBDA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34FEEC41">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17</w:t>
            </w:r>
          </w:p>
        </w:tc>
        <w:tc>
          <w:tcPr>
            <w:tcW w:w="830" w:type="pct"/>
            <w:gridSpan w:val="2"/>
            <w:tcBorders>
              <w:tl2br w:val="nil"/>
              <w:tr2bl w:val="nil"/>
            </w:tcBorders>
            <w:shd w:val="clear" w:color="auto" w:fill="auto"/>
            <w:noWrap/>
            <w:vAlign w:val="center"/>
          </w:tcPr>
          <w:p w14:paraId="2166966A">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紫菜</w:t>
            </w:r>
          </w:p>
        </w:tc>
        <w:tc>
          <w:tcPr>
            <w:tcW w:w="685" w:type="pct"/>
            <w:tcBorders>
              <w:tl2br w:val="nil"/>
              <w:tr2bl w:val="nil"/>
            </w:tcBorders>
            <w:shd w:val="clear" w:color="auto" w:fill="auto"/>
            <w:vAlign w:val="center"/>
          </w:tcPr>
          <w:p w14:paraId="12D5F416">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500</w:t>
            </w:r>
          </w:p>
        </w:tc>
        <w:tc>
          <w:tcPr>
            <w:tcW w:w="974" w:type="pct"/>
            <w:tcBorders>
              <w:tl2br w:val="nil"/>
              <w:tr2bl w:val="nil"/>
            </w:tcBorders>
            <w:shd w:val="clear" w:color="auto" w:fill="auto"/>
            <w:noWrap/>
            <w:vAlign w:val="center"/>
          </w:tcPr>
          <w:p w14:paraId="64F8A34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元/包（30克/包）</w:t>
            </w:r>
          </w:p>
        </w:tc>
        <w:tc>
          <w:tcPr>
            <w:tcW w:w="2140" w:type="pct"/>
            <w:vMerge w:val="continue"/>
            <w:tcBorders>
              <w:tl2br w:val="nil"/>
              <w:tr2bl w:val="nil"/>
            </w:tcBorders>
            <w:shd w:val="clear" w:color="auto" w:fill="auto"/>
            <w:vAlign w:val="center"/>
          </w:tcPr>
          <w:p w14:paraId="0DA9E0BC">
            <w:pPr>
              <w:jc w:val="left"/>
              <w:rPr>
                <w:rFonts w:hint="eastAsia"/>
                <w:lang w:bidi="ar"/>
              </w:rPr>
            </w:pPr>
          </w:p>
        </w:tc>
      </w:tr>
      <w:tr w14:paraId="786E1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22B37FDC">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18</w:t>
            </w:r>
          </w:p>
        </w:tc>
        <w:tc>
          <w:tcPr>
            <w:tcW w:w="830" w:type="pct"/>
            <w:gridSpan w:val="2"/>
            <w:tcBorders>
              <w:tl2br w:val="nil"/>
              <w:tr2bl w:val="nil"/>
            </w:tcBorders>
            <w:shd w:val="clear" w:color="auto" w:fill="auto"/>
            <w:noWrap/>
            <w:vAlign w:val="center"/>
          </w:tcPr>
          <w:p w14:paraId="1333AF15">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红糖</w:t>
            </w:r>
          </w:p>
        </w:tc>
        <w:tc>
          <w:tcPr>
            <w:tcW w:w="685" w:type="pct"/>
            <w:tcBorders>
              <w:tl2br w:val="nil"/>
              <w:tr2bl w:val="nil"/>
            </w:tcBorders>
            <w:shd w:val="clear" w:color="auto" w:fill="auto"/>
            <w:vAlign w:val="center"/>
          </w:tcPr>
          <w:p w14:paraId="1640B1D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1000</w:t>
            </w:r>
          </w:p>
        </w:tc>
        <w:tc>
          <w:tcPr>
            <w:tcW w:w="974" w:type="pct"/>
            <w:tcBorders>
              <w:tl2br w:val="nil"/>
              <w:tr2bl w:val="nil"/>
            </w:tcBorders>
            <w:shd w:val="clear" w:color="auto" w:fill="auto"/>
            <w:noWrap/>
            <w:vAlign w:val="center"/>
          </w:tcPr>
          <w:p w14:paraId="570CD95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restart"/>
            <w:tcBorders>
              <w:tl2br w:val="nil"/>
              <w:tr2bl w:val="nil"/>
            </w:tcBorders>
            <w:shd w:val="clear" w:color="auto" w:fill="auto"/>
            <w:vAlign w:val="center"/>
          </w:tcPr>
          <w:p w14:paraId="574C8EA6">
            <w:pPr>
              <w:jc w:val="left"/>
              <w:rPr>
                <w:rFonts w:hint="eastAsia"/>
                <w:lang w:bidi="ar"/>
              </w:rPr>
            </w:pPr>
            <w:r>
              <w:rPr>
                <w:rFonts w:hint="eastAsia"/>
                <w:b/>
                <w:bCs/>
                <w:lang w:bidi="ar"/>
              </w:rPr>
              <w:t>▲</w:t>
            </w:r>
            <w:r>
              <w:rPr>
                <w:rFonts w:hint="eastAsia"/>
                <w:lang w:bidi="ar"/>
              </w:rPr>
              <w:t>1</w:t>
            </w:r>
            <w:r>
              <w:rPr>
                <w:rFonts w:hint="eastAsia"/>
                <w:lang w:val="en-US" w:eastAsia="zh-CN" w:bidi="ar"/>
              </w:rPr>
              <w:t>.</w:t>
            </w:r>
            <w:r>
              <w:rPr>
                <w:rFonts w:hint="eastAsia"/>
                <w:lang w:bidi="ar"/>
              </w:rPr>
              <w:t>符合《中华人民共和国食品安全法》</w:t>
            </w:r>
            <w:r>
              <w:rPr>
                <w:rFonts w:hint="eastAsia"/>
                <w:lang w:val="en-US" w:eastAsia="zh-CN" w:bidi="ar"/>
              </w:rPr>
              <w:t>等</w:t>
            </w:r>
            <w:r>
              <w:rPr>
                <w:rFonts w:hint="eastAsia"/>
                <w:lang w:bidi="ar"/>
              </w:rPr>
              <w:t>食品卫生生产标准和食品卫生安全相关的要求。</w:t>
            </w:r>
          </w:p>
          <w:p w14:paraId="10688EAF">
            <w:pPr>
              <w:jc w:val="left"/>
              <w:rPr>
                <w:rFonts w:hint="eastAsia"/>
                <w:lang w:bidi="ar"/>
              </w:rPr>
            </w:pPr>
            <w:r>
              <w:rPr>
                <w:rFonts w:hint="eastAsia"/>
                <w:lang w:bidi="ar"/>
              </w:rPr>
              <w:t>▲2</w:t>
            </w:r>
            <w:r>
              <w:rPr>
                <w:rFonts w:hint="eastAsia"/>
                <w:lang w:val="en-US" w:eastAsia="zh-CN" w:bidi="ar"/>
              </w:rPr>
              <w:t>.</w:t>
            </w:r>
            <w:r>
              <w:rPr>
                <w:rFonts w:hint="eastAsia"/>
                <w:lang w:bidi="ar"/>
              </w:rPr>
              <w:t>必须是经过工商部门登记注册的厂家生产、品质良好，包装密封性能良好、无毒、无害，包装的正面需印有</w:t>
            </w:r>
            <w:r>
              <w:rPr>
                <w:rFonts w:hint="eastAsia"/>
                <w:lang w:val="en-US" w:eastAsia="zh-CN" w:bidi="ar"/>
              </w:rPr>
              <w:t>厂家</w:t>
            </w:r>
            <w:r>
              <w:rPr>
                <w:rFonts w:hint="eastAsia"/>
                <w:lang w:bidi="ar"/>
              </w:rPr>
              <w:t>名称、地址、联系电话及生产日期等字样；</w:t>
            </w:r>
          </w:p>
          <w:p w14:paraId="4F833E70">
            <w:pPr>
              <w:jc w:val="left"/>
              <w:rPr>
                <w:rFonts w:hint="eastAsia"/>
                <w:lang w:bidi="ar"/>
              </w:rPr>
            </w:pPr>
            <w:r>
              <w:rPr>
                <w:rFonts w:hint="eastAsia"/>
                <w:lang w:bidi="ar"/>
              </w:rPr>
              <w:t>3</w:t>
            </w:r>
            <w:r>
              <w:rPr>
                <w:rFonts w:hint="eastAsia"/>
                <w:lang w:val="en-US" w:eastAsia="zh-CN" w:bidi="ar"/>
              </w:rPr>
              <w:t>.剩余</w:t>
            </w:r>
            <w:r>
              <w:rPr>
                <w:rFonts w:hint="eastAsia"/>
                <w:lang w:bidi="ar"/>
              </w:rPr>
              <w:t>保质期不少于总保质期的二分之一。</w:t>
            </w:r>
          </w:p>
          <w:p w14:paraId="24466699">
            <w:pPr>
              <w:jc w:val="left"/>
              <w:rPr>
                <w:rFonts w:hint="eastAsia"/>
              </w:rPr>
            </w:pPr>
            <w:r>
              <w:rPr>
                <w:rFonts w:hint="eastAsia"/>
                <w:b/>
                <w:bCs/>
                <w:lang w:bidi="ar"/>
              </w:rPr>
              <w:t>▲</w:t>
            </w:r>
            <w:r>
              <w:rPr>
                <w:rFonts w:hint="eastAsia"/>
                <w:lang w:bidi="ar"/>
              </w:rPr>
              <w:t>4</w:t>
            </w:r>
            <w:r>
              <w:rPr>
                <w:rFonts w:hint="eastAsia"/>
                <w:lang w:val="en-US" w:eastAsia="zh-CN" w:bidi="ar"/>
              </w:rPr>
              <w:t>.属于《食品生产许可分类目录》（2020 版）内工业化生产、加工、分装的食品，应具有SC标志，</w:t>
            </w:r>
            <w:r>
              <w:rPr>
                <w:rFonts w:hint="eastAsia"/>
                <w:lang w:bidi="ar"/>
              </w:rPr>
              <w:t>标签或包装上须注明食品生产许可证编号</w:t>
            </w:r>
            <w:r>
              <w:rPr>
                <w:rFonts w:hint="eastAsia"/>
                <w:lang w:eastAsia="zh-CN" w:bidi="ar"/>
              </w:rPr>
              <w:t>。</w:t>
            </w:r>
          </w:p>
        </w:tc>
      </w:tr>
      <w:tr w14:paraId="444E7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6C857B7C">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19</w:t>
            </w:r>
          </w:p>
        </w:tc>
        <w:tc>
          <w:tcPr>
            <w:tcW w:w="830" w:type="pct"/>
            <w:gridSpan w:val="2"/>
            <w:tcBorders>
              <w:tl2br w:val="nil"/>
              <w:tr2bl w:val="nil"/>
            </w:tcBorders>
            <w:shd w:val="clear" w:color="auto" w:fill="auto"/>
            <w:noWrap/>
            <w:vAlign w:val="center"/>
          </w:tcPr>
          <w:p w14:paraId="202E5A53">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白糖</w:t>
            </w:r>
          </w:p>
        </w:tc>
        <w:tc>
          <w:tcPr>
            <w:tcW w:w="685" w:type="pct"/>
            <w:tcBorders>
              <w:tl2br w:val="nil"/>
              <w:tr2bl w:val="nil"/>
            </w:tcBorders>
            <w:shd w:val="clear" w:color="auto" w:fill="auto"/>
            <w:vAlign w:val="center"/>
          </w:tcPr>
          <w:p w14:paraId="27A07944">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1000</w:t>
            </w:r>
          </w:p>
        </w:tc>
        <w:tc>
          <w:tcPr>
            <w:tcW w:w="974" w:type="pct"/>
            <w:tcBorders>
              <w:tl2br w:val="nil"/>
              <w:tr2bl w:val="nil"/>
            </w:tcBorders>
            <w:shd w:val="clear" w:color="auto" w:fill="auto"/>
            <w:noWrap/>
            <w:vAlign w:val="center"/>
          </w:tcPr>
          <w:p w14:paraId="738EA78E">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79437E8F">
            <w:pPr>
              <w:jc w:val="left"/>
              <w:rPr>
                <w:rFonts w:hint="eastAsia"/>
                <w:lang w:bidi="ar"/>
              </w:rPr>
            </w:pPr>
          </w:p>
        </w:tc>
      </w:tr>
      <w:tr w14:paraId="67A31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21560A29">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20</w:t>
            </w:r>
          </w:p>
        </w:tc>
        <w:tc>
          <w:tcPr>
            <w:tcW w:w="830" w:type="pct"/>
            <w:gridSpan w:val="2"/>
            <w:tcBorders>
              <w:tl2br w:val="nil"/>
              <w:tr2bl w:val="nil"/>
            </w:tcBorders>
            <w:shd w:val="clear" w:color="auto" w:fill="auto"/>
            <w:noWrap/>
            <w:vAlign w:val="center"/>
          </w:tcPr>
          <w:p w14:paraId="72F2A950">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酵母</w:t>
            </w:r>
          </w:p>
        </w:tc>
        <w:tc>
          <w:tcPr>
            <w:tcW w:w="685" w:type="pct"/>
            <w:tcBorders>
              <w:tl2br w:val="nil"/>
              <w:tr2bl w:val="nil"/>
            </w:tcBorders>
            <w:shd w:val="clear" w:color="auto" w:fill="auto"/>
            <w:vAlign w:val="center"/>
          </w:tcPr>
          <w:p w14:paraId="43D65D66">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20</w:t>
            </w:r>
          </w:p>
        </w:tc>
        <w:tc>
          <w:tcPr>
            <w:tcW w:w="974" w:type="pct"/>
            <w:tcBorders>
              <w:tl2br w:val="nil"/>
              <w:tr2bl w:val="nil"/>
            </w:tcBorders>
            <w:shd w:val="clear" w:color="auto" w:fill="auto"/>
            <w:noWrap/>
            <w:vAlign w:val="center"/>
          </w:tcPr>
          <w:p w14:paraId="2D5BA67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5ABD0327">
            <w:pPr>
              <w:jc w:val="left"/>
              <w:rPr>
                <w:rFonts w:hint="eastAsia"/>
                <w:lang w:bidi="ar"/>
              </w:rPr>
            </w:pPr>
          </w:p>
        </w:tc>
      </w:tr>
      <w:tr w14:paraId="123DE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741B431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21</w:t>
            </w:r>
          </w:p>
        </w:tc>
        <w:tc>
          <w:tcPr>
            <w:tcW w:w="830" w:type="pct"/>
            <w:gridSpan w:val="2"/>
            <w:tcBorders>
              <w:tl2br w:val="nil"/>
              <w:tr2bl w:val="nil"/>
            </w:tcBorders>
            <w:shd w:val="clear" w:color="auto" w:fill="auto"/>
            <w:noWrap/>
            <w:vAlign w:val="center"/>
          </w:tcPr>
          <w:p w14:paraId="5F0607DF">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泡打粉</w:t>
            </w:r>
          </w:p>
        </w:tc>
        <w:tc>
          <w:tcPr>
            <w:tcW w:w="685" w:type="pct"/>
            <w:tcBorders>
              <w:tl2br w:val="nil"/>
              <w:tr2bl w:val="nil"/>
            </w:tcBorders>
            <w:shd w:val="clear" w:color="auto" w:fill="auto"/>
            <w:vAlign w:val="center"/>
          </w:tcPr>
          <w:p w14:paraId="65291DF6">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225</w:t>
            </w:r>
          </w:p>
        </w:tc>
        <w:tc>
          <w:tcPr>
            <w:tcW w:w="974" w:type="pct"/>
            <w:tcBorders>
              <w:tl2br w:val="nil"/>
              <w:tr2bl w:val="nil"/>
            </w:tcBorders>
            <w:shd w:val="clear" w:color="auto" w:fill="auto"/>
            <w:noWrap/>
            <w:vAlign w:val="center"/>
          </w:tcPr>
          <w:p w14:paraId="0DC63D4F">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0492B996">
            <w:pPr>
              <w:jc w:val="left"/>
              <w:rPr>
                <w:rFonts w:hint="eastAsia"/>
                <w:lang w:bidi="ar"/>
              </w:rPr>
            </w:pPr>
          </w:p>
        </w:tc>
      </w:tr>
      <w:tr w14:paraId="29746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0B853BF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22</w:t>
            </w:r>
          </w:p>
        </w:tc>
        <w:tc>
          <w:tcPr>
            <w:tcW w:w="830" w:type="pct"/>
            <w:gridSpan w:val="2"/>
            <w:tcBorders>
              <w:tl2br w:val="nil"/>
              <w:tr2bl w:val="nil"/>
            </w:tcBorders>
            <w:shd w:val="clear" w:color="auto" w:fill="auto"/>
            <w:noWrap/>
            <w:vAlign w:val="center"/>
          </w:tcPr>
          <w:p w14:paraId="626B17B5">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淀粉</w:t>
            </w:r>
          </w:p>
        </w:tc>
        <w:tc>
          <w:tcPr>
            <w:tcW w:w="685" w:type="pct"/>
            <w:tcBorders>
              <w:tl2br w:val="nil"/>
              <w:tr2bl w:val="nil"/>
            </w:tcBorders>
            <w:shd w:val="clear" w:color="auto" w:fill="auto"/>
            <w:vAlign w:val="center"/>
          </w:tcPr>
          <w:p w14:paraId="235CC7DE">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50</w:t>
            </w:r>
          </w:p>
        </w:tc>
        <w:tc>
          <w:tcPr>
            <w:tcW w:w="974" w:type="pct"/>
            <w:tcBorders>
              <w:tl2br w:val="nil"/>
              <w:tr2bl w:val="nil"/>
            </w:tcBorders>
            <w:shd w:val="clear" w:color="auto" w:fill="auto"/>
            <w:noWrap/>
            <w:vAlign w:val="center"/>
          </w:tcPr>
          <w:p w14:paraId="0DA4E9A6">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045DEE11">
            <w:pPr>
              <w:jc w:val="left"/>
              <w:rPr>
                <w:rFonts w:hint="eastAsia"/>
                <w:lang w:bidi="ar"/>
              </w:rPr>
            </w:pPr>
          </w:p>
        </w:tc>
      </w:tr>
      <w:tr w14:paraId="6FB51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6DF5B4BE">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23</w:t>
            </w:r>
          </w:p>
        </w:tc>
        <w:tc>
          <w:tcPr>
            <w:tcW w:w="830" w:type="pct"/>
            <w:gridSpan w:val="2"/>
            <w:tcBorders>
              <w:tl2br w:val="nil"/>
              <w:tr2bl w:val="nil"/>
            </w:tcBorders>
            <w:shd w:val="clear" w:color="auto" w:fill="auto"/>
            <w:noWrap/>
            <w:vAlign w:val="center"/>
          </w:tcPr>
          <w:p w14:paraId="52FA993C">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蚝油</w:t>
            </w:r>
          </w:p>
        </w:tc>
        <w:tc>
          <w:tcPr>
            <w:tcW w:w="685" w:type="pct"/>
            <w:tcBorders>
              <w:tl2br w:val="nil"/>
              <w:tr2bl w:val="nil"/>
            </w:tcBorders>
            <w:shd w:val="clear" w:color="auto" w:fill="auto"/>
            <w:vAlign w:val="center"/>
          </w:tcPr>
          <w:p w14:paraId="0BE3CE6F">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100</w:t>
            </w:r>
          </w:p>
        </w:tc>
        <w:tc>
          <w:tcPr>
            <w:tcW w:w="974" w:type="pct"/>
            <w:tcBorders>
              <w:tl2br w:val="nil"/>
              <w:tr2bl w:val="nil"/>
            </w:tcBorders>
            <w:shd w:val="clear" w:color="auto" w:fill="auto"/>
            <w:noWrap/>
            <w:vAlign w:val="center"/>
          </w:tcPr>
          <w:p w14:paraId="2906CF94">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10公斤/桶</w:t>
            </w:r>
          </w:p>
        </w:tc>
        <w:tc>
          <w:tcPr>
            <w:tcW w:w="2140" w:type="pct"/>
            <w:vMerge w:val="continue"/>
            <w:tcBorders>
              <w:tl2br w:val="nil"/>
              <w:tr2bl w:val="nil"/>
            </w:tcBorders>
            <w:shd w:val="clear" w:color="auto" w:fill="auto"/>
            <w:vAlign w:val="center"/>
          </w:tcPr>
          <w:p w14:paraId="2DA673B8">
            <w:pPr>
              <w:jc w:val="left"/>
              <w:rPr>
                <w:rFonts w:hint="eastAsia"/>
                <w:lang w:bidi="ar"/>
              </w:rPr>
            </w:pPr>
          </w:p>
        </w:tc>
      </w:tr>
      <w:tr w14:paraId="36F0E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12772D18">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24</w:t>
            </w:r>
          </w:p>
        </w:tc>
        <w:tc>
          <w:tcPr>
            <w:tcW w:w="830" w:type="pct"/>
            <w:gridSpan w:val="2"/>
            <w:tcBorders>
              <w:tl2br w:val="nil"/>
              <w:tr2bl w:val="nil"/>
            </w:tcBorders>
            <w:shd w:val="clear" w:color="auto" w:fill="auto"/>
            <w:noWrap/>
            <w:vAlign w:val="center"/>
          </w:tcPr>
          <w:p w14:paraId="3585D068">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香油</w:t>
            </w:r>
          </w:p>
        </w:tc>
        <w:tc>
          <w:tcPr>
            <w:tcW w:w="685" w:type="pct"/>
            <w:tcBorders>
              <w:tl2br w:val="nil"/>
              <w:tr2bl w:val="nil"/>
            </w:tcBorders>
            <w:shd w:val="clear" w:color="auto" w:fill="auto"/>
            <w:vAlign w:val="center"/>
          </w:tcPr>
          <w:p w14:paraId="4C2B3392">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855</w:t>
            </w:r>
          </w:p>
        </w:tc>
        <w:tc>
          <w:tcPr>
            <w:tcW w:w="974" w:type="pct"/>
            <w:tcBorders>
              <w:tl2br w:val="nil"/>
              <w:tr2bl w:val="nil"/>
            </w:tcBorders>
            <w:shd w:val="clear" w:color="auto" w:fill="auto"/>
            <w:noWrap/>
            <w:vAlign w:val="center"/>
          </w:tcPr>
          <w:p w14:paraId="5DB4B1AC">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ascii="宋体" w:hAnsi="宋体" w:eastAsia="宋体" w:cs="宋体"/>
                <w:i w:val="0"/>
                <w:iCs w:val="0"/>
                <w:color w:val="auto"/>
                <w:kern w:val="0"/>
                <w:sz w:val="21"/>
                <w:szCs w:val="21"/>
                <w:u w:val="none"/>
                <w:lang w:val="en-US" w:eastAsia="zh-CN" w:bidi="ar"/>
              </w:rPr>
              <w:t>750ml</w:t>
            </w:r>
            <w:r>
              <w:rPr>
                <w:rFonts w:hint="eastAsia"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瓶</w:t>
            </w:r>
          </w:p>
        </w:tc>
        <w:tc>
          <w:tcPr>
            <w:tcW w:w="2140" w:type="pct"/>
            <w:vMerge w:val="continue"/>
            <w:tcBorders>
              <w:tl2br w:val="nil"/>
              <w:tr2bl w:val="nil"/>
            </w:tcBorders>
            <w:shd w:val="clear" w:color="auto" w:fill="auto"/>
            <w:vAlign w:val="center"/>
          </w:tcPr>
          <w:p w14:paraId="661C6403">
            <w:pPr>
              <w:jc w:val="left"/>
              <w:rPr>
                <w:rFonts w:hint="eastAsia"/>
                <w:lang w:bidi="ar"/>
              </w:rPr>
            </w:pPr>
          </w:p>
        </w:tc>
      </w:tr>
      <w:tr w14:paraId="66C07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4FDCB0E6">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25</w:t>
            </w:r>
          </w:p>
        </w:tc>
        <w:tc>
          <w:tcPr>
            <w:tcW w:w="830" w:type="pct"/>
            <w:gridSpan w:val="2"/>
            <w:tcBorders>
              <w:tl2br w:val="nil"/>
              <w:tr2bl w:val="nil"/>
            </w:tcBorders>
            <w:shd w:val="clear" w:color="auto" w:fill="auto"/>
            <w:noWrap/>
            <w:vAlign w:val="center"/>
          </w:tcPr>
          <w:p w14:paraId="699FB520">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酱油（老抽）</w:t>
            </w:r>
          </w:p>
        </w:tc>
        <w:tc>
          <w:tcPr>
            <w:tcW w:w="685" w:type="pct"/>
            <w:tcBorders>
              <w:tl2br w:val="nil"/>
              <w:tr2bl w:val="nil"/>
            </w:tcBorders>
            <w:shd w:val="clear" w:color="auto" w:fill="auto"/>
            <w:vAlign w:val="center"/>
          </w:tcPr>
          <w:p w14:paraId="2F55DAF6">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200</w:t>
            </w:r>
          </w:p>
        </w:tc>
        <w:tc>
          <w:tcPr>
            <w:tcW w:w="974" w:type="pct"/>
            <w:tcBorders>
              <w:tl2br w:val="nil"/>
              <w:tr2bl w:val="nil"/>
            </w:tcBorders>
            <w:shd w:val="clear" w:color="auto" w:fill="auto"/>
            <w:noWrap/>
            <w:vAlign w:val="center"/>
          </w:tcPr>
          <w:p w14:paraId="4E7D6AE3">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Style w:val="233"/>
                <w:rFonts w:hint="eastAsia" w:ascii="宋体" w:hAnsi="宋体" w:eastAsia="宋体" w:cs="宋体"/>
                <w:color w:val="auto"/>
                <w:sz w:val="21"/>
                <w:szCs w:val="21"/>
                <w:lang w:val="en-US" w:eastAsia="zh-CN" w:bidi="ar"/>
              </w:rPr>
              <w:t>10公斤</w:t>
            </w:r>
            <w:r>
              <w:rPr>
                <w:rStyle w:val="233"/>
                <w:rFonts w:hint="eastAsia" w:cs="宋体"/>
                <w:color w:val="auto"/>
                <w:sz w:val="21"/>
                <w:szCs w:val="21"/>
                <w:lang w:val="en-US" w:eastAsia="zh-CN" w:bidi="ar"/>
              </w:rPr>
              <w:t>/</w:t>
            </w:r>
            <w:r>
              <w:rPr>
                <w:rStyle w:val="233"/>
                <w:rFonts w:hint="eastAsia" w:ascii="宋体" w:hAnsi="宋体" w:eastAsia="宋体" w:cs="宋体"/>
                <w:color w:val="auto"/>
                <w:sz w:val="21"/>
                <w:szCs w:val="21"/>
                <w:lang w:val="en-US" w:eastAsia="zh-CN" w:bidi="ar"/>
              </w:rPr>
              <w:t>桶</w:t>
            </w:r>
          </w:p>
        </w:tc>
        <w:tc>
          <w:tcPr>
            <w:tcW w:w="2140" w:type="pct"/>
            <w:vMerge w:val="continue"/>
            <w:tcBorders>
              <w:tl2br w:val="nil"/>
              <w:tr2bl w:val="nil"/>
            </w:tcBorders>
            <w:shd w:val="clear" w:color="auto" w:fill="auto"/>
            <w:vAlign w:val="center"/>
          </w:tcPr>
          <w:p w14:paraId="5ACA9541">
            <w:pPr>
              <w:jc w:val="left"/>
              <w:rPr>
                <w:rFonts w:hint="eastAsia"/>
                <w:lang w:bidi="ar"/>
              </w:rPr>
            </w:pPr>
          </w:p>
        </w:tc>
      </w:tr>
      <w:tr w14:paraId="4DA76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31F3209E">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26</w:t>
            </w:r>
          </w:p>
        </w:tc>
        <w:tc>
          <w:tcPr>
            <w:tcW w:w="830" w:type="pct"/>
            <w:gridSpan w:val="2"/>
            <w:tcBorders>
              <w:tl2br w:val="nil"/>
              <w:tr2bl w:val="nil"/>
            </w:tcBorders>
            <w:shd w:val="clear" w:color="auto" w:fill="auto"/>
            <w:noWrap/>
            <w:vAlign w:val="center"/>
          </w:tcPr>
          <w:p w14:paraId="0C2C8076">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米醋</w:t>
            </w:r>
          </w:p>
        </w:tc>
        <w:tc>
          <w:tcPr>
            <w:tcW w:w="685" w:type="pct"/>
            <w:tcBorders>
              <w:tl2br w:val="nil"/>
              <w:tr2bl w:val="nil"/>
            </w:tcBorders>
            <w:shd w:val="clear" w:color="auto" w:fill="auto"/>
            <w:vAlign w:val="center"/>
          </w:tcPr>
          <w:p w14:paraId="3DC7E8E0">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100</w:t>
            </w:r>
          </w:p>
        </w:tc>
        <w:tc>
          <w:tcPr>
            <w:tcW w:w="974" w:type="pct"/>
            <w:tcBorders>
              <w:tl2br w:val="nil"/>
              <w:tr2bl w:val="nil"/>
            </w:tcBorders>
            <w:shd w:val="clear" w:color="auto" w:fill="auto"/>
            <w:noWrap/>
            <w:vAlign w:val="center"/>
          </w:tcPr>
          <w:p w14:paraId="2BCF7C44">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Style w:val="233"/>
                <w:rFonts w:hint="eastAsia" w:ascii="宋体" w:hAnsi="宋体" w:eastAsia="宋体" w:cs="宋体"/>
                <w:color w:val="auto"/>
                <w:sz w:val="21"/>
                <w:szCs w:val="21"/>
                <w:lang w:val="en-US" w:eastAsia="zh-CN" w:bidi="ar"/>
              </w:rPr>
              <w:t>10公斤</w:t>
            </w:r>
            <w:r>
              <w:rPr>
                <w:rStyle w:val="233"/>
                <w:rFonts w:hint="eastAsia" w:cs="宋体"/>
                <w:color w:val="auto"/>
                <w:sz w:val="21"/>
                <w:szCs w:val="21"/>
                <w:lang w:val="en-US" w:eastAsia="zh-CN" w:bidi="ar"/>
              </w:rPr>
              <w:t>/</w:t>
            </w:r>
            <w:r>
              <w:rPr>
                <w:rStyle w:val="233"/>
                <w:rFonts w:hint="eastAsia" w:ascii="宋体" w:hAnsi="宋体" w:eastAsia="宋体" w:cs="宋体"/>
                <w:color w:val="auto"/>
                <w:sz w:val="21"/>
                <w:szCs w:val="21"/>
                <w:lang w:val="en-US" w:eastAsia="zh-CN" w:bidi="ar"/>
              </w:rPr>
              <w:t>桶</w:t>
            </w:r>
          </w:p>
        </w:tc>
        <w:tc>
          <w:tcPr>
            <w:tcW w:w="2140" w:type="pct"/>
            <w:vMerge w:val="continue"/>
            <w:tcBorders>
              <w:tl2br w:val="nil"/>
              <w:tr2bl w:val="nil"/>
            </w:tcBorders>
            <w:shd w:val="clear" w:color="auto" w:fill="auto"/>
            <w:vAlign w:val="center"/>
          </w:tcPr>
          <w:p w14:paraId="02310BA4">
            <w:pPr>
              <w:jc w:val="left"/>
              <w:rPr>
                <w:rFonts w:hint="eastAsia"/>
                <w:lang w:bidi="ar"/>
              </w:rPr>
            </w:pPr>
          </w:p>
        </w:tc>
      </w:tr>
      <w:tr w14:paraId="3B904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5D02C3A7">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27</w:t>
            </w:r>
          </w:p>
        </w:tc>
        <w:tc>
          <w:tcPr>
            <w:tcW w:w="830" w:type="pct"/>
            <w:gridSpan w:val="2"/>
            <w:tcBorders>
              <w:tl2br w:val="nil"/>
              <w:tr2bl w:val="nil"/>
            </w:tcBorders>
            <w:shd w:val="clear" w:color="auto" w:fill="auto"/>
            <w:noWrap/>
            <w:vAlign w:val="center"/>
          </w:tcPr>
          <w:p w14:paraId="3753D34C">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豆腐乳</w:t>
            </w:r>
          </w:p>
        </w:tc>
        <w:tc>
          <w:tcPr>
            <w:tcW w:w="685" w:type="pct"/>
            <w:tcBorders>
              <w:tl2br w:val="nil"/>
              <w:tr2bl w:val="nil"/>
            </w:tcBorders>
            <w:shd w:val="clear" w:color="auto" w:fill="auto"/>
            <w:vAlign w:val="center"/>
          </w:tcPr>
          <w:p w14:paraId="4754EAF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60</w:t>
            </w:r>
          </w:p>
        </w:tc>
        <w:tc>
          <w:tcPr>
            <w:tcW w:w="974" w:type="pct"/>
            <w:tcBorders>
              <w:tl2br w:val="nil"/>
              <w:tr2bl w:val="nil"/>
            </w:tcBorders>
            <w:shd w:val="clear" w:color="auto" w:fill="auto"/>
            <w:noWrap/>
            <w:vAlign w:val="center"/>
          </w:tcPr>
          <w:p w14:paraId="02FA45B8">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桶(5公斤/桶 )</w:t>
            </w:r>
          </w:p>
        </w:tc>
        <w:tc>
          <w:tcPr>
            <w:tcW w:w="2140" w:type="pct"/>
            <w:vMerge w:val="continue"/>
            <w:tcBorders>
              <w:tl2br w:val="nil"/>
              <w:tr2bl w:val="nil"/>
            </w:tcBorders>
            <w:shd w:val="clear" w:color="auto" w:fill="auto"/>
            <w:vAlign w:val="center"/>
          </w:tcPr>
          <w:p w14:paraId="099FBAC3">
            <w:pPr>
              <w:jc w:val="left"/>
              <w:rPr>
                <w:rFonts w:hint="eastAsia"/>
                <w:lang w:bidi="ar"/>
              </w:rPr>
            </w:pPr>
          </w:p>
        </w:tc>
      </w:tr>
      <w:tr w14:paraId="1D96B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41EA431E">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28</w:t>
            </w:r>
          </w:p>
        </w:tc>
        <w:tc>
          <w:tcPr>
            <w:tcW w:w="830" w:type="pct"/>
            <w:gridSpan w:val="2"/>
            <w:tcBorders>
              <w:tl2br w:val="nil"/>
              <w:tr2bl w:val="nil"/>
            </w:tcBorders>
            <w:shd w:val="clear" w:color="auto" w:fill="auto"/>
            <w:noWrap/>
            <w:vAlign w:val="center"/>
          </w:tcPr>
          <w:p w14:paraId="7A4422AA">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味精</w:t>
            </w:r>
          </w:p>
        </w:tc>
        <w:tc>
          <w:tcPr>
            <w:tcW w:w="685" w:type="pct"/>
            <w:tcBorders>
              <w:tl2br w:val="nil"/>
              <w:tr2bl w:val="nil"/>
            </w:tcBorders>
            <w:shd w:val="clear" w:color="auto" w:fill="auto"/>
            <w:vAlign w:val="center"/>
          </w:tcPr>
          <w:p w14:paraId="743ECC93">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454</w:t>
            </w:r>
          </w:p>
        </w:tc>
        <w:tc>
          <w:tcPr>
            <w:tcW w:w="974" w:type="pct"/>
            <w:tcBorders>
              <w:tl2br w:val="nil"/>
              <w:tr2bl w:val="nil"/>
            </w:tcBorders>
            <w:shd w:val="clear" w:color="auto" w:fill="auto"/>
            <w:noWrap/>
            <w:vAlign w:val="center"/>
          </w:tcPr>
          <w:p w14:paraId="77DB4702">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5D3A44D3">
            <w:pPr>
              <w:jc w:val="left"/>
              <w:rPr>
                <w:rFonts w:hint="eastAsia"/>
                <w:lang w:bidi="ar"/>
              </w:rPr>
            </w:pPr>
          </w:p>
        </w:tc>
      </w:tr>
      <w:tr w14:paraId="5E2B8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0490B3DD">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29</w:t>
            </w:r>
          </w:p>
        </w:tc>
        <w:tc>
          <w:tcPr>
            <w:tcW w:w="830" w:type="pct"/>
            <w:gridSpan w:val="2"/>
            <w:tcBorders>
              <w:tl2br w:val="nil"/>
              <w:tr2bl w:val="nil"/>
            </w:tcBorders>
            <w:shd w:val="clear" w:color="auto" w:fill="auto"/>
            <w:noWrap/>
            <w:vAlign w:val="center"/>
          </w:tcPr>
          <w:p w14:paraId="1293ABA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十三香</w:t>
            </w:r>
          </w:p>
        </w:tc>
        <w:tc>
          <w:tcPr>
            <w:tcW w:w="685" w:type="pct"/>
            <w:tcBorders>
              <w:tl2br w:val="nil"/>
              <w:tr2bl w:val="nil"/>
            </w:tcBorders>
            <w:shd w:val="clear" w:color="auto" w:fill="auto"/>
            <w:vAlign w:val="center"/>
          </w:tcPr>
          <w:p w14:paraId="3DCBDF1C">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5000</w:t>
            </w:r>
          </w:p>
        </w:tc>
        <w:tc>
          <w:tcPr>
            <w:tcW w:w="974" w:type="pct"/>
            <w:tcBorders>
              <w:tl2br w:val="nil"/>
              <w:tr2bl w:val="nil"/>
            </w:tcBorders>
            <w:shd w:val="clear" w:color="auto" w:fill="auto"/>
            <w:noWrap/>
            <w:vAlign w:val="center"/>
          </w:tcPr>
          <w:p w14:paraId="4D28B7D3">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ascii="宋体" w:hAnsi="宋体" w:eastAsia="宋体" w:cs="宋体"/>
                <w:i w:val="0"/>
                <w:iCs w:val="0"/>
                <w:color w:val="auto"/>
                <w:kern w:val="0"/>
                <w:sz w:val="21"/>
                <w:szCs w:val="21"/>
                <w:u w:val="none"/>
                <w:lang w:val="en-US" w:eastAsia="zh-CN" w:bidi="ar"/>
              </w:rPr>
              <w:t>45g</w:t>
            </w:r>
            <w:r>
              <w:rPr>
                <w:rFonts w:hint="eastAsia"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包</w:t>
            </w:r>
          </w:p>
        </w:tc>
        <w:tc>
          <w:tcPr>
            <w:tcW w:w="2140" w:type="pct"/>
            <w:vMerge w:val="continue"/>
            <w:tcBorders>
              <w:tl2br w:val="nil"/>
              <w:tr2bl w:val="nil"/>
            </w:tcBorders>
            <w:shd w:val="clear" w:color="auto" w:fill="auto"/>
            <w:vAlign w:val="center"/>
          </w:tcPr>
          <w:p w14:paraId="36FF41C6">
            <w:pPr>
              <w:jc w:val="left"/>
              <w:rPr>
                <w:rFonts w:hint="eastAsia"/>
                <w:lang w:bidi="ar"/>
              </w:rPr>
            </w:pPr>
          </w:p>
        </w:tc>
      </w:tr>
      <w:tr w14:paraId="05102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8" w:type="pct"/>
            <w:tcBorders>
              <w:tl2br w:val="nil"/>
              <w:tr2bl w:val="nil"/>
            </w:tcBorders>
            <w:shd w:val="clear" w:color="auto" w:fill="auto"/>
            <w:vAlign w:val="center"/>
          </w:tcPr>
          <w:p w14:paraId="7B5ED43C">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30</w:t>
            </w:r>
          </w:p>
        </w:tc>
        <w:tc>
          <w:tcPr>
            <w:tcW w:w="830" w:type="pct"/>
            <w:gridSpan w:val="2"/>
            <w:tcBorders>
              <w:tl2br w:val="nil"/>
              <w:tr2bl w:val="nil"/>
            </w:tcBorders>
            <w:shd w:val="clear" w:color="auto" w:fill="auto"/>
            <w:noWrap/>
            <w:vAlign w:val="center"/>
          </w:tcPr>
          <w:p w14:paraId="6903B78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干辣椒</w:t>
            </w:r>
          </w:p>
        </w:tc>
        <w:tc>
          <w:tcPr>
            <w:tcW w:w="685" w:type="pct"/>
            <w:tcBorders>
              <w:tl2br w:val="nil"/>
              <w:tr2bl w:val="nil"/>
            </w:tcBorders>
            <w:shd w:val="clear" w:color="auto" w:fill="auto"/>
            <w:vAlign w:val="center"/>
          </w:tcPr>
          <w:p w14:paraId="489FC68A">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50</w:t>
            </w:r>
          </w:p>
        </w:tc>
        <w:tc>
          <w:tcPr>
            <w:tcW w:w="974" w:type="pct"/>
            <w:tcBorders>
              <w:tl2br w:val="nil"/>
              <w:tr2bl w:val="nil"/>
            </w:tcBorders>
            <w:shd w:val="clear" w:color="auto" w:fill="auto"/>
            <w:noWrap/>
            <w:vAlign w:val="center"/>
          </w:tcPr>
          <w:p w14:paraId="5415E75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646EF9BC">
            <w:pPr>
              <w:jc w:val="left"/>
              <w:rPr>
                <w:rFonts w:hint="eastAsia"/>
                <w:lang w:bidi="ar"/>
              </w:rPr>
            </w:pPr>
          </w:p>
        </w:tc>
      </w:tr>
      <w:tr w14:paraId="70995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04BE994B">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3</w:t>
            </w:r>
            <w:r>
              <w:rPr>
                <w:rFonts w:hint="eastAsia" w:cs="宋体"/>
                <w:i w:val="0"/>
                <w:iCs w:val="0"/>
                <w:color w:val="auto"/>
                <w:kern w:val="0"/>
                <w:sz w:val="21"/>
                <w:szCs w:val="21"/>
                <w:u w:val="none"/>
                <w:lang w:val="en-US" w:eastAsia="zh-CN" w:bidi="ar"/>
              </w:rPr>
              <w:t>1</w:t>
            </w:r>
          </w:p>
        </w:tc>
        <w:tc>
          <w:tcPr>
            <w:tcW w:w="830" w:type="pct"/>
            <w:gridSpan w:val="2"/>
            <w:tcBorders>
              <w:tl2br w:val="nil"/>
              <w:tr2bl w:val="nil"/>
            </w:tcBorders>
            <w:shd w:val="clear" w:color="auto" w:fill="auto"/>
            <w:noWrap/>
            <w:vAlign w:val="center"/>
          </w:tcPr>
          <w:p w14:paraId="2E16C11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陈皮</w:t>
            </w:r>
          </w:p>
        </w:tc>
        <w:tc>
          <w:tcPr>
            <w:tcW w:w="685" w:type="pct"/>
            <w:tcBorders>
              <w:tl2br w:val="nil"/>
              <w:tr2bl w:val="nil"/>
            </w:tcBorders>
            <w:shd w:val="clear" w:color="auto" w:fill="auto"/>
            <w:vAlign w:val="center"/>
          </w:tcPr>
          <w:p w14:paraId="44336B3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50</w:t>
            </w:r>
          </w:p>
        </w:tc>
        <w:tc>
          <w:tcPr>
            <w:tcW w:w="974" w:type="pct"/>
            <w:tcBorders>
              <w:tl2br w:val="nil"/>
              <w:tr2bl w:val="nil"/>
            </w:tcBorders>
            <w:shd w:val="clear" w:color="auto" w:fill="auto"/>
            <w:noWrap/>
            <w:vAlign w:val="center"/>
          </w:tcPr>
          <w:p w14:paraId="72178F79">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23A15D58">
            <w:pPr>
              <w:jc w:val="left"/>
              <w:rPr>
                <w:rFonts w:hint="eastAsia"/>
                <w:lang w:bidi="ar"/>
              </w:rPr>
            </w:pPr>
          </w:p>
        </w:tc>
      </w:tr>
      <w:tr w14:paraId="750E3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4913C5BF">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3</w:t>
            </w:r>
            <w:r>
              <w:rPr>
                <w:rFonts w:hint="eastAsia" w:cs="宋体"/>
                <w:i w:val="0"/>
                <w:iCs w:val="0"/>
                <w:color w:val="auto"/>
                <w:kern w:val="0"/>
                <w:sz w:val="21"/>
                <w:szCs w:val="21"/>
                <w:u w:val="none"/>
                <w:lang w:val="en-US" w:eastAsia="zh-CN" w:bidi="ar"/>
              </w:rPr>
              <w:t>2</w:t>
            </w:r>
          </w:p>
        </w:tc>
        <w:tc>
          <w:tcPr>
            <w:tcW w:w="830" w:type="pct"/>
            <w:gridSpan w:val="2"/>
            <w:tcBorders>
              <w:tl2br w:val="nil"/>
              <w:tr2bl w:val="nil"/>
            </w:tcBorders>
            <w:shd w:val="clear" w:color="auto" w:fill="auto"/>
            <w:noWrap/>
            <w:vAlign w:val="center"/>
          </w:tcPr>
          <w:p w14:paraId="3A29BC53">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桂皮</w:t>
            </w:r>
          </w:p>
        </w:tc>
        <w:tc>
          <w:tcPr>
            <w:tcW w:w="685" w:type="pct"/>
            <w:tcBorders>
              <w:tl2br w:val="nil"/>
              <w:tr2bl w:val="nil"/>
            </w:tcBorders>
            <w:shd w:val="clear" w:color="auto" w:fill="auto"/>
            <w:vAlign w:val="center"/>
          </w:tcPr>
          <w:p w14:paraId="0C10929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50</w:t>
            </w:r>
          </w:p>
        </w:tc>
        <w:tc>
          <w:tcPr>
            <w:tcW w:w="974" w:type="pct"/>
            <w:tcBorders>
              <w:tl2br w:val="nil"/>
              <w:tr2bl w:val="nil"/>
            </w:tcBorders>
            <w:shd w:val="clear" w:color="auto" w:fill="auto"/>
            <w:noWrap/>
            <w:vAlign w:val="center"/>
          </w:tcPr>
          <w:p w14:paraId="4EDABEDC">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3CDE7F5D">
            <w:pPr>
              <w:jc w:val="left"/>
              <w:rPr>
                <w:rFonts w:hint="eastAsia"/>
                <w:lang w:bidi="ar"/>
              </w:rPr>
            </w:pPr>
          </w:p>
        </w:tc>
      </w:tr>
      <w:tr w14:paraId="55085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76967DF4">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3</w:t>
            </w:r>
            <w:r>
              <w:rPr>
                <w:rFonts w:hint="eastAsia" w:cs="宋体"/>
                <w:i w:val="0"/>
                <w:iCs w:val="0"/>
                <w:color w:val="auto"/>
                <w:kern w:val="0"/>
                <w:sz w:val="21"/>
                <w:szCs w:val="21"/>
                <w:u w:val="none"/>
                <w:lang w:val="en-US" w:eastAsia="zh-CN" w:bidi="ar"/>
              </w:rPr>
              <w:t>3</w:t>
            </w:r>
          </w:p>
        </w:tc>
        <w:tc>
          <w:tcPr>
            <w:tcW w:w="830" w:type="pct"/>
            <w:gridSpan w:val="2"/>
            <w:tcBorders>
              <w:tl2br w:val="nil"/>
              <w:tr2bl w:val="nil"/>
            </w:tcBorders>
            <w:shd w:val="clear" w:color="auto" w:fill="auto"/>
            <w:noWrap/>
            <w:vAlign w:val="center"/>
          </w:tcPr>
          <w:p w14:paraId="08D30E8F">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草果</w:t>
            </w:r>
          </w:p>
        </w:tc>
        <w:tc>
          <w:tcPr>
            <w:tcW w:w="685" w:type="pct"/>
            <w:tcBorders>
              <w:tl2br w:val="nil"/>
              <w:tr2bl w:val="nil"/>
            </w:tcBorders>
            <w:shd w:val="clear" w:color="auto" w:fill="auto"/>
            <w:vAlign w:val="center"/>
          </w:tcPr>
          <w:p w14:paraId="4C5AEE6C">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50</w:t>
            </w:r>
          </w:p>
        </w:tc>
        <w:tc>
          <w:tcPr>
            <w:tcW w:w="974" w:type="pct"/>
            <w:tcBorders>
              <w:tl2br w:val="nil"/>
              <w:tr2bl w:val="nil"/>
            </w:tcBorders>
            <w:shd w:val="clear" w:color="auto" w:fill="auto"/>
            <w:noWrap/>
            <w:vAlign w:val="center"/>
          </w:tcPr>
          <w:p w14:paraId="03B2230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0079FE8D">
            <w:pPr>
              <w:jc w:val="left"/>
              <w:rPr>
                <w:rFonts w:hint="eastAsia"/>
                <w:lang w:bidi="ar"/>
              </w:rPr>
            </w:pPr>
          </w:p>
        </w:tc>
      </w:tr>
      <w:tr w14:paraId="73348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682AC01B">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3</w:t>
            </w:r>
            <w:r>
              <w:rPr>
                <w:rFonts w:hint="eastAsia" w:cs="宋体"/>
                <w:i w:val="0"/>
                <w:iCs w:val="0"/>
                <w:color w:val="auto"/>
                <w:kern w:val="0"/>
                <w:sz w:val="21"/>
                <w:szCs w:val="21"/>
                <w:u w:val="none"/>
                <w:lang w:val="en-US" w:eastAsia="zh-CN" w:bidi="ar"/>
              </w:rPr>
              <w:t>4</w:t>
            </w:r>
          </w:p>
        </w:tc>
        <w:tc>
          <w:tcPr>
            <w:tcW w:w="830" w:type="pct"/>
            <w:gridSpan w:val="2"/>
            <w:tcBorders>
              <w:tl2br w:val="nil"/>
              <w:tr2bl w:val="nil"/>
            </w:tcBorders>
            <w:shd w:val="clear" w:color="auto" w:fill="auto"/>
            <w:noWrap/>
            <w:vAlign w:val="center"/>
          </w:tcPr>
          <w:p w14:paraId="1F5E5B6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干八角</w:t>
            </w:r>
          </w:p>
        </w:tc>
        <w:tc>
          <w:tcPr>
            <w:tcW w:w="685" w:type="pct"/>
            <w:tcBorders>
              <w:tl2br w:val="nil"/>
              <w:tr2bl w:val="nil"/>
            </w:tcBorders>
            <w:shd w:val="clear" w:color="auto" w:fill="auto"/>
            <w:vAlign w:val="center"/>
          </w:tcPr>
          <w:p w14:paraId="0FC82709">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50</w:t>
            </w:r>
          </w:p>
        </w:tc>
        <w:tc>
          <w:tcPr>
            <w:tcW w:w="974" w:type="pct"/>
            <w:tcBorders>
              <w:tl2br w:val="nil"/>
              <w:tr2bl w:val="nil"/>
            </w:tcBorders>
            <w:shd w:val="clear" w:color="auto" w:fill="auto"/>
            <w:noWrap/>
            <w:vAlign w:val="center"/>
          </w:tcPr>
          <w:p w14:paraId="0826D5C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2400BE3F">
            <w:pPr>
              <w:jc w:val="left"/>
              <w:rPr>
                <w:rFonts w:hint="eastAsia"/>
                <w:lang w:bidi="ar"/>
              </w:rPr>
            </w:pPr>
          </w:p>
        </w:tc>
      </w:tr>
      <w:tr w14:paraId="78A21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2C408B38">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3</w:t>
            </w:r>
            <w:r>
              <w:rPr>
                <w:rFonts w:hint="eastAsia" w:cs="宋体"/>
                <w:i w:val="0"/>
                <w:iCs w:val="0"/>
                <w:color w:val="auto"/>
                <w:kern w:val="0"/>
                <w:sz w:val="21"/>
                <w:szCs w:val="21"/>
                <w:u w:val="none"/>
                <w:lang w:val="en-US" w:eastAsia="zh-CN" w:bidi="ar"/>
              </w:rPr>
              <w:t>5</w:t>
            </w:r>
          </w:p>
        </w:tc>
        <w:tc>
          <w:tcPr>
            <w:tcW w:w="830" w:type="pct"/>
            <w:gridSpan w:val="2"/>
            <w:tcBorders>
              <w:tl2br w:val="nil"/>
              <w:tr2bl w:val="nil"/>
            </w:tcBorders>
            <w:shd w:val="clear" w:color="auto" w:fill="auto"/>
            <w:noWrap/>
            <w:vAlign w:val="center"/>
          </w:tcPr>
          <w:p w14:paraId="5B7E3AA9">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干沙姜</w:t>
            </w:r>
          </w:p>
        </w:tc>
        <w:tc>
          <w:tcPr>
            <w:tcW w:w="685" w:type="pct"/>
            <w:tcBorders>
              <w:tl2br w:val="nil"/>
              <w:tr2bl w:val="nil"/>
            </w:tcBorders>
            <w:shd w:val="clear" w:color="auto" w:fill="auto"/>
            <w:vAlign w:val="center"/>
          </w:tcPr>
          <w:p w14:paraId="46055AA6">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50</w:t>
            </w:r>
          </w:p>
        </w:tc>
        <w:tc>
          <w:tcPr>
            <w:tcW w:w="974" w:type="pct"/>
            <w:tcBorders>
              <w:tl2br w:val="nil"/>
              <w:tr2bl w:val="nil"/>
            </w:tcBorders>
            <w:shd w:val="clear" w:color="auto" w:fill="auto"/>
            <w:noWrap/>
            <w:vAlign w:val="center"/>
          </w:tcPr>
          <w:p w14:paraId="3D4723B9">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6E91AC28">
            <w:pPr>
              <w:jc w:val="left"/>
              <w:rPr>
                <w:rFonts w:hint="eastAsia"/>
                <w:lang w:bidi="ar"/>
              </w:rPr>
            </w:pPr>
          </w:p>
        </w:tc>
      </w:tr>
      <w:tr w14:paraId="10503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763B46E0">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3</w:t>
            </w:r>
            <w:r>
              <w:rPr>
                <w:rFonts w:hint="eastAsia" w:cs="宋体"/>
                <w:i w:val="0"/>
                <w:iCs w:val="0"/>
                <w:color w:val="auto"/>
                <w:kern w:val="0"/>
                <w:sz w:val="21"/>
                <w:szCs w:val="21"/>
                <w:u w:val="none"/>
                <w:lang w:val="en-US" w:eastAsia="zh-CN" w:bidi="ar"/>
              </w:rPr>
              <w:t>6</w:t>
            </w:r>
          </w:p>
        </w:tc>
        <w:tc>
          <w:tcPr>
            <w:tcW w:w="830" w:type="pct"/>
            <w:gridSpan w:val="2"/>
            <w:tcBorders>
              <w:tl2br w:val="nil"/>
              <w:tr2bl w:val="nil"/>
            </w:tcBorders>
            <w:shd w:val="clear" w:color="auto" w:fill="auto"/>
            <w:noWrap/>
            <w:vAlign w:val="center"/>
          </w:tcPr>
          <w:p w14:paraId="796F258F">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胡椒粉</w:t>
            </w:r>
          </w:p>
        </w:tc>
        <w:tc>
          <w:tcPr>
            <w:tcW w:w="685" w:type="pct"/>
            <w:tcBorders>
              <w:tl2br w:val="nil"/>
              <w:tr2bl w:val="nil"/>
            </w:tcBorders>
            <w:shd w:val="clear" w:color="auto" w:fill="auto"/>
            <w:vAlign w:val="center"/>
          </w:tcPr>
          <w:p w14:paraId="7D02FFDB">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50</w:t>
            </w:r>
          </w:p>
        </w:tc>
        <w:tc>
          <w:tcPr>
            <w:tcW w:w="974" w:type="pct"/>
            <w:tcBorders>
              <w:tl2br w:val="nil"/>
              <w:tr2bl w:val="nil"/>
            </w:tcBorders>
            <w:shd w:val="clear" w:color="auto" w:fill="auto"/>
            <w:noWrap/>
            <w:vAlign w:val="center"/>
          </w:tcPr>
          <w:p w14:paraId="6EBE8C1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4E69D0F2">
            <w:pPr>
              <w:jc w:val="left"/>
              <w:rPr>
                <w:rFonts w:hint="eastAsia"/>
                <w:lang w:bidi="ar"/>
              </w:rPr>
            </w:pPr>
          </w:p>
        </w:tc>
      </w:tr>
      <w:tr w14:paraId="2D4D6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260060C8">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3</w:t>
            </w:r>
            <w:r>
              <w:rPr>
                <w:rFonts w:hint="eastAsia" w:cs="宋体"/>
                <w:i w:val="0"/>
                <w:iCs w:val="0"/>
                <w:color w:val="auto"/>
                <w:kern w:val="0"/>
                <w:sz w:val="21"/>
                <w:szCs w:val="21"/>
                <w:u w:val="none"/>
                <w:lang w:val="en-US" w:eastAsia="zh-CN" w:bidi="ar"/>
              </w:rPr>
              <w:t>7</w:t>
            </w:r>
          </w:p>
        </w:tc>
        <w:tc>
          <w:tcPr>
            <w:tcW w:w="830" w:type="pct"/>
            <w:gridSpan w:val="2"/>
            <w:tcBorders>
              <w:tl2br w:val="nil"/>
              <w:tr2bl w:val="nil"/>
            </w:tcBorders>
            <w:shd w:val="clear" w:color="auto" w:fill="auto"/>
            <w:noWrap/>
            <w:vAlign w:val="center"/>
          </w:tcPr>
          <w:p w14:paraId="0934DE2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盐焗鸡粉</w:t>
            </w:r>
          </w:p>
        </w:tc>
        <w:tc>
          <w:tcPr>
            <w:tcW w:w="685" w:type="pct"/>
            <w:tcBorders>
              <w:tl2br w:val="nil"/>
              <w:tr2bl w:val="nil"/>
            </w:tcBorders>
            <w:shd w:val="clear" w:color="auto" w:fill="auto"/>
            <w:vAlign w:val="center"/>
          </w:tcPr>
          <w:p w14:paraId="5ED1D06F">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5760</w:t>
            </w:r>
          </w:p>
        </w:tc>
        <w:tc>
          <w:tcPr>
            <w:tcW w:w="974" w:type="pct"/>
            <w:tcBorders>
              <w:tl2br w:val="nil"/>
              <w:tr2bl w:val="nil"/>
            </w:tcBorders>
            <w:shd w:val="clear" w:color="auto" w:fill="auto"/>
            <w:noWrap/>
            <w:vAlign w:val="center"/>
          </w:tcPr>
          <w:p w14:paraId="06C08AEA">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ascii="宋体" w:hAnsi="宋体" w:eastAsia="宋体" w:cs="宋体"/>
                <w:i w:val="0"/>
                <w:iCs w:val="0"/>
                <w:color w:val="auto"/>
                <w:kern w:val="0"/>
                <w:sz w:val="21"/>
                <w:szCs w:val="21"/>
                <w:u w:val="none"/>
                <w:lang w:val="en-US" w:eastAsia="zh-CN" w:bidi="ar"/>
              </w:rPr>
              <w:t>30g</w:t>
            </w:r>
            <w:r>
              <w:rPr>
                <w:rFonts w:hint="eastAsia"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包</w:t>
            </w:r>
          </w:p>
        </w:tc>
        <w:tc>
          <w:tcPr>
            <w:tcW w:w="2140" w:type="pct"/>
            <w:vMerge w:val="continue"/>
            <w:tcBorders>
              <w:tl2br w:val="nil"/>
              <w:tr2bl w:val="nil"/>
            </w:tcBorders>
            <w:shd w:val="clear" w:color="auto" w:fill="auto"/>
            <w:vAlign w:val="center"/>
          </w:tcPr>
          <w:p w14:paraId="2174CC24">
            <w:pPr>
              <w:jc w:val="left"/>
              <w:rPr>
                <w:rFonts w:hint="eastAsia"/>
                <w:lang w:bidi="ar"/>
              </w:rPr>
            </w:pPr>
          </w:p>
        </w:tc>
      </w:tr>
      <w:tr w14:paraId="1C269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3464367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3</w:t>
            </w:r>
            <w:r>
              <w:rPr>
                <w:rFonts w:hint="eastAsia" w:cs="宋体"/>
                <w:i w:val="0"/>
                <w:iCs w:val="0"/>
                <w:color w:val="auto"/>
                <w:kern w:val="0"/>
                <w:sz w:val="21"/>
                <w:szCs w:val="21"/>
                <w:u w:val="none"/>
                <w:lang w:val="en-US" w:eastAsia="zh-CN" w:bidi="ar"/>
              </w:rPr>
              <w:t>8</w:t>
            </w:r>
          </w:p>
        </w:tc>
        <w:tc>
          <w:tcPr>
            <w:tcW w:w="830" w:type="pct"/>
            <w:gridSpan w:val="2"/>
            <w:tcBorders>
              <w:tl2br w:val="nil"/>
              <w:tr2bl w:val="nil"/>
            </w:tcBorders>
            <w:shd w:val="clear" w:color="auto" w:fill="auto"/>
            <w:noWrap/>
            <w:vAlign w:val="center"/>
          </w:tcPr>
          <w:p w14:paraId="58FED113">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花椒粉</w:t>
            </w:r>
          </w:p>
        </w:tc>
        <w:tc>
          <w:tcPr>
            <w:tcW w:w="685" w:type="pct"/>
            <w:tcBorders>
              <w:tl2br w:val="nil"/>
              <w:tr2bl w:val="nil"/>
            </w:tcBorders>
            <w:shd w:val="clear" w:color="auto" w:fill="auto"/>
            <w:vAlign w:val="center"/>
          </w:tcPr>
          <w:p w14:paraId="511C099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20</w:t>
            </w:r>
          </w:p>
        </w:tc>
        <w:tc>
          <w:tcPr>
            <w:tcW w:w="974" w:type="pct"/>
            <w:tcBorders>
              <w:tl2br w:val="nil"/>
              <w:tr2bl w:val="nil"/>
            </w:tcBorders>
            <w:shd w:val="clear" w:color="auto" w:fill="auto"/>
            <w:noWrap/>
            <w:vAlign w:val="center"/>
          </w:tcPr>
          <w:p w14:paraId="7730F1B9">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66CFF92D">
            <w:pPr>
              <w:jc w:val="left"/>
              <w:rPr>
                <w:rFonts w:hint="eastAsia"/>
                <w:lang w:bidi="ar"/>
              </w:rPr>
            </w:pPr>
          </w:p>
        </w:tc>
      </w:tr>
      <w:tr w14:paraId="41CFF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2CFFC05E">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ascii="宋体" w:hAnsi="宋体" w:eastAsia="宋体" w:cs="宋体"/>
                <w:i w:val="0"/>
                <w:iCs w:val="0"/>
                <w:color w:val="auto"/>
                <w:kern w:val="0"/>
                <w:sz w:val="21"/>
                <w:szCs w:val="21"/>
                <w:u w:val="none"/>
                <w:lang w:val="en-US" w:eastAsia="zh-CN" w:bidi="ar"/>
              </w:rPr>
              <w:t>3</w:t>
            </w:r>
            <w:r>
              <w:rPr>
                <w:rFonts w:hint="eastAsia" w:cs="宋体"/>
                <w:i w:val="0"/>
                <w:iCs w:val="0"/>
                <w:color w:val="auto"/>
                <w:kern w:val="0"/>
                <w:sz w:val="21"/>
                <w:szCs w:val="21"/>
                <w:u w:val="none"/>
                <w:lang w:val="en-US" w:eastAsia="zh-CN" w:bidi="ar"/>
              </w:rPr>
              <w:t>9</w:t>
            </w:r>
          </w:p>
        </w:tc>
        <w:tc>
          <w:tcPr>
            <w:tcW w:w="830" w:type="pct"/>
            <w:gridSpan w:val="2"/>
            <w:tcBorders>
              <w:tl2br w:val="nil"/>
              <w:tr2bl w:val="nil"/>
            </w:tcBorders>
            <w:shd w:val="clear" w:color="auto" w:fill="auto"/>
            <w:noWrap/>
            <w:vAlign w:val="center"/>
          </w:tcPr>
          <w:p w14:paraId="48C3C46C">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梅菜</w:t>
            </w:r>
          </w:p>
        </w:tc>
        <w:tc>
          <w:tcPr>
            <w:tcW w:w="685" w:type="pct"/>
            <w:tcBorders>
              <w:tl2br w:val="nil"/>
              <w:tr2bl w:val="nil"/>
            </w:tcBorders>
            <w:shd w:val="clear" w:color="auto" w:fill="auto"/>
            <w:vAlign w:val="center"/>
          </w:tcPr>
          <w:p w14:paraId="4BC66EC3">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100</w:t>
            </w:r>
          </w:p>
        </w:tc>
        <w:tc>
          <w:tcPr>
            <w:tcW w:w="974" w:type="pct"/>
            <w:tcBorders>
              <w:tl2br w:val="nil"/>
              <w:tr2bl w:val="nil"/>
            </w:tcBorders>
            <w:shd w:val="clear" w:color="auto" w:fill="auto"/>
            <w:noWrap/>
            <w:vAlign w:val="center"/>
          </w:tcPr>
          <w:p w14:paraId="61F003EB">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2D9115D9">
            <w:pPr>
              <w:jc w:val="left"/>
              <w:rPr>
                <w:rFonts w:hint="eastAsia"/>
                <w:lang w:bidi="ar"/>
              </w:rPr>
            </w:pPr>
          </w:p>
        </w:tc>
      </w:tr>
      <w:tr w14:paraId="739C7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7BAE1600">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cs="宋体"/>
                <w:i w:val="0"/>
                <w:iCs w:val="0"/>
                <w:color w:val="auto"/>
                <w:kern w:val="0"/>
                <w:sz w:val="21"/>
                <w:szCs w:val="21"/>
                <w:u w:val="none"/>
                <w:lang w:val="en-US" w:eastAsia="zh-CN" w:bidi="ar"/>
              </w:rPr>
              <w:t>40</w:t>
            </w:r>
          </w:p>
        </w:tc>
        <w:tc>
          <w:tcPr>
            <w:tcW w:w="830" w:type="pct"/>
            <w:gridSpan w:val="2"/>
            <w:tcBorders>
              <w:tl2br w:val="nil"/>
              <w:tr2bl w:val="nil"/>
            </w:tcBorders>
            <w:shd w:val="clear" w:color="auto" w:fill="auto"/>
            <w:noWrap/>
            <w:vAlign w:val="center"/>
          </w:tcPr>
          <w:p w14:paraId="3F5A362F">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豆豉</w:t>
            </w:r>
          </w:p>
        </w:tc>
        <w:tc>
          <w:tcPr>
            <w:tcW w:w="685" w:type="pct"/>
            <w:tcBorders>
              <w:tl2br w:val="nil"/>
              <w:tr2bl w:val="nil"/>
            </w:tcBorders>
            <w:shd w:val="clear" w:color="auto" w:fill="auto"/>
            <w:vAlign w:val="center"/>
          </w:tcPr>
          <w:p w14:paraId="3C0C899E">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50</w:t>
            </w:r>
          </w:p>
        </w:tc>
        <w:tc>
          <w:tcPr>
            <w:tcW w:w="974" w:type="pct"/>
            <w:tcBorders>
              <w:tl2br w:val="nil"/>
              <w:tr2bl w:val="nil"/>
            </w:tcBorders>
            <w:shd w:val="clear" w:color="auto" w:fill="auto"/>
            <w:noWrap/>
            <w:vAlign w:val="center"/>
          </w:tcPr>
          <w:p w14:paraId="6FACF1F8">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63045E0D">
            <w:pPr>
              <w:jc w:val="left"/>
              <w:rPr>
                <w:rFonts w:hint="eastAsia"/>
                <w:lang w:bidi="ar"/>
              </w:rPr>
            </w:pPr>
          </w:p>
        </w:tc>
      </w:tr>
      <w:tr w14:paraId="21AF3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73EBD6E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4</w:t>
            </w:r>
            <w:r>
              <w:rPr>
                <w:rFonts w:hint="eastAsia" w:cs="宋体"/>
                <w:i w:val="0"/>
                <w:iCs w:val="0"/>
                <w:color w:val="auto"/>
                <w:kern w:val="0"/>
                <w:sz w:val="21"/>
                <w:szCs w:val="21"/>
                <w:u w:val="none"/>
                <w:lang w:val="en-US" w:eastAsia="zh-CN" w:bidi="ar"/>
              </w:rPr>
              <w:t>1</w:t>
            </w:r>
          </w:p>
        </w:tc>
        <w:tc>
          <w:tcPr>
            <w:tcW w:w="830" w:type="pct"/>
            <w:gridSpan w:val="2"/>
            <w:tcBorders>
              <w:tl2br w:val="nil"/>
              <w:tr2bl w:val="nil"/>
            </w:tcBorders>
            <w:shd w:val="clear" w:color="auto" w:fill="auto"/>
            <w:noWrap/>
            <w:vAlign w:val="center"/>
          </w:tcPr>
          <w:p w14:paraId="4828BE5B">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干木耳</w:t>
            </w:r>
          </w:p>
        </w:tc>
        <w:tc>
          <w:tcPr>
            <w:tcW w:w="685" w:type="pct"/>
            <w:tcBorders>
              <w:tl2br w:val="nil"/>
              <w:tr2bl w:val="nil"/>
            </w:tcBorders>
            <w:shd w:val="clear" w:color="auto" w:fill="auto"/>
            <w:vAlign w:val="center"/>
          </w:tcPr>
          <w:p w14:paraId="38C6165A">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20</w:t>
            </w:r>
          </w:p>
        </w:tc>
        <w:tc>
          <w:tcPr>
            <w:tcW w:w="974" w:type="pct"/>
            <w:tcBorders>
              <w:tl2br w:val="nil"/>
              <w:tr2bl w:val="nil"/>
            </w:tcBorders>
            <w:shd w:val="clear" w:color="auto" w:fill="auto"/>
            <w:noWrap/>
            <w:vAlign w:val="center"/>
          </w:tcPr>
          <w:p w14:paraId="29DDD80B">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2F621EE7">
            <w:pPr>
              <w:jc w:val="left"/>
              <w:rPr>
                <w:rFonts w:hint="eastAsia"/>
                <w:lang w:bidi="ar"/>
              </w:rPr>
            </w:pPr>
          </w:p>
        </w:tc>
      </w:tr>
      <w:tr w14:paraId="01657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05219AD0">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4</w:t>
            </w:r>
            <w:r>
              <w:rPr>
                <w:rFonts w:hint="eastAsia" w:cs="宋体"/>
                <w:i w:val="0"/>
                <w:iCs w:val="0"/>
                <w:color w:val="auto"/>
                <w:kern w:val="0"/>
                <w:sz w:val="21"/>
                <w:szCs w:val="21"/>
                <w:u w:val="none"/>
                <w:lang w:val="en-US" w:eastAsia="zh-CN" w:bidi="ar"/>
              </w:rPr>
              <w:t>2</w:t>
            </w:r>
          </w:p>
        </w:tc>
        <w:tc>
          <w:tcPr>
            <w:tcW w:w="830" w:type="pct"/>
            <w:gridSpan w:val="2"/>
            <w:tcBorders>
              <w:tl2br w:val="nil"/>
              <w:tr2bl w:val="nil"/>
            </w:tcBorders>
            <w:shd w:val="clear" w:color="auto" w:fill="auto"/>
            <w:noWrap/>
            <w:vAlign w:val="center"/>
          </w:tcPr>
          <w:p w14:paraId="3F570E94">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干香菇</w:t>
            </w:r>
          </w:p>
        </w:tc>
        <w:tc>
          <w:tcPr>
            <w:tcW w:w="685" w:type="pct"/>
            <w:tcBorders>
              <w:tl2br w:val="nil"/>
              <w:tr2bl w:val="nil"/>
            </w:tcBorders>
            <w:shd w:val="clear" w:color="auto" w:fill="auto"/>
            <w:vAlign w:val="center"/>
          </w:tcPr>
          <w:p w14:paraId="69ACA5B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20</w:t>
            </w:r>
          </w:p>
        </w:tc>
        <w:tc>
          <w:tcPr>
            <w:tcW w:w="974" w:type="pct"/>
            <w:tcBorders>
              <w:tl2br w:val="nil"/>
              <w:tr2bl w:val="nil"/>
            </w:tcBorders>
            <w:shd w:val="clear" w:color="auto" w:fill="auto"/>
            <w:noWrap/>
            <w:vAlign w:val="center"/>
          </w:tcPr>
          <w:p w14:paraId="2A869BA6">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670231B1">
            <w:pPr>
              <w:jc w:val="left"/>
              <w:rPr>
                <w:rFonts w:hint="eastAsia"/>
                <w:lang w:bidi="ar"/>
              </w:rPr>
            </w:pPr>
          </w:p>
        </w:tc>
      </w:tr>
      <w:tr w14:paraId="4FE31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6614C7A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4</w:t>
            </w:r>
            <w:r>
              <w:rPr>
                <w:rFonts w:hint="eastAsia" w:cs="宋体"/>
                <w:i w:val="0"/>
                <w:iCs w:val="0"/>
                <w:color w:val="auto"/>
                <w:kern w:val="0"/>
                <w:sz w:val="21"/>
                <w:szCs w:val="21"/>
                <w:u w:val="none"/>
                <w:lang w:val="en-US" w:eastAsia="zh-CN" w:bidi="ar"/>
              </w:rPr>
              <w:t>3</w:t>
            </w:r>
          </w:p>
        </w:tc>
        <w:tc>
          <w:tcPr>
            <w:tcW w:w="830" w:type="pct"/>
            <w:gridSpan w:val="2"/>
            <w:tcBorders>
              <w:tl2br w:val="nil"/>
              <w:tr2bl w:val="nil"/>
            </w:tcBorders>
            <w:shd w:val="clear" w:color="auto" w:fill="auto"/>
            <w:noWrap/>
            <w:vAlign w:val="center"/>
          </w:tcPr>
          <w:p w14:paraId="602572CC">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豆瓣酱</w:t>
            </w:r>
          </w:p>
        </w:tc>
        <w:tc>
          <w:tcPr>
            <w:tcW w:w="685" w:type="pct"/>
            <w:tcBorders>
              <w:tl2br w:val="nil"/>
              <w:tr2bl w:val="nil"/>
            </w:tcBorders>
            <w:shd w:val="clear" w:color="auto" w:fill="auto"/>
            <w:vAlign w:val="center"/>
          </w:tcPr>
          <w:p w14:paraId="1D5788B1">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20</w:t>
            </w:r>
          </w:p>
        </w:tc>
        <w:tc>
          <w:tcPr>
            <w:tcW w:w="974" w:type="pct"/>
            <w:tcBorders>
              <w:tl2br w:val="nil"/>
              <w:tr2bl w:val="nil"/>
            </w:tcBorders>
            <w:shd w:val="clear" w:color="auto" w:fill="auto"/>
            <w:noWrap/>
            <w:vAlign w:val="center"/>
          </w:tcPr>
          <w:p w14:paraId="7F7B8CA3">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桶(6公斤/桶)</w:t>
            </w:r>
          </w:p>
        </w:tc>
        <w:tc>
          <w:tcPr>
            <w:tcW w:w="2140" w:type="pct"/>
            <w:vMerge w:val="continue"/>
            <w:tcBorders>
              <w:tl2br w:val="nil"/>
              <w:tr2bl w:val="nil"/>
            </w:tcBorders>
            <w:shd w:val="clear" w:color="auto" w:fill="auto"/>
            <w:vAlign w:val="center"/>
          </w:tcPr>
          <w:p w14:paraId="48471DBB">
            <w:pPr>
              <w:jc w:val="left"/>
              <w:rPr>
                <w:rFonts w:hint="eastAsia"/>
                <w:lang w:bidi="ar"/>
              </w:rPr>
            </w:pPr>
          </w:p>
        </w:tc>
      </w:tr>
      <w:tr w14:paraId="4C1E1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07920514">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4</w:t>
            </w:r>
            <w:r>
              <w:rPr>
                <w:rFonts w:hint="eastAsia" w:cs="宋体"/>
                <w:i w:val="0"/>
                <w:iCs w:val="0"/>
                <w:color w:val="auto"/>
                <w:kern w:val="0"/>
                <w:sz w:val="21"/>
                <w:szCs w:val="21"/>
                <w:u w:val="none"/>
                <w:lang w:val="en-US" w:eastAsia="zh-CN" w:bidi="ar"/>
              </w:rPr>
              <w:t>4</w:t>
            </w:r>
          </w:p>
        </w:tc>
        <w:tc>
          <w:tcPr>
            <w:tcW w:w="830" w:type="pct"/>
            <w:gridSpan w:val="2"/>
            <w:tcBorders>
              <w:tl2br w:val="nil"/>
              <w:tr2bl w:val="nil"/>
            </w:tcBorders>
            <w:shd w:val="clear" w:color="auto" w:fill="auto"/>
            <w:noWrap/>
            <w:vAlign w:val="center"/>
          </w:tcPr>
          <w:p w14:paraId="258C3E63">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麦芽糖</w:t>
            </w:r>
          </w:p>
        </w:tc>
        <w:tc>
          <w:tcPr>
            <w:tcW w:w="685" w:type="pct"/>
            <w:tcBorders>
              <w:tl2br w:val="nil"/>
              <w:tr2bl w:val="nil"/>
            </w:tcBorders>
            <w:shd w:val="clear" w:color="auto" w:fill="auto"/>
            <w:vAlign w:val="center"/>
          </w:tcPr>
          <w:p w14:paraId="795DDD14">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20</w:t>
            </w:r>
          </w:p>
        </w:tc>
        <w:tc>
          <w:tcPr>
            <w:tcW w:w="974" w:type="pct"/>
            <w:tcBorders>
              <w:tl2br w:val="nil"/>
              <w:tr2bl w:val="nil"/>
            </w:tcBorders>
            <w:shd w:val="clear" w:color="auto" w:fill="auto"/>
            <w:noWrap/>
            <w:vAlign w:val="center"/>
          </w:tcPr>
          <w:p w14:paraId="28634159">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桶(20公斤/桶)</w:t>
            </w:r>
          </w:p>
        </w:tc>
        <w:tc>
          <w:tcPr>
            <w:tcW w:w="2140" w:type="pct"/>
            <w:vMerge w:val="continue"/>
            <w:tcBorders>
              <w:tl2br w:val="nil"/>
              <w:tr2bl w:val="nil"/>
            </w:tcBorders>
            <w:shd w:val="clear" w:color="auto" w:fill="auto"/>
            <w:vAlign w:val="center"/>
          </w:tcPr>
          <w:p w14:paraId="1F2658B1">
            <w:pPr>
              <w:jc w:val="left"/>
              <w:rPr>
                <w:rFonts w:hint="eastAsia"/>
                <w:lang w:bidi="ar"/>
              </w:rPr>
            </w:pPr>
          </w:p>
        </w:tc>
      </w:tr>
      <w:tr w14:paraId="35047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23BEA4F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4</w:t>
            </w:r>
            <w:r>
              <w:rPr>
                <w:rFonts w:hint="eastAsia" w:cs="宋体"/>
                <w:i w:val="0"/>
                <w:iCs w:val="0"/>
                <w:color w:val="auto"/>
                <w:kern w:val="0"/>
                <w:sz w:val="21"/>
                <w:szCs w:val="21"/>
                <w:u w:val="none"/>
                <w:lang w:val="en-US" w:eastAsia="zh-CN" w:bidi="ar"/>
              </w:rPr>
              <w:t>5</w:t>
            </w:r>
          </w:p>
        </w:tc>
        <w:tc>
          <w:tcPr>
            <w:tcW w:w="830" w:type="pct"/>
            <w:gridSpan w:val="2"/>
            <w:tcBorders>
              <w:tl2br w:val="nil"/>
              <w:tr2bl w:val="nil"/>
            </w:tcBorders>
            <w:shd w:val="clear" w:color="auto" w:fill="auto"/>
            <w:noWrap/>
            <w:vAlign w:val="center"/>
          </w:tcPr>
          <w:p w14:paraId="10E73374">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当归</w:t>
            </w:r>
          </w:p>
        </w:tc>
        <w:tc>
          <w:tcPr>
            <w:tcW w:w="685" w:type="pct"/>
            <w:tcBorders>
              <w:tl2br w:val="nil"/>
              <w:tr2bl w:val="nil"/>
            </w:tcBorders>
            <w:shd w:val="clear" w:color="auto" w:fill="auto"/>
            <w:vAlign w:val="center"/>
          </w:tcPr>
          <w:p w14:paraId="64714A28">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20</w:t>
            </w:r>
          </w:p>
        </w:tc>
        <w:tc>
          <w:tcPr>
            <w:tcW w:w="974" w:type="pct"/>
            <w:tcBorders>
              <w:tl2br w:val="nil"/>
              <w:tr2bl w:val="nil"/>
            </w:tcBorders>
            <w:shd w:val="clear" w:color="auto" w:fill="auto"/>
            <w:noWrap/>
            <w:vAlign w:val="center"/>
          </w:tcPr>
          <w:p w14:paraId="36A05A28">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3C66F733">
            <w:pPr>
              <w:jc w:val="left"/>
              <w:rPr>
                <w:rFonts w:hint="eastAsia"/>
                <w:lang w:bidi="ar"/>
              </w:rPr>
            </w:pPr>
          </w:p>
        </w:tc>
      </w:tr>
      <w:tr w14:paraId="3AABA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28051A6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4</w:t>
            </w:r>
            <w:r>
              <w:rPr>
                <w:rFonts w:hint="eastAsia" w:cs="宋体"/>
                <w:i w:val="0"/>
                <w:iCs w:val="0"/>
                <w:color w:val="auto"/>
                <w:kern w:val="0"/>
                <w:sz w:val="21"/>
                <w:szCs w:val="21"/>
                <w:u w:val="none"/>
                <w:lang w:val="en-US" w:eastAsia="zh-CN" w:bidi="ar"/>
              </w:rPr>
              <w:t>6</w:t>
            </w:r>
          </w:p>
        </w:tc>
        <w:tc>
          <w:tcPr>
            <w:tcW w:w="830" w:type="pct"/>
            <w:gridSpan w:val="2"/>
            <w:tcBorders>
              <w:tl2br w:val="nil"/>
              <w:tr2bl w:val="nil"/>
            </w:tcBorders>
            <w:shd w:val="clear" w:color="auto" w:fill="auto"/>
            <w:noWrap/>
            <w:vAlign w:val="center"/>
          </w:tcPr>
          <w:p w14:paraId="3C8E2B94">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柱侯酱</w:t>
            </w:r>
          </w:p>
        </w:tc>
        <w:tc>
          <w:tcPr>
            <w:tcW w:w="685" w:type="pct"/>
            <w:tcBorders>
              <w:tl2br w:val="nil"/>
              <w:tr2bl w:val="nil"/>
            </w:tcBorders>
            <w:shd w:val="clear" w:color="auto" w:fill="auto"/>
            <w:vAlign w:val="center"/>
          </w:tcPr>
          <w:p w14:paraId="4C1FF4A9">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130</w:t>
            </w:r>
          </w:p>
        </w:tc>
        <w:tc>
          <w:tcPr>
            <w:tcW w:w="974" w:type="pct"/>
            <w:tcBorders>
              <w:tl2br w:val="nil"/>
              <w:tr2bl w:val="nil"/>
            </w:tcBorders>
            <w:shd w:val="clear" w:color="auto" w:fill="auto"/>
            <w:noWrap/>
            <w:vAlign w:val="center"/>
          </w:tcPr>
          <w:p w14:paraId="5DB3042D">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422FA88A">
            <w:pPr>
              <w:jc w:val="left"/>
              <w:rPr>
                <w:rFonts w:hint="eastAsia"/>
                <w:lang w:bidi="ar"/>
              </w:rPr>
            </w:pPr>
          </w:p>
        </w:tc>
      </w:tr>
      <w:tr w14:paraId="261F1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348D5D77">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4</w:t>
            </w:r>
            <w:r>
              <w:rPr>
                <w:rFonts w:hint="eastAsia" w:cs="宋体"/>
                <w:i w:val="0"/>
                <w:iCs w:val="0"/>
                <w:color w:val="auto"/>
                <w:kern w:val="0"/>
                <w:sz w:val="21"/>
                <w:szCs w:val="21"/>
                <w:u w:val="none"/>
                <w:lang w:val="en-US" w:eastAsia="zh-CN" w:bidi="ar"/>
              </w:rPr>
              <w:t>7</w:t>
            </w:r>
          </w:p>
        </w:tc>
        <w:tc>
          <w:tcPr>
            <w:tcW w:w="830" w:type="pct"/>
            <w:gridSpan w:val="2"/>
            <w:tcBorders>
              <w:tl2br w:val="nil"/>
              <w:tr2bl w:val="nil"/>
            </w:tcBorders>
            <w:shd w:val="clear" w:color="auto" w:fill="auto"/>
            <w:noWrap/>
            <w:vAlign w:val="center"/>
          </w:tcPr>
          <w:p w14:paraId="1D15ED0A">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叉烧酱</w:t>
            </w:r>
          </w:p>
        </w:tc>
        <w:tc>
          <w:tcPr>
            <w:tcW w:w="685" w:type="pct"/>
            <w:tcBorders>
              <w:tl2br w:val="nil"/>
              <w:tr2bl w:val="nil"/>
            </w:tcBorders>
            <w:shd w:val="clear" w:color="auto" w:fill="auto"/>
            <w:vAlign w:val="center"/>
          </w:tcPr>
          <w:p w14:paraId="1779310B">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cs="宋体"/>
                <w:i w:val="0"/>
                <w:iCs w:val="0"/>
                <w:color w:val="auto"/>
                <w:kern w:val="0"/>
                <w:sz w:val="21"/>
                <w:szCs w:val="21"/>
                <w:u w:val="none"/>
                <w:lang w:val="en-US" w:eastAsia="zh-CN" w:bidi="ar"/>
              </w:rPr>
              <w:t>74</w:t>
            </w:r>
          </w:p>
        </w:tc>
        <w:tc>
          <w:tcPr>
            <w:tcW w:w="974" w:type="pct"/>
            <w:tcBorders>
              <w:tl2br w:val="nil"/>
              <w:tr2bl w:val="nil"/>
            </w:tcBorders>
            <w:shd w:val="clear" w:color="auto" w:fill="auto"/>
            <w:noWrap/>
            <w:vAlign w:val="center"/>
          </w:tcPr>
          <w:p w14:paraId="245D02A3">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7F2974F4">
            <w:pPr>
              <w:jc w:val="left"/>
              <w:rPr>
                <w:rFonts w:hint="eastAsia"/>
                <w:lang w:bidi="ar"/>
              </w:rPr>
            </w:pPr>
          </w:p>
        </w:tc>
      </w:tr>
      <w:tr w14:paraId="4285B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36BACB19">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4</w:t>
            </w:r>
            <w:r>
              <w:rPr>
                <w:rFonts w:hint="eastAsia" w:cs="宋体"/>
                <w:i w:val="0"/>
                <w:iCs w:val="0"/>
                <w:color w:val="auto"/>
                <w:kern w:val="0"/>
                <w:sz w:val="21"/>
                <w:szCs w:val="21"/>
                <w:u w:val="none"/>
                <w:lang w:val="en-US" w:eastAsia="zh-CN" w:bidi="ar"/>
              </w:rPr>
              <w:t>8</w:t>
            </w:r>
          </w:p>
        </w:tc>
        <w:tc>
          <w:tcPr>
            <w:tcW w:w="830" w:type="pct"/>
            <w:gridSpan w:val="2"/>
            <w:tcBorders>
              <w:tl2br w:val="nil"/>
              <w:tr2bl w:val="nil"/>
            </w:tcBorders>
            <w:shd w:val="clear" w:color="auto" w:fill="auto"/>
            <w:noWrap/>
            <w:vAlign w:val="center"/>
          </w:tcPr>
          <w:p w14:paraId="56A62A5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烧烤汁</w:t>
            </w:r>
          </w:p>
        </w:tc>
        <w:tc>
          <w:tcPr>
            <w:tcW w:w="685" w:type="pct"/>
            <w:tcBorders>
              <w:tl2br w:val="nil"/>
              <w:tr2bl w:val="nil"/>
            </w:tcBorders>
            <w:shd w:val="clear" w:color="auto" w:fill="auto"/>
            <w:vAlign w:val="center"/>
          </w:tcPr>
          <w:p w14:paraId="096442A3">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20</w:t>
            </w:r>
          </w:p>
        </w:tc>
        <w:tc>
          <w:tcPr>
            <w:tcW w:w="974" w:type="pct"/>
            <w:tcBorders>
              <w:tl2br w:val="nil"/>
              <w:tr2bl w:val="nil"/>
            </w:tcBorders>
            <w:shd w:val="clear" w:color="auto" w:fill="auto"/>
            <w:noWrap/>
            <w:vAlign w:val="center"/>
          </w:tcPr>
          <w:p w14:paraId="22B3A531">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瓶(230毫升/瓶)</w:t>
            </w:r>
          </w:p>
        </w:tc>
        <w:tc>
          <w:tcPr>
            <w:tcW w:w="2140" w:type="pct"/>
            <w:vMerge w:val="continue"/>
            <w:tcBorders>
              <w:tl2br w:val="nil"/>
              <w:tr2bl w:val="nil"/>
            </w:tcBorders>
            <w:shd w:val="clear" w:color="auto" w:fill="auto"/>
            <w:vAlign w:val="center"/>
          </w:tcPr>
          <w:p w14:paraId="2491F4C1">
            <w:pPr>
              <w:jc w:val="left"/>
              <w:rPr>
                <w:rFonts w:hint="eastAsia"/>
                <w:lang w:bidi="ar"/>
              </w:rPr>
            </w:pPr>
          </w:p>
        </w:tc>
      </w:tr>
      <w:tr w14:paraId="052E5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705" w:type="dxa"/>
            <w:tcBorders>
              <w:tl2br w:val="nil"/>
              <w:tr2bl w:val="nil"/>
            </w:tcBorders>
            <w:shd w:val="clear" w:color="auto" w:fill="auto"/>
            <w:vAlign w:val="center"/>
          </w:tcPr>
          <w:p w14:paraId="53F1AE28">
            <w:pPr>
              <w:keepNext w:val="0"/>
              <w:keepLines w:val="0"/>
              <w:widowControl/>
              <w:suppressLineNumbers w:val="0"/>
              <w:spacing w:line="360" w:lineRule="auto"/>
              <w:jc w:val="center"/>
              <w:textAlignment w:val="center"/>
              <w:rPr>
                <w:rFonts w:hint="default" w:ascii="宋体" w:hAnsi="宋体" w:eastAsia="宋体" w:cs="宋体"/>
                <w:color w:val="auto"/>
                <w:sz w:val="21"/>
                <w:szCs w:val="21"/>
                <w:lang w:val="en-US"/>
              </w:rPr>
            </w:pPr>
            <w:r>
              <w:rPr>
                <w:rFonts w:hint="eastAsia" w:ascii="宋体" w:hAnsi="宋体" w:eastAsia="宋体" w:cs="宋体"/>
                <w:i w:val="0"/>
                <w:iCs w:val="0"/>
                <w:color w:val="auto"/>
                <w:kern w:val="0"/>
                <w:sz w:val="21"/>
                <w:szCs w:val="21"/>
                <w:u w:val="none"/>
                <w:lang w:val="en-US" w:eastAsia="zh-CN" w:bidi="ar"/>
              </w:rPr>
              <w:t>4</w:t>
            </w:r>
            <w:r>
              <w:rPr>
                <w:rFonts w:hint="eastAsia" w:cs="宋体"/>
                <w:i w:val="0"/>
                <w:iCs w:val="0"/>
                <w:color w:val="auto"/>
                <w:kern w:val="0"/>
                <w:sz w:val="21"/>
                <w:szCs w:val="21"/>
                <w:u w:val="none"/>
                <w:lang w:val="en-US" w:eastAsia="zh-CN" w:bidi="ar"/>
              </w:rPr>
              <w:t>9</w:t>
            </w:r>
          </w:p>
        </w:tc>
        <w:tc>
          <w:tcPr>
            <w:tcW w:w="830" w:type="pct"/>
            <w:gridSpan w:val="2"/>
            <w:tcBorders>
              <w:tl2br w:val="nil"/>
              <w:tr2bl w:val="nil"/>
            </w:tcBorders>
            <w:shd w:val="clear" w:color="auto" w:fill="auto"/>
            <w:noWrap/>
            <w:vAlign w:val="center"/>
          </w:tcPr>
          <w:p w14:paraId="006BCD3C">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粉丝</w:t>
            </w:r>
          </w:p>
        </w:tc>
        <w:tc>
          <w:tcPr>
            <w:tcW w:w="685" w:type="pct"/>
            <w:tcBorders>
              <w:tl2br w:val="nil"/>
              <w:tr2bl w:val="nil"/>
            </w:tcBorders>
            <w:shd w:val="clear" w:color="auto" w:fill="auto"/>
            <w:vAlign w:val="center"/>
          </w:tcPr>
          <w:p w14:paraId="3F62AE62">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100</w:t>
            </w:r>
          </w:p>
        </w:tc>
        <w:tc>
          <w:tcPr>
            <w:tcW w:w="974" w:type="pct"/>
            <w:tcBorders>
              <w:tl2br w:val="nil"/>
              <w:tr2bl w:val="nil"/>
            </w:tcBorders>
            <w:shd w:val="clear" w:color="auto" w:fill="auto"/>
            <w:noWrap/>
            <w:vAlign w:val="center"/>
          </w:tcPr>
          <w:p w14:paraId="2924BA3A">
            <w:pPr>
              <w:keepNext w:val="0"/>
              <w:keepLines w:val="0"/>
              <w:widowControl/>
              <w:suppressLineNumbers w:val="0"/>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公斤</w:t>
            </w:r>
          </w:p>
        </w:tc>
        <w:tc>
          <w:tcPr>
            <w:tcW w:w="2140" w:type="pct"/>
            <w:vMerge w:val="continue"/>
            <w:tcBorders>
              <w:tl2br w:val="nil"/>
              <w:tr2bl w:val="nil"/>
            </w:tcBorders>
            <w:shd w:val="clear" w:color="auto" w:fill="auto"/>
            <w:vAlign w:val="center"/>
          </w:tcPr>
          <w:p w14:paraId="1554E0BC">
            <w:pPr>
              <w:jc w:val="left"/>
              <w:rPr>
                <w:color w:val="000000"/>
              </w:rPr>
            </w:pPr>
          </w:p>
        </w:tc>
      </w:tr>
      <w:tr w14:paraId="58B43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000" w:type="pct"/>
            <w:gridSpan w:val="6"/>
            <w:tcBorders>
              <w:tl2br w:val="nil"/>
              <w:tr2bl w:val="nil"/>
            </w:tcBorders>
            <w:shd w:val="clear" w:color="auto" w:fill="auto"/>
            <w:vAlign w:val="center"/>
          </w:tcPr>
          <w:p w14:paraId="159AAC10">
            <w:pPr>
              <w:rPr>
                <w:rFonts w:hint="eastAsia" w:eastAsia="宋体"/>
                <w:lang w:eastAsia="zh-CN"/>
              </w:rPr>
            </w:pPr>
            <w:r>
              <w:rPr>
                <w:rFonts w:hint="eastAsia"/>
              </w:rPr>
              <w:t>注：</w:t>
            </w:r>
            <w:r>
              <w:rPr>
                <w:rFonts w:hint="eastAsia"/>
                <w:lang w:eastAsia="zh-CN"/>
              </w:rPr>
              <w:t>以上采购数量为采购人一年的预计采购量，上述采购数量仅作为参考，实际采购数量根据采购人的实际需求确定，并根据实际采购数量及中标单价进行结算，中标人不得因实际供应量与中标数量不一致提出异议，不得因实际供应中批次采购量小而拒绝供应。</w:t>
            </w:r>
          </w:p>
        </w:tc>
      </w:tr>
      <w:tr w14:paraId="5075D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5000" w:type="pct"/>
            <w:gridSpan w:val="6"/>
            <w:tcBorders>
              <w:tl2br w:val="nil"/>
              <w:tr2bl w:val="nil"/>
            </w:tcBorders>
            <w:shd w:val="clear" w:color="auto" w:fill="auto"/>
            <w:vAlign w:val="center"/>
          </w:tcPr>
          <w:p w14:paraId="414D0DCE">
            <w:pPr>
              <w:rPr>
                <w:bCs/>
                <w:color w:val="000000"/>
              </w:rPr>
            </w:pPr>
            <w:r>
              <w:rPr>
                <w:rFonts w:hint="eastAsia"/>
                <w:b/>
                <w:bCs/>
                <w:lang w:bidi="ar"/>
              </w:rPr>
              <w:t>▲</w:t>
            </w:r>
            <w:r>
              <w:rPr>
                <w:rFonts w:hint="eastAsia"/>
                <w:b/>
                <w:bCs/>
              </w:rPr>
              <w:t>二、商务条款</w:t>
            </w:r>
          </w:p>
        </w:tc>
      </w:tr>
      <w:tr w14:paraId="77C93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830" w:type="pct"/>
            <w:gridSpan w:val="2"/>
            <w:tcBorders>
              <w:tl2br w:val="nil"/>
              <w:tr2bl w:val="nil"/>
            </w:tcBorders>
            <w:shd w:val="clear" w:color="auto" w:fill="auto"/>
            <w:vAlign w:val="center"/>
          </w:tcPr>
          <w:p w14:paraId="6BAEF4C6">
            <w:pPr>
              <w:jc w:val="center"/>
            </w:pPr>
            <w:r>
              <w:rPr>
                <w:rFonts w:hint="eastAsia"/>
              </w:rPr>
              <w:t>合同签订期</w:t>
            </w:r>
          </w:p>
        </w:tc>
        <w:tc>
          <w:tcPr>
            <w:tcW w:w="4169" w:type="pct"/>
            <w:gridSpan w:val="4"/>
            <w:tcBorders>
              <w:tl2br w:val="nil"/>
              <w:tr2bl w:val="nil"/>
            </w:tcBorders>
            <w:shd w:val="clear" w:color="auto" w:fill="auto"/>
            <w:vAlign w:val="center"/>
          </w:tcPr>
          <w:p w14:paraId="304572EB">
            <w:r>
              <w:rPr>
                <w:rFonts w:hint="eastAsia"/>
              </w:rPr>
              <w:t>自中标通知书发出之日起25日历日内</w:t>
            </w:r>
          </w:p>
        </w:tc>
      </w:tr>
      <w:tr w14:paraId="24863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830" w:type="pct"/>
            <w:gridSpan w:val="2"/>
            <w:tcBorders>
              <w:tl2br w:val="nil"/>
              <w:tr2bl w:val="nil"/>
            </w:tcBorders>
            <w:shd w:val="clear" w:color="auto" w:fill="auto"/>
            <w:vAlign w:val="center"/>
          </w:tcPr>
          <w:p w14:paraId="381C446F">
            <w:pPr>
              <w:jc w:val="center"/>
            </w:pPr>
            <w:r>
              <w:rPr>
                <w:rFonts w:hint="eastAsia"/>
                <w:lang w:bidi="ar"/>
              </w:rPr>
              <w:t>投标报价要求</w:t>
            </w:r>
          </w:p>
        </w:tc>
        <w:tc>
          <w:tcPr>
            <w:tcW w:w="4169" w:type="pct"/>
            <w:gridSpan w:val="4"/>
            <w:tcBorders>
              <w:tl2br w:val="nil"/>
              <w:tr2bl w:val="nil"/>
            </w:tcBorders>
            <w:shd w:val="clear" w:color="auto" w:fill="auto"/>
            <w:vAlign w:val="center"/>
          </w:tcPr>
          <w:p w14:paraId="32CFF3E7">
            <w:pPr>
              <w:rPr>
                <w:rFonts w:hint="eastAsia" w:eastAsia="宋体"/>
                <w:lang w:eastAsia="zh-CN"/>
              </w:rPr>
            </w:pPr>
            <w:r>
              <w:rPr>
                <w:rFonts w:hint="eastAsia"/>
              </w:rPr>
              <w:t>1.</w:t>
            </w:r>
            <w:r>
              <w:rPr>
                <w:rFonts w:hint="eastAsia"/>
                <w:lang w:eastAsia="zh-CN"/>
              </w:rPr>
              <w:t>投标报价按投标折扣系数报价，实际结算单价为基准单价×投标报价折扣系数（例如某项货物基准单价为100元，折扣系数为95%，实际结算单价为100×95%=95元）。报价包括货物及服务采购、检验检测、包装、配送、运输、装卸、仓储、退换货、损耗、保险、人工、售后服务、税金等合同实施过程中的应预见和不可预见费用等所有费用总和。</w:t>
            </w:r>
          </w:p>
          <w:p w14:paraId="25DE83B5">
            <w:r>
              <w:rPr>
                <w:rFonts w:hint="eastAsia"/>
              </w:rPr>
              <w:t>2.投标报价折扣系数≤100%。</w:t>
            </w:r>
          </w:p>
        </w:tc>
      </w:tr>
      <w:tr w14:paraId="6EE90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830" w:type="pct"/>
            <w:gridSpan w:val="2"/>
            <w:tcBorders>
              <w:tl2br w:val="nil"/>
              <w:tr2bl w:val="nil"/>
            </w:tcBorders>
            <w:shd w:val="clear" w:color="auto" w:fill="auto"/>
            <w:vAlign w:val="center"/>
          </w:tcPr>
          <w:p w14:paraId="51ADEDB7">
            <w:pPr>
              <w:jc w:val="center"/>
            </w:pPr>
            <w:r>
              <w:rPr>
                <w:rFonts w:hint="eastAsia"/>
                <w:lang w:bidi="ar"/>
              </w:rPr>
              <w:t>质保期</w:t>
            </w:r>
          </w:p>
        </w:tc>
        <w:tc>
          <w:tcPr>
            <w:tcW w:w="4169" w:type="pct"/>
            <w:gridSpan w:val="4"/>
            <w:tcBorders>
              <w:tl2br w:val="nil"/>
              <w:tr2bl w:val="nil"/>
            </w:tcBorders>
            <w:shd w:val="clear" w:color="auto" w:fill="auto"/>
            <w:vAlign w:val="center"/>
          </w:tcPr>
          <w:p w14:paraId="4BD23B9B">
            <w:r>
              <w:rPr>
                <w:rFonts w:hint="eastAsia"/>
              </w:rPr>
              <w:t>生鲜类</w:t>
            </w:r>
            <w:r>
              <w:rPr>
                <w:rFonts w:hint="eastAsia" w:ascii="宋体" w:hAnsi="宋体" w:cs="宋体"/>
                <w:kern w:val="0"/>
                <w:szCs w:val="21"/>
              </w:rPr>
              <w:t>自每批次货物验收合格之日起计算，不少于24小时</w:t>
            </w:r>
            <w:r>
              <w:rPr>
                <w:rFonts w:hint="eastAsia"/>
              </w:rPr>
              <w:t>，其它按国家及厂家有关产品“三包”规定执行“三包”。</w:t>
            </w:r>
          </w:p>
        </w:tc>
      </w:tr>
      <w:tr w14:paraId="6E7E8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830" w:type="pct"/>
            <w:gridSpan w:val="2"/>
            <w:tcBorders>
              <w:tl2br w:val="nil"/>
              <w:tr2bl w:val="nil"/>
            </w:tcBorders>
            <w:shd w:val="clear" w:color="auto" w:fill="auto"/>
            <w:vAlign w:val="center"/>
          </w:tcPr>
          <w:p w14:paraId="3BFD6C0C">
            <w:pPr>
              <w:jc w:val="center"/>
              <w:rPr>
                <w:rFonts w:hint="eastAsia" w:eastAsia="宋体"/>
                <w:lang w:eastAsia="zh-CN"/>
              </w:rPr>
            </w:pPr>
            <w:r>
              <w:rPr>
                <w:rFonts w:hint="eastAsia"/>
                <w:lang w:bidi="ar"/>
              </w:rPr>
              <w:t>交货时间及交货地点、</w:t>
            </w:r>
            <w:r>
              <w:rPr>
                <w:rFonts w:hint="eastAsia"/>
                <w:lang w:eastAsia="zh-CN" w:bidi="ar"/>
              </w:rPr>
              <w:t>合同履行期限</w:t>
            </w:r>
          </w:p>
        </w:tc>
        <w:tc>
          <w:tcPr>
            <w:tcW w:w="4169" w:type="pct"/>
            <w:gridSpan w:val="4"/>
            <w:tcBorders>
              <w:tl2br w:val="nil"/>
              <w:tr2bl w:val="nil"/>
            </w:tcBorders>
            <w:shd w:val="clear" w:color="auto" w:fill="auto"/>
            <w:vAlign w:val="center"/>
          </w:tcPr>
          <w:p w14:paraId="2325AC3D">
            <w:pPr>
              <w:rPr>
                <w:rFonts w:hint="eastAsia" w:eastAsia="宋体"/>
                <w:lang w:eastAsia="zh-CN"/>
              </w:rPr>
            </w:pPr>
            <w:r>
              <w:rPr>
                <w:rFonts w:hint="eastAsia"/>
              </w:rPr>
              <w:t>1.交货时间：</w:t>
            </w:r>
            <w:r>
              <w:rPr>
                <w:rFonts w:hint="eastAsia"/>
                <w:lang w:eastAsia="zh-CN"/>
              </w:rPr>
              <w:t>分批次供货，按采购单位采购计划规定的时间全年无休供货。</w:t>
            </w:r>
          </w:p>
          <w:p w14:paraId="746295FE">
            <w:r>
              <w:rPr>
                <w:rFonts w:hint="eastAsia"/>
              </w:rPr>
              <w:t>2.交货地点：</w:t>
            </w:r>
            <w:r>
              <w:rPr>
                <w:rFonts w:hint="eastAsia"/>
                <w:lang w:eastAsia="zh-CN"/>
              </w:rPr>
              <w:t>广西壮族自治区贵港监狱监管区</w:t>
            </w:r>
            <w:r>
              <w:rPr>
                <w:rFonts w:hint="eastAsia"/>
              </w:rPr>
              <w:t>。</w:t>
            </w:r>
          </w:p>
          <w:p w14:paraId="3B081E83">
            <w:pPr>
              <w:rPr>
                <w:rFonts w:hint="eastAsia" w:eastAsia="宋体"/>
                <w:lang w:eastAsia="zh-CN"/>
              </w:rPr>
            </w:pPr>
            <w:r>
              <w:rPr>
                <w:rFonts w:hint="eastAsia"/>
              </w:rPr>
              <w:t>3.</w:t>
            </w:r>
            <w:r>
              <w:rPr>
                <w:rFonts w:hint="eastAsia"/>
                <w:lang w:eastAsia="zh-CN"/>
              </w:rPr>
              <w:t>合同履行期限</w:t>
            </w:r>
            <w:r>
              <w:rPr>
                <w:rFonts w:hint="eastAsia"/>
              </w:rPr>
              <w:t>：</w:t>
            </w:r>
            <w:r>
              <w:rPr>
                <w:rFonts w:hint="eastAsia"/>
                <w:lang w:eastAsia="zh-CN"/>
              </w:rPr>
              <w:t>自签订合同之日起一年。</w:t>
            </w:r>
          </w:p>
        </w:tc>
      </w:tr>
      <w:tr w14:paraId="1E244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830" w:type="pct"/>
            <w:gridSpan w:val="2"/>
            <w:tcBorders>
              <w:tl2br w:val="nil"/>
              <w:tr2bl w:val="nil"/>
            </w:tcBorders>
            <w:shd w:val="clear" w:color="auto" w:fill="auto"/>
            <w:vAlign w:val="center"/>
          </w:tcPr>
          <w:p w14:paraId="47AF25C6">
            <w:pPr>
              <w:jc w:val="center"/>
            </w:pPr>
            <w:r>
              <w:rPr>
                <w:rFonts w:hint="eastAsia"/>
                <w:lang w:bidi="ar"/>
              </w:rPr>
              <w:t>付款条件</w:t>
            </w:r>
          </w:p>
        </w:tc>
        <w:tc>
          <w:tcPr>
            <w:tcW w:w="4169" w:type="pct"/>
            <w:gridSpan w:val="4"/>
            <w:tcBorders>
              <w:tl2br w:val="nil"/>
              <w:tr2bl w:val="nil"/>
            </w:tcBorders>
            <w:shd w:val="clear" w:color="auto" w:fill="auto"/>
            <w:vAlign w:val="center"/>
          </w:tcPr>
          <w:p w14:paraId="1DC2B2CA">
            <w:pPr>
              <w:rPr>
                <w:rFonts w:hint="eastAsia" w:eastAsia="宋体"/>
                <w:lang w:eastAsia="zh-CN"/>
              </w:rPr>
            </w:pPr>
            <w:r>
              <w:rPr>
                <w:rFonts w:hint="eastAsia"/>
              </w:rPr>
              <w:t>1.</w:t>
            </w:r>
            <w:r>
              <w:rPr>
                <w:rFonts w:hint="eastAsia"/>
                <w:lang w:eastAsia="zh-CN"/>
              </w:rPr>
              <w:t>分批供货，每批次货款根据双方确认的单价及该批次的实际供货数量进行结算。</w:t>
            </w:r>
          </w:p>
          <w:p w14:paraId="0A6C217D">
            <w:pPr>
              <w:rPr>
                <w:rFonts w:hint="eastAsia" w:eastAsia="宋体"/>
                <w:lang w:eastAsia="zh-CN"/>
              </w:rPr>
            </w:pPr>
            <w:r>
              <w:rPr>
                <w:rFonts w:hint="eastAsia"/>
              </w:rPr>
              <w:t>2.</w:t>
            </w:r>
            <w:r>
              <w:rPr>
                <w:rFonts w:hint="eastAsia"/>
                <w:lang w:eastAsia="zh-CN"/>
              </w:rPr>
              <w:t>按月结算，采购人在收到</w:t>
            </w:r>
            <w:r>
              <w:rPr>
                <w:rFonts w:hint="eastAsia"/>
                <w:lang w:val="en-US" w:eastAsia="zh-CN"/>
              </w:rPr>
              <w:t>中</w:t>
            </w:r>
            <w:r>
              <w:rPr>
                <w:rFonts w:hint="eastAsia"/>
                <w:lang w:eastAsia="zh-CN"/>
              </w:rPr>
              <w:t>标人上月全额发票后15个工作日内向</w:t>
            </w:r>
            <w:r>
              <w:rPr>
                <w:rFonts w:hint="eastAsia"/>
                <w:lang w:val="en-US" w:eastAsia="zh-CN"/>
              </w:rPr>
              <w:t>中</w:t>
            </w:r>
            <w:r>
              <w:rPr>
                <w:rFonts w:hint="eastAsia"/>
                <w:lang w:eastAsia="zh-CN"/>
              </w:rPr>
              <w:t>标人一次付清上月货物的全部货款。</w:t>
            </w:r>
          </w:p>
        </w:tc>
      </w:tr>
      <w:tr w14:paraId="50876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830" w:type="pct"/>
            <w:gridSpan w:val="2"/>
            <w:tcBorders>
              <w:tl2br w:val="nil"/>
              <w:tr2bl w:val="nil"/>
            </w:tcBorders>
            <w:shd w:val="clear" w:color="auto" w:fill="auto"/>
            <w:vAlign w:val="center"/>
          </w:tcPr>
          <w:p w14:paraId="694C515F">
            <w:pPr>
              <w:jc w:val="center"/>
            </w:pPr>
            <w:r>
              <w:rPr>
                <w:rFonts w:hint="eastAsia"/>
                <w:lang w:bidi="ar"/>
              </w:rPr>
              <w:t>配送要求</w:t>
            </w:r>
          </w:p>
        </w:tc>
        <w:tc>
          <w:tcPr>
            <w:tcW w:w="4169" w:type="pct"/>
            <w:gridSpan w:val="4"/>
            <w:tcBorders>
              <w:tl2br w:val="nil"/>
              <w:tr2bl w:val="nil"/>
            </w:tcBorders>
            <w:shd w:val="clear" w:color="auto" w:fill="auto"/>
            <w:vAlign w:val="center"/>
          </w:tcPr>
          <w:p w14:paraId="0AAEB1A7">
            <w:pPr>
              <w:rPr>
                <w:rFonts w:hint="eastAsia" w:eastAsia="宋体"/>
                <w:lang w:eastAsia="zh-CN"/>
              </w:rPr>
            </w:pPr>
            <w:r>
              <w:rPr>
                <w:rFonts w:hint="eastAsia"/>
              </w:rPr>
              <w:t>1.</w:t>
            </w:r>
            <w:r>
              <w:rPr>
                <w:rFonts w:hint="eastAsia"/>
                <w:lang w:eastAsia="zh-CN"/>
              </w:rPr>
              <w:t>中标人必须按照采购人通知的时间、数量、品种、品质要求及协定的价格，按采购人要求分装好准时送货，经验收合格后双方签字确认，中标人不能以任何理由推托，一旦影响到采购人工作的正常运转，中标人应承担相应的经济赔偿。临时性增加的品种，并签订书面补充协议，方可作为主合同不可分割的一部分。</w:t>
            </w:r>
          </w:p>
          <w:p w14:paraId="1D7FD8F7">
            <w:pPr>
              <w:rPr>
                <w:rFonts w:hint="eastAsia" w:eastAsia="宋体"/>
                <w:lang w:eastAsia="zh-CN"/>
              </w:rPr>
            </w:pPr>
            <w:r>
              <w:rPr>
                <w:rFonts w:hint="eastAsia"/>
              </w:rPr>
              <w:t>2.</w:t>
            </w:r>
            <w:r>
              <w:rPr>
                <w:rFonts w:hint="eastAsia"/>
                <w:lang w:eastAsia="zh-CN"/>
              </w:rPr>
              <w:t>一般供货要求：在收到采购人发出订货通知后，中标人最迟在次日上午8时前必须到达监管区大门。</w:t>
            </w:r>
          </w:p>
          <w:p w14:paraId="5E3B350D">
            <w:pPr>
              <w:rPr>
                <w:rFonts w:hint="eastAsia" w:eastAsia="宋体"/>
                <w:lang w:eastAsia="zh-CN"/>
              </w:rPr>
            </w:pPr>
            <w:r>
              <w:rPr>
                <w:rFonts w:hint="eastAsia"/>
              </w:rPr>
              <w:t>3.紧急供货要求：</w:t>
            </w:r>
            <w:r>
              <w:rPr>
                <w:rFonts w:hint="eastAsia"/>
                <w:lang w:eastAsia="zh-CN"/>
              </w:rPr>
              <w:t>在收到采购人发出紧急供货通知后，中标人最迟2小时内完成当次现场供货。</w:t>
            </w:r>
          </w:p>
          <w:p w14:paraId="796E1A2F">
            <w:r>
              <w:rPr>
                <w:rFonts w:hint="eastAsia"/>
              </w:rPr>
              <w:t>4.</w:t>
            </w:r>
            <w:r>
              <w:rPr>
                <w:rFonts w:hint="eastAsia"/>
                <w:lang w:eastAsia="zh-CN" w:bidi="ar"/>
              </w:rPr>
              <w:t>供应商必须安排至少2名固定配送人员及固定配送车辆长期送货，配送人员无犯罪记录，在办理好进入监区相关手续时提供无犯罪证明且后不得随意变动，如临时由非固定人员或固定车辆送货，须提前取得采购人同意。</w:t>
            </w:r>
          </w:p>
          <w:p w14:paraId="6A23AAD4">
            <w:r>
              <w:rPr>
                <w:rFonts w:hint="eastAsia"/>
              </w:rPr>
              <w:t>5.</w:t>
            </w:r>
            <w:r>
              <w:rPr>
                <w:rFonts w:hint="eastAsia"/>
                <w:lang w:bidi="ar"/>
              </w:rPr>
              <w:t>配送人员</w:t>
            </w:r>
            <w:r>
              <w:rPr>
                <w:rFonts w:hint="eastAsia"/>
                <w:lang w:val="en-US" w:eastAsia="zh-CN" w:bidi="ar"/>
              </w:rPr>
              <w:t>自觉</w:t>
            </w:r>
            <w:r>
              <w:rPr>
                <w:rFonts w:hint="eastAsia"/>
                <w:lang w:bidi="ar"/>
              </w:rPr>
              <w:t>接受采购</w:t>
            </w:r>
            <w:r>
              <w:rPr>
                <w:rFonts w:hint="eastAsia"/>
                <w:lang w:val="en-US" w:eastAsia="zh-CN" w:bidi="ar"/>
              </w:rPr>
              <w:t>人</w:t>
            </w:r>
            <w:r>
              <w:rPr>
                <w:rFonts w:hint="eastAsia"/>
                <w:lang w:bidi="ar"/>
              </w:rPr>
              <w:t>的现场管理，</w:t>
            </w:r>
            <w:r>
              <w:rPr>
                <w:rFonts w:hint="eastAsia"/>
                <w:lang w:val="en-US" w:eastAsia="zh-CN" w:bidi="ar"/>
              </w:rPr>
              <w:t>应</w:t>
            </w:r>
            <w:r>
              <w:rPr>
                <w:rFonts w:hint="eastAsia"/>
                <w:lang w:bidi="ar"/>
              </w:rPr>
              <w:t>穿着便于辨认的工衣或配戴胸卡，严格遵守采购人单位各项规章制度，</w:t>
            </w:r>
            <w:r>
              <w:rPr>
                <w:rFonts w:hint="eastAsia"/>
                <w:lang w:val="en-US" w:eastAsia="zh-CN" w:bidi="ar"/>
              </w:rPr>
              <w:t>不得携带违禁物品进入监狱监管区域，</w:t>
            </w:r>
            <w:r>
              <w:rPr>
                <w:rFonts w:hint="eastAsia"/>
                <w:lang w:bidi="ar"/>
              </w:rPr>
              <w:t>不得做出有损采购人形象和利益的事情</w:t>
            </w:r>
            <w:r>
              <w:rPr>
                <w:rFonts w:hint="eastAsia"/>
                <w:lang w:eastAsia="zh-CN" w:bidi="ar"/>
              </w:rPr>
              <w:t>。</w:t>
            </w:r>
            <w:r>
              <w:rPr>
                <w:rFonts w:hint="eastAsia"/>
                <w:lang w:bidi="ar"/>
              </w:rPr>
              <w:t>配送人员应当了解本项目采购需求，掌握送货各环节流程，熟悉送货路线、标准送货程序</w:t>
            </w:r>
            <w:r>
              <w:rPr>
                <w:rFonts w:hint="eastAsia"/>
                <w:lang w:eastAsia="zh-CN" w:bidi="ar"/>
              </w:rPr>
              <w:t>，</w:t>
            </w:r>
            <w:r>
              <w:rPr>
                <w:rFonts w:hint="eastAsia"/>
                <w:lang w:bidi="ar"/>
              </w:rPr>
              <w:t>安全</w:t>
            </w:r>
            <w:r>
              <w:rPr>
                <w:rFonts w:hint="eastAsia"/>
                <w:lang w:eastAsia="zh-CN" w:bidi="ar"/>
              </w:rPr>
              <w:t>、</w:t>
            </w:r>
            <w:r>
              <w:rPr>
                <w:rFonts w:hint="eastAsia"/>
                <w:lang w:bidi="ar"/>
              </w:rPr>
              <w:t>规范</w:t>
            </w:r>
            <w:r>
              <w:rPr>
                <w:rFonts w:hint="eastAsia"/>
                <w:lang w:eastAsia="zh-CN" w:bidi="ar"/>
              </w:rPr>
              <w:t>、</w:t>
            </w:r>
            <w:r>
              <w:rPr>
                <w:rFonts w:hint="eastAsia"/>
                <w:lang w:bidi="ar"/>
              </w:rPr>
              <w:t>高效做好送货工作。对于配送工作不认真，态度恶劣的配送人员，采购</w:t>
            </w:r>
            <w:r>
              <w:rPr>
                <w:rFonts w:hint="eastAsia"/>
                <w:lang w:val="en-US" w:eastAsia="zh-CN" w:bidi="ar"/>
              </w:rPr>
              <w:t>人</w:t>
            </w:r>
            <w:r>
              <w:rPr>
                <w:rFonts w:hint="eastAsia"/>
                <w:lang w:bidi="ar"/>
              </w:rPr>
              <w:t>有权要求</w:t>
            </w:r>
            <w:r>
              <w:rPr>
                <w:rFonts w:hint="eastAsia"/>
                <w:lang w:val="en-US" w:eastAsia="zh-CN" w:bidi="ar"/>
              </w:rPr>
              <w:t>中标人</w:t>
            </w:r>
            <w:r>
              <w:rPr>
                <w:rFonts w:hint="eastAsia"/>
                <w:lang w:bidi="ar"/>
              </w:rPr>
              <w:t>无条件更换人员，且不能影响</w:t>
            </w:r>
            <w:r>
              <w:rPr>
                <w:rFonts w:hint="eastAsia"/>
                <w:lang w:val="en-US" w:eastAsia="zh-CN" w:bidi="ar"/>
              </w:rPr>
              <w:t>采购人</w:t>
            </w:r>
            <w:r>
              <w:rPr>
                <w:rFonts w:hint="eastAsia"/>
                <w:lang w:eastAsia="zh-CN" w:bidi="ar"/>
              </w:rPr>
              <w:t>工作的正常运转。</w:t>
            </w:r>
            <w:r>
              <w:rPr>
                <w:rFonts w:hint="eastAsia"/>
                <w:lang w:val="en-US" w:eastAsia="zh-CN" w:bidi="ar"/>
              </w:rPr>
              <w:t>如因</w:t>
            </w:r>
            <w:r>
              <w:rPr>
                <w:rFonts w:hint="eastAsia"/>
                <w:lang w:bidi="ar"/>
              </w:rPr>
              <w:t>配送人员因离职等</w:t>
            </w:r>
            <w:r>
              <w:rPr>
                <w:rFonts w:hint="eastAsia"/>
                <w:lang w:val="en-US" w:eastAsia="zh-CN" w:bidi="ar"/>
              </w:rPr>
              <w:t>客观原因确实</w:t>
            </w:r>
            <w:r>
              <w:rPr>
                <w:rFonts w:hint="eastAsia"/>
                <w:lang w:bidi="ar"/>
              </w:rPr>
              <w:t>需要更换人员的，须提前7个工作日内向采购</w:t>
            </w:r>
            <w:r>
              <w:rPr>
                <w:rFonts w:hint="eastAsia"/>
                <w:lang w:val="en-US" w:eastAsia="zh-CN" w:bidi="ar"/>
              </w:rPr>
              <w:t>人</w:t>
            </w:r>
            <w:r>
              <w:rPr>
                <w:rFonts w:hint="eastAsia"/>
                <w:lang w:bidi="ar"/>
              </w:rPr>
              <w:t>提出申请，经采购</w:t>
            </w:r>
            <w:r>
              <w:rPr>
                <w:rFonts w:hint="eastAsia"/>
                <w:lang w:val="en-US" w:eastAsia="zh-CN" w:bidi="ar"/>
              </w:rPr>
              <w:t>人同意</w:t>
            </w:r>
            <w:r>
              <w:rPr>
                <w:rFonts w:hint="eastAsia"/>
                <w:lang w:bidi="ar"/>
              </w:rPr>
              <w:t>后，</w:t>
            </w:r>
            <w:r>
              <w:rPr>
                <w:rFonts w:hint="eastAsia"/>
                <w:lang w:val="en-US" w:eastAsia="zh-CN" w:bidi="ar"/>
              </w:rPr>
              <w:t>中标人</w:t>
            </w:r>
            <w:r>
              <w:rPr>
                <w:rFonts w:hint="eastAsia"/>
                <w:lang w:bidi="ar"/>
              </w:rPr>
              <w:t>方可</w:t>
            </w:r>
            <w:r>
              <w:rPr>
                <w:rFonts w:hint="eastAsia"/>
                <w:lang w:val="en-US" w:eastAsia="zh-CN" w:bidi="ar"/>
              </w:rPr>
              <w:t>更</w:t>
            </w:r>
            <w:r>
              <w:rPr>
                <w:rFonts w:hint="eastAsia"/>
                <w:lang w:bidi="ar"/>
              </w:rPr>
              <w:t>换</w:t>
            </w:r>
            <w:r>
              <w:rPr>
                <w:rFonts w:hint="eastAsia"/>
                <w:lang w:eastAsia="zh-CN" w:bidi="ar"/>
              </w:rPr>
              <w:t>人员</w:t>
            </w:r>
            <w:r>
              <w:rPr>
                <w:rFonts w:hint="eastAsia"/>
                <w:lang w:bidi="ar"/>
              </w:rPr>
              <w:t>，并确保配送工作的稳定交接。</w:t>
            </w:r>
          </w:p>
        </w:tc>
      </w:tr>
      <w:tr w14:paraId="3766C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830" w:type="pct"/>
            <w:gridSpan w:val="2"/>
            <w:tcBorders>
              <w:tl2br w:val="nil"/>
              <w:tr2bl w:val="nil"/>
            </w:tcBorders>
            <w:shd w:val="clear" w:color="auto" w:fill="auto"/>
            <w:vAlign w:val="center"/>
          </w:tcPr>
          <w:p w14:paraId="13481FC9">
            <w:pPr>
              <w:jc w:val="center"/>
            </w:pPr>
            <w:r>
              <w:rPr>
                <w:rFonts w:hint="eastAsia"/>
                <w:lang w:bidi="ar"/>
              </w:rPr>
              <w:t>安全责任</w:t>
            </w:r>
          </w:p>
        </w:tc>
        <w:tc>
          <w:tcPr>
            <w:tcW w:w="4169" w:type="pct"/>
            <w:gridSpan w:val="4"/>
            <w:tcBorders>
              <w:tl2br w:val="nil"/>
              <w:tr2bl w:val="nil"/>
            </w:tcBorders>
            <w:shd w:val="clear" w:color="auto" w:fill="auto"/>
            <w:vAlign w:val="center"/>
          </w:tcPr>
          <w:p w14:paraId="32649E30">
            <w:pPr>
              <w:rPr>
                <w:rFonts w:hint="eastAsia"/>
              </w:rPr>
            </w:pPr>
            <w:r>
              <w:rPr>
                <w:rFonts w:hint="eastAsia"/>
              </w:rPr>
              <w:t>1.中标人提供</w:t>
            </w:r>
            <w:r>
              <w:rPr>
                <w:rFonts w:hint="eastAsia"/>
                <w:lang w:val="en-US" w:eastAsia="zh-CN"/>
              </w:rPr>
              <w:t>食品必须</w:t>
            </w:r>
            <w:r>
              <w:rPr>
                <w:rFonts w:hint="eastAsia"/>
              </w:rPr>
              <w:t>是合格安全的产品</w:t>
            </w:r>
            <w:r>
              <w:rPr>
                <w:rFonts w:hint="eastAsia"/>
                <w:lang w:eastAsia="zh-CN"/>
              </w:rPr>
              <w:t>，</w:t>
            </w:r>
            <w:r>
              <w:rPr>
                <w:rFonts w:hint="eastAsia"/>
                <w:lang w:val="en-US" w:eastAsia="zh-CN"/>
              </w:rPr>
              <w:t>如出现</w:t>
            </w:r>
            <w:r>
              <w:rPr>
                <w:rFonts w:hint="eastAsia"/>
              </w:rPr>
              <w:t>质量不合格的食品，采购人有权要求无条件退货并及时换货，第一次按配送金额全额赔偿损失，第二次按配送金额的2倍赔偿损失，第三次采购</w:t>
            </w:r>
            <w:r>
              <w:rPr>
                <w:rFonts w:hint="eastAsia"/>
                <w:lang w:val="en-US" w:eastAsia="zh-CN"/>
              </w:rPr>
              <w:t>人有权单方</w:t>
            </w:r>
            <w:r>
              <w:rPr>
                <w:rFonts w:hint="eastAsia"/>
              </w:rPr>
              <w:t>终止合同并扣罚所有的履约保证金。</w:t>
            </w:r>
            <w:r>
              <w:rPr>
                <w:rFonts w:hint="eastAsia"/>
                <w:lang w:val="en-US" w:eastAsia="zh-CN"/>
              </w:rPr>
              <w:t>如中标人因</w:t>
            </w:r>
            <w:r>
              <w:rPr>
                <w:rFonts w:hint="eastAsia"/>
              </w:rPr>
              <w:t>非不可抗力原因故意不供货的，采购人可随时无条件终止合同并扣罚所有的履约保证金。</w:t>
            </w:r>
          </w:p>
          <w:p w14:paraId="0F9B2CEF">
            <w:pPr>
              <w:rPr>
                <w:rFonts w:hint="eastAsia"/>
              </w:rPr>
            </w:pPr>
            <w:r>
              <w:rPr>
                <w:rFonts w:hint="eastAsia"/>
              </w:rPr>
              <w:t>2.中标人若提供有毒有害食品，造成食品安全事故的，经有关单位鉴定原因后，如确实为中标人提供的食品问题</w:t>
            </w:r>
            <w:r>
              <w:rPr>
                <w:rFonts w:hint="eastAsia"/>
                <w:lang w:val="en-US" w:eastAsia="zh-CN"/>
              </w:rPr>
              <w:t>造成的</w:t>
            </w:r>
            <w:r>
              <w:rPr>
                <w:rFonts w:hint="eastAsia"/>
              </w:rPr>
              <w:t>，中标人须</w:t>
            </w:r>
            <w:r>
              <w:rPr>
                <w:rFonts w:hint="eastAsia"/>
                <w:lang w:val="en-US" w:eastAsia="zh-CN"/>
              </w:rPr>
              <w:t>承担相关的</w:t>
            </w:r>
            <w:r>
              <w:rPr>
                <w:rFonts w:hint="eastAsia"/>
              </w:rPr>
              <w:t>住院费、医药费、护理费、护工费等</w:t>
            </w:r>
            <w:r>
              <w:rPr>
                <w:rFonts w:hint="eastAsia"/>
                <w:lang w:val="en-US" w:eastAsia="zh-CN"/>
              </w:rPr>
              <w:t>全额</w:t>
            </w:r>
            <w:r>
              <w:rPr>
                <w:rFonts w:hint="eastAsia"/>
              </w:rPr>
              <w:t>费用</w:t>
            </w:r>
            <w:r>
              <w:rPr>
                <w:rFonts w:hint="eastAsia"/>
                <w:lang w:eastAsia="zh-CN"/>
              </w:rPr>
              <w:t>。</w:t>
            </w:r>
            <w:r>
              <w:rPr>
                <w:rFonts w:hint="eastAsia"/>
                <w:lang w:val="en-US" w:eastAsia="zh-CN"/>
              </w:rPr>
              <w:t>同时</w:t>
            </w:r>
            <w:r>
              <w:rPr>
                <w:rFonts w:hint="eastAsia"/>
              </w:rPr>
              <w:t>采购人</w:t>
            </w:r>
            <w:r>
              <w:rPr>
                <w:rFonts w:hint="eastAsia"/>
                <w:lang w:val="en-US" w:eastAsia="zh-CN"/>
              </w:rPr>
              <w:t>有权</w:t>
            </w:r>
            <w:r>
              <w:rPr>
                <w:rFonts w:hint="eastAsia"/>
              </w:rPr>
              <w:t>取消中标人的供货资格，扣罚</w:t>
            </w:r>
            <w:r>
              <w:rPr>
                <w:rFonts w:hint="eastAsia"/>
                <w:lang w:val="en-US" w:eastAsia="zh-CN"/>
              </w:rPr>
              <w:t>所有</w:t>
            </w:r>
            <w:r>
              <w:rPr>
                <w:rFonts w:hint="eastAsia"/>
              </w:rPr>
              <w:t>履约保证金，中标人</w:t>
            </w:r>
            <w:r>
              <w:rPr>
                <w:rFonts w:hint="eastAsia"/>
                <w:lang w:val="en-US" w:eastAsia="zh-CN"/>
              </w:rPr>
              <w:t>还应</w:t>
            </w:r>
            <w:r>
              <w:rPr>
                <w:rFonts w:hint="eastAsia"/>
              </w:rPr>
              <w:t>承担相应的民事及刑事法律责任。采购人可以扣留中标人的货款用于支付中标人</w:t>
            </w:r>
            <w:r>
              <w:rPr>
                <w:rFonts w:hint="eastAsia"/>
                <w:lang w:val="en-US" w:eastAsia="zh-CN"/>
              </w:rPr>
              <w:t>承担</w:t>
            </w:r>
            <w:r>
              <w:rPr>
                <w:rFonts w:hint="eastAsia"/>
              </w:rPr>
              <w:t>的住院费、医药费、护理费、护工费等</w:t>
            </w:r>
            <w:r>
              <w:rPr>
                <w:rFonts w:hint="eastAsia"/>
                <w:lang w:val="en-US" w:eastAsia="zh-CN"/>
              </w:rPr>
              <w:t>相关</w:t>
            </w:r>
            <w:r>
              <w:rPr>
                <w:rFonts w:hint="eastAsia"/>
              </w:rPr>
              <w:t>费用。</w:t>
            </w:r>
          </w:p>
          <w:p w14:paraId="2E5C971A">
            <w:pPr>
              <w:rPr>
                <w:rFonts w:hint="eastAsia"/>
                <w:lang w:val="en-US" w:eastAsia="zh-CN"/>
              </w:rPr>
            </w:pPr>
            <w:r>
              <w:rPr>
                <w:rFonts w:hint="eastAsia"/>
                <w:lang w:val="en-US" w:eastAsia="zh-CN"/>
              </w:rPr>
              <w:t>3.中标人故意提供假冒伪劣、过期、变质食品的，采购人可以拒付未付的所有货款，并扣罚所有履约保证金，同时采购人可以终止合同。</w:t>
            </w:r>
          </w:p>
          <w:p w14:paraId="4A265CAB">
            <w:pPr>
              <w:rPr>
                <w:rFonts w:hint="default"/>
                <w:lang w:val="en-US"/>
              </w:rPr>
            </w:pPr>
            <w:r>
              <w:rPr>
                <w:rFonts w:hint="eastAsia"/>
                <w:lang w:val="en-US" w:eastAsia="zh-CN"/>
              </w:rPr>
              <w:t>4.不得采用金属制品、玻璃制品等危险包装。</w:t>
            </w:r>
          </w:p>
        </w:tc>
      </w:tr>
      <w:tr w14:paraId="67021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830" w:type="pct"/>
            <w:gridSpan w:val="2"/>
            <w:tcBorders>
              <w:tl2br w:val="nil"/>
              <w:tr2bl w:val="nil"/>
            </w:tcBorders>
            <w:shd w:val="clear" w:color="auto" w:fill="auto"/>
            <w:vAlign w:val="center"/>
          </w:tcPr>
          <w:p w14:paraId="324F1F3F">
            <w:pPr>
              <w:jc w:val="center"/>
            </w:pPr>
            <w:r>
              <w:rPr>
                <w:rFonts w:hint="eastAsia"/>
                <w:lang w:bidi="ar"/>
              </w:rPr>
              <w:t>售后服务要求</w:t>
            </w:r>
          </w:p>
        </w:tc>
        <w:tc>
          <w:tcPr>
            <w:tcW w:w="4169" w:type="pct"/>
            <w:gridSpan w:val="4"/>
            <w:tcBorders>
              <w:tl2br w:val="nil"/>
              <w:tr2bl w:val="nil"/>
            </w:tcBorders>
            <w:shd w:val="clear" w:color="auto" w:fill="auto"/>
            <w:vAlign w:val="center"/>
          </w:tcPr>
          <w:p w14:paraId="7F14C2A2">
            <w:pPr>
              <w:rPr>
                <w:lang w:bidi="ar"/>
              </w:rPr>
            </w:pPr>
            <w:r>
              <w:rPr>
                <w:rFonts w:hint="eastAsia"/>
                <w:lang w:bidi="ar"/>
              </w:rPr>
              <w:t>1.</w:t>
            </w:r>
            <w:r>
              <w:rPr>
                <w:rFonts w:hint="eastAsia" w:ascii="宋体" w:hAnsi="宋体" w:eastAsia="宋体" w:cs="宋体"/>
                <w:color w:val="auto"/>
                <w:kern w:val="0"/>
                <w:szCs w:val="21"/>
              </w:rPr>
              <w:t>属于国家规定“三包”范围</w:t>
            </w:r>
            <w:r>
              <w:rPr>
                <w:rFonts w:hint="eastAsia" w:ascii="宋体" w:hAnsi="宋体" w:eastAsia="宋体" w:cs="宋体"/>
                <w:color w:val="auto"/>
                <w:kern w:val="0"/>
                <w:szCs w:val="21"/>
                <w:lang w:val="en-US" w:eastAsia="zh-CN"/>
              </w:rPr>
              <w:t>执行</w:t>
            </w:r>
            <w:r>
              <w:rPr>
                <w:rFonts w:hint="eastAsia"/>
                <w:lang w:bidi="ar"/>
              </w:rPr>
              <w:t>“三包”；</w:t>
            </w:r>
          </w:p>
          <w:p w14:paraId="44D4AD36">
            <w:pPr>
              <w:rPr>
                <w:lang w:bidi="ar"/>
              </w:rPr>
            </w:pPr>
            <w:r>
              <w:rPr>
                <w:rFonts w:hint="eastAsia"/>
                <w:lang w:bidi="ar"/>
              </w:rPr>
              <w:t>2.</w:t>
            </w:r>
            <w:r>
              <w:rPr>
                <w:rFonts w:hint="eastAsia"/>
                <w:lang w:val="en-US" w:eastAsia="zh-CN" w:bidi="ar"/>
              </w:rPr>
              <w:t>负责</w:t>
            </w:r>
            <w:r>
              <w:rPr>
                <w:rFonts w:hint="eastAsia"/>
                <w:lang w:bidi="ar"/>
              </w:rPr>
              <w:t>送货上门</w:t>
            </w:r>
            <w:r>
              <w:rPr>
                <w:rFonts w:hint="eastAsia"/>
                <w:lang w:val="en-US" w:eastAsia="zh-CN" w:bidi="ar"/>
              </w:rPr>
              <w:t>并承担相关费用</w:t>
            </w:r>
            <w:r>
              <w:rPr>
                <w:rFonts w:hint="eastAsia"/>
                <w:lang w:bidi="ar"/>
              </w:rPr>
              <w:t>；</w:t>
            </w:r>
          </w:p>
          <w:p w14:paraId="6D11735E">
            <w:r>
              <w:rPr>
                <w:rFonts w:hint="eastAsia"/>
                <w:lang w:bidi="ar"/>
              </w:rPr>
              <w:t>3.保质保量，如在质保期内发现质量问题，</w:t>
            </w:r>
            <w:r>
              <w:rPr>
                <w:rFonts w:hint="eastAsia"/>
                <w:lang w:val="en-US" w:eastAsia="zh-CN" w:bidi="ar"/>
              </w:rPr>
              <w:t>中标人</w:t>
            </w:r>
            <w:r>
              <w:rPr>
                <w:rFonts w:hint="eastAsia"/>
                <w:lang w:bidi="ar"/>
              </w:rPr>
              <w:t>必须在接到采购人通知后1小时内到达现场处理，如</w:t>
            </w:r>
            <w:r>
              <w:rPr>
                <w:rFonts w:hint="eastAsia"/>
                <w:lang w:val="en-US" w:eastAsia="zh-CN" w:bidi="ar"/>
              </w:rPr>
              <w:t>确实</w:t>
            </w:r>
            <w:r>
              <w:rPr>
                <w:rFonts w:hint="eastAsia"/>
                <w:lang w:bidi="ar"/>
              </w:rPr>
              <w:t>属</w:t>
            </w:r>
            <w:r>
              <w:rPr>
                <w:rFonts w:hint="eastAsia"/>
                <w:lang w:val="en-US" w:eastAsia="zh-CN" w:bidi="ar"/>
              </w:rPr>
              <w:t>于</w:t>
            </w:r>
            <w:r>
              <w:rPr>
                <w:rFonts w:hint="eastAsia"/>
                <w:lang w:bidi="ar"/>
              </w:rPr>
              <w:t>质量问题的</w:t>
            </w:r>
            <w:r>
              <w:rPr>
                <w:rFonts w:hint="eastAsia"/>
                <w:lang w:eastAsia="zh-CN" w:bidi="ar"/>
              </w:rPr>
              <w:t>，</w:t>
            </w:r>
            <w:r>
              <w:rPr>
                <w:rFonts w:hint="eastAsia"/>
                <w:lang w:val="en-US" w:eastAsia="zh-CN" w:bidi="ar"/>
              </w:rPr>
              <w:t>须在</w:t>
            </w:r>
            <w:r>
              <w:rPr>
                <w:rFonts w:hint="eastAsia"/>
                <w:lang w:bidi="ar"/>
              </w:rPr>
              <w:t>12小时内更换质量不合格的食品</w:t>
            </w:r>
            <w:r>
              <w:rPr>
                <w:rFonts w:hint="eastAsia"/>
                <w:lang w:val="en-US" w:eastAsia="zh-CN" w:bidi="ar"/>
              </w:rPr>
              <w:t>并承担相关费用</w:t>
            </w:r>
            <w:r>
              <w:rPr>
                <w:rFonts w:hint="eastAsia"/>
                <w:lang w:bidi="ar"/>
              </w:rPr>
              <w:t>。</w:t>
            </w:r>
          </w:p>
        </w:tc>
      </w:tr>
      <w:tr w14:paraId="169F2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830" w:type="pct"/>
            <w:gridSpan w:val="2"/>
            <w:tcBorders>
              <w:tl2br w:val="nil"/>
              <w:tr2bl w:val="nil"/>
            </w:tcBorders>
            <w:shd w:val="clear" w:color="auto" w:fill="auto"/>
            <w:vAlign w:val="center"/>
          </w:tcPr>
          <w:p w14:paraId="61FC103F">
            <w:pPr>
              <w:jc w:val="center"/>
              <w:rPr>
                <w:b/>
                <w:bCs/>
                <w:lang w:bidi="ar"/>
              </w:rPr>
            </w:pPr>
            <w:r>
              <w:rPr>
                <w:rFonts w:hint="eastAsia"/>
              </w:rPr>
              <w:t>履约保证金</w:t>
            </w:r>
          </w:p>
        </w:tc>
        <w:tc>
          <w:tcPr>
            <w:tcW w:w="4169" w:type="pct"/>
            <w:gridSpan w:val="4"/>
            <w:tcBorders>
              <w:tl2br w:val="nil"/>
              <w:tr2bl w:val="nil"/>
            </w:tcBorders>
            <w:shd w:val="clear" w:color="auto" w:fill="auto"/>
            <w:vAlign w:val="center"/>
          </w:tcPr>
          <w:p w14:paraId="33E7024F">
            <w:pPr>
              <w:rPr>
                <w:rFonts w:hint="eastAsia" w:eastAsia="宋体"/>
                <w:lang w:eastAsia="zh-CN" w:bidi="ar"/>
              </w:rPr>
            </w:pPr>
            <w:r>
              <w:rPr>
                <w:rFonts w:hint="eastAsia"/>
                <w:lang w:bidi="ar"/>
              </w:rPr>
              <w:t>1.履约保证金金额：</w:t>
            </w:r>
            <w:r>
              <w:rPr>
                <w:rFonts w:hint="eastAsia"/>
                <w:lang w:eastAsia="zh-CN" w:bidi="ar"/>
              </w:rPr>
              <w:t>中标金额的2%，中标人在与采购人签订合同前向采购人足额缴纳履约保证金。</w:t>
            </w:r>
          </w:p>
          <w:p w14:paraId="3ECC878D">
            <w:pPr>
              <w:rPr>
                <w:lang w:bidi="ar"/>
              </w:rPr>
            </w:pPr>
            <w:r>
              <w:rPr>
                <w:rFonts w:hint="eastAsia"/>
                <w:lang w:bidi="ar"/>
              </w:rPr>
              <w:t>2.递交方式：</w:t>
            </w:r>
            <w:r>
              <w:rPr>
                <w:rFonts w:hint="eastAsia"/>
                <w:lang w:eastAsia="zh-CN" w:bidi="ar"/>
              </w:rPr>
              <w:t>银行转账、支票、汇票、本票或者银行、保险机构出具的保函等非现金方式</w:t>
            </w:r>
            <w:r>
              <w:rPr>
                <w:rFonts w:hint="eastAsia"/>
                <w:lang w:bidi="ar"/>
              </w:rPr>
              <w:t>。</w:t>
            </w:r>
          </w:p>
          <w:p w14:paraId="0B81A173">
            <w:pPr>
              <w:rPr>
                <w:rFonts w:hint="eastAsia"/>
                <w:lang w:bidi="ar"/>
              </w:rPr>
            </w:pPr>
            <w:r>
              <w:rPr>
                <w:rFonts w:hint="eastAsia"/>
                <w:lang w:bidi="ar"/>
              </w:rPr>
              <w:t>3.履约保证金在服务期限结束且最后一批货物质保期结束后，如无质量问题，由中标人向采购人提供《政府采购项目履约保证金退付意见书》及《广西壮族自治区政府采购项目合同验收书》，采购人在收到合格材料后10个工作日内退还（不计利息）。涉及违约的违约金和损失赔偿从履约保证金中扣减。</w:t>
            </w:r>
          </w:p>
          <w:p w14:paraId="1EE34230">
            <w:pPr>
              <w:rPr>
                <w:rFonts w:hint="eastAsia" w:ascii="宋体" w:hAnsi="宋体" w:eastAsia="宋体" w:cs="宋体"/>
                <w:lang w:bidi="ar"/>
              </w:rPr>
            </w:pPr>
            <w:r>
              <w:rPr>
                <w:rFonts w:hint="eastAsia" w:ascii="宋体" w:hAnsi="宋体" w:eastAsia="宋体" w:cs="宋体"/>
                <w:lang w:bidi="ar"/>
              </w:rPr>
              <w:t>备注：</w:t>
            </w:r>
          </w:p>
          <w:p w14:paraId="1D68433C">
            <w:pPr>
              <w:rPr>
                <w:rFonts w:hint="eastAsia" w:ascii="宋体" w:hAnsi="宋体" w:eastAsia="宋体" w:cs="宋体"/>
                <w:lang w:bidi="ar"/>
              </w:rPr>
            </w:pPr>
            <w:r>
              <w:rPr>
                <w:rFonts w:hint="eastAsia" w:ascii="宋体" w:hAnsi="宋体" w:eastAsia="宋体" w:cs="宋体"/>
                <w:lang w:bidi="ar"/>
              </w:rPr>
              <w:t>1.履约保证金不足额缴纳的，或者金融、担保机构出具的保函额度不足的或者保函有效期低于合同履行期限（即签订采购合同之日起至履行完合同约定的权利及义务之日止）的，不予签订合同。</w:t>
            </w:r>
          </w:p>
          <w:p w14:paraId="22FFB67F">
            <w:r>
              <w:rPr>
                <w:rFonts w:hint="eastAsia" w:ascii="宋体" w:hAnsi="宋体" w:eastAsia="宋体" w:cs="宋体"/>
                <w:lang w:bidi="ar"/>
              </w:rPr>
              <w:t>2.采用金融、担保机构出具的保函的，必须为无条件保函，否则不予签订合同。</w:t>
            </w:r>
          </w:p>
        </w:tc>
      </w:tr>
      <w:tr w14:paraId="15803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830" w:type="pct"/>
            <w:gridSpan w:val="2"/>
            <w:tcBorders>
              <w:tl2br w:val="nil"/>
              <w:tr2bl w:val="nil"/>
            </w:tcBorders>
            <w:shd w:val="clear" w:color="auto" w:fill="auto"/>
            <w:vAlign w:val="center"/>
          </w:tcPr>
          <w:p w14:paraId="4D284AE6">
            <w:pPr>
              <w:jc w:val="center"/>
            </w:pPr>
            <w:r>
              <w:rPr>
                <w:rFonts w:hint="eastAsia"/>
                <w:lang w:bidi="ar"/>
              </w:rPr>
              <w:t>其他要求</w:t>
            </w:r>
          </w:p>
        </w:tc>
        <w:tc>
          <w:tcPr>
            <w:tcW w:w="4169" w:type="pct"/>
            <w:gridSpan w:val="4"/>
            <w:tcBorders>
              <w:tl2br w:val="nil"/>
              <w:tr2bl w:val="nil"/>
            </w:tcBorders>
            <w:shd w:val="clear" w:color="auto" w:fill="auto"/>
            <w:vAlign w:val="center"/>
          </w:tcPr>
          <w:p w14:paraId="7144D716">
            <w:pPr>
              <w:rPr>
                <w:rFonts w:hint="eastAsia" w:ascii="宋体" w:hAnsi="宋体" w:eastAsia="宋体" w:cs="宋体"/>
                <w:lang w:bidi="ar"/>
              </w:rPr>
            </w:pPr>
            <w:r>
              <w:rPr>
                <w:rFonts w:hint="eastAsia" w:ascii="宋体" w:hAnsi="宋体" w:eastAsia="宋体" w:cs="宋体"/>
                <w:lang w:bidi="ar"/>
              </w:rPr>
              <w:t>1.供货时，</w:t>
            </w:r>
            <w:r>
              <w:rPr>
                <w:rFonts w:hint="eastAsia" w:ascii="宋体" w:hAnsi="宋体" w:eastAsia="宋体" w:cs="宋体"/>
                <w:lang w:val="en-US" w:eastAsia="zh-CN" w:bidi="ar"/>
              </w:rPr>
              <w:t>中标人</w:t>
            </w:r>
            <w:r>
              <w:rPr>
                <w:rFonts w:hint="eastAsia" w:ascii="宋体" w:hAnsi="宋体" w:eastAsia="宋体" w:cs="宋体"/>
                <w:lang w:bidi="ar"/>
              </w:rPr>
              <w:t>必须提供以下证明文件：</w:t>
            </w:r>
          </w:p>
          <w:p w14:paraId="3158BBE1">
            <w:pPr>
              <w:rPr>
                <w:rFonts w:hint="eastAsia" w:ascii="宋体" w:hAnsi="宋体" w:eastAsia="宋体" w:cs="宋体"/>
                <w:lang w:bidi="ar"/>
              </w:rPr>
            </w:pPr>
            <w:r>
              <w:rPr>
                <w:rFonts w:hint="eastAsia" w:ascii="宋体" w:hAnsi="宋体" w:eastAsia="宋体" w:cs="宋体"/>
                <w:lang w:bidi="ar"/>
              </w:rPr>
              <w:t>（1）每批货物必须提供相关的质量安全检验合格证明，且每批次货物都需经采购人抽验合格后方可供货。</w:t>
            </w:r>
          </w:p>
          <w:p w14:paraId="3C713057">
            <w:pPr>
              <w:rPr>
                <w:rFonts w:hint="eastAsia" w:ascii="宋体" w:hAnsi="宋体" w:eastAsia="宋体" w:cs="宋体"/>
                <w:lang w:bidi="ar"/>
              </w:rPr>
            </w:pPr>
            <w:r>
              <w:rPr>
                <w:rFonts w:hint="eastAsia" w:ascii="宋体" w:hAnsi="宋体" w:eastAsia="宋体" w:cs="宋体"/>
                <w:lang w:bidi="ar"/>
              </w:rPr>
              <w:t>（2）</w:t>
            </w:r>
            <w:r>
              <w:rPr>
                <w:rFonts w:hint="eastAsia" w:ascii="宋体" w:hAnsi="宋体" w:eastAsia="宋体" w:cs="宋体"/>
                <w:lang w:val="en-US" w:eastAsia="zh-CN" w:bidi="ar"/>
              </w:rPr>
              <w:t>中标人</w:t>
            </w:r>
            <w:r>
              <w:rPr>
                <w:rFonts w:hint="eastAsia" w:ascii="宋体" w:hAnsi="宋体" w:eastAsia="宋体" w:cs="宋体"/>
                <w:lang w:bidi="ar"/>
              </w:rPr>
              <w:t>必须提供相关供货清单（包括货物名称、数量、单价、金额等</w:t>
            </w:r>
            <w:r>
              <w:rPr>
                <w:rFonts w:hint="eastAsia" w:ascii="宋体" w:hAnsi="宋体" w:eastAsia="宋体" w:cs="宋体"/>
                <w:lang w:val="en-US" w:eastAsia="zh-CN" w:bidi="ar"/>
              </w:rPr>
              <w:t>信息</w:t>
            </w:r>
            <w:r>
              <w:rPr>
                <w:rFonts w:hint="eastAsia" w:ascii="宋体" w:hAnsi="宋体" w:eastAsia="宋体" w:cs="宋体"/>
                <w:lang w:bidi="ar"/>
              </w:rPr>
              <w:t>），以便采购人月底结算货款。</w:t>
            </w:r>
            <w:r>
              <w:rPr>
                <w:rFonts w:hint="eastAsia" w:ascii="宋体" w:hAnsi="宋体" w:eastAsia="宋体" w:cs="宋体"/>
                <w:lang w:val="en-US" w:eastAsia="zh-CN" w:bidi="ar"/>
              </w:rPr>
              <w:t>中标人</w:t>
            </w:r>
            <w:r>
              <w:rPr>
                <w:rFonts w:hint="eastAsia" w:ascii="宋体" w:hAnsi="宋体" w:eastAsia="宋体" w:cs="宋体"/>
                <w:lang w:bidi="ar"/>
              </w:rPr>
              <w:t>供货不符合要求的，采购人有权立即退货</w:t>
            </w:r>
            <w:r>
              <w:rPr>
                <w:rFonts w:hint="eastAsia" w:ascii="宋体" w:hAnsi="宋体" w:eastAsia="宋体" w:cs="宋体"/>
                <w:lang w:eastAsia="zh-CN" w:bidi="ar"/>
              </w:rPr>
              <w:t>，</w:t>
            </w:r>
            <w:r>
              <w:rPr>
                <w:rFonts w:hint="eastAsia" w:ascii="宋体" w:hAnsi="宋体" w:eastAsia="宋体" w:cs="宋体"/>
                <w:lang w:val="en-US" w:eastAsia="zh-CN" w:bidi="ar"/>
              </w:rPr>
              <w:t>中标人</w:t>
            </w:r>
            <w:r>
              <w:rPr>
                <w:rFonts w:hint="eastAsia" w:ascii="宋体" w:hAnsi="宋体" w:eastAsia="宋体" w:cs="宋体"/>
                <w:lang w:bidi="ar"/>
              </w:rPr>
              <w:t>应按采购人的要求</w:t>
            </w:r>
            <w:r>
              <w:rPr>
                <w:rFonts w:hint="eastAsia" w:ascii="宋体" w:hAnsi="宋体" w:eastAsia="宋体" w:cs="宋体"/>
                <w:lang w:val="en-US" w:eastAsia="zh-CN" w:bidi="ar"/>
              </w:rPr>
              <w:t>于</w:t>
            </w:r>
            <w:r>
              <w:rPr>
                <w:rFonts w:hint="eastAsia" w:ascii="宋体" w:hAnsi="宋体" w:eastAsia="宋体" w:cs="宋体"/>
                <w:lang w:bidi="ar"/>
              </w:rPr>
              <w:t>12小时内</w:t>
            </w:r>
            <w:r>
              <w:rPr>
                <w:rFonts w:hint="eastAsia" w:ascii="宋体" w:hAnsi="宋体" w:eastAsia="宋体" w:cs="宋体"/>
                <w:lang w:val="en-US" w:eastAsia="zh-CN" w:bidi="ar"/>
              </w:rPr>
              <w:t>更换</w:t>
            </w:r>
            <w:r>
              <w:rPr>
                <w:rFonts w:hint="eastAsia" w:ascii="宋体" w:hAnsi="宋体" w:eastAsia="宋体" w:cs="宋体"/>
                <w:lang w:bidi="ar"/>
              </w:rPr>
              <w:t>，具体</w:t>
            </w:r>
            <w:r>
              <w:rPr>
                <w:rFonts w:hint="eastAsia" w:ascii="宋体" w:hAnsi="宋体" w:eastAsia="宋体" w:cs="宋体"/>
                <w:lang w:val="en-US" w:eastAsia="zh-CN" w:bidi="ar"/>
              </w:rPr>
              <w:t>更换</w:t>
            </w:r>
            <w:r>
              <w:rPr>
                <w:rFonts w:hint="eastAsia" w:ascii="宋体" w:hAnsi="宋体" w:eastAsia="宋体" w:cs="宋体"/>
                <w:lang w:bidi="ar"/>
              </w:rPr>
              <w:t>时间以</w:t>
            </w:r>
            <w:r>
              <w:rPr>
                <w:rFonts w:hint="eastAsia" w:ascii="宋体" w:hAnsi="宋体" w:eastAsia="宋体" w:cs="宋体"/>
                <w:lang w:val="en-US" w:eastAsia="zh-CN" w:bidi="ar"/>
              </w:rPr>
              <w:t>双方</w:t>
            </w:r>
            <w:r>
              <w:rPr>
                <w:rFonts w:hint="eastAsia" w:ascii="宋体" w:hAnsi="宋体" w:eastAsia="宋体" w:cs="宋体"/>
                <w:lang w:bidi="ar"/>
              </w:rPr>
              <w:t>约定为准。</w:t>
            </w:r>
          </w:p>
          <w:p w14:paraId="7D54A970">
            <w:pPr>
              <w:rPr>
                <w:lang w:bidi="ar"/>
              </w:rPr>
            </w:pPr>
            <w:r>
              <w:rPr>
                <w:rFonts w:hint="eastAsia"/>
                <w:lang w:bidi="ar"/>
              </w:rPr>
              <w:t>2.交货验收必须由采购人和</w:t>
            </w:r>
            <w:r>
              <w:rPr>
                <w:rFonts w:hint="eastAsia"/>
                <w:lang w:val="en-US" w:eastAsia="zh-CN" w:bidi="ar"/>
              </w:rPr>
              <w:t>中标人</w:t>
            </w:r>
            <w:r>
              <w:rPr>
                <w:rFonts w:hint="eastAsia"/>
                <w:lang w:bidi="ar"/>
              </w:rPr>
              <w:t>共同进行，采购人如认为有需要的，可委托相关检验部门对产品进行抽检，自检或检验部门抽检不合格的不给予验收，影</w:t>
            </w:r>
            <w:r>
              <w:rPr>
                <w:rFonts w:hint="eastAsia"/>
                <w:lang w:eastAsia="zh-CN" w:bidi="ar"/>
              </w:rPr>
              <w:t>响采购人工作的正常运转的将追究中标人相关责任</w:t>
            </w:r>
            <w:r>
              <w:rPr>
                <w:rFonts w:hint="eastAsia"/>
                <w:lang w:bidi="ar"/>
              </w:rPr>
              <w:t>，抽检所产生的费用全部由</w:t>
            </w:r>
            <w:r>
              <w:rPr>
                <w:rFonts w:hint="eastAsia"/>
                <w:lang w:val="en-US" w:eastAsia="zh-CN" w:bidi="ar"/>
              </w:rPr>
              <w:t>中标人承担</w:t>
            </w:r>
            <w:r>
              <w:rPr>
                <w:rFonts w:hint="eastAsia"/>
                <w:lang w:bidi="ar"/>
              </w:rPr>
              <w:t>。</w:t>
            </w:r>
          </w:p>
          <w:p w14:paraId="2E23748E">
            <w:pPr>
              <w:rPr>
                <w:lang w:bidi="ar"/>
              </w:rPr>
            </w:pPr>
            <w:r>
              <w:rPr>
                <w:rFonts w:hint="eastAsia"/>
                <w:lang w:bidi="ar"/>
              </w:rPr>
              <w:t>3.验收工作的一般程序为：采购人应当在到货后根据货物采购清单的具体要求，对所购名称进行清点、外观检查进行实测，并逐项记录。</w:t>
            </w:r>
            <w:r>
              <w:rPr>
                <w:rFonts w:hint="eastAsia"/>
                <w:lang w:eastAsia="zh-CN" w:bidi="ar"/>
              </w:rPr>
              <w:t>经验收合格后双方签字确认</w:t>
            </w:r>
            <w:r>
              <w:rPr>
                <w:rFonts w:hint="eastAsia"/>
                <w:lang w:bidi="ar"/>
              </w:rPr>
              <w:t>。对未能通过验收的，一律退货、更换直至验收合格。</w:t>
            </w:r>
          </w:p>
          <w:p w14:paraId="35DA808D">
            <w:pPr>
              <w:rPr>
                <w:lang w:bidi="ar"/>
              </w:rPr>
            </w:pPr>
            <w:r>
              <w:rPr>
                <w:rFonts w:hint="eastAsia"/>
                <w:lang w:bidi="ar"/>
              </w:rPr>
              <w:t>4.</w:t>
            </w:r>
            <w:r>
              <w:rPr>
                <w:rFonts w:hint="eastAsia"/>
                <w:lang w:val="en-US" w:eastAsia="zh-CN" w:bidi="ar"/>
              </w:rPr>
              <w:t>结算单价</w:t>
            </w:r>
            <w:r>
              <w:rPr>
                <w:rFonts w:hint="eastAsia"/>
                <w:lang w:bidi="ar"/>
              </w:rPr>
              <w:t>=基准单价×</w:t>
            </w:r>
            <w:r>
              <w:rPr>
                <w:rFonts w:hint="eastAsia"/>
                <w:lang w:val="en-US" w:eastAsia="zh-CN" w:bidi="ar"/>
              </w:rPr>
              <w:t>中标</w:t>
            </w:r>
            <w:r>
              <w:rPr>
                <w:rFonts w:hint="eastAsia"/>
                <w:lang w:bidi="ar"/>
              </w:rPr>
              <w:t>折扣系数，签订合同当月，</w:t>
            </w:r>
            <w:r>
              <w:rPr>
                <w:rFonts w:hint="eastAsia"/>
                <w:lang w:val="en-US" w:eastAsia="zh-CN" w:bidi="ar"/>
              </w:rPr>
              <w:t>中标人</w:t>
            </w:r>
            <w:r>
              <w:rPr>
                <w:rFonts w:hint="eastAsia"/>
                <w:lang w:bidi="ar"/>
              </w:rPr>
              <w:t>与采购</w:t>
            </w:r>
            <w:r>
              <w:rPr>
                <w:rFonts w:hint="eastAsia"/>
                <w:lang w:val="en-US" w:eastAsia="zh-CN" w:bidi="ar"/>
              </w:rPr>
              <w:t>人</w:t>
            </w:r>
            <w:r>
              <w:rPr>
                <w:rFonts w:hint="eastAsia"/>
                <w:lang w:bidi="ar"/>
              </w:rPr>
              <w:t>共同选择贵港市至少三家大型商场、市场、超市展开市场调查，选取调查的三个市场主体中货物的平均价作为基准单价。合同执行前三个月价格不变，合同执行三个月后，如果某品类物资当月市场价格在合同基准价格基础上上下浮动率≥10%时，可以进行价格调整。价格调整由中标人或采购人提出基准单价调整申请，由采购人面向市场主体选择贵港市3家</w:t>
            </w:r>
            <w:r>
              <w:rPr>
                <w:rFonts w:hint="eastAsia"/>
                <w:lang w:eastAsia="zh-CN" w:bidi="ar"/>
              </w:rPr>
              <w:t>（</w:t>
            </w:r>
            <w:r>
              <w:rPr>
                <w:rFonts w:hint="eastAsia"/>
                <w:lang w:val="en-US" w:eastAsia="zh-CN" w:bidi="ar"/>
              </w:rPr>
              <w:t>含</w:t>
            </w:r>
            <w:r>
              <w:rPr>
                <w:rFonts w:hint="eastAsia"/>
                <w:lang w:eastAsia="zh-CN" w:bidi="ar"/>
              </w:rPr>
              <w:t>）</w:t>
            </w:r>
            <w:r>
              <w:rPr>
                <w:rFonts w:hint="eastAsia"/>
                <w:lang w:bidi="ar"/>
              </w:rPr>
              <w:t>以上大型商场或者市场开展市场价格调查，选取调查的市场或者超市的平均</w:t>
            </w:r>
            <w:r>
              <w:rPr>
                <w:rFonts w:hint="eastAsia"/>
                <w:lang w:val="en-US" w:eastAsia="zh-CN" w:bidi="ar"/>
              </w:rPr>
              <w:t>价</w:t>
            </w:r>
            <w:r>
              <w:rPr>
                <w:rFonts w:hint="eastAsia"/>
                <w:lang w:bidi="ar"/>
              </w:rPr>
              <w:t>作为调查价格，调查结果符合调价规则的，经双方确认同意后方可调整价格。基准单价调整后，</w:t>
            </w:r>
            <w:r>
              <w:rPr>
                <w:rFonts w:hint="eastAsia"/>
                <w:lang w:val="en-US" w:eastAsia="zh-CN" w:bidi="ar"/>
              </w:rPr>
              <w:t>结算单价</w:t>
            </w:r>
            <w:r>
              <w:rPr>
                <w:rFonts w:hint="eastAsia"/>
                <w:lang w:bidi="ar"/>
              </w:rPr>
              <w:t>为变动后的基准单价×</w:t>
            </w:r>
            <w:r>
              <w:rPr>
                <w:rFonts w:hint="eastAsia"/>
                <w:lang w:val="en-US" w:eastAsia="zh-CN" w:bidi="ar"/>
              </w:rPr>
              <w:t>中标</w:t>
            </w:r>
            <w:r>
              <w:rPr>
                <w:rFonts w:hint="eastAsia"/>
                <w:lang w:bidi="ar"/>
              </w:rPr>
              <w:t>折扣系数。</w:t>
            </w:r>
          </w:p>
          <w:p w14:paraId="4AABEA47">
            <w:pPr>
              <w:rPr>
                <w:rFonts w:hint="eastAsia"/>
                <w:lang w:bidi="ar"/>
              </w:rPr>
            </w:pPr>
            <w:r>
              <w:rPr>
                <w:rFonts w:hint="eastAsia"/>
                <w:lang w:bidi="ar"/>
              </w:rPr>
              <w:t>5.关于扶贫产品的采购。如果政府部门或上级部门要求采购人在扶贫产品网站采购相应的扶贫产品的，</w:t>
            </w:r>
            <w:r>
              <w:rPr>
                <w:rFonts w:hint="eastAsia"/>
                <w:lang w:val="en-US" w:eastAsia="zh-CN" w:bidi="ar"/>
              </w:rPr>
              <w:t>中标人</w:t>
            </w:r>
            <w:r>
              <w:rPr>
                <w:rFonts w:hint="eastAsia"/>
                <w:lang w:bidi="ar"/>
              </w:rPr>
              <w:t>须无条件同意采购人减少合同执行金额，由采购人自行在扶贫产品网站采购扶贫产品。</w:t>
            </w:r>
          </w:p>
          <w:p w14:paraId="367F2CE7">
            <w:r>
              <w:rPr>
                <w:rFonts w:hint="eastAsia"/>
                <w:b/>
                <w:bCs/>
                <w:lang w:val="en-US" w:eastAsia="zh-CN" w:bidi="ar"/>
              </w:rPr>
              <w:t>6.如采购人因不可抗力原因、上级要求需要变更或提前终止合同的，采购人提前一个月告知成交供应商，成交供应商须无条件配合，并且采购人不负变更或提前终止合同的违约责任。</w:t>
            </w:r>
          </w:p>
        </w:tc>
      </w:tr>
      <w:tr w14:paraId="732BE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5000" w:type="pct"/>
            <w:gridSpan w:val="6"/>
            <w:tcBorders>
              <w:tl2br w:val="nil"/>
              <w:tr2bl w:val="nil"/>
            </w:tcBorders>
            <w:shd w:val="clear" w:color="auto" w:fill="auto"/>
            <w:vAlign w:val="center"/>
          </w:tcPr>
          <w:p w14:paraId="3A7BDDB1">
            <w:r>
              <w:rPr>
                <w:rFonts w:hint="eastAsia"/>
                <w:b/>
                <w:bCs/>
              </w:rPr>
              <w:t>三、采购人对项目的特殊要求及说明</w:t>
            </w:r>
          </w:p>
        </w:tc>
      </w:tr>
      <w:tr w14:paraId="50F22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830" w:type="pct"/>
            <w:gridSpan w:val="2"/>
            <w:tcBorders>
              <w:tl2br w:val="nil"/>
              <w:tr2bl w:val="nil"/>
            </w:tcBorders>
            <w:shd w:val="clear" w:color="auto" w:fill="auto"/>
            <w:vAlign w:val="center"/>
          </w:tcPr>
          <w:p w14:paraId="6C41C3BF">
            <w:pPr>
              <w:jc w:val="center"/>
            </w:pPr>
            <w:r>
              <w:rPr>
                <w:rFonts w:hint="eastAsia"/>
              </w:rPr>
              <w:t>核心产品</w:t>
            </w:r>
          </w:p>
        </w:tc>
        <w:tc>
          <w:tcPr>
            <w:tcW w:w="4169" w:type="pct"/>
            <w:gridSpan w:val="4"/>
            <w:tcBorders>
              <w:tl2br w:val="nil"/>
              <w:tr2bl w:val="nil"/>
            </w:tcBorders>
            <w:shd w:val="clear" w:color="auto" w:fill="auto"/>
            <w:vAlign w:val="center"/>
          </w:tcPr>
          <w:p w14:paraId="097D892A">
            <w:r>
              <w:rPr>
                <w:rFonts w:hint="eastAsia"/>
              </w:rPr>
              <w:t>本分标无核心产品。</w:t>
            </w:r>
          </w:p>
        </w:tc>
      </w:tr>
      <w:tr w14:paraId="611D0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830" w:type="pct"/>
            <w:gridSpan w:val="2"/>
            <w:tcBorders>
              <w:tl2br w:val="nil"/>
              <w:tr2bl w:val="nil"/>
            </w:tcBorders>
            <w:shd w:val="clear" w:color="auto" w:fill="auto"/>
            <w:vAlign w:val="center"/>
          </w:tcPr>
          <w:p w14:paraId="3526D5BC">
            <w:pPr>
              <w:jc w:val="center"/>
              <w:rPr>
                <w:rFonts w:hint="eastAsia"/>
              </w:rPr>
            </w:pPr>
            <w:r>
              <w:rPr>
                <w:rFonts w:hint="eastAsia"/>
              </w:rPr>
              <w:t>进口产品说明</w:t>
            </w:r>
          </w:p>
        </w:tc>
        <w:tc>
          <w:tcPr>
            <w:tcW w:w="4169" w:type="pct"/>
            <w:gridSpan w:val="4"/>
            <w:tcBorders>
              <w:tl2br w:val="nil"/>
              <w:tr2bl w:val="nil"/>
            </w:tcBorders>
            <w:shd w:val="clear" w:color="auto" w:fill="auto"/>
            <w:vAlign w:val="center"/>
          </w:tcPr>
          <w:p w14:paraId="448CEDC5">
            <w:pPr>
              <w:rPr>
                <w:rFonts w:hint="eastAsia"/>
              </w:rPr>
            </w:pPr>
            <w:r>
              <w:rPr>
                <w:rFonts w:hint="eastAsia"/>
              </w:rPr>
              <w:t>本分标货物所涉及的货物不接受进口产品（即通过中国海关报关验放进入中国境内且产自境外的产品）参与投标，如有进口产品参与投标的作无效标处理。</w:t>
            </w:r>
          </w:p>
        </w:tc>
      </w:tr>
    </w:tbl>
    <w:p w14:paraId="12C38C2F">
      <w:pPr>
        <w:pStyle w:val="51"/>
      </w:pPr>
    </w:p>
    <w:p w14:paraId="42B62739">
      <w:pPr>
        <w:pStyle w:val="51"/>
      </w:pPr>
    </w:p>
    <w:p w14:paraId="52E469D8">
      <w:r>
        <w:br w:type="page"/>
      </w:r>
    </w:p>
    <w:p w14:paraId="5C2C5A80">
      <w:pPr>
        <w:outlineLvl w:val="1"/>
        <w:rPr>
          <w:b/>
          <w:bCs/>
        </w:rPr>
      </w:pPr>
      <w:r>
        <w:rPr>
          <w:rFonts w:hint="eastAsia"/>
          <w:b/>
          <w:bCs/>
          <w:u w:val="none"/>
          <w:lang w:val="en-US" w:eastAsia="zh-CN"/>
        </w:rPr>
        <w:t>分标5</w:t>
      </w:r>
      <w:r>
        <w:rPr>
          <w:rFonts w:hint="eastAsia"/>
          <w:b/>
          <w:bCs/>
        </w:rPr>
        <w:t>：</w:t>
      </w:r>
      <w:r>
        <w:rPr>
          <w:rFonts w:hint="eastAsia"/>
          <w:b/>
          <w:bCs/>
          <w:lang w:eastAsia="zh-CN"/>
        </w:rPr>
        <w:t>鲜湿米粉类</w:t>
      </w:r>
      <w:r>
        <w:rPr>
          <w:rFonts w:hint="eastAsia"/>
          <w:b/>
          <w:bCs/>
        </w:rPr>
        <w:t>，预算金额：</w:t>
      </w:r>
      <w:r>
        <w:rPr>
          <w:rFonts w:hint="eastAsia"/>
          <w:b/>
          <w:bCs/>
          <w:lang w:eastAsia="zh-CN"/>
        </w:rPr>
        <w:t>650000.00</w:t>
      </w:r>
      <w:r>
        <w:rPr>
          <w:rFonts w:hint="eastAsia"/>
          <w:b/>
          <w:bCs/>
        </w:rPr>
        <w:t>元</w:t>
      </w:r>
    </w:p>
    <w:tbl>
      <w:tblPr>
        <w:tblStyle w:val="5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056"/>
        <w:gridCol w:w="447"/>
        <w:gridCol w:w="1245"/>
        <w:gridCol w:w="981"/>
        <w:gridCol w:w="4955"/>
      </w:tblGrid>
      <w:tr w14:paraId="04F24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5000" w:type="pct"/>
            <w:gridSpan w:val="6"/>
            <w:tcBorders>
              <w:tl2br w:val="nil"/>
              <w:tr2bl w:val="nil"/>
            </w:tcBorders>
            <w:shd w:val="clear" w:color="auto" w:fill="auto"/>
            <w:vAlign w:val="center"/>
          </w:tcPr>
          <w:p w14:paraId="71B59D03">
            <w:r>
              <w:rPr>
                <w:rFonts w:hint="eastAsia"/>
                <w:b/>
                <w:bCs/>
              </w:rPr>
              <w:t>一、项目要求及技术需求</w:t>
            </w:r>
          </w:p>
        </w:tc>
      </w:tr>
      <w:tr w14:paraId="63C1A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353" w:type="pct"/>
            <w:tcBorders>
              <w:tl2br w:val="nil"/>
              <w:tr2bl w:val="nil"/>
            </w:tcBorders>
            <w:shd w:val="clear" w:color="auto" w:fill="auto"/>
            <w:vAlign w:val="center"/>
          </w:tcPr>
          <w:p w14:paraId="4F2C1631">
            <w:pPr>
              <w:jc w:val="center"/>
              <w:rPr>
                <w:lang w:bidi="ar"/>
              </w:rPr>
            </w:pPr>
            <w:r>
              <w:rPr>
                <w:rFonts w:hint="eastAsia"/>
                <w:lang w:bidi="ar"/>
              </w:rPr>
              <w:t>序号</w:t>
            </w:r>
          </w:p>
        </w:tc>
        <w:tc>
          <w:tcPr>
            <w:tcW w:w="804" w:type="pct"/>
            <w:gridSpan w:val="2"/>
            <w:tcBorders>
              <w:tl2br w:val="nil"/>
              <w:tr2bl w:val="nil"/>
            </w:tcBorders>
            <w:shd w:val="clear" w:color="auto" w:fill="auto"/>
            <w:vAlign w:val="center"/>
          </w:tcPr>
          <w:p w14:paraId="16ACD574">
            <w:pPr>
              <w:jc w:val="center"/>
              <w:rPr>
                <w:rFonts w:hint="eastAsia" w:eastAsia="宋体"/>
                <w:lang w:eastAsia="zh-CN"/>
              </w:rPr>
            </w:pPr>
            <w:r>
              <w:rPr>
                <w:rFonts w:hint="eastAsia"/>
                <w:lang w:eastAsia="zh-CN"/>
              </w:rPr>
              <w:t>货物名称</w:t>
            </w:r>
          </w:p>
        </w:tc>
        <w:tc>
          <w:tcPr>
            <w:tcW w:w="666" w:type="pct"/>
            <w:tcBorders>
              <w:tl2br w:val="nil"/>
              <w:tr2bl w:val="nil"/>
            </w:tcBorders>
            <w:shd w:val="clear" w:color="auto" w:fill="auto"/>
            <w:vAlign w:val="center"/>
          </w:tcPr>
          <w:p w14:paraId="54A9FF10">
            <w:pPr>
              <w:jc w:val="center"/>
              <w:rPr>
                <w:lang w:bidi="ar"/>
              </w:rPr>
            </w:pPr>
            <w:r>
              <w:rPr>
                <w:rFonts w:hint="eastAsia"/>
                <w:lang w:bidi="ar"/>
              </w:rPr>
              <w:t>计划采购数量</w:t>
            </w:r>
          </w:p>
        </w:tc>
        <w:tc>
          <w:tcPr>
            <w:tcW w:w="524" w:type="pct"/>
            <w:tcBorders>
              <w:tl2br w:val="nil"/>
              <w:tr2bl w:val="nil"/>
            </w:tcBorders>
            <w:shd w:val="clear" w:color="auto" w:fill="auto"/>
            <w:vAlign w:val="center"/>
          </w:tcPr>
          <w:p w14:paraId="782F6447">
            <w:pPr>
              <w:jc w:val="center"/>
            </w:pPr>
            <w:r>
              <w:rPr>
                <w:rFonts w:hint="eastAsia"/>
                <w:lang w:bidi="ar"/>
              </w:rPr>
              <w:t>单位</w:t>
            </w:r>
          </w:p>
        </w:tc>
        <w:tc>
          <w:tcPr>
            <w:tcW w:w="2650" w:type="pct"/>
            <w:tcBorders>
              <w:tl2br w:val="nil"/>
              <w:tr2bl w:val="nil"/>
            </w:tcBorders>
            <w:shd w:val="clear" w:color="auto" w:fill="auto"/>
            <w:vAlign w:val="center"/>
          </w:tcPr>
          <w:p w14:paraId="4DF01E50">
            <w:pPr>
              <w:jc w:val="center"/>
            </w:pPr>
            <w:r>
              <w:rPr>
                <w:rFonts w:hint="eastAsia"/>
              </w:rPr>
              <w:t>技术参数及质量（配置）要求</w:t>
            </w:r>
          </w:p>
        </w:tc>
      </w:tr>
      <w:tr w14:paraId="3E410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0" w:hRule="atLeast"/>
        </w:trPr>
        <w:tc>
          <w:tcPr>
            <w:tcW w:w="353" w:type="pct"/>
            <w:tcBorders>
              <w:tl2br w:val="nil"/>
              <w:tr2bl w:val="nil"/>
            </w:tcBorders>
            <w:shd w:val="clear" w:color="auto" w:fill="auto"/>
            <w:vAlign w:val="center"/>
          </w:tcPr>
          <w:p w14:paraId="32FB1E51">
            <w:pPr>
              <w:jc w:val="center"/>
            </w:pPr>
            <w:r>
              <w:rPr>
                <w:rFonts w:hint="eastAsia"/>
                <w:lang w:bidi="ar"/>
              </w:rPr>
              <w:t>1</w:t>
            </w:r>
          </w:p>
        </w:tc>
        <w:tc>
          <w:tcPr>
            <w:tcW w:w="804" w:type="pct"/>
            <w:gridSpan w:val="2"/>
            <w:tcBorders>
              <w:tl2br w:val="nil"/>
              <w:tr2bl w:val="nil"/>
            </w:tcBorders>
            <w:shd w:val="clear" w:color="auto" w:fill="auto"/>
            <w:noWrap/>
            <w:vAlign w:val="center"/>
          </w:tcPr>
          <w:p w14:paraId="51A43F77">
            <w:pPr>
              <w:jc w:val="center"/>
            </w:pPr>
            <w:r>
              <w:rPr>
                <w:rFonts w:hint="eastAsia"/>
                <w:lang w:bidi="ar"/>
              </w:rPr>
              <w:t>鲜湿米粉</w:t>
            </w:r>
          </w:p>
        </w:tc>
        <w:tc>
          <w:tcPr>
            <w:tcW w:w="666" w:type="pct"/>
            <w:tcBorders>
              <w:tl2br w:val="nil"/>
              <w:tr2bl w:val="nil"/>
            </w:tcBorders>
            <w:shd w:val="clear" w:color="auto" w:fill="auto"/>
            <w:vAlign w:val="center"/>
          </w:tcPr>
          <w:p w14:paraId="6AC6A055">
            <w:pPr>
              <w:jc w:val="center"/>
            </w:pPr>
            <w:r>
              <w:rPr>
                <w:rFonts w:hint="eastAsia"/>
                <w:lang w:bidi="ar"/>
              </w:rPr>
              <w:t>2166</w:t>
            </w:r>
            <w:r>
              <w:rPr>
                <w:rFonts w:hint="eastAsia"/>
                <w:lang w:val="en-US" w:eastAsia="zh-CN" w:bidi="ar"/>
              </w:rPr>
              <w:t>7</w:t>
            </w:r>
          </w:p>
        </w:tc>
        <w:tc>
          <w:tcPr>
            <w:tcW w:w="524" w:type="pct"/>
            <w:tcBorders>
              <w:tl2br w:val="nil"/>
              <w:tr2bl w:val="nil"/>
            </w:tcBorders>
            <w:shd w:val="clear" w:color="auto" w:fill="auto"/>
            <w:noWrap/>
            <w:vAlign w:val="center"/>
          </w:tcPr>
          <w:p w14:paraId="0FB83968">
            <w:pPr>
              <w:jc w:val="center"/>
            </w:pPr>
            <w:r>
              <w:rPr>
                <w:rFonts w:hint="eastAsia"/>
                <w:lang w:bidi="ar"/>
              </w:rPr>
              <w:t>公斤</w:t>
            </w:r>
          </w:p>
        </w:tc>
        <w:tc>
          <w:tcPr>
            <w:tcW w:w="2650" w:type="pct"/>
            <w:tcBorders>
              <w:tl2br w:val="nil"/>
              <w:tr2bl w:val="nil"/>
            </w:tcBorders>
            <w:shd w:val="clear" w:color="auto" w:fill="auto"/>
            <w:vAlign w:val="center"/>
          </w:tcPr>
          <w:p w14:paraId="5D9B94D8">
            <w:r>
              <w:rPr>
                <w:rFonts w:hint="eastAsia"/>
                <w:b/>
                <w:bCs/>
                <w:lang w:bidi="ar"/>
              </w:rPr>
              <w:t>▲</w:t>
            </w:r>
            <w:r>
              <w:rPr>
                <w:rFonts w:hint="eastAsia"/>
              </w:rPr>
              <w:t>符合《广西鲜湿米粉生产许可审查细则（2022版）》和《食品安全地方标准鲜湿米粉》文件要求。</w:t>
            </w:r>
          </w:p>
        </w:tc>
      </w:tr>
      <w:tr w14:paraId="486E0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000" w:type="pct"/>
            <w:gridSpan w:val="6"/>
            <w:tcBorders>
              <w:tl2br w:val="nil"/>
              <w:tr2bl w:val="nil"/>
            </w:tcBorders>
            <w:shd w:val="clear" w:color="auto" w:fill="auto"/>
            <w:vAlign w:val="center"/>
          </w:tcPr>
          <w:p w14:paraId="11BD6FAD">
            <w:pPr>
              <w:rPr>
                <w:rFonts w:hint="eastAsia" w:eastAsia="宋体"/>
                <w:lang w:eastAsia="zh-CN"/>
              </w:rPr>
            </w:pPr>
            <w:r>
              <w:rPr>
                <w:rFonts w:hint="eastAsia"/>
              </w:rPr>
              <w:t>注：</w:t>
            </w:r>
            <w:r>
              <w:rPr>
                <w:rFonts w:hint="eastAsia"/>
                <w:lang w:eastAsia="zh-CN"/>
              </w:rPr>
              <w:t>以上采购数量为采购人一年的预计采购量，上述采购数量仅作为参考，实际采购数量根据采购人的实际需求确定，并根据实际采购数量及中标单价进行结算，中标人不得因实际供应量与中标数量不一致提出异议，不得因实际供应中批次采购量小而拒绝供应。</w:t>
            </w:r>
          </w:p>
        </w:tc>
      </w:tr>
      <w:tr w14:paraId="7E884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5000" w:type="pct"/>
            <w:gridSpan w:val="6"/>
            <w:tcBorders>
              <w:tl2br w:val="nil"/>
              <w:tr2bl w:val="nil"/>
            </w:tcBorders>
            <w:shd w:val="clear" w:color="auto" w:fill="auto"/>
            <w:vAlign w:val="center"/>
          </w:tcPr>
          <w:p w14:paraId="6AE91869">
            <w:pPr>
              <w:rPr>
                <w:bCs/>
                <w:color w:val="000000"/>
              </w:rPr>
            </w:pPr>
            <w:r>
              <w:rPr>
                <w:rFonts w:hint="eastAsia"/>
                <w:b/>
                <w:bCs/>
                <w:lang w:bidi="ar"/>
              </w:rPr>
              <w:t>▲</w:t>
            </w:r>
            <w:r>
              <w:rPr>
                <w:rFonts w:hint="eastAsia"/>
                <w:b/>
                <w:bCs/>
              </w:rPr>
              <w:t>二、商务条款</w:t>
            </w:r>
          </w:p>
        </w:tc>
      </w:tr>
      <w:tr w14:paraId="20368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8" w:type="pct"/>
            <w:gridSpan w:val="2"/>
            <w:tcBorders>
              <w:tl2br w:val="nil"/>
              <w:tr2bl w:val="nil"/>
            </w:tcBorders>
            <w:shd w:val="clear" w:color="auto" w:fill="auto"/>
            <w:vAlign w:val="center"/>
          </w:tcPr>
          <w:p w14:paraId="4CBF0CF8">
            <w:pPr>
              <w:jc w:val="center"/>
            </w:pPr>
            <w:r>
              <w:rPr>
                <w:rFonts w:hint="eastAsia"/>
              </w:rPr>
              <w:t>合同签订期</w:t>
            </w:r>
          </w:p>
        </w:tc>
        <w:tc>
          <w:tcPr>
            <w:tcW w:w="4081" w:type="pct"/>
            <w:gridSpan w:val="4"/>
            <w:tcBorders>
              <w:tl2br w:val="nil"/>
              <w:tr2bl w:val="nil"/>
            </w:tcBorders>
            <w:shd w:val="clear" w:color="auto" w:fill="auto"/>
            <w:vAlign w:val="center"/>
          </w:tcPr>
          <w:p w14:paraId="7D718132">
            <w:r>
              <w:rPr>
                <w:rFonts w:hint="eastAsia"/>
              </w:rPr>
              <w:t>自中标通知书发出之日起25日历日内</w:t>
            </w:r>
          </w:p>
        </w:tc>
      </w:tr>
      <w:tr w14:paraId="5CF86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8" w:type="pct"/>
            <w:gridSpan w:val="2"/>
            <w:tcBorders>
              <w:tl2br w:val="nil"/>
              <w:tr2bl w:val="nil"/>
            </w:tcBorders>
            <w:shd w:val="clear" w:color="auto" w:fill="auto"/>
            <w:vAlign w:val="center"/>
          </w:tcPr>
          <w:p w14:paraId="548757BE">
            <w:pPr>
              <w:jc w:val="center"/>
            </w:pPr>
            <w:r>
              <w:rPr>
                <w:rFonts w:hint="eastAsia"/>
                <w:lang w:bidi="ar"/>
              </w:rPr>
              <w:t>投标报价要求</w:t>
            </w:r>
          </w:p>
        </w:tc>
        <w:tc>
          <w:tcPr>
            <w:tcW w:w="4081" w:type="pct"/>
            <w:gridSpan w:val="4"/>
            <w:tcBorders>
              <w:tl2br w:val="nil"/>
              <w:tr2bl w:val="nil"/>
            </w:tcBorders>
            <w:shd w:val="clear" w:color="auto" w:fill="auto"/>
            <w:vAlign w:val="center"/>
          </w:tcPr>
          <w:p w14:paraId="07A69CEE">
            <w:pPr>
              <w:rPr>
                <w:rFonts w:hint="eastAsia" w:eastAsia="宋体"/>
                <w:lang w:eastAsia="zh-CN"/>
              </w:rPr>
            </w:pPr>
            <w:r>
              <w:rPr>
                <w:rFonts w:hint="eastAsia"/>
              </w:rPr>
              <w:t>1.</w:t>
            </w:r>
            <w:r>
              <w:rPr>
                <w:rFonts w:hint="eastAsia"/>
                <w:lang w:eastAsia="zh-CN"/>
              </w:rPr>
              <w:t>投标报价按投标折扣系数报价，实际结算单价为基准单价×投标报价折扣系数（例如某项货物基准单价为100元，折扣系数为95%，实际结算单价为100×95%=95元）。报价包括货物及服务采购、检验检测、包装、配送、运输、装卸、仓储、退换货、损耗、保险、人工、售后服务、税金等合同实施过程中的应预见和不可预见费用等所有费用总和。</w:t>
            </w:r>
          </w:p>
          <w:p w14:paraId="5B4E7C67">
            <w:r>
              <w:rPr>
                <w:rFonts w:hint="eastAsia"/>
              </w:rPr>
              <w:t>2.投标报价折扣系数≤100%。</w:t>
            </w:r>
          </w:p>
        </w:tc>
      </w:tr>
      <w:tr w14:paraId="4FEDD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8" w:type="pct"/>
            <w:gridSpan w:val="2"/>
            <w:tcBorders>
              <w:tl2br w:val="nil"/>
              <w:tr2bl w:val="nil"/>
            </w:tcBorders>
            <w:shd w:val="clear" w:color="auto" w:fill="auto"/>
            <w:vAlign w:val="center"/>
          </w:tcPr>
          <w:p w14:paraId="1E11F896">
            <w:pPr>
              <w:jc w:val="center"/>
            </w:pPr>
            <w:r>
              <w:rPr>
                <w:rFonts w:hint="eastAsia"/>
                <w:lang w:bidi="ar"/>
              </w:rPr>
              <w:t>质保期</w:t>
            </w:r>
          </w:p>
        </w:tc>
        <w:tc>
          <w:tcPr>
            <w:tcW w:w="4081" w:type="pct"/>
            <w:gridSpan w:val="4"/>
            <w:tcBorders>
              <w:tl2br w:val="nil"/>
              <w:tr2bl w:val="nil"/>
            </w:tcBorders>
            <w:shd w:val="clear" w:color="auto" w:fill="auto"/>
            <w:vAlign w:val="center"/>
          </w:tcPr>
          <w:p w14:paraId="4299236C">
            <w:r>
              <w:rPr>
                <w:rFonts w:hint="eastAsia" w:ascii="宋体" w:hAnsi="宋体" w:cs="宋体"/>
                <w:kern w:val="0"/>
                <w:szCs w:val="21"/>
              </w:rPr>
              <w:t>自每批次货物验收合格之日起计算，不少于24小时。</w:t>
            </w:r>
          </w:p>
        </w:tc>
      </w:tr>
      <w:tr w14:paraId="3CAD5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8" w:type="pct"/>
            <w:gridSpan w:val="2"/>
            <w:tcBorders>
              <w:tl2br w:val="nil"/>
              <w:tr2bl w:val="nil"/>
            </w:tcBorders>
            <w:shd w:val="clear" w:color="auto" w:fill="auto"/>
            <w:vAlign w:val="center"/>
          </w:tcPr>
          <w:p w14:paraId="42E3416A">
            <w:pPr>
              <w:jc w:val="center"/>
              <w:rPr>
                <w:rFonts w:hint="eastAsia" w:eastAsia="宋体"/>
                <w:lang w:eastAsia="zh-CN"/>
              </w:rPr>
            </w:pPr>
            <w:r>
              <w:rPr>
                <w:rFonts w:hint="eastAsia"/>
                <w:lang w:bidi="ar"/>
              </w:rPr>
              <w:t>交货时间及交货地点、</w:t>
            </w:r>
            <w:r>
              <w:rPr>
                <w:rFonts w:hint="eastAsia"/>
                <w:lang w:eastAsia="zh-CN" w:bidi="ar"/>
              </w:rPr>
              <w:t>合同履行期限</w:t>
            </w:r>
          </w:p>
        </w:tc>
        <w:tc>
          <w:tcPr>
            <w:tcW w:w="4081" w:type="pct"/>
            <w:gridSpan w:val="4"/>
            <w:tcBorders>
              <w:tl2br w:val="nil"/>
              <w:tr2bl w:val="nil"/>
            </w:tcBorders>
            <w:shd w:val="clear" w:color="auto" w:fill="auto"/>
            <w:vAlign w:val="center"/>
          </w:tcPr>
          <w:p w14:paraId="760D5508">
            <w:pPr>
              <w:rPr>
                <w:rFonts w:hint="eastAsia" w:eastAsia="宋体"/>
                <w:lang w:eastAsia="zh-CN"/>
              </w:rPr>
            </w:pPr>
            <w:r>
              <w:rPr>
                <w:rFonts w:hint="eastAsia"/>
              </w:rPr>
              <w:t>1.交货时间：</w:t>
            </w:r>
            <w:r>
              <w:rPr>
                <w:rFonts w:hint="eastAsia"/>
                <w:lang w:eastAsia="zh-CN"/>
              </w:rPr>
              <w:t>分批次供货，按采购单位采购计划规定的时间全年无休供货。</w:t>
            </w:r>
          </w:p>
          <w:p w14:paraId="3E5AB988">
            <w:r>
              <w:rPr>
                <w:rFonts w:hint="eastAsia"/>
              </w:rPr>
              <w:t>2.交货地点：</w:t>
            </w:r>
            <w:r>
              <w:rPr>
                <w:rFonts w:hint="eastAsia"/>
                <w:lang w:eastAsia="zh-CN"/>
              </w:rPr>
              <w:t>广西壮族自治区贵港监狱监管区</w:t>
            </w:r>
            <w:r>
              <w:rPr>
                <w:rFonts w:hint="eastAsia"/>
              </w:rPr>
              <w:t>。</w:t>
            </w:r>
          </w:p>
          <w:p w14:paraId="548B1BA8">
            <w:pPr>
              <w:rPr>
                <w:rFonts w:hint="eastAsia" w:eastAsia="宋体"/>
                <w:lang w:eastAsia="zh-CN"/>
              </w:rPr>
            </w:pPr>
            <w:r>
              <w:rPr>
                <w:rFonts w:hint="eastAsia"/>
              </w:rPr>
              <w:t>3.</w:t>
            </w:r>
            <w:r>
              <w:rPr>
                <w:rFonts w:hint="eastAsia"/>
                <w:lang w:eastAsia="zh-CN"/>
              </w:rPr>
              <w:t>合同履行期限</w:t>
            </w:r>
            <w:r>
              <w:rPr>
                <w:rFonts w:hint="eastAsia"/>
              </w:rPr>
              <w:t>：</w:t>
            </w:r>
            <w:r>
              <w:rPr>
                <w:rFonts w:hint="eastAsia"/>
                <w:lang w:eastAsia="zh-CN"/>
              </w:rPr>
              <w:t>自签订合同之日起一年。</w:t>
            </w:r>
          </w:p>
        </w:tc>
      </w:tr>
      <w:tr w14:paraId="24BB3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8" w:type="pct"/>
            <w:gridSpan w:val="2"/>
            <w:tcBorders>
              <w:tl2br w:val="nil"/>
              <w:tr2bl w:val="nil"/>
            </w:tcBorders>
            <w:shd w:val="clear" w:color="auto" w:fill="auto"/>
            <w:vAlign w:val="center"/>
          </w:tcPr>
          <w:p w14:paraId="1EA2EA3E">
            <w:pPr>
              <w:jc w:val="center"/>
            </w:pPr>
            <w:r>
              <w:rPr>
                <w:rFonts w:hint="eastAsia"/>
                <w:lang w:bidi="ar"/>
              </w:rPr>
              <w:t>付款条件</w:t>
            </w:r>
          </w:p>
        </w:tc>
        <w:tc>
          <w:tcPr>
            <w:tcW w:w="4081" w:type="pct"/>
            <w:gridSpan w:val="4"/>
            <w:tcBorders>
              <w:tl2br w:val="nil"/>
              <w:tr2bl w:val="nil"/>
            </w:tcBorders>
            <w:shd w:val="clear" w:color="auto" w:fill="auto"/>
            <w:vAlign w:val="center"/>
          </w:tcPr>
          <w:p w14:paraId="4ECD1B52">
            <w:pPr>
              <w:rPr>
                <w:rFonts w:hint="eastAsia" w:eastAsia="宋体"/>
                <w:lang w:eastAsia="zh-CN"/>
              </w:rPr>
            </w:pPr>
            <w:r>
              <w:rPr>
                <w:rFonts w:hint="eastAsia"/>
              </w:rPr>
              <w:t>1.</w:t>
            </w:r>
            <w:r>
              <w:rPr>
                <w:rFonts w:hint="eastAsia"/>
                <w:lang w:eastAsia="zh-CN"/>
              </w:rPr>
              <w:t>分批供货，每批次货款根据双方确认的单价及该批次的实际供货数量进行结算。</w:t>
            </w:r>
          </w:p>
          <w:p w14:paraId="07528554">
            <w:pPr>
              <w:rPr>
                <w:rFonts w:hint="eastAsia" w:eastAsia="宋体"/>
                <w:lang w:eastAsia="zh-CN"/>
              </w:rPr>
            </w:pPr>
            <w:r>
              <w:rPr>
                <w:rFonts w:hint="eastAsia"/>
              </w:rPr>
              <w:t>2.</w:t>
            </w:r>
            <w:r>
              <w:rPr>
                <w:rFonts w:hint="eastAsia"/>
                <w:lang w:eastAsia="zh-CN"/>
              </w:rPr>
              <w:t>按月结算，采购人在收到</w:t>
            </w:r>
            <w:r>
              <w:rPr>
                <w:rFonts w:hint="eastAsia"/>
                <w:lang w:val="en-US" w:eastAsia="zh-CN"/>
              </w:rPr>
              <w:t>中</w:t>
            </w:r>
            <w:r>
              <w:rPr>
                <w:rFonts w:hint="eastAsia"/>
                <w:lang w:eastAsia="zh-CN"/>
              </w:rPr>
              <w:t>标人上月全额发票后15个工作日内向</w:t>
            </w:r>
            <w:r>
              <w:rPr>
                <w:rFonts w:hint="eastAsia"/>
                <w:lang w:val="en-US" w:eastAsia="zh-CN"/>
              </w:rPr>
              <w:t>中</w:t>
            </w:r>
            <w:r>
              <w:rPr>
                <w:rFonts w:hint="eastAsia"/>
                <w:lang w:eastAsia="zh-CN"/>
              </w:rPr>
              <w:t>标人一次付清上月货物的全部货款。</w:t>
            </w:r>
          </w:p>
        </w:tc>
      </w:tr>
      <w:tr w14:paraId="1AAA5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8" w:type="pct"/>
            <w:gridSpan w:val="2"/>
            <w:tcBorders>
              <w:tl2br w:val="nil"/>
              <w:tr2bl w:val="nil"/>
            </w:tcBorders>
            <w:shd w:val="clear" w:color="auto" w:fill="auto"/>
            <w:vAlign w:val="center"/>
          </w:tcPr>
          <w:p w14:paraId="5950EE33">
            <w:pPr>
              <w:jc w:val="center"/>
            </w:pPr>
            <w:r>
              <w:rPr>
                <w:rFonts w:hint="eastAsia"/>
                <w:lang w:bidi="ar"/>
              </w:rPr>
              <w:t>配送要求</w:t>
            </w:r>
          </w:p>
        </w:tc>
        <w:tc>
          <w:tcPr>
            <w:tcW w:w="4081" w:type="pct"/>
            <w:gridSpan w:val="4"/>
            <w:tcBorders>
              <w:tl2br w:val="nil"/>
              <w:tr2bl w:val="nil"/>
            </w:tcBorders>
            <w:shd w:val="clear" w:color="auto" w:fill="auto"/>
            <w:vAlign w:val="center"/>
          </w:tcPr>
          <w:p w14:paraId="7E4FA097">
            <w:pPr>
              <w:rPr>
                <w:rFonts w:hint="eastAsia" w:eastAsia="宋体"/>
                <w:lang w:eastAsia="zh-CN"/>
              </w:rPr>
            </w:pPr>
            <w:r>
              <w:rPr>
                <w:rFonts w:hint="eastAsia"/>
              </w:rPr>
              <w:t>1.</w:t>
            </w:r>
            <w:r>
              <w:rPr>
                <w:rFonts w:hint="eastAsia"/>
                <w:lang w:eastAsia="zh-CN"/>
              </w:rPr>
              <w:t>中标人必须按照采购人通知的时间、数量、品种、品质要求及协定的价格，按采购人要求分装好准时送货，经验收合格后双方签字确认，中标人不能以任何理由推托，一旦影响到采购人工作的正常运转，中标人应承担相应的经济赔偿。临时性增加的品种，并签订书面补充协议，方可作为主合同不可分割的一部分。</w:t>
            </w:r>
          </w:p>
          <w:p w14:paraId="325FE6CF">
            <w:pPr>
              <w:rPr>
                <w:rFonts w:hint="eastAsia" w:eastAsia="宋体"/>
                <w:lang w:eastAsia="zh-CN"/>
              </w:rPr>
            </w:pPr>
            <w:r>
              <w:rPr>
                <w:rFonts w:hint="eastAsia"/>
              </w:rPr>
              <w:t>2.</w:t>
            </w:r>
            <w:r>
              <w:rPr>
                <w:rFonts w:hint="eastAsia"/>
                <w:lang w:eastAsia="zh-CN"/>
              </w:rPr>
              <w:t>一般供货要求：在收到采购人发出订货通知后，中标人最迟在次日上午</w:t>
            </w:r>
            <w:r>
              <w:rPr>
                <w:rFonts w:hint="default"/>
                <w:lang w:val="en-US" w:eastAsia="zh-CN"/>
              </w:rPr>
              <w:t>5</w:t>
            </w:r>
            <w:r>
              <w:rPr>
                <w:rFonts w:hint="eastAsia"/>
                <w:lang w:eastAsia="zh-CN"/>
              </w:rPr>
              <w:t>时前必须到达监管区大门。</w:t>
            </w:r>
          </w:p>
          <w:p w14:paraId="0CCE14A5">
            <w:pPr>
              <w:rPr>
                <w:rFonts w:hint="eastAsia" w:eastAsia="宋体"/>
                <w:lang w:eastAsia="zh-CN"/>
              </w:rPr>
            </w:pPr>
            <w:r>
              <w:rPr>
                <w:rFonts w:hint="eastAsia"/>
              </w:rPr>
              <w:t>3.紧急供货要求：</w:t>
            </w:r>
            <w:r>
              <w:rPr>
                <w:rFonts w:hint="eastAsia"/>
                <w:lang w:eastAsia="zh-CN"/>
              </w:rPr>
              <w:t>在收到采购人发出紧急供货通知后，中标人最迟2小时内完成当次现场供货。</w:t>
            </w:r>
          </w:p>
          <w:p w14:paraId="529E8C13">
            <w:r>
              <w:rPr>
                <w:rFonts w:hint="eastAsia"/>
              </w:rPr>
              <w:t>4.</w:t>
            </w:r>
            <w:r>
              <w:rPr>
                <w:rFonts w:hint="eastAsia"/>
                <w:lang w:eastAsia="zh-CN" w:bidi="ar"/>
              </w:rPr>
              <w:t>供应商必须安排至少2名固定配送人员及固定配送车辆长期送货，配送人员无犯罪记录，在办理好进入监区相关手续时提供无犯罪证明且后不得随意变动，如临时由非固定人员或固定车辆送货，须提前取得采购人同意。</w:t>
            </w:r>
          </w:p>
          <w:p w14:paraId="7E3C78BE">
            <w:r>
              <w:rPr>
                <w:rFonts w:hint="eastAsia"/>
              </w:rPr>
              <w:t>5.</w:t>
            </w:r>
            <w:r>
              <w:rPr>
                <w:rFonts w:hint="eastAsia"/>
                <w:lang w:bidi="ar"/>
              </w:rPr>
              <w:t>配送人员</w:t>
            </w:r>
            <w:r>
              <w:rPr>
                <w:rFonts w:hint="eastAsia"/>
                <w:lang w:val="en-US" w:eastAsia="zh-CN" w:bidi="ar"/>
              </w:rPr>
              <w:t>自觉</w:t>
            </w:r>
            <w:r>
              <w:rPr>
                <w:rFonts w:hint="eastAsia"/>
                <w:lang w:bidi="ar"/>
              </w:rPr>
              <w:t>接受采购</w:t>
            </w:r>
            <w:r>
              <w:rPr>
                <w:rFonts w:hint="eastAsia"/>
                <w:lang w:val="en-US" w:eastAsia="zh-CN" w:bidi="ar"/>
              </w:rPr>
              <w:t>人</w:t>
            </w:r>
            <w:r>
              <w:rPr>
                <w:rFonts w:hint="eastAsia"/>
                <w:lang w:bidi="ar"/>
              </w:rPr>
              <w:t>的现场管理，</w:t>
            </w:r>
            <w:r>
              <w:rPr>
                <w:rFonts w:hint="eastAsia"/>
                <w:lang w:val="en-US" w:eastAsia="zh-CN" w:bidi="ar"/>
              </w:rPr>
              <w:t>应</w:t>
            </w:r>
            <w:r>
              <w:rPr>
                <w:rFonts w:hint="eastAsia"/>
                <w:lang w:bidi="ar"/>
              </w:rPr>
              <w:t>穿着便于辨认的工衣或配戴胸卡，严格遵守采购人单位各项规章制度，</w:t>
            </w:r>
            <w:r>
              <w:rPr>
                <w:rFonts w:hint="eastAsia"/>
                <w:lang w:val="en-US" w:eastAsia="zh-CN" w:bidi="ar"/>
              </w:rPr>
              <w:t>不得携带违禁物品进入监狱监管区域，</w:t>
            </w:r>
            <w:r>
              <w:rPr>
                <w:rFonts w:hint="eastAsia"/>
                <w:lang w:bidi="ar"/>
              </w:rPr>
              <w:t>不得做出有损采购人形象和利益的事情</w:t>
            </w:r>
            <w:r>
              <w:rPr>
                <w:rFonts w:hint="eastAsia"/>
                <w:lang w:eastAsia="zh-CN" w:bidi="ar"/>
              </w:rPr>
              <w:t>。</w:t>
            </w:r>
            <w:r>
              <w:rPr>
                <w:rFonts w:hint="eastAsia"/>
                <w:lang w:bidi="ar"/>
              </w:rPr>
              <w:t>配送人员应当了解本项目采购需求，掌握送货各环节流程，熟悉送货路线、标准送货程序</w:t>
            </w:r>
            <w:r>
              <w:rPr>
                <w:rFonts w:hint="eastAsia"/>
                <w:lang w:eastAsia="zh-CN" w:bidi="ar"/>
              </w:rPr>
              <w:t>，</w:t>
            </w:r>
            <w:r>
              <w:rPr>
                <w:rFonts w:hint="eastAsia"/>
                <w:lang w:bidi="ar"/>
              </w:rPr>
              <w:t>安全</w:t>
            </w:r>
            <w:r>
              <w:rPr>
                <w:rFonts w:hint="eastAsia"/>
                <w:lang w:eastAsia="zh-CN" w:bidi="ar"/>
              </w:rPr>
              <w:t>、</w:t>
            </w:r>
            <w:r>
              <w:rPr>
                <w:rFonts w:hint="eastAsia"/>
                <w:lang w:bidi="ar"/>
              </w:rPr>
              <w:t>规范</w:t>
            </w:r>
            <w:r>
              <w:rPr>
                <w:rFonts w:hint="eastAsia"/>
                <w:lang w:eastAsia="zh-CN" w:bidi="ar"/>
              </w:rPr>
              <w:t>、</w:t>
            </w:r>
            <w:r>
              <w:rPr>
                <w:rFonts w:hint="eastAsia"/>
                <w:lang w:bidi="ar"/>
              </w:rPr>
              <w:t>高效做好送货工作。对于配送工作不认真，态度恶劣的配送人员，采购</w:t>
            </w:r>
            <w:r>
              <w:rPr>
                <w:rFonts w:hint="eastAsia"/>
                <w:lang w:val="en-US" w:eastAsia="zh-CN" w:bidi="ar"/>
              </w:rPr>
              <w:t>人</w:t>
            </w:r>
            <w:r>
              <w:rPr>
                <w:rFonts w:hint="eastAsia"/>
                <w:lang w:bidi="ar"/>
              </w:rPr>
              <w:t>有权要求</w:t>
            </w:r>
            <w:r>
              <w:rPr>
                <w:rFonts w:hint="eastAsia"/>
                <w:lang w:val="en-US" w:eastAsia="zh-CN" w:bidi="ar"/>
              </w:rPr>
              <w:t>中标人</w:t>
            </w:r>
            <w:r>
              <w:rPr>
                <w:rFonts w:hint="eastAsia"/>
                <w:lang w:bidi="ar"/>
              </w:rPr>
              <w:t>无条件更换人员，且不能影响</w:t>
            </w:r>
            <w:r>
              <w:rPr>
                <w:rFonts w:hint="eastAsia"/>
                <w:lang w:val="en-US" w:eastAsia="zh-CN" w:bidi="ar"/>
              </w:rPr>
              <w:t>采购人</w:t>
            </w:r>
            <w:r>
              <w:rPr>
                <w:rFonts w:hint="eastAsia"/>
                <w:lang w:eastAsia="zh-CN" w:bidi="ar"/>
              </w:rPr>
              <w:t>工作的正常运转。</w:t>
            </w:r>
            <w:r>
              <w:rPr>
                <w:rFonts w:hint="eastAsia"/>
                <w:lang w:val="en-US" w:eastAsia="zh-CN" w:bidi="ar"/>
              </w:rPr>
              <w:t>如因</w:t>
            </w:r>
            <w:r>
              <w:rPr>
                <w:rFonts w:hint="eastAsia"/>
                <w:lang w:bidi="ar"/>
              </w:rPr>
              <w:t>配送人员因离职等</w:t>
            </w:r>
            <w:r>
              <w:rPr>
                <w:rFonts w:hint="eastAsia"/>
                <w:lang w:val="en-US" w:eastAsia="zh-CN" w:bidi="ar"/>
              </w:rPr>
              <w:t>客观原因确实</w:t>
            </w:r>
            <w:r>
              <w:rPr>
                <w:rFonts w:hint="eastAsia"/>
                <w:lang w:bidi="ar"/>
              </w:rPr>
              <w:t>需要更换人员的，须提前7个工作日内向采购</w:t>
            </w:r>
            <w:r>
              <w:rPr>
                <w:rFonts w:hint="eastAsia"/>
                <w:lang w:val="en-US" w:eastAsia="zh-CN" w:bidi="ar"/>
              </w:rPr>
              <w:t>人</w:t>
            </w:r>
            <w:r>
              <w:rPr>
                <w:rFonts w:hint="eastAsia"/>
                <w:lang w:bidi="ar"/>
              </w:rPr>
              <w:t>提出申请，经采购</w:t>
            </w:r>
            <w:r>
              <w:rPr>
                <w:rFonts w:hint="eastAsia"/>
                <w:lang w:val="en-US" w:eastAsia="zh-CN" w:bidi="ar"/>
              </w:rPr>
              <w:t>人同意</w:t>
            </w:r>
            <w:r>
              <w:rPr>
                <w:rFonts w:hint="eastAsia"/>
                <w:lang w:bidi="ar"/>
              </w:rPr>
              <w:t>后，</w:t>
            </w:r>
            <w:r>
              <w:rPr>
                <w:rFonts w:hint="eastAsia"/>
                <w:lang w:val="en-US" w:eastAsia="zh-CN" w:bidi="ar"/>
              </w:rPr>
              <w:t>中标人</w:t>
            </w:r>
            <w:r>
              <w:rPr>
                <w:rFonts w:hint="eastAsia"/>
                <w:lang w:bidi="ar"/>
              </w:rPr>
              <w:t>方可</w:t>
            </w:r>
            <w:r>
              <w:rPr>
                <w:rFonts w:hint="eastAsia"/>
                <w:lang w:val="en-US" w:eastAsia="zh-CN" w:bidi="ar"/>
              </w:rPr>
              <w:t>更</w:t>
            </w:r>
            <w:r>
              <w:rPr>
                <w:rFonts w:hint="eastAsia"/>
                <w:lang w:bidi="ar"/>
              </w:rPr>
              <w:t>换</w:t>
            </w:r>
            <w:r>
              <w:rPr>
                <w:rFonts w:hint="eastAsia"/>
                <w:lang w:eastAsia="zh-CN" w:bidi="ar"/>
              </w:rPr>
              <w:t>人员</w:t>
            </w:r>
            <w:r>
              <w:rPr>
                <w:rFonts w:hint="eastAsia"/>
                <w:lang w:bidi="ar"/>
              </w:rPr>
              <w:t>，并确保配送工作的稳定交接。</w:t>
            </w:r>
          </w:p>
        </w:tc>
      </w:tr>
      <w:tr w14:paraId="5479B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8" w:type="pct"/>
            <w:gridSpan w:val="2"/>
            <w:tcBorders>
              <w:tl2br w:val="nil"/>
              <w:tr2bl w:val="nil"/>
            </w:tcBorders>
            <w:shd w:val="clear" w:color="auto" w:fill="auto"/>
            <w:vAlign w:val="center"/>
          </w:tcPr>
          <w:p w14:paraId="1184F577">
            <w:pPr>
              <w:jc w:val="center"/>
            </w:pPr>
            <w:r>
              <w:rPr>
                <w:rFonts w:hint="eastAsia"/>
                <w:lang w:bidi="ar"/>
              </w:rPr>
              <w:t>安全责任</w:t>
            </w:r>
          </w:p>
        </w:tc>
        <w:tc>
          <w:tcPr>
            <w:tcW w:w="4081" w:type="pct"/>
            <w:gridSpan w:val="4"/>
            <w:tcBorders>
              <w:tl2br w:val="nil"/>
              <w:tr2bl w:val="nil"/>
            </w:tcBorders>
            <w:shd w:val="clear" w:color="auto" w:fill="auto"/>
            <w:vAlign w:val="center"/>
          </w:tcPr>
          <w:p w14:paraId="00562BB9">
            <w:pPr>
              <w:rPr>
                <w:rFonts w:hint="eastAsia"/>
              </w:rPr>
            </w:pPr>
            <w:r>
              <w:rPr>
                <w:rFonts w:hint="eastAsia"/>
              </w:rPr>
              <w:t>1.中标人提供</w:t>
            </w:r>
            <w:r>
              <w:rPr>
                <w:rFonts w:hint="eastAsia"/>
                <w:lang w:val="en-US" w:eastAsia="zh-CN"/>
              </w:rPr>
              <w:t>食品必须</w:t>
            </w:r>
            <w:r>
              <w:rPr>
                <w:rFonts w:hint="eastAsia"/>
              </w:rPr>
              <w:t>是合格安全的产品</w:t>
            </w:r>
            <w:r>
              <w:rPr>
                <w:rFonts w:hint="eastAsia"/>
                <w:lang w:eastAsia="zh-CN"/>
              </w:rPr>
              <w:t>，</w:t>
            </w:r>
            <w:r>
              <w:rPr>
                <w:rFonts w:hint="eastAsia"/>
                <w:lang w:val="en-US" w:eastAsia="zh-CN"/>
              </w:rPr>
              <w:t>如出现</w:t>
            </w:r>
            <w:r>
              <w:rPr>
                <w:rFonts w:hint="eastAsia"/>
              </w:rPr>
              <w:t>质量不合格的食品，采购人有权要求无条件退货并及时换货，第一次按配送金额全额赔偿损失，第二次按配送金额的2倍赔偿损失，第三次采购</w:t>
            </w:r>
            <w:r>
              <w:rPr>
                <w:rFonts w:hint="eastAsia"/>
                <w:lang w:val="en-US" w:eastAsia="zh-CN"/>
              </w:rPr>
              <w:t>人有权单方</w:t>
            </w:r>
            <w:r>
              <w:rPr>
                <w:rFonts w:hint="eastAsia"/>
              </w:rPr>
              <w:t>终止合同并扣罚所有的履约保证金。</w:t>
            </w:r>
            <w:r>
              <w:rPr>
                <w:rFonts w:hint="eastAsia"/>
                <w:lang w:val="en-US" w:eastAsia="zh-CN"/>
              </w:rPr>
              <w:t>如中标人因</w:t>
            </w:r>
            <w:r>
              <w:rPr>
                <w:rFonts w:hint="eastAsia"/>
              </w:rPr>
              <w:t>非不可抗力原因故意不供货的，采购人可随时无条件终止合同并扣罚所有的履约保证金。</w:t>
            </w:r>
          </w:p>
          <w:p w14:paraId="513C56B1">
            <w:pPr>
              <w:rPr>
                <w:rFonts w:hint="eastAsia"/>
              </w:rPr>
            </w:pPr>
            <w:r>
              <w:rPr>
                <w:rFonts w:hint="eastAsia"/>
              </w:rPr>
              <w:t>2.中标人若提供有毒有害食品，造成食品安全事故的，经有关单位鉴定原因后，如确实为中标人提供的食品问题</w:t>
            </w:r>
            <w:r>
              <w:rPr>
                <w:rFonts w:hint="eastAsia"/>
                <w:lang w:val="en-US" w:eastAsia="zh-CN"/>
              </w:rPr>
              <w:t>造成的</w:t>
            </w:r>
            <w:r>
              <w:rPr>
                <w:rFonts w:hint="eastAsia"/>
              </w:rPr>
              <w:t>，中标人须</w:t>
            </w:r>
            <w:r>
              <w:rPr>
                <w:rFonts w:hint="eastAsia"/>
                <w:lang w:val="en-US" w:eastAsia="zh-CN"/>
              </w:rPr>
              <w:t>承担相关的</w:t>
            </w:r>
            <w:r>
              <w:rPr>
                <w:rFonts w:hint="eastAsia"/>
              </w:rPr>
              <w:t>住院费、医药费、护理费、护工费等</w:t>
            </w:r>
            <w:r>
              <w:rPr>
                <w:rFonts w:hint="eastAsia"/>
                <w:lang w:val="en-US" w:eastAsia="zh-CN"/>
              </w:rPr>
              <w:t>全额</w:t>
            </w:r>
            <w:r>
              <w:rPr>
                <w:rFonts w:hint="eastAsia"/>
              </w:rPr>
              <w:t>费用</w:t>
            </w:r>
            <w:r>
              <w:rPr>
                <w:rFonts w:hint="eastAsia"/>
                <w:lang w:eastAsia="zh-CN"/>
              </w:rPr>
              <w:t>。</w:t>
            </w:r>
            <w:r>
              <w:rPr>
                <w:rFonts w:hint="eastAsia"/>
                <w:lang w:val="en-US" w:eastAsia="zh-CN"/>
              </w:rPr>
              <w:t>同时</w:t>
            </w:r>
            <w:r>
              <w:rPr>
                <w:rFonts w:hint="eastAsia"/>
              </w:rPr>
              <w:t>采购人</w:t>
            </w:r>
            <w:r>
              <w:rPr>
                <w:rFonts w:hint="eastAsia"/>
                <w:lang w:val="en-US" w:eastAsia="zh-CN"/>
              </w:rPr>
              <w:t>有权</w:t>
            </w:r>
            <w:r>
              <w:rPr>
                <w:rFonts w:hint="eastAsia"/>
              </w:rPr>
              <w:t>取消中标人的供货资格，扣罚</w:t>
            </w:r>
            <w:r>
              <w:rPr>
                <w:rFonts w:hint="eastAsia"/>
                <w:lang w:val="en-US" w:eastAsia="zh-CN"/>
              </w:rPr>
              <w:t>所有</w:t>
            </w:r>
            <w:r>
              <w:rPr>
                <w:rFonts w:hint="eastAsia"/>
              </w:rPr>
              <w:t>履约保证金，中标人</w:t>
            </w:r>
            <w:r>
              <w:rPr>
                <w:rFonts w:hint="eastAsia"/>
                <w:lang w:val="en-US" w:eastAsia="zh-CN"/>
              </w:rPr>
              <w:t>还应</w:t>
            </w:r>
            <w:r>
              <w:rPr>
                <w:rFonts w:hint="eastAsia"/>
              </w:rPr>
              <w:t>承担相应的民事及刑事法律责任。采购人可以扣留中标人的货款用于支付中标人</w:t>
            </w:r>
            <w:r>
              <w:rPr>
                <w:rFonts w:hint="eastAsia"/>
                <w:lang w:val="en-US" w:eastAsia="zh-CN"/>
              </w:rPr>
              <w:t>承担</w:t>
            </w:r>
            <w:r>
              <w:rPr>
                <w:rFonts w:hint="eastAsia"/>
              </w:rPr>
              <w:t>的住院费、医药费、护理费、护工费等</w:t>
            </w:r>
            <w:r>
              <w:rPr>
                <w:rFonts w:hint="eastAsia"/>
                <w:lang w:val="en-US" w:eastAsia="zh-CN"/>
              </w:rPr>
              <w:t>相关</w:t>
            </w:r>
            <w:r>
              <w:rPr>
                <w:rFonts w:hint="eastAsia"/>
              </w:rPr>
              <w:t>费用。</w:t>
            </w:r>
          </w:p>
          <w:p w14:paraId="723DEF45">
            <w:pPr>
              <w:rPr>
                <w:rFonts w:hint="eastAsia"/>
                <w:lang w:val="en-US" w:eastAsia="zh-CN"/>
              </w:rPr>
            </w:pPr>
            <w:r>
              <w:rPr>
                <w:rFonts w:hint="eastAsia"/>
                <w:lang w:val="en-US" w:eastAsia="zh-CN"/>
              </w:rPr>
              <w:t>3.中标人故意提供假冒伪劣、过期、变质食品的，采购人可以拒付未付的所有货款，并扣罚所有履约保证金，同时采购人可以终止合同。</w:t>
            </w:r>
          </w:p>
          <w:p w14:paraId="16788277">
            <w:r>
              <w:rPr>
                <w:rFonts w:hint="eastAsia"/>
                <w:lang w:val="en-US" w:eastAsia="zh-CN"/>
              </w:rPr>
              <w:t>4.不得采用金属制品、玻璃制品等危险包装。</w:t>
            </w:r>
          </w:p>
        </w:tc>
      </w:tr>
      <w:tr w14:paraId="54DE2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8" w:type="pct"/>
            <w:gridSpan w:val="2"/>
            <w:tcBorders>
              <w:tl2br w:val="nil"/>
              <w:tr2bl w:val="nil"/>
            </w:tcBorders>
            <w:shd w:val="clear" w:color="auto" w:fill="auto"/>
            <w:vAlign w:val="center"/>
          </w:tcPr>
          <w:p w14:paraId="32B74210">
            <w:pPr>
              <w:jc w:val="center"/>
            </w:pPr>
            <w:r>
              <w:rPr>
                <w:rFonts w:hint="eastAsia"/>
                <w:lang w:bidi="ar"/>
              </w:rPr>
              <w:t>售后服务要求</w:t>
            </w:r>
          </w:p>
        </w:tc>
        <w:tc>
          <w:tcPr>
            <w:tcW w:w="4081" w:type="pct"/>
            <w:gridSpan w:val="4"/>
            <w:tcBorders>
              <w:tl2br w:val="nil"/>
              <w:tr2bl w:val="nil"/>
            </w:tcBorders>
            <w:shd w:val="clear" w:color="auto" w:fill="auto"/>
            <w:vAlign w:val="center"/>
          </w:tcPr>
          <w:p w14:paraId="58FCE5E0">
            <w:pPr>
              <w:rPr>
                <w:lang w:bidi="ar"/>
              </w:rPr>
            </w:pPr>
            <w:r>
              <w:rPr>
                <w:rFonts w:hint="eastAsia"/>
                <w:lang w:bidi="ar"/>
              </w:rPr>
              <w:t>1.</w:t>
            </w:r>
            <w:r>
              <w:rPr>
                <w:rFonts w:hint="eastAsia" w:ascii="宋体" w:hAnsi="宋体" w:eastAsia="宋体" w:cs="宋体"/>
                <w:color w:val="auto"/>
                <w:kern w:val="0"/>
                <w:szCs w:val="21"/>
              </w:rPr>
              <w:t>属于国家规定“三包”范围</w:t>
            </w:r>
            <w:r>
              <w:rPr>
                <w:rFonts w:hint="eastAsia" w:ascii="宋体" w:hAnsi="宋体" w:eastAsia="宋体" w:cs="宋体"/>
                <w:color w:val="auto"/>
                <w:kern w:val="0"/>
                <w:szCs w:val="21"/>
                <w:lang w:val="en-US" w:eastAsia="zh-CN"/>
              </w:rPr>
              <w:t>执行</w:t>
            </w:r>
            <w:r>
              <w:rPr>
                <w:rFonts w:hint="eastAsia"/>
                <w:lang w:bidi="ar"/>
              </w:rPr>
              <w:t>“三包”；</w:t>
            </w:r>
          </w:p>
          <w:p w14:paraId="32A7BB50">
            <w:pPr>
              <w:rPr>
                <w:lang w:bidi="ar"/>
              </w:rPr>
            </w:pPr>
            <w:r>
              <w:rPr>
                <w:rFonts w:hint="eastAsia"/>
                <w:lang w:bidi="ar"/>
              </w:rPr>
              <w:t>2.</w:t>
            </w:r>
            <w:r>
              <w:rPr>
                <w:rFonts w:hint="eastAsia"/>
                <w:lang w:val="en-US" w:eastAsia="zh-CN" w:bidi="ar"/>
              </w:rPr>
              <w:t>负责</w:t>
            </w:r>
            <w:r>
              <w:rPr>
                <w:rFonts w:hint="eastAsia"/>
                <w:lang w:bidi="ar"/>
              </w:rPr>
              <w:t>送货上门</w:t>
            </w:r>
            <w:r>
              <w:rPr>
                <w:rFonts w:hint="eastAsia"/>
                <w:lang w:val="en-US" w:eastAsia="zh-CN" w:bidi="ar"/>
              </w:rPr>
              <w:t>并承担相关费用</w:t>
            </w:r>
            <w:r>
              <w:rPr>
                <w:rFonts w:hint="eastAsia"/>
                <w:lang w:bidi="ar"/>
              </w:rPr>
              <w:t>；</w:t>
            </w:r>
          </w:p>
          <w:p w14:paraId="33420164">
            <w:r>
              <w:rPr>
                <w:rFonts w:hint="eastAsia"/>
                <w:lang w:bidi="ar"/>
              </w:rPr>
              <w:t>3.保质保量，如在质保期内发现质量问题，</w:t>
            </w:r>
            <w:r>
              <w:rPr>
                <w:rFonts w:hint="eastAsia"/>
                <w:lang w:val="en-US" w:eastAsia="zh-CN" w:bidi="ar"/>
              </w:rPr>
              <w:t>中标人</w:t>
            </w:r>
            <w:r>
              <w:rPr>
                <w:rFonts w:hint="eastAsia"/>
                <w:lang w:bidi="ar"/>
              </w:rPr>
              <w:t>必须在接到采购人通知后1小时内到达现场处理，如</w:t>
            </w:r>
            <w:r>
              <w:rPr>
                <w:rFonts w:hint="eastAsia"/>
                <w:lang w:val="en-US" w:eastAsia="zh-CN" w:bidi="ar"/>
              </w:rPr>
              <w:t>确实</w:t>
            </w:r>
            <w:r>
              <w:rPr>
                <w:rFonts w:hint="eastAsia"/>
                <w:lang w:bidi="ar"/>
              </w:rPr>
              <w:t>属</w:t>
            </w:r>
            <w:r>
              <w:rPr>
                <w:rFonts w:hint="eastAsia"/>
                <w:lang w:val="en-US" w:eastAsia="zh-CN" w:bidi="ar"/>
              </w:rPr>
              <w:t>于</w:t>
            </w:r>
            <w:r>
              <w:rPr>
                <w:rFonts w:hint="eastAsia"/>
                <w:lang w:bidi="ar"/>
              </w:rPr>
              <w:t>质量问题的</w:t>
            </w:r>
            <w:r>
              <w:rPr>
                <w:rFonts w:hint="eastAsia"/>
                <w:lang w:eastAsia="zh-CN" w:bidi="ar"/>
              </w:rPr>
              <w:t>，</w:t>
            </w:r>
            <w:r>
              <w:rPr>
                <w:rFonts w:hint="eastAsia"/>
                <w:lang w:val="en-US" w:eastAsia="zh-CN" w:bidi="ar"/>
              </w:rPr>
              <w:t>须在</w:t>
            </w:r>
            <w:r>
              <w:rPr>
                <w:rFonts w:hint="eastAsia"/>
                <w:lang w:bidi="ar"/>
              </w:rPr>
              <w:t>12小时内更换质量不合格的食品</w:t>
            </w:r>
            <w:r>
              <w:rPr>
                <w:rFonts w:hint="eastAsia"/>
                <w:lang w:val="en-US" w:eastAsia="zh-CN" w:bidi="ar"/>
              </w:rPr>
              <w:t>并承担相关费用</w:t>
            </w:r>
            <w:r>
              <w:rPr>
                <w:rFonts w:hint="eastAsia"/>
                <w:lang w:bidi="ar"/>
              </w:rPr>
              <w:t>。</w:t>
            </w:r>
          </w:p>
        </w:tc>
      </w:tr>
      <w:tr w14:paraId="57561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8" w:type="pct"/>
            <w:gridSpan w:val="2"/>
            <w:tcBorders>
              <w:tl2br w:val="nil"/>
              <w:tr2bl w:val="nil"/>
            </w:tcBorders>
            <w:shd w:val="clear" w:color="auto" w:fill="auto"/>
            <w:vAlign w:val="center"/>
          </w:tcPr>
          <w:p w14:paraId="6032D89A">
            <w:pPr>
              <w:jc w:val="center"/>
              <w:rPr>
                <w:b/>
                <w:bCs/>
                <w:lang w:bidi="ar"/>
              </w:rPr>
            </w:pPr>
            <w:r>
              <w:rPr>
                <w:rFonts w:hint="eastAsia"/>
              </w:rPr>
              <w:t>履约保证金</w:t>
            </w:r>
          </w:p>
        </w:tc>
        <w:tc>
          <w:tcPr>
            <w:tcW w:w="4081" w:type="pct"/>
            <w:gridSpan w:val="4"/>
            <w:tcBorders>
              <w:tl2br w:val="nil"/>
              <w:tr2bl w:val="nil"/>
            </w:tcBorders>
            <w:shd w:val="clear" w:color="auto" w:fill="auto"/>
            <w:vAlign w:val="center"/>
          </w:tcPr>
          <w:p w14:paraId="0CE90338">
            <w:pPr>
              <w:rPr>
                <w:rFonts w:hint="eastAsia" w:eastAsia="宋体"/>
                <w:lang w:eastAsia="zh-CN" w:bidi="ar"/>
              </w:rPr>
            </w:pPr>
            <w:r>
              <w:rPr>
                <w:rFonts w:hint="eastAsia"/>
                <w:lang w:bidi="ar"/>
              </w:rPr>
              <w:t>1.履约保证金金额：</w:t>
            </w:r>
            <w:r>
              <w:rPr>
                <w:rFonts w:hint="eastAsia"/>
                <w:lang w:eastAsia="zh-CN" w:bidi="ar"/>
              </w:rPr>
              <w:t>中标金额的2%，中标人在与采购人签订合同前向采购人足额缴纳履约保证金。</w:t>
            </w:r>
          </w:p>
          <w:p w14:paraId="164395FE">
            <w:pPr>
              <w:rPr>
                <w:lang w:bidi="ar"/>
              </w:rPr>
            </w:pPr>
            <w:r>
              <w:rPr>
                <w:rFonts w:hint="eastAsia"/>
                <w:lang w:bidi="ar"/>
              </w:rPr>
              <w:t>2.递交方式：</w:t>
            </w:r>
            <w:r>
              <w:rPr>
                <w:rFonts w:hint="eastAsia"/>
                <w:lang w:eastAsia="zh-CN" w:bidi="ar"/>
              </w:rPr>
              <w:t>银行转账、支票、汇票、本票或者银行、保险机构出具的保函等非现金方式</w:t>
            </w:r>
            <w:r>
              <w:rPr>
                <w:rFonts w:hint="eastAsia"/>
                <w:lang w:bidi="ar"/>
              </w:rPr>
              <w:t>。</w:t>
            </w:r>
          </w:p>
          <w:p w14:paraId="08156D2E">
            <w:pPr>
              <w:rPr>
                <w:rFonts w:hint="eastAsia"/>
                <w:lang w:bidi="ar"/>
              </w:rPr>
            </w:pPr>
            <w:r>
              <w:rPr>
                <w:rFonts w:hint="eastAsia"/>
                <w:lang w:bidi="ar"/>
              </w:rPr>
              <w:t>3.履约保证金在服务期限结束且最后一批货物质保期结束后，如无质量问题，由中标人向采购人提供《政府采购项目履约保证金退付意见书》及《广西壮族自治区政府采购项目合同验收书》，采购人在收到合格材料后10个工作日内退还（不计利息）。涉及违约的违约金和损失赔偿从履约保证金中扣减。</w:t>
            </w:r>
          </w:p>
          <w:p w14:paraId="5E50ABEF">
            <w:pPr>
              <w:rPr>
                <w:rFonts w:hint="eastAsia" w:ascii="宋体" w:hAnsi="宋体" w:eastAsia="宋体" w:cs="宋体"/>
                <w:lang w:bidi="ar"/>
              </w:rPr>
            </w:pPr>
            <w:r>
              <w:rPr>
                <w:rFonts w:hint="eastAsia" w:ascii="宋体" w:hAnsi="宋体" w:eastAsia="宋体" w:cs="宋体"/>
                <w:lang w:bidi="ar"/>
              </w:rPr>
              <w:t>备注：</w:t>
            </w:r>
          </w:p>
          <w:p w14:paraId="0735E320">
            <w:pPr>
              <w:rPr>
                <w:rFonts w:hint="eastAsia" w:ascii="宋体" w:hAnsi="宋体" w:eastAsia="宋体" w:cs="宋体"/>
                <w:lang w:bidi="ar"/>
              </w:rPr>
            </w:pPr>
            <w:r>
              <w:rPr>
                <w:rFonts w:hint="eastAsia" w:ascii="宋体" w:hAnsi="宋体" w:eastAsia="宋体" w:cs="宋体"/>
                <w:lang w:bidi="ar"/>
              </w:rPr>
              <w:t>1.履约保证金不足额缴纳的，或者金融、担保机构出具的保函额度不足的或者保函有效期低于合同履行期限（即签订采购合同之日起至履行完合同约定的权利及义务之日止）的，不予签订合同。</w:t>
            </w:r>
          </w:p>
          <w:p w14:paraId="13AFCF67">
            <w:r>
              <w:rPr>
                <w:rFonts w:hint="eastAsia" w:ascii="宋体" w:hAnsi="宋体" w:eastAsia="宋体" w:cs="宋体"/>
                <w:lang w:bidi="ar"/>
              </w:rPr>
              <w:t>2.采用金融、担保机构出具的保函的，必须为无条件保函，否则不予签订合同。</w:t>
            </w:r>
          </w:p>
        </w:tc>
      </w:tr>
      <w:tr w14:paraId="346F5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8" w:type="pct"/>
            <w:gridSpan w:val="2"/>
            <w:tcBorders>
              <w:tl2br w:val="nil"/>
              <w:tr2bl w:val="nil"/>
            </w:tcBorders>
            <w:shd w:val="clear" w:color="auto" w:fill="auto"/>
            <w:vAlign w:val="center"/>
          </w:tcPr>
          <w:p w14:paraId="53AFB2C3">
            <w:pPr>
              <w:jc w:val="center"/>
            </w:pPr>
            <w:r>
              <w:rPr>
                <w:rFonts w:hint="eastAsia"/>
                <w:lang w:bidi="ar"/>
              </w:rPr>
              <w:t>其他要求</w:t>
            </w:r>
          </w:p>
        </w:tc>
        <w:tc>
          <w:tcPr>
            <w:tcW w:w="4081" w:type="pct"/>
            <w:gridSpan w:val="4"/>
            <w:tcBorders>
              <w:tl2br w:val="nil"/>
              <w:tr2bl w:val="nil"/>
            </w:tcBorders>
            <w:shd w:val="clear" w:color="auto" w:fill="auto"/>
            <w:vAlign w:val="center"/>
          </w:tcPr>
          <w:p w14:paraId="15AF151E">
            <w:pPr>
              <w:rPr>
                <w:rFonts w:hint="eastAsia" w:ascii="宋体" w:hAnsi="宋体" w:eastAsia="宋体" w:cs="宋体"/>
                <w:lang w:bidi="ar"/>
              </w:rPr>
            </w:pPr>
            <w:r>
              <w:rPr>
                <w:rFonts w:hint="eastAsia" w:ascii="宋体" w:hAnsi="宋体" w:eastAsia="宋体" w:cs="宋体"/>
                <w:lang w:bidi="ar"/>
              </w:rPr>
              <w:t>1.供货时，</w:t>
            </w:r>
            <w:r>
              <w:rPr>
                <w:rFonts w:hint="eastAsia" w:ascii="宋体" w:hAnsi="宋体" w:eastAsia="宋体" w:cs="宋体"/>
                <w:lang w:val="en-US" w:eastAsia="zh-CN" w:bidi="ar"/>
              </w:rPr>
              <w:t>中标人</w:t>
            </w:r>
            <w:r>
              <w:rPr>
                <w:rFonts w:hint="eastAsia" w:ascii="宋体" w:hAnsi="宋体" w:eastAsia="宋体" w:cs="宋体"/>
                <w:lang w:bidi="ar"/>
              </w:rPr>
              <w:t>必须提供以下证明文件：</w:t>
            </w:r>
          </w:p>
          <w:p w14:paraId="654A7CE6">
            <w:pPr>
              <w:rPr>
                <w:rFonts w:hint="eastAsia" w:ascii="宋体" w:hAnsi="宋体" w:eastAsia="宋体" w:cs="宋体"/>
                <w:lang w:bidi="ar"/>
              </w:rPr>
            </w:pPr>
            <w:r>
              <w:rPr>
                <w:rFonts w:hint="eastAsia" w:ascii="宋体" w:hAnsi="宋体" w:eastAsia="宋体" w:cs="宋体"/>
                <w:lang w:bidi="ar"/>
              </w:rPr>
              <w:t>（1）每批货物必须提供相关的质量安全检验合格证明，且每批次货物都需经采购人抽验合格后方可供货。</w:t>
            </w:r>
          </w:p>
          <w:p w14:paraId="3A6BCFBE">
            <w:pPr>
              <w:rPr>
                <w:rFonts w:hint="eastAsia" w:ascii="宋体" w:hAnsi="宋体" w:eastAsia="宋体" w:cs="宋体"/>
                <w:lang w:bidi="ar"/>
              </w:rPr>
            </w:pPr>
            <w:r>
              <w:rPr>
                <w:rFonts w:hint="eastAsia" w:ascii="宋体" w:hAnsi="宋体" w:eastAsia="宋体" w:cs="宋体"/>
                <w:lang w:bidi="ar"/>
              </w:rPr>
              <w:t>（2）</w:t>
            </w:r>
            <w:r>
              <w:rPr>
                <w:rFonts w:hint="eastAsia" w:ascii="宋体" w:hAnsi="宋体" w:eastAsia="宋体" w:cs="宋体"/>
                <w:lang w:val="en-US" w:eastAsia="zh-CN" w:bidi="ar"/>
              </w:rPr>
              <w:t>中标人</w:t>
            </w:r>
            <w:r>
              <w:rPr>
                <w:rFonts w:hint="eastAsia" w:ascii="宋体" w:hAnsi="宋体" w:eastAsia="宋体" w:cs="宋体"/>
                <w:lang w:bidi="ar"/>
              </w:rPr>
              <w:t>必须提供相关供货清单（包括货物名称、数量、单价、金额等</w:t>
            </w:r>
            <w:r>
              <w:rPr>
                <w:rFonts w:hint="eastAsia" w:ascii="宋体" w:hAnsi="宋体" w:eastAsia="宋体" w:cs="宋体"/>
                <w:lang w:val="en-US" w:eastAsia="zh-CN" w:bidi="ar"/>
              </w:rPr>
              <w:t>信息</w:t>
            </w:r>
            <w:r>
              <w:rPr>
                <w:rFonts w:hint="eastAsia" w:ascii="宋体" w:hAnsi="宋体" w:eastAsia="宋体" w:cs="宋体"/>
                <w:lang w:bidi="ar"/>
              </w:rPr>
              <w:t>），以便采购人月底结算货款。</w:t>
            </w:r>
            <w:r>
              <w:rPr>
                <w:rFonts w:hint="eastAsia" w:ascii="宋体" w:hAnsi="宋体" w:eastAsia="宋体" w:cs="宋体"/>
                <w:lang w:val="en-US" w:eastAsia="zh-CN" w:bidi="ar"/>
              </w:rPr>
              <w:t>中标人</w:t>
            </w:r>
            <w:r>
              <w:rPr>
                <w:rFonts w:hint="eastAsia" w:ascii="宋体" w:hAnsi="宋体" w:eastAsia="宋体" w:cs="宋体"/>
                <w:lang w:bidi="ar"/>
              </w:rPr>
              <w:t>供货不符合要求的，采购人有权立即退货</w:t>
            </w:r>
            <w:r>
              <w:rPr>
                <w:rFonts w:hint="eastAsia" w:ascii="宋体" w:hAnsi="宋体" w:eastAsia="宋体" w:cs="宋体"/>
                <w:lang w:eastAsia="zh-CN" w:bidi="ar"/>
              </w:rPr>
              <w:t>，</w:t>
            </w:r>
            <w:r>
              <w:rPr>
                <w:rFonts w:hint="eastAsia" w:ascii="宋体" w:hAnsi="宋体" w:eastAsia="宋体" w:cs="宋体"/>
                <w:lang w:val="en-US" w:eastAsia="zh-CN" w:bidi="ar"/>
              </w:rPr>
              <w:t>中标人</w:t>
            </w:r>
            <w:r>
              <w:rPr>
                <w:rFonts w:hint="eastAsia" w:ascii="宋体" w:hAnsi="宋体" w:eastAsia="宋体" w:cs="宋体"/>
                <w:lang w:bidi="ar"/>
              </w:rPr>
              <w:t>应按采购人的要求</w:t>
            </w:r>
            <w:r>
              <w:rPr>
                <w:rFonts w:hint="eastAsia" w:ascii="宋体" w:hAnsi="宋体" w:eastAsia="宋体" w:cs="宋体"/>
                <w:lang w:val="en-US" w:eastAsia="zh-CN" w:bidi="ar"/>
              </w:rPr>
              <w:t>于</w:t>
            </w:r>
            <w:r>
              <w:rPr>
                <w:rFonts w:hint="eastAsia" w:ascii="宋体" w:hAnsi="宋体" w:eastAsia="宋体" w:cs="宋体"/>
                <w:lang w:bidi="ar"/>
              </w:rPr>
              <w:t>12小时内</w:t>
            </w:r>
            <w:r>
              <w:rPr>
                <w:rFonts w:hint="eastAsia" w:ascii="宋体" w:hAnsi="宋体" w:eastAsia="宋体" w:cs="宋体"/>
                <w:lang w:val="en-US" w:eastAsia="zh-CN" w:bidi="ar"/>
              </w:rPr>
              <w:t>更换</w:t>
            </w:r>
            <w:r>
              <w:rPr>
                <w:rFonts w:hint="eastAsia" w:ascii="宋体" w:hAnsi="宋体" w:eastAsia="宋体" w:cs="宋体"/>
                <w:lang w:bidi="ar"/>
              </w:rPr>
              <w:t>，具体</w:t>
            </w:r>
            <w:r>
              <w:rPr>
                <w:rFonts w:hint="eastAsia" w:ascii="宋体" w:hAnsi="宋体" w:eastAsia="宋体" w:cs="宋体"/>
                <w:lang w:val="en-US" w:eastAsia="zh-CN" w:bidi="ar"/>
              </w:rPr>
              <w:t>更换</w:t>
            </w:r>
            <w:r>
              <w:rPr>
                <w:rFonts w:hint="eastAsia" w:ascii="宋体" w:hAnsi="宋体" w:eastAsia="宋体" w:cs="宋体"/>
                <w:lang w:bidi="ar"/>
              </w:rPr>
              <w:t>时间以</w:t>
            </w:r>
            <w:r>
              <w:rPr>
                <w:rFonts w:hint="eastAsia" w:ascii="宋体" w:hAnsi="宋体" w:eastAsia="宋体" w:cs="宋体"/>
                <w:lang w:val="en-US" w:eastAsia="zh-CN" w:bidi="ar"/>
              </w:rPr>
              <w:t>双方</w:t>
            </w:r>
            <w:r>
              <w:rPr>
                <w:rFonts w:hint="eastAsia" w:ascii="宋体" w:hAnsi="宋体" w:eastAsia="宋体" w:cs="宋体"/>
                <w:lang w:bidi="ar"/>
              </w:rPr>
              <w:t>约定为准。</w:t>
            </w:r>
          </w:p>
          <w:p w14:paraId="14B152C5">
            <w:pPr>
              <w:rPr>
                <w:lang w:bidi="ar"/>
              </w:rPr>
            </w:pPr>
            <w:r>
              <w:rPr>
                <w:rFonts w:hint="eastAsia"/>
                <w:lang w:bidi="ar"/>
              </w:rPr>
              <w:t>2.交货验收必须由采购人和</w:t>
            </w:r>
            <w:r>
              <w:rPr>
                <w:rFonts w:hint="eastAsia"/>
                <w:lang w:val="en-US" w:eastAsia="zh-CN" w:bidi="ar"/>
              </w:rPr>
              <w:t>中标人</w:t>
            </w:r>
            <w:r>
              <w:rPr>
                <w:rFonts w:hint="eastAsia"/>
                <w:lang w:bidi="ar"/>
              </w:rPr>
              <w:t>共同进行，采购人如认为有需要的，可委托相关检验部门对产品进行抽检，自检或检验部门抽检不合格的不给予验收，影</w:t>
            </w:r>
            <w:r>
              <w:rPr>
                <w:rFonts w:hint="eastAsia"/>
                <w:lang w:eastAsia="zh-CN" w:bidi="ar"/>
              </w:rPr>
              <w:t>响采购人工作的正常运转的将追究中标人相关责任</w:t>
            </w:r>
            <w:r>
              <w:rPr>
                <w:rFonts w:hint="eastAsia"/>
                <w:lang w:bidi="ar"/>
              </w:rPr>
              <w:t>，抽检所产生的费用全部由</w:t>
            </w:r>
            <w:r>
              <w:rPr>
                <w:rFonts w:hint="eastAsia"/>
                <w:lang w:val="en-US" w:eastAsia="zh-CN" w:bidi="ar"/>
              </w:rPr>
              <w:t>中标人承担</w:t>
            </w:r>
            <w:r>
              <w:rPr>
                <w:rFonts w:hint="eastAsia"/>
                <w:lang w:bidi="ar"/>
              </w:rPr>
              <w:t>。</w:t>
            </w:r>
          </w:p>
          <w:p w14:paraId="34B1200A">
            <w:pPr>
              <w:rPr>
                <w:lang w:bidi="ar"/>
              </w:rPr>
            </w:pPr>
            <w:r>
              <w:rPr>
                <w:rFonts w:hint="eastAsia"/>
                <w:lang w:bidi="ar"/>
              </w:rPr>
              <w:t>3.验收工作的一般程序为：采购人应当在到货后根据货物采购清单的具体要求，对所购名称进行清点、外观检查进行实测，并逐项记录。</w:t>
            </w:r>
            <w:r>
              <w:rPr>
                <w:rFonts w:hint="eastAsia"/>
                <w:lang w:eastAsia="zh-CN" w:bidi="ar"/>
              </w:rPr>
              <w:t>经验收合格后双方签字确认</w:t>
            </w:r>
            <w:r>
              <w:rPr>
                <w:rFonts w:hint="eastAsia"/>
                <w:lang w:bidi="ar"/>
              </w:rPr>
              <w:t>。对未能通过验收的，一律退货、更换直至验收合格。</w:t>
            </w:r>
          </w:p>
          <w:p w14:paraId="12004C6D">
            <w:pPr>
              <w:rPr>
                <w:lang w:bidi="ar"/>
              </w:rPr>
            </w:pPr>
            <w:r>
              <w:rPr>
                <w:rFonts w:hint="eastAsia"/>
                <w:lang w:bidi="ar"/>
              </w:rPr>
              <w:t>4.</w:t>
            </w:r>
            <w:r>
              <w:rPr>
                <w:rFonts w:hint="eastAsia"/>
                <w:lang w:val="en-US" w:eastAsia="zh-CN" w:bidi="ar"/>
              </w:rPr>
              <w:t>结算单价</w:t>
            </w:r>
            <w:r>
              <w:rPr>
                <w:rFonts w:hint="eastAsia"/>
                <w:lang w:bidi="ar"/>
              </w:rPr>
              <w:t>=基准单价×</w:t>
            </w:r>
            <w:r>
              <w:rPr>
                <w:rFonts w:hint="eastAsia"/>
                <w:lang w:val="en-US" w:eastAsia="zh-CN" w:bidi="ar"/>
              </w:rPr>
              <w:t>中标</w:t>
            </w:r>
            <w:r>
              <w:rPr>
                <w:rFonts w:hint="eastAsia"/>
                <w:lang w:bidi="ar"/>
              </w:rPr>
              <w:t>折扣系数，签订合同当月，</w:t>
            </w:r>
            <w:r>
              <w:rPr>
                <w:rFonts w:hint="eastAsia"/>
                <w:lang w:val="en-US" w:eastAsia="zh-CN" w:bidi="ar"/>
              </w:rPr>
              <w:t>中标人</w:t>
            </w:r>
            <w:r>
              <w:rPr>
                <w:rFonts w:hint="eastAsia"/>
                <w:lang w:bidi="ar"/>
              </w:rPr>
              <w:t>与采购</w:t>
            </w:r>
            <w:r>
              <w:rPr>
                <w:rFonts w:hint="eastAsia"/>
                <w:lang w:val="en-US" w:eastAsia="zh-CN" w:bidi="ar"/>
              </w:rPr>
              <w:t>人</w:t>
            </w:r>
            <w:r>
              <w:rPr>
                <w:rFonts w:hint="eastAsia"/>
                <w:lang w:bidi="ar"/>
              </w:rPr>
              <w:t>共同选择贵港市至少三家大型商场、市场、超市展开市场调查，选取调查的三个市场主体中货物的平均价作为基准单价。合同执行前三个月价格不变，合同执行三个月后，如果某品类物资当月市场价格在合同基准价格基础上上下浮动率≥10%时，可以进行价格调整。价格调整由中标人或采购人提出基准单价调整申请，由采购人面向市场主体选择贵港市3家</w:t>
            </w:r>
            <w:r>
              <w:rPr>
                <w:rFonts w:hint="eastAsia"/>
                <w:lang w:eastAsia="zh-CN" w:bidi="ar"/>
              </w:rPr>
              <w:t>（</w:t>
            </w:r>
            <w:r>
              <w:rPr>
                <w:rFonts w:hint="eastAsia"/>
                <w:lang w:val="en-US" w:eastAsia="zh-CN" w:bidi="ar"/>
              </w:rPr>
              <w:t>含</w:t>
            </w:r>
            <w:r>
              <w:rPr>
                <w:rFonts w:hint="eastAsia"/>
                <w:lang w:eastAsia="zh-CN" w:bidi="ar"/>
              </w:rPr>
              <w:t>）</w:t>
            </w:r>
            <w:r>
              <w:rPr>
                <w:rFonts w:hint="eastAsia"/>
                <w:lang w:bidi="ar"/>
              </w:rPr>
              <w:t>以上大型商场或者市场开展市场价格调查，选取调查的市场或者超市的平均</w:t>
            </w:r>
            <w:r>
              <w:rPr>
                <w:rFonts w:hint="eastAsia"/>
                <w:lang w:val="en-US" w:eastAsia="zh-CN" w:bidi="ar"/>
              </w:rPr>
              <w:t>价</w:t>
            </w:r>
            <w:r>
              <w:rPr>
                <w:rFonts w:hint="eastAsia"/>
                <w:lang w:bidi="ar"/>
              </w:rPr>
              <w:t>作为调查价格，调查结果符合调价规则的，经双方确认同意后方可调整价格。基准单价调整后，</w:t>
            </w:r>
            <w:r>
              <w:rPr>
                <w:rFonts w:hint="eastAsia"/>
                <w:lang w:val="en-US" w:eastAsia="zh-CN" w:bidi="ar"/>
              </w:rPr>
              <w:t>结算单价</w:t>
            </w:r>
            <w:r>
              <w:rPr>
                <w:rFonts w:hint="eastAsia"/>
                <w:lang w:bidi="ar"/>
              </w:rPr>
              <w:t>为变动后的基准单价×</w:t>
            </w:r>
            <w:r>
              <w:rPr>
                <w:rFonts w:hint="eastAsia"/>
                <w:lang w:val="en-US" w:eastAsia="zh-CN" w:bidi="ar"/>
              </w:rPr>
              <w:t>中标</w:t>
            </w:r>
            <w:r>
              <w:rPr>
                <w:rFonts w:hint="eastAsia"/>
                <w:lang w:bidi="ar"/>
              </w:rPr>
              <w:t>折扣系数。</w:t>
            </w:r>
          </w:p>
          <w:p w14:paraId="1CB9B132">
            <w:pPr>
              <w:rPr>
                <w:rFonts w:hint="eastAsia"/>
                <w:lang w:bidi="ar"/>
              </w:rPr>
            </w:pPr>
            <w:r>
              <w:rPr>
                <w:rFonts w:hint="eastAsia"/>
                <w:lang w:bidi="ar"/>
              </w:rPr>
              <w:t>5.关于扶贫产品的采购。如果政府部门或上级部门要求采购人在扶贫产品网站采购相应的扶贫产品的，</w:t>
            </w:r>
            <w:r>
              <w:rPr>
                <w:rFonts w:hint="eastAsia"/>
                <w:lang w:val="en-US" w:eastAsia="zh-CN" w:bidi="ar"/>
              </w:rPr>
              <w:t>中标人</w:t>
            </w:r>
            <w:r>
              <w:rPr>
                <w:rFonts w:hint="eastAsia"/>
                <w:lang w:bidi="ar"/>
              </w:rPr>
              <w:t>须无条件同意采购人减少合同执行金额，由采购人自行在扶贫产品网站采购扶贫产品。</w:t>
            </w:r>
          </w:p>
          <w:p w14:paraId="7128D565">
            <w:r>
              <w:rPr>
                <w:rFonts w:hint="eastAsia"/>
                <w:b/>
                <w:bCs/>
                <w:lang w:val="en-US" w:eastAsia="zh-CN" w:bidi="ar"/>
              </w:rPr>
              <w:t>6.如采购人因不可抗力原因、上级要求需要变更或提前终止合同的，采购人提前一个月告知成交供应商，成交供应商须无条件配合，并且采购人不负变更或提前终止合同的违约责任。</w:t>
            </w:r>
          </w:p>
        </w:tc>
      </w:tr>
      <w:tr w14:paraId="72824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5000" w:type="pct"/>
            <w:gridSpan w:val="6"/>
            <w:tcBorders>
              <w:tl2br w:val="nil"/>
              <w:tr2bl w:val="nil"/>
            </w:tcBorders>
            <w:shd w:val="clear" w:color="auto" w:fill="auto"/>
            <w:vAlign w:val="center"/>
          </w:tcPr>
          <w:p w14:paraId="0A586D1D">
            <w:r>
              <w:rPr>
                <w:rFonts w:hint="eastAsia"/>
                <w:b/>
                <w:bCs/>
              </w:rPr>
              <w:t>三、采购人对项目的特殊要求及说明</w:t>
            </w:r>
          </w:p>
        </w:tc>
      </w:tr>
      <w:tr w14:paraId="31C47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8" w:type="pct"/>
            <w:gridSpan w:val="2"/>
            <w:tcBorders>
              <w:tl2br w:val="nil"/>
              <w:tr2bl w:val="nil"/>
            </w:tcBorders>
            <w:shd w:val="clear" w:color="auto" w:fill="auto"/>
            <w:vAlign w:val="center"/>
          </w:tcPr>
          <w:p w14:paraId="7948BFEB">
            <w:pPr>
              <w:jc w:val="center"/>
              <w:rPr>
                <w:highlight w:val="yellow"/>
              </w:rPr>
            </w:pPr>
            <w:r>
              <w:rPr>
                <w:rFonts w:hint="eastAsia"/>
              </w:rPr>
              <w:t>核心产品</w:t>
            </w:r>
          </w:p>
        </w:tc>
        <w:tc>
          <w:tcPr>
            <w:tcW w:w="4081" w:type="pct"/>
            <w:gridSpan w:val="4"/>
            <w:tcBorders>
              <w:tl2br w:val="nil"/>
              <w:tr2bl w:val="nil"/>
            </w:tcBorders>
            <w:shd w:val="clear" w:color="auto" w:fill="auto"/>
            <w:vAlign w:val="center"/>
          </w:tcPr>
          <w:p w14:paraId="3B21B33D">
            <w:pPr>
              <w:rPr>
                <w:highlight w:val="yellow"/>
              </w:rPr>
            </w:pPr>
            <w:r>
              <w:rPr>
                <w:rFonts w:hint="eastAsia"/>
              </w:rPr>
              <w:t>本分标无核心产品。</w:t>
            </w:r>
          </w:p>
        </w:tc>
      </w:tr>
      <w:tr w14:paraId="1BE68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18" w:type="pct"/>
            <w:gridSpan w:val="2"/>
            <w:tcBorders>
              <w:tl2br w:val="nil"/>
              <w:tr2bl w:val="nil"/>
            </w:tcBorders>
            <w:shd w:val="clear" w:color="auto" w:fill="auto"/>
            <w:vAlign w:val="center"/>
          </w:tcPr>
          <w:p w14:paraId="322E4F29">
            <w:pPr>
              <w:jc w:val="center"/>
              <w:rPr>
                <w:rFonts w:hint="eastAsia"/>
              </w:rPr>
            </w:pPr>
            <w:r>
              <w:rPr>
                <w:rFonts w:hint="eastAsia"/>
              </w:rPr>
              <w:t>进口产品说明</w:t>
            </w:r>
          </w:p>
        </w:tc>
        <w:tc>
          <w:tcPr>
            <w:tcW w:w="4081" w:type="pct"/>
            <w:gridSpan w:val="4"/>
            <w:tcBorders>
              <w:tl2br w:val="nil"/>
              <w:tr2bl w:val="nil"/>
            </w:tcBorders>
            <w:shd w:val="clear" w:color="auto" w:fill="auto"/>
            <w:vAlign w:val="center"/>
          </w:tcPr>
          <w:p w14:paraId="0A3F2B9A">
            <w:pPr>
              <w:rPr>
                <w:rFonts w:hint="eastAsia"/>
              </w:rPr>
            </w:pPr>
            <w:r>
              <w:rPr>
                <w:rFonts w:hint="eastAsia"/>
              </w:rPr>
              <w:t>本分标货物所涉及的货物不接受进口产品（即通过中国海关报关验放进入中国境内且产自境外的产品）参与投标，如有进口产品参与投标的作无效标处理。</w:t>
            </w:r>
          </w:p>
        </w:tc>
      </w:tr>
    </w:tbl>
    <w:p w14:paraId="1B58C2A5"/>
    <w:p w14:paraId="4F832D72">
      <w:pPr>
        <w:rPr>
          <w:rFonts w:hint="eastAsia" w:ascii="宋体" w:hAnsi="宋体" w:eastAsia="宋体" w:cs="宋体"/>
        </w:rPr>
      </w:pPr>
    </w:p>
    <w:p w14:paraId="20D3FA8E">
      <w:pPr>
        <w:pStyle w:val="51"/>
      </w:pPr>
    </w:p>
    <w:p w14:paraId="1A6425A7">
      <w:pPr>
        <w:pStyle w:val="51"/>
      </w:pPr>
    </w:p>
    <w:p w14:paraId="32FB5906">
      <w:r>
        <w:br w:type="page"/>
      </w:r>
    </w:p>
    <w:bookmarkEnd w:id="16"/>
    <w:p w14:paraId="36ADC614"/>
    <w:p w14:paraId="35381B19">
      <w:pPr>
        <w:pStyle w:val="27"/>
        <w:snapToGrid w:val="0"/>
        <w:spacing w:before="120" w:after="120"/>
        <w:jc w:val="center"/>
        <w:outlineLvl w:val="0"/>
        <w:rPr>
          <w:rFonts w:ascii="Times New Roman" w:hAnsi="Times New Roman" w:cs="Times New Roman"/>
          <w:b/>
          <w:bCs/>
          <w:sz w:val="32"/>
          <w:szCs w:val="32"/>
        </w:rPr>
      </w:pPr>
      <w:bookmarkStart w:id="19" w:name="_Toc25578"/>
      <w:r>
        <w:rPr>
          <w:rFonts w:hint="eastAsia" w:ascii="Times New Roman" w:hAnsi="Times New Roman" w:cs="Times New Roman"/>
          <w:b/>
          <w:bCs/>
          <w:sz w:val="32"/>
          <w:szCs w:val="32"/>
        </w:rPr>
        <w:t>第三章  供应商须知</w:t>
      </w:r>
      <w:bookmarkEnd w:id="19"/>
      <w:bookmarkStart w:id="20" w:name="_Toc254970526"/>
      <w:bookmarkStart w:id="21" w:name="_Toc254970667"/>
    </w:p>
    <w:p w14:paraId="70A5EE68">
      <w:pPr>
        <w:pStyle w:val="4"/>
        <w:jc w:val="center"/>
      </w:pPr>
      <w:r>
        <w:t>供应商须知前附表</w:t>
      </w:r>
      <w:bookmarkEnd w:id="20"/>
      <w:bookmarkEnd w:id="21"/>
      <w:bookmarkStart w:id="22" w:name="_投标人须知前附表"/>
      <w:bookmarkEnd w:id="22"/>
      <w:bookmarkStart w:id="23" w:name="_Hlk19048934"/>
    </w:p>
    <w:tbl>
      <w:tblPr>
        <w:tblStyle w:val="52"/>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5"/>
        <w:gridCol w:w="1230"/>
        <w:gridCol w:w="7229"/>
      </w:tblGrid>
      <w:tr w14:paraId="2123A8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55" w:type="dxa"/>
            <w:tcBorders>
              <w:top w:val="single" w:color="auto" w:sz="4" w:space="0"/>
              <w:left w:val="single" w:color="auto" w:sz="4" w:space="0"/>
              <w:bottom w:val="single" w:color="auto" w:sz="4" w:space="0"/>
              <w:right w:val="single" w:color="auto" w:sz="4" w:space="0"/>
            </w:tcBorders>
            <w:vAlign w:val="center"/>
          </w:tcPr>
          <w:p w14:paraId="5DEABDCF">
            <w:pPr>
              <w:jc w:val="center"/>
            </w:pPr>
            <w:r>
              <w:rPr>
                <w:rFonts w:hint="eastAsia"/>
              </w:rPr>
              <w:t>条款号</w:t>
            </w:r>
          </w:p>
        </w:tc>
        <w:tc>
          <w:tcPr>
            <w:tcW w:w="1230" w:type="dxa"/>
            <w:tcBorders>
              <w:top w:val="single" w:color="auto" w:sz="4" w:space="0"/>
              <w:left w:val="single" w:color="auto" w:sz="4" w:space="0"/>
              <w:bottom w:val="single" w:color="auto" w:sz="4" w:space="0"/>
              <w:right w:val="single" w:color="auto" w:sz="4" w:space="0"/>
            </w:tcBorders>
            <w:vAlign w:val="center"/>
          </w:tcPr>
          <w:p w14:paraId="22CC8591">
            <w:pPr>
              <w:jc w:val="center"/>
            </w:pPr>
            <w:r>
              <w:rPr>
                <w:rFonts w:hint="eastAsia"/>
              </w:rPr>
              <w:t>要点</w:t>
            </w:r>
          </w:p>
        </w:tc>
        <w:tc>
          <w:tcPr>
            <w:tcW w:w="7229" w:type="dxa"/>
            <w:tcBorders>
              <w:top w:val="single" w:color="auto" w:sz="4" w:space="0"/>
              <w:left w:val="single" w:color="auto" w:sz="4" w:space="0"/>
              <w:bottom w:val="single" w:color="auto" w:sz="4" w:space="0"/>
              <w:right w:val="single" w:color="auto" w:sz="4" w:space="0"/>
            </w:tcBorders>
            <w:vAlign w:val="center"/>
          </w:tcPr>
          <w:p w14:paraId="1C796ED3">
            <w:pPr>
              <w:jc w:val="center"/>
            </w:pPr>
            <w:r>
              <w:rPr>
                <w:rFonts w:hint="eastAsia"/>
              </w:rPr>
              <w:t>内容、要求</w:t>
            </w:r>
          </w:p>
        </w:tc>
      </w:tr>
      <w:tr w14:paraId="3B759B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55" w:type="dxa"/>
            <w:tcBorders>
              <w:top w:val="single" w:color="auto" w:sz="4" w:space="0"/>
              <w:left w:val="single" w:color="auto" w:sz="4" w:space="0"/>
              <w:bottom w:val="single" w:color="auto" w:sz="4" w:space="0"/>
              <w:right w:val="single" w:color="auto" w:sz="4" w:space="0"/>
            </w:tcBorders>
            <w:vAlign w:val="center"/>
          </w:tcPr>
          <w:p w14:paraId="0CFD9FCD">
            <w:pPr>
              <w:jc w:val="center"/>
            </w:pPr>
            <w:r>
              <w:rPr>
                <w:rFonts w:hint="eastAsia"/>
              </w:rPr>
              <w:t>1.3.1</w:t>
            </w:r>
          </w:p>
        </w:tc>
        <w:tc>
          <w:tcPr>
            <w:tcW w:w="1230" w:type="dxa"/>
            <w:tcBorders>
              <w:top w:val="single" w:color="auto" w:sz="4" w:space="0"/>
              <w:left w:val="single" w:color="auto" w:sz="4" w:space="0"/>
              <w:bottom w:val="single" w:color="auto" w:sz="4" w:space="0"/>
              <w:right w:val="single" w:color="auto" w:sz="4" w:space="0"/>
            </w:tcBorders>
            <w:vAlign w:val="center"/>
          </w:tcPr>
          <w:p w14:paraId="2BB3EC22">
            <w:pPr>
              <w:jc w:val="center"/>
            </w:pPr>
            <w:r>
              <w:rPr>
                <w:rFonts w:hint="eastAsia"/>
              </w:rPr>
              <w:t>项目基本信息</w:t>
            </w:r>
          </w:p>
        </w:tc>
        <w:tc>
          <w:tcPr>
            <w:tcW w:w="7229" w:type="dxa"/>
            <w:tcBorders>
              <w:top w:val="single" w:color="auto" w:sz="4" w:space="0"/>
              <w:left w:val="single" w:color="auto" w:sz="4" w:space="0"/>
              <w:bottom w:val="single" w:color="auto" w:sz="4" w:space="0"/>
              <w:right w:val="single" w:color="auto" w:sz="4" w:space="0"/>
            </w:tcBorders>
            <w:vAlign w:val="center"/>
          </w:tcPr>
          <w:p w14:paraId="7C0F6588">
            <w:pPr>
              <w:rPr>
                <w:rFonts w:hint="eastAsia" w:eastAsia="宋体"/>
                <w:lang w:eastAsia="zh-CN"/>
              </w:rPr>
            </w:pPr>
            <w:r>
              <w:rPr>
                <w:rFonts w:hint="eastAsia"/>
              </w:rPr>
              <w:t>项目名称：</w:t>
            </w:r>
            <w:r>
              <w:rPr>
                <w:rFonts w:hint="eastAsia"/>
                <w:lang w:eastAsia="zh-CN"/>
              </w:rPr>
              <w:t>贵港监狱罪犯生活物资采购项目</w:t>
            </w:r>
          </w:p>
          <w:p w14:paraId="4010F732">
            <w:pPr>
              <w:rPr>
                <w:rFonts w:hint="eastAsia" w:eastAsia="宋体"/>
                <w:lang w:eastAsia="zh-CN"/>
              </w:rPr>
            </w:pPr>
            <w:r>
              <w:rPr>
                <w:rFonts w:hint="eastAsia"/>
              </w:rPr>
              <w:t>项目编号：</w:t>
            </w:r>
            <w:r>
              <w:rPr>
                <w:rFonts w:hint="eastAsia"/>
                <w:lang w:eastAsia="zh-CN"/>
              </w:rPr>
              <w:t>GXZC2026-G1-001682-GXZX</w:t>
            </w:r>
          </w:p>
          <w:p w14:paraId="3CCA8D24">
            <w:pPr>
              <w:rPr>
                <w:rFonts w:hint="eastAsia" w:eastAsia="宋体"/>
                <w:u w:val="single"/>
                <w:lang w:eastAsia="zh-CN"/>
              </w:rPr>
            </w:pPr>
            <w:r>
              <w:rPr>
                <w:rFonts w:hint="eastAsia"/>
              </w:rPr>
              <w:t>采购计划号：广西政采[2026]9818号-001</w:t>
            </w:r>
            <w:r>
              <w:rPr>
                <w:rFonts w:hint="eastAsia"/>
                <w:lang w:eastAsia="zh-CN"/>
              </w:rPr>
              <w:t>、广西政采[2026]9818号-002、广西政采[2026]9820号-001、广西政采[2026]9820号-002、广西政采[2026]9822号-001、广西政采[2026]9822号-002、广西政采[2026]9824号-001、广西政采[2026]9824号-002、广西政采[2026]9824号-003、广西政采[2026]9824号-004</w:t>
            </w:r>
          </w:p>
        </w:tc>
      </w:tr>
      <w:tr w14:paraId="3AEC2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55" w:type="dxa"/>
            <w:tcBorders>
              <w:top w:val="single" w:color="auto" w:sz="4" w:space="0"/>
              <w:left w:val="single" w:color="auto" w:sz="4" w:space="0"/>
              <w:bottom w:val="single" w:color="auto" w:sz="4" w:space="0"/>
              <w:right w:val="single" w:color="auto" w:sz="4" w:space="0"/>
            </w:tcBorders>
            <w:vAlign w:val="center"/>
          </w:tcPr>
          <w:p w14:paraId="5785A00A">
            <w:pPr>
              <w:jc w:val="center"/>
            </w:pPr>
            <w:r>
              <w:rPr>
                <w:rFonts w:hint="eastAsia"/>
              </w:rPr>
              <w:t>1.3.2</w:t>
            </w:r>
          </w:p>
        </w:tc>
        <w:tc>
          <w:tcPr>
            <w:tcW w:w="1230" w:type="dxa"/>
            <w:tcBorders>
              <w:top w:val="single" w:color="auto" w:sz="4" w:space="0"/>
              <w:left w:val="single" w:color="auto" w:sz="4" w:space="0"/>
              <w:bottom w:val="single" w:color="auto" w:sz="4" w:space="0"/>
              <w:right w:val="single" w:color="auto" w:sz="4" w:space="0"/>
            </w:tcBorders>
            <w:vAlign w:val="center"/>
          </w:tcPr>
          <w:p w14:paraId="68B9B033">
            <w:pPr>
              <w:jc w:val="center"/>
              <w:rPr>
                <w:lang w:val="zh-CN"/>
              </w:rPr>
            </w:pPr>
            <w:r>
              <w:rPr>
                <w:rFonts w:hint="eastAsia"/>
                <w:lang w:val="zh-CN"/>
              </w:rPr>
              <w:t>采购方式</w:t>
            </w:r>
          </w:p>
        </w:tc>
        <w:tc>
          <w:tcPr>
            <w:tcW w:w="7229" w:type="dxa"/>
            <w:tcBorders>
              <w:top w:val="single" w:color="auto" w:sz="4" w:space="0"/>
              <w:left w:val="single" w:color="auto" w:sz="4" w:space="0"/>
              <w:bottom w:val="single" w:color="auto" w:sz="4" w:space="0"/>
              <w:right w:val="single" w:color="auto" w:sz="4" w:space="0"/>
            </w:tcBorders>
            <w:vAlign w:val="center"/>
          </w:tcPr>
          <w:p w14:paraId="441AD52F">
            <w:r>
              <w:rPr>
                <w:rFonts w:hint="eastAsia"/>
              </w:rPr>
              <w:t>公开招标</w:t>
            </w:r>
          </w:p>
        </w:tc>
      </w:tr>
      <w:tr w14:paraId="73118C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vAlign w:val="center"/>
          </w:tcPr>
          <w:p w14:paraId="7E5444F0">
            <w:pPr>
              <w:jc w:val="center"/>
            </w:pPr>
            <w:r>
              <w:rPr>
                <w:rFonts w:hint="eastAsia"/>
              </w:rPr>
              <w:t>1.4.1</w:t>
            </w:r>
          </w:p>
        </w:tc>
        <w:tc>
          <w:tcPr>
            <w:tcW w:w="1230" w:type="dxa"/>
            <w:tcBorders>
              <w:top w:val="single" w:color="auto" w:sz="4" w:space="0"/>
              <w:left w:val="single" w:color="auto" w:sz="4" w:space="0"/>
              <w:bottom w:val="single" w:color="auto" w:sz="4" w:space="0"/>
              <w:right w:val="single" w:color="auto" w:sz="4" w:space="0"/>
            </w:tcBorders>
            <w:vAlign w:val="center"/>
          </w:tcPr>
          <w:p w14:paraId="5F16142D">
            <w:pPr>
              <w:jc w:val="center"/>
            </w:pPr>
            <w:r>
              <w:rPr>
                <w:rFonts w:hint="eastAsia"/>
                <w:lang w:val="zh-CN"/>
              </w:rPr>
              <w:t>供应商资格条件</w:t>
            </w:r>
          </w:p>
        </w:tc>
        <w:tc>
          <w:tcPr>
            <w:tcW w:w="7229" w:type="dxa"/>
            <w:tcBorders>
              <w:top w:val="single" w:color="auto" w:sz="4" w:space="0"/>
              <w:left w:val="single" w:color="auto" w:sz="4" w:space="0"/>
              <w:bottom w:val="single" w:color="auto" w:sz="4" w:space="0"/>
              <w:right w:val="single" w:color="auto" w:sz="4" w:space="0"/>
            </w:tcBorders>
            <w:vAlign w:val="center"/>
          </w:tcPr>
          <w:p w14:paraId="2361A51F">
            <w:r>
              <w:rPr>
                <w:rFonts w:hint="eastAsia"/>
              </w:rPr>
              <w:t>详见招标公告。</w:t>
            </w:r>
          </w:p>
        </w:tc>
      </w:tr>
      <w:tr w14:paraId="480A2D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55" w:type="dxa"/>
            <w:tcBorders>
              <w:top w:val="single" w:color="auto" w:sz="4" w:space="0"/>
              <w:left w:val="single" w:color="auto" w:sz="4" w:space="0"/>
              <w:right w:val="single" w:color="auto" w:sz="4" w:space="0"/>
            </w:tcBorders>
            <w:vAlign w:val="center"/>
          </w:tcPr>
          <w:p w14:paraId="32C4CC76">
            <w:pPr>
              <w:jc w:val="center"/>
            </w:pPr>
            <w:bookmarkStart w:id="24" w:name="_Hlk85555568"/>
            <w:r>
              <w:rPr>
                <w:rFonts w:hint="eastAsia"/>
              </w:rPr>
              <w:t>1.4.3</w:t>
            </w:r>
          </w:p>
        </w:tc>
        <w:tc>
          <w:tcPr>
            <w:tcW w:w="1230" w:type="dxa"/>
            <w:tcBorders>
              <w:top w:val="single" w:color="auto" w:sz="4" w:space="0"/>
              <w:left w:val="single" w:color="auto" w:sz="4" w:space="0"/>
              <w:right w:val="single" w:color="auto" w:sz="4" w:space="0"/>
            </w:tcBorders>
            <w:vAlign w:val="center"/>
          </w:tcPr>
          <w:p w14:paraId="40D376D7">
            <w:pPr>
              <w:jc w:val="center"/>
            </w:pPr>
            <w:r>
              <w:rPr>
                <w:rFonts w:hint="eastAsia"/>
              </w:rPr>
              <w:t>联合体</w:t>
            </w:r>
          </w:p>
        </w:tc>
        <w:tc>
          <w:tcPr>
            <w:tcW w:w="7229" w:type="dxa"/>
            <w:tcBorders>
              <w:top w:val="single" w:color="auto" w:sz="4" w:space="0"/>
              <w:left w:val="single" w:color="auto" w:sz="4" w:space="0"/>
              <w:right w:val="single" w:color="auto" w:sz="4" w:space="0"/>
            </w:tcBorders>
            <w:vAlign w:val="center"/>
          </w:tcPr>
          <w:p w14:paraId="04A20620">
            <w:pPr>
              <w:rPr>
                <w:u w:val="single"/>
              </w:rPr>
            </w:pPr>
            <w:r>
              <w:rPr>
                <w:rFonts w:hint="eastAsia"/>
              </w:rPr>
              <w:t>详见招标公告</w:t>
            </w:r>
          </w:p>
        </w:tc>
      </w:tr>
      <w:bookmarkEnd w:id="24"/>
      <w:tr w14:paraId="2100A7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vAlign w:val="center"/>
          </w:tcPr>
          <w:p w14:paraId="1574D9D4">
            <w:pPr>
              <w:jc w:val="center"/>
            </w:pPr>
            <w:r>
              <w:rPr>
                <w:rFonts w:hint="eastAsia"/>
              </w:rPr>
              <w:t>1.5</w:t>
            </w:r>
          </w:p>
        </w:tc>
        <w:tc>
          <w:tcPr>
            <w:tcW w:w="1230" w:type="dxa"/>
            <w:tcBorders>
              <w:top w:val="single" w:color="auto" w:sz="4" w:space="0"/>
              <w:left w:val="single" w:color="auto" w:sz="4" w:space="0"/>
              <w:bottom w:val="single" w:color="auto" w:sz="4" w:space="0"/>
              <w:right w:val="single" w:color="auto" w:sz="4" w:space="0"/>
            </w:tcBorders>
            <w:vAlign w:val="center"/>
          </w:tcPr>
          <w:p w14:paraId="75894DBC">
            <w:pPr>
              <w:jc w:val="center"/>
            </w:pPr>
            <w:r>
              <w:rPr>
                <w:rFonts w:hint="eastAsia"/>
              </w:rPr>
              <w:t>踏勘</w:t>
            </w:r>
          </w:p>
        </w:tc>
        <w:tc>
          <w:tcPr>
            <w:tcW w:w="7229" w:type="dxa"/>
            <w:tcBorders>
              <w:top w:val="single" w:color="auto" w:sz="4" w:space="0"/>
              <w:left w:val="single" w:color="auto" w:sz="4" w:space="0"/>
              <w:bottom w:val="single" w:color="auto" w:sz="4" w:space="0"/>
              <w:right w:val="single" w:color="auto" w:sz="4" w:space="0"/>
            </w:tcBorders>
            <w:vAlign w:val="center"/>
          </w:tcPr>
          <w:p w14:paraId="585616E6">
            <w:r>
              <w:rPr>
                <w:rFonts w:hint="eastAsia"/>
              </w:rPr>
              <w:sym w:font="Wingdings 2" w:char="F052"/>
            </w:r>
            <w:r>
              <w:rPr>
                <w:rFonts w:hint="eastAsia"/>
              </w:rPr>
              <w:t>否   □是</w:t>
            </w:r>
          </w:p>
          <w:p w14:paraId="5F63E64F">
            <w:r>
              <w:rPr>
                <w:rFonts w:hint="eastAsia"/>
              </w:rPr>
              <w:t xml:space="preserve">踏勘时间：              </w:t>
            </w:r>
          </w:p>
          <w:p w14:paraId="285C574D">
            <w:r>
              <w:rPr>
                <w:rFonts w:hint="eastAsia"/>
              </w:rPr>
              <w:t xml:space="preserve">踏勘地点：           </w:t>
            </w:r>
          </w:p>
          <w:p w14:paraId="5873ED05">
            <w:r>
              <w:rPr>
                <w:rFonts w:hint="eastAsia"/>
              </w:rPr>
              <w:t xml:space="preserve">踏勘要求： </w:t>
            </w:r>
            <w:r>
              <w:rPr>
                <w:rFonts w:hint="eastAsia"/>
                <w:u w:val="single"/>
              </w:rPr>
              <w:t xml:space="preserve">           </w:t>
            </w:r>
            <w:r>
              <w:rPr>
                <w:rFonts w:hint="eastAsia"/>
              </w:rPr>
              <w:t xml:space="preserve">    </w:t>
            </w:r>
          </w:p>
        </w:tc>
      </w:tr>
      <w:tr w14:paraId="2219F7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vAlign w:val="center"/>
          </w:tcPr>
          <w:p w14:paraId="2376A1F9">
            <w:pPr>
              <w:jc w:val="center"/>
            </w:pPr>
            <w:r>
              <w:rPr>
                <w:rFonts w:hint="eastAsia"/>
              </w:rPr>
              <w:t>1.6.1</w:t>
            </w:r>
          </w:p>
        </w:tc>
        <w:tc>
          <w:tcPr>
            <w:tcW w:w="1230" w:type="dxa"/>
            <w:tcBorders>
              <w:top w:val="single" w:color="auto" w:sz="4" w:space="0"/>
              <w:left w:val="single" w:color="auto" w:sz="4" w:space="0"/>
              <w:bottom w:val="single" w:color="auto" w:sz="4" w:space="0"/>
              <w:right w:val="single" w:color="auto" w:sz="4" w:space="0"/>
            </w:tcBorders>
            <w:vAlign w:val="center"/>
          </w:tcPr>
          <w:p w14:paraId="0E48F401">
            <w:pPr>
              <w:jc w:val="center"/>
            </w:pPr>
            <w:r>
              <w:rPr>
                <w:rFonts w:hint="eastAsia"/>
              </w:rPr>
              <w:t>转包</w:t>
            </w:r>
          </w:p>
        </w:tc>
        <w:tc>
          <w:tcPr>
            <w:tcW w:w="7229" w:type="dxa"/>
            <w:tcBorders>
              <w:top w:val="single" w:color="auto" w:sz="4" w:space="0"/>
              <w:left w:val="single" w:color="auto" w:sz="4" w:space="0"/>
              <w:bottom w:val="single" w:color="auto" w:sz="4" w:space="0"/>
              <w:right w:val="single" w:color="auto" w:sz="4" w:space="0"/>
            </w:tcBorders>
            <w:vAlign w:val="center"/>
          </w:tcPr>
          <w:p w14:paraId="710373FD">
            <w:r>
              <w:rPr>
                <w:rFonts w:hint="eastAsia"/>
              </w:rPr>
              <w:t>本项目不允许转包。</w:t>
            </w:r>
          </w:p>
        </w:tc>
      </w:tr>
      <w:tr w14:paraId="60FEE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vAlign w:val="center"/>
          </w:tcPr>
          <w:p w14:paraId="61BDF945">
            <w:pPr>
              <w:jc w:val="center"/>
            </w:pPr>
            <w:r>
              <w:rPr>
                <w:rFonts w:hint="eastAsia"/>
              </w:rPr>
              <w:t>1.6.2</w:t>
            </w:r>
          </w:p>
        </w:tc>
        <w:tc>
          <w:tcPr>
            <w:tcW w:w="1230" w:type="dxa"/>
            <w:tcBorders>
              <w:top w:val="single" w:color="auto" w:sz="4" w:space="0"/>
              <w:left w:val="single" w:color="auto" w:sz="4" w:space="0"/>
              <w:bottom w:val="single" w:color="auto" w:sz="4" w:space="0"/>
              <w:right w:val="single" w:color="auto" w:sz="4" w:space="0"/>
            </w:tcBorders>
            <w:vAlign w:val="center"/>
          </w:tcPr>
          <w:p w14:paraId="19F741A2">
            <w:pPr>
              <w:jc w:val="center"/>
            </w:pPr>
            <w:r>
              <w:rPr>
                <w:rFonts w:hint="eastAsia"/>
              </w:rPr>
              <w:t>分包</w:t>
            </w:r>
          </w:p>
        </w:tc>
        <w:tc>
          <w:tcPr>
            <w:tcW w:w="7229" w:type="dxa"/>
            <w:tcBorders>
              <w:top w:val="single" w:color="auto" w:sz="4" w:space="0"/>
              <w:left w:val="single" w:color="auto" w:sz="4" w:space="0"/>
              <w:bottom w:val="single" w:color="auto" w:sz="4" w:space="0"/>
              <w:right w:val="single" w:color="auto" w:sz="4" w:space="0"/>
            </w:tcBorders>
            <w:vAlign w:val="center"/>
          </w:tcPr>
          <w:p w14:paraId="2280007E">
            <w:r>
              <w:rPr>
                <w:rFonts w:hint="eastAsia"/>
              </w:rPr>
              <w:sym w:font="Wingdings 2" w:char="F052"/>
            </w:r>
            <w:r>
              <w:rPr>
                <w:rFonts w:hint="eastAsia"/>
              </w:rPr>
              <w:t>不允许分包</w:t>
            </w:r>
          </w:p>
          <w:p w14:paraId="1914A53E">
            <w:r>
              <w:rPr>
                <w:rFonts w:hint="eastAsia"/>
              </w:rPr>
              <w:sym w:font="Wingdings 2" w:char="F0A3"/>
            </w:r>
            <w:r>
              <w:rPr>
                <w:rFonts w:hint="eastAsia"/>
              </w:rPr>
              <w:t>允许分包，允许非小微企业供应商将采购项目中非主体、非关键性工作分包给一家或者多家小微企业，可以分包的内容</w:t>
            </w:r>
            <w:r>
              <w:rPr>
                <w:rFonts w:hint="eastAsia"/>
                <w:u w:val="single"/>
              </w:rPr>
              <w:t xml:space="preserve">           </w:t>
            </w:r>
            <w:r>
              <w:rPr>
                <w:rFonts w:hint="eastAsia"/>
              </w:rPr>
              <w:t>；</w:t>
            </w:r>
          </w:p>
          <w:p w14:paraId="4F12829F">
            <w:r>
              <w:rPr>
                <w:rFonts w:hint="eastAsia"/>
              </w:rPr>
              <w:t xml:space="preserve">可以分包的比例：                                          </w:t>
            </w:r>
          </w:p>
        </w:tc>
      </w:tr>
      <w:tr w14:paraId="01BF4A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vAlign w:val="center"/>
          </w:tcPr>
          <w:p w14:paraId="5C4C9787">
            <w:pPr>
              <w:jc w:val="center"/>
            </w:pPr>
            <w:r>
              <w:rPr>
                <w:rFonts w:hint="eastAsia"/>
              </w:rPr>
              <w:t>2.3</w:t>
            </w:r>
          </w:p>
        </w:tc>
        <w:tc>
          <w:tcPr>
            <w:tcW w:w="1230" w:type="dxa"/>
            <w:tcBorders>
              <w:top w:val="single" w:color="auto" w:sz="4" w:space="0"/>
              <w:left w:val="single" w:color="auto" w:sz="4" w:space="0"/>
              <w:bottom w:val="single" w:color="auto" w:sz="4" w:space="0"/>
              <w:right w:val="single" w:color="auto" w:sz="4" w:space="0"/>
            </w:tcBorders>
            <w:vAlign w:val="center"/>
          </w:tcPr>
          <w:p w14:paraId="3573100A">
            <w:pPr>
              <w:jc w:val="center"/>
            </w:pPr>
            <w:r>
              <w:rPr>
                <w:rFonts w:hint="eastAsia"/>
              </w:rPr>
              <w:t>招标文件澄清、修改</w:t>
            </w:r>
          </w:p>
        </w:tc>
        <w:tc>
          <w:tcPr>
            <w:tcW w:w="7229" w:type="dxa"/>
            <w:tcBorders>
              <w:top w:val="single" w:color="auto" w:sz="4" w:space="0"/>
              <w:left w:val="single" w:color="auto" w:sz="4" w:space="0"/>
              <w:bottom w:val="single" w:color="auto" w:sz="4" w:space="0"/>
              <w:right w:val="single" w:color="auto" w:sz="4" w:space="0"/>
            </w:tcBorders>
            <w:vAlign w:val="center"/>
          </w:tcPr>
          <w:p w14:paraId="5A10BB69">
            <w:r>
              <w:rPr>
                <w:rFonts w:hint="eastAsia"/>
              </w:rPr>
              <w:t>在招标公告发布媒介发布。</w:t>
            </w:r>
          </w:p>
        </w:tc>
      </w:tr>
      <w:tr w14:paraId="4D436E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55" w:type="dxa"/>
            <w:tcBorders>
              <w:top w:val="single" w:color="auto" w:sz="4" w:space="0"/>
              <w:left w:val="single" w:color="auto" w:sz="4" w:space="0"/>
              <w:bottom w:val="single" w:color="auto" w:sz="4" w:space="0"/>
              <w:right w:val="single" w:color="auto" w:sz="4" w:space="0"/>
            </w:tcBorders>
            <w:vAlign w:val="center"/>
          </w:tcPr>
          <w:p w14:paraId="55159EB4">
            <w:pPr>
              <w:jc w:val="center"/>
            </w:pPr>
            <w:r>
              <w:rPr>
                <w:rFonts w:hint="eastAsia"/>
              </w:rPr>
              <w:t>2.3</w:t>
            </w:r>
          </w:p>
        </w:tc>
        <w:tc>
          <w:tcPr>
            <w:tcW w:w="1230" w:type="dxa"/>
            <w:tcBorders>
              <w:top w:val="single" w:color="auto" w:sz="4" w:space="0"/>
              <w:left w:val="single" w:color="auto" w:sz="4" w:space="0"/>
              <w:bottom w:val="single" w:color="auto" w:sz="4" w:space="0"/>
              <w:right w:val="single" w:color="auto" w:sz="4" w:space="0"/>
            </w:tcBorders>
            <w:vAlign w:val="center"/>
          </w:tcPr>
          <w:p w14:paraId="4E2E0B65">
            <w:pPr>
              <w:jc w:val="center"/>
            </w:pPr>
            <w:r>
              <w:rPr>
                <w:rFonts w:hint="eastAsia"/>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vAlign w:val="center"/>
          </w:tcPr>
          <w:p w14:paraId="724E87BE">
            <w:r>
              <w:rPr>
                <w:rFonts w:hint="eastAsia"/>
              </w:rPr>
              <w:t>澄清、修改文件自招标公告发布媒体发布之日起，视为供应商已收到该澄清、修改。供应商未及时关注招标公告发布媒体造成的损失，由供应商自行负责。</w:t>
            </w:r>
          </w:p>
        </w:tc>
      </w:tr>
      <w:tr w14:paraId="58D5F4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55" w:type="dxa"/>
            <w:tcBorders>
              <w:top w:val="single" w:color="auto" w:sz="4" w:space="0"/>
              <w:left w:val="single" w:color="auto" w:sz="4" w:space="0"/>
              <w:bottom w:val="single" w:color="auto" w:sz="4" w:space="0"/>
              <w:right w:val="single" w:color="auto" w:sz="4" w:space="0"/>
            </w:tcBorders>
            <w:vAlign w:val="center"/>
          </w:tcPr>
          <w:p w14:paraId="7F87BEF8">
            <w:pPr>
              <w:jc w:val="center"/>
            </w:pPr>
            <w:r>
              <w:rPr>
                <w:rFonts w:hint="eastAsia"/>
              </w:rPr>
              <w:t>3.4.1</w:t>
            </w:r>
          </w:p>
        </w:tc>
        <w:tc>
          <w:tcPr>
            <w:tcW w:w="1230" w:type="dxa"/>
            <w:tcBorders>
              <w:top w:val="single" w:color="auto" w:sz="4" w:space="0"/>
              <w:left w:val="single" w:color="auto" w:sz="4" w:space="0"/>
              <w:bottom w:val="single" w:color="auto" w:sz="4" w:space="0"/>
              <w:right w:val="single" w:color="auto" w:sz="4" w:space="0"/>
            </w:tcBorders>
            <w:vAlign w:val="center"/>
          </w:tcPr>
          <w:p w14:paraId="0D3BA473">
            <w:pPr>
              <w:jc w:val="center"/>
            </w:pPr>
            <w:r>
              <w:rPr>
                <w:rFonts w:hint="eastAsia"/>
              </w:rPr>
              <w:t>投标有效期</w:t>
            </w:r>
          </w:p>
        </w:tc>
        <w:tc>
          <w:tcPr>
            <w:tcW w:w="7229" w:type="dxa"/>
            <w:tcBorders>
              <w:top w:val="single" w:color="auto" w:sz="4" w:space="0"/>
              <w:left w:val="single" w:color="auto" w:sz="4" w:space="0"/>
              <w:bottom w:val="single" w:color="auto" w:sz="4" w:space="0"/>
              <w:right w:val="single" w:color="auto" w:sz="4" w:space="0"/>
            </w:tcBorders>
            <w:vAlign w:val="center"/>
          </w:tcPr>
          <w:p w14:paraId="25234EBB">
            <w:r>
              <w:rPr>
                <w:rFonts w:hint="eastAsia"/>
              </w:rPr>
              <w:t>投标截止之日起90天。</w:t>
            </w:r>
          </w:p>
        </w:tc>
      </w:tr>
      <w:tr w14:paraId="4459C6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vAlign w:val="center"/>
          </w:tcPr>
          <w:p w14:paraId="44EE060D">
            <w:pPr>
              <w:jc w:val="center"/>
            </w:pPr>
            <w:r>
              <w:rPr>
                <w:rFonts w:hint="eastAsia"/>
              </w:rPr>
              <w:t>3.5</w:t>
            </w:r>
          </w:p>
        </w:tc>
        <w:tc>
          <w:tcPr>
            <w:tcW w:w="1230" w:type="dxa"/>
            <w:tcBorders>
              <w:top w:val="single" w:color="auto" w:sz="4" w:space="0"/>
              <w:left w:val="single" w:color="auto" w:sz="4" w:space="0"/>
              <w:bottom w:val="single" w:color="auto" w:sz="4" w:space="0"/>
              <w:right w:val="single" w:color="auto" w:sz="4" w:space="0"/>
            </w:tcBorders>
            <w:vAlign w:val="center"/>
          </w:tcPr>
          <w:p w14:paraId="1A9F964B">
            <w:pPr>
              <w:jc w:val="center"/>
            </w:pPr>
            <w:r>
              <w:rPr>
                <w:rFonts w:hint="eastAsia"/>
              </w:rPr>
              <w:t>投标保证金</w:t>
            </w:r>
          </w:p>
        </w:tc>
        <w:tc>
          <w:tcPr>
            <w:tcW w:w="7229" w:type="dxa"/>
            <w:tcBorders>
              <w:top w:val="single" w:color="auto" w:sz="4" w:space="0"/>
              <w:left w:val="single" w:color="auto" w:sz="4" w:space="0"/>
              <w:bottom w:val="single" w:color="auto" w:sz="4" w:space="0"/>
              <w:right w:val="single" w:color="auto" w:sz="4" w:space="0"/>
            </w:tcBorders>
            <w:vAlign w:val="center"/>
          </w:tcPr>
          <w:p w14:paraId="2FF9F020">
            <w:r>
              <w:rPr>
                <w:rFonts w:hint="eastAsia"/>
              </w:rPr>
              <w:t>投标保证金金额：</w:t>
            </w:r>
            <w:r>
              <w:rPr>
                <w:rFonts w:hint="eastAsia"/>
                <w:lang w:val="en-US" w:eastAsia="zh-CN"/>
              </w:rPr>
              <w:t>分标1</w:t>
            </w:r>
            <w:r>
              <w:rPr>
                <w:rFonts w:hint="eastAsia"/>
              </w:rPr>
              <w:t>：</w:t>
            </w:r>
            <w:r>
              <w:rPr>
                <w:rFonts w:hint="eastAsia"/>
                <w:lang w:val="en-US" w:eastAsia="zh-CN"/>
              </w:rPr>
              <w:t>18000</w:t>
            </w:r>
            <w:r>
              <w:rPr>
                <w:rFonts w:hint="eastAsia"/>
              </w:rPr>
              <w:t>.00元，</w:t>
            </w:r>
            <w:r>
              <w:rPr>
                <w:rFonts w:hint="eastAsia"/>
                <w:lang w:val="en-US" w:eastAsia="zh-CN"/>
              </w:rPr>
              <w:t>分标2</w:t>
            </w:r>
            <w:r>
              <w:rPr>
                <w:rFonts w:hint="eastAsia"/>
              </w:rPr>
              <w:t>：10000.00元，</w:t>
            </w:r>
            <w:r>
              <w:rPr>
                <w:rFonts w:hint="eastAsia"/>
                <w:lang w:val="en-US" w:eastAsia="zh-CN"/>
              </w:rPr>
              <w:t>分标3</w:t>
            </w:r>
            <w:r>
              <w:rPr>
                <w:rFonts w:hint="eastAsia"/>
              </w:rPr>
              <w:t>：</w:t>
            </w:r>
            <w:r>
              <w:rPr>
                <w:rFonts w:hint="eastAsia"/>
                <w:lang w:val="en-US" w:eastAsia="zh-CN"/>
              </w:rPr>
              <w:t>25</w:t>
            </w:r>
            <w:r>
              <w:rPr>
                <w:rFonts w:hint="eastAsia"/>
              </w:rPr>
              <w:t>000.00元，</w:t>
            </w:r>
            <w:r>
              <w:rPr>
                <w:rFonts w:hint="eastAsia"/>
                <w:lang w:val="en-US" w:eastAsia="zh-CN"/>
              </w:rPr>
              <w:t>分标4</w:t>
            </w:r>
            <w:r>
              <w:rPr>
                <w:rFonts w:hint="eastAsia"/>
              </w:rPr>
              <w:t>：</w:t>
            </w:r>
            <w:r>
              <w:rPr>
                <w:rFonts w:hint="eastAsia"/>
                <w:lang w:val="en-US" w:eastAsia="zh-CN"/>
              </w:rPr>
              <w:t>15</w:t>
            </w:r>
            <w:r>
              <w:rPr>
                <w:rFonts w:hint="eastAsia"/>
              </w:rPr>
              <w:t>000.00元，</w:t>
            </w:r>
            <w:r>
              <w:rPr>
                <w:rFonts w:hint="eastAsia"/>
                <w:lang w:val="en-US" w:eastAsia="zh-CN"/>
              </w:rPr>
              <w:t>分标5</w:t>
            </w:r>
            <w:r>
              <w:rPr>
                <w:rFonts w:hint="eastAsia"/>
              </w:rPr>
              <w:t>：</w:t>
            </w:r>
            <w:r>
              <w:rPr>
                <w:rFonts w:hint="eastAsia"/>
                <w:lang w:val="en-US" w:eastAsia="zh-CN"/>
              </w:rPr>
              <w:t>6</w:t>
            </w:r>
            <w:r>
              <w:rPr>
                <w:rFonts w:hint="eastAsia"/>
              </w:rPr>
              <w:t>000.00元。</w:t>
            </w:r>
          </w:p>
          <w:p w14:paraId="1F2DB66D">
            <w:r>
              <w:rPr>
                <w:rFonts w:hint="eastAsia"/>
              </w:rPr>
              <w:t>投标保证金的交纳方式：银行转账、支票、汇票、本票或者银行、保险机构出具的保函（包含电子保函），禁止采用现钞方式。采用银行转账方式的，在投标截止时间前从</w:t>
            </w:r>
            <w:r>
              <w:rPr>
                <w:rFonts w:hint="eastAsia"/>
                <w:lang w:eastAsia="zh-CN"/>
              </w:rPr>
              <w:t>供应商</w:t>
            </w:r>
            <w:r>
              <w:rPr>
                <w:rFonts w:hint="eastAsia"/>
              </w:rPr>
              <w:t>账户交至指定账户并且到账（开户银行：建行南宁市金湖广场支行，开户名称：广西中信恒泰工程顾问有限公司，银行账号：45001604266052502851，开户行行号：105611042538）；采用支票、汇票、本票或者保函等方式的，在投标截止时间前，</w:t>
            </w:r>
            <w:r>
              <w:rPr>
                <w:rFonts w:hint="eastAsia"/>
                <w:lang w:eastAsia="zh-CN"/>
              </w:rPr>
              <w:t>供应商</w:t>
            </w:r>
            <w:r>
              <w:rPr>
                <w:rFonts w:hint="eastAsia"/>
              </w:rPr>
              <w:t>必须递交单独密封的支票、汇票、本票或者保函原件。否则视为无效投标保证金。</w:t>
            </w:r>
          </w:p>
          <w:p w14:paraId="4D052E0B">
            <w:r>
              <w:rPr>
                <w:rFonts w:hint="eastAsia"/>
              </w:rPr>
              <w:t>相关要求：</w:t>
            </w:r>
          </w:p>
          <w:p w14:paraId="328F03AA">
            <w:r>
              <w:rPr>
                <w:rFonts w:hint="eastAsia"/>
              </w:rPr>
              <w:t>（1）投标保证金采用银行转账交纳方式，</w:t>
            </w:r>
            <w:r>
              <w:rPr>
                <w:rFonts w:hint="eastAsia"/>
                <w:lang w:eastAsia="zh-CN"/>
              </w:rPr>
              <w:t>供应商</w:t>
            </w:r>
            <w:r>
              <w:rPr>
                <w:rFonts w:hint="eastAsia"/>
              </w:rPr>
              <w:t>转账时请在银行转账底单备注“采购编号、包号（如有）及用途(投标保证金)”，在投标截止时间前交至指定账户并且到账，</w:t>
            </w:r>
            <w:r>
              <w:rPr>
                <w:rFonts w:hint="eastAsia"/>
                <w:lang w:eastAsia="zh-CN"/>
              </w:rPr>
              <w:t>供应商</w:t>
            </w:r>
            <w:r>
              <w:rPr>
                <w:rFonts w:hint="eastAsia"/>
              </w:rPr>
              <w:t>应将银行转账底单的</w:t>
            </w:r>
            <w:r>
              <w:rPr>
                <w:rFonts w:hint="eastAsia"/>
                <w:lang w:eastAsia="zh-CN"/>
              </w:rPr>
              <w:t>扫描件</w:t>
            </w:r>
            <w:r>
              <w:rPr>
                <w:rFonts w:hint="eastAsia"/>
              </w:rPr>
              <w:t>作为投标保证金提交凭证，放置于商务及技术文件中，否则投标无效。</w:t>
            </w:r>
          </w:p>
          <w:p w14:paraId="2941C08C">
            <w:r>
              <w:rPr>
                <w:rFonts w:hint="eastAsia"/>
              </w:rPr>
              <w:t>（2）投标保证金采用支票、汇票、本票或者银行、保险机构出具的保函（包含电子保函）交纳方式的，</w:t>
            </w:r>
            <w:r>
              <w:rPr>
                <w:rFonts w:hint="eastAsia"/>
                <w:lang w:eastAsia="zh-CN"/>
              </w:rPr>
              <w:t>供应商</w:t>
            </w:r>
            <w:r>
              <w:rPr>
                <w:rFonts w:hint="eastAsia"/>
              </w:rPr>
              <w:t>应将支票、汇票、本票或者银行、保险机构出具的保函（包含电子保函）的</w:t>
            </w:r>
            <w:r>
              <w:rPr>
                <w:rFonts w:hint="eastAsia"/>
                <w:lang w:eastAsia="zh-CN"/>
              </w:rPr>
              <w:t>扫描件</w:t>
            </w:r>
            <w:r>
              <w:rPr>
                <w:rFonts w:hint="eastAsia"/>
              </w:rPr>
              <w:t>作为投标保证金提交凭证，放置于商务及技术文件中，否则投标无效。</w:t>
            </w:r>
            <w:r>
              <w:rPr>
                <w:rFonts w:hint="eastAsia"/>
                <w:lang w:eastAsia="zh-CN"/>
              </w:rPr>
              <w:t>供应商</w:t>
            </w:r>
            <w:r>
              <w:rPr>
                <w:rFonts w:hint="eastAsia"/>
              </w:rPr>
              <w:t>必须在投标截止时间前采用现场或邮寄方式（现场提交或邮寄地址：广西南宁市青秀区云景路69号南宁轨道大厦B座8楼，联系人：宋庆平</w:t>
            </w:r>
            <w:r>
              <w:rPr>
                <w:rFonts w:hint="eastAsia"/>
                <w:lang w:eastAsia="zh-CN"/>
              </w:rPr>
              <w:t>，</w:t>
            </w:r>
            <w:r>
              <w:rPr>
                <w:rFonts w:hint="eastAsia"/>
                <w:lang w:val="en-US" w:eastAsia="zh-CN"/>
              </w:rPr>
              <w:t>电话：18878707631</w:t>
            </w:r>
            <w:r>
              <w:rPr>
                <w:rFonts w:hint="eastAsia"/>
              </w:rPr>
              <w:t>）将单独密封的支票、汇票、本票或者银行、保险机构出具的保函原件提交给采购人或者采购代理机构，未按时提交的，投标无效，由采购人或者采购代理机构向</w:t>
            </w:r>
            <w:r>
              <w:rPr>
                <w:rFonts w:hint="eastAsia"/>
                <w:lang w:eastAsia="zh-CN"/>
              </w:rPr>
              <w:t>供应商</w:t>
            </w:r>
            <w:r>
              <w:rPr>
                <w:rFonts w:hint="eastAsia"/>
              </w:rPr>
              <w:t>出具回执（邮寄方式的除外），并妥善保管。</w:t>
            </w:r>
          </w:p>
          <w:p w14:paraId="6C8692D5">
            <w:r>
              <w:rPr>
                <w:rFonts w:hint="eastAsia"/>
              </w:rPr>
              <w:t>（3）</w:t>
            </w:r>
            <w:r>
              <w:rPr>
                <w:rFonts w:hint="eastAsia"/>
                <w:lang w:eastAsia="zh-CN"/>
              </w:rPr>
              <w:t>供应商</w:t>
            </w:r>
            <w:r>
              <w:rPr>
                <w:rFonts w:hint="eastAsia"/>
              </w:rPr>
              <w:t>为联合体的，可以由联合体中的一方或者多方共同交纳投标保证金，其交纳的保证金对联合体各方均具有约束力。</w:t>
            </w:r>
          </w:p>
          <w:p w14:paraId="2C561859">
            <w:r>
              <w:rPr>
                <w:rFonts w:hint="eastAsia"/>
              </w:rPr>
              <w:t xml:space="preserve">备注： </w:t>
            </w:r>
          </w:p>
          <w:p w14:paraId="6BD7530B">
            <w:r>
              <w:rPr>
                <w:rFonts w:hint="eastAsia"/>
              </w:rPr>
              <w:t>（1）投标保证金在投标截止时间后提交的，或者不按规定交纳方式交纳的，或者未足额交纳的（包含保函额度不足的），视为无效投标保证金。</w:t>
            </w:r>
          </w:p>
          <w:p w14:paraId="5A6E83A6">
            <w:r>
              <w:rPr>
                <w:rFonts w:hint="eastAsia"/>
              </w:rPr>
              <w:t>（2）</w:t>
            </w:r>
            <w:r>
              <w:rPr>
                <w:rFonts w:hint="eastAsia"/>
                <w:lang w:eastAsia="zh-CN"/>
              </w:rPr>
              <w:t>供应商</w:t>
            </w:r>
            <w:r>
              <w:rPr>
                <w:rFonts w:hint="eastAsia"/>
              </w:rPr>
              <w:t>采用现钞方式或者从个人账户（自然人投标除外）转出的投标保证金，视为无效投标保证金。</w:t>
            </w:r>
          </w:p>
          <w:p w14:paraId="0669AF91">
            <w:r>
              <w:rPr>
                <w:rFonts w:hint="eastAsia"/>
              </w:rPr>
              <w:t>（3）支票、汇票或者本票出现无效或者背书情形的，视为无效投标保证金。</w:t>
            </w:r>
          </w:p>
          <w:p w14:paraId="69DF082D">
            <w:r>
              <w:rPr>
                <w:rFonts w:hint="eastAsia"/>
              </w:rPr>
              <w:t>（4）保函有效期低于投标有效期的，视为无效投标保证金。</w:t>
            </w:r>
          </w:p>
          <w:p w14:paraId="12AAD6AD">
            <w:r>
              <w:rPr>
                <w:rFonts w:hint="eastAsia"/>
              </w:rPr>
              <w:t>（5）采用银行、保险机构出具保函的，必须为无条件保函，否则视为无效投标保证金。</w:t>
            </w:r>
          </w:p>
        </w:tc>
      </w:tr>
      <w:tr w14:paraId="002617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55" w:type="dxa"/>
            <w:tcBorders>
              <w:left w:val="single" w:color="auto" w:sz="4" w:space="0"/>
              <w:right w:val="single" w:color="auto" w:sz="4" w:space="0"/>
            </w:tcBorders>
            <w:vAlign w:val="center"/>
          </w:tcPr>
          <w:p w14:paraId="52AC7A60">
            <w:pPr>
              <w:jc w:val="center"/>
            </w:pPr>
            <w:r>
              <w:rPr>
                <w:rFonts w:hint="eastAsia"/>
              </w:rPr>
              <w:t>3.6</w:t>
            </w:r>
          </w:p>
        </w:tc>
        <w:tc>
          <w:tcPr>
            <w:tcW w:w="1230" w:type="dxa"/>
            <w:tcBorders>
              <w:top w:val="single" w:color="auto" w:sz="4" w:space="0"/>
              <w:left w:val="single" w:color="auto" w:sz="4" w:space="0"/>
              <w:right w:val="single" w:color="auto" w:sz="4" w:space="0"/>
            </w:tcBorders>
            <w:vAlign w:val="center"/>
          </w:tcPr>
          <w:p w14:paraId="0B13636E">
            <w:pPr>
              <w:jc w:val="center"/>
            </w:pPr>
            <w:r>
              <w:rPr>
                <w:rFonts w:hint="eastAsia"/>
              </w:rPr>
              <w:t>投标文件的编制</w:t>
            </w:r>
          </w:p>
        </w:tc>
        <w:tc>
          <w:tcPr>
            <w:tcW w:w="7229" w:type="dxa"/>
            <w:tcBorders>
              <w:top w:val="single" w:color="auto" w:sz="4" w:space="0"/>
              <w:left w:val="single" w:color="auto" w:sz="4" w:space="0"/>
              <w:right w:val="single" w:color="auto" w:sz="4" w:space="0"/>
            </w:tcBorders>
            <w:vAlign w:val="center"/>
          </w:tcPr>
          <w:p w14:paraId="6C1DDDB5">
            <w:r>
              <w:rPr>
                <w:rFonts w:hint="eastAsia"/>
              </w:rPr>
              <w:t>投标文件应按第六章投标文件格式分别编制并使用下载的政采云投标客户端制作并上传。</w:t>
            </w:r>
          </w:p>
        </w:tc>
      </w:tr>
      <w:tr w14:paraId="7A2A9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5" w:type="dxa"/>
            <w:tcBorders>
              <w:top w:val="single" w:color="auto" w:sz="4" w:space="0"/>
              <w:left w:val="single" w:color="auto" w:sz="4" w:space="0"/>
              <w:bottom w:val="single" w:color="auto" w:sz="4" w:space="0"/>
              <w:right w:val="single" w:color="auto" w:sz="4" w:space="0"/>
            </w:tcBorders>
            <w:vAlign w:val="center"/>
          </w:tcPr>
          <w:p w14:paraId="12627E42">
            <w:pPr>
              <w:jc w:val="center"/>
            </w:pPr>
            <w:r>
              <w:rPr>
                <w:rFonts w:hint="eastAsia"/>
              </w:rPr>
              <w:t>3.7</w:t>
            </w:r>
          </w:p>
        </w:tc>
        <w:tc>
          <w:tcPr>
            <w:tcW w:w="1230" w:type="dxa"/>
            <w:tcBorders>
              <w:top w:val="single" w:color="auto" w:sz="4" w:space="0"/>
              <w:left w:val="single" w:color="auto" w:sz="4" w:space="0"/>
              <w:bottom w:val="single" w:color="auto" w:sz="4" w:space="0"/>
              <w:right w:val="single" w:color="auto" w:sz="4" w:space="0"/>
            </w:tcBorders>
            <w:vAlign w:val="center"/>
          </w:tcPr>
          <w:p w14:paraId="476C713B">
            <w:pPr>
              <w:jc w:val="center"/>
            </w:pPr>
            <w:r>
              <w:rPr>
                <w:rFonts w:hint="eastAsia"/>
              </w:rPr>
              <w:t>投标文件递交截止时间及开标时间</w:t>
            </w:r>
          </w:p>
        </w:tc>
        <w:tc>
          <w:tcPr>
            <w:tcW w:w="7229" w:type="dxa"/>
            <w:tcBorders>
              <w:top w:val="single" w:color="auto" w:sz="4" w:space="0"/>
              <w:left w:val="single" w:color="auto" w:sz="4" w:space="0"/>
              <w:bottom w:val="single" w:color="auto" w:sz="4" w:space="0"/>
              <w:right w:val="single" w:color="auto" w:sz="4" w:space="0"/>
            </w:tcBorders>
            <w:vAlign w:val="center"/>
          </w:tcPr>
          <w:p w14:paraId="5DAEB383">
            <w:r>
              <w:rPr>
                <w:rFonts w:hint="eastAsia"/>
              </w:rPr>
              <w:t>见招标公告要求。</w:t>
            </w:r>
          </w:p>
        </w:tc>
      </w:tr>
      <w:tr w14:paraId="20194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01E3A56E">
            <w:pPr>
              <w:jc w:val="center"/>
              <w:rPr>
                <w:rFonts w:hint="default" w:eastAsia="宋体"/>
                <w:lang w:val="en-US" w:eastAsia="zh-CN"/>
              </w:rPr>
            </w:pPr>
            <w:r>
              <w:rPr>
                <w:rFonts w:hint="eastAsia"/>
              </w:rPr>
              <w:t>4.2</w:t>
            </w:r>
            <w:r>
              <w:rPr>
                <w:rFonts w:hint="eastAsia"/>
                <w:lang w:val="en-US" w:eastAsia="zh-CN"/>
              </w:rPr>
              <w:t>.4</w:t>
            </w:r>
          </w:p>
        </w:tc>
        <w:tc>
          <w:tcPr>
            <w:tcW w:w="1230" w:type="dxa"/>
            <w:tcBorders>
              <w:top w:val="single" w:color="auto" w:sz="4" w:space="0"/>
              <w:left w:val="single" w:color="auto" w:sz="4" w:space="0"/>
              <w:bottom w:val="single" w:color="auto" w:sz="4" w:space="0"/>
              <w:right w:val="single" w:color="auto" w:sz="4" w:space="0"/>
            </w:tcBorders>
            <w:vAlign w:val="center"/>
          </w:tcPr>
          <w:p w14:paraId="26CB7278">
            <w:pPr>
              <w:jc w:val="center"/>
            </w:pPr>
            <w:r>
              <w:rPr>
                <w:rFonts w:hint="eastAsia"/>
              </w:rPr>
              <w:t>备份投标文件</w:t>
            </w:r>
          </w:p>
        </w:tc>
        <w:tc>
          <w:tcPr>
            <w:tcW w:w="7229" w:type="dxa"/>
            <w:tcBorders>
              <w:top w:val="single" w:color="auto" w:sz="4" w:space="0"/>
              <w:left w:val="single" w:color="auto" w:sz="4" w:space="0"/>
              <w:bottom w:val="single" w:color="auto" w:sz="4" w:space="0"/>
              <w:right w:val="single" w:color="auto" w:sz="4" w:space="0"/>
            </w:tcBorders>
            <w:vAlign w:val="center"/>
          </w:tcPr>
          <w:p w14:paraId="75C10341">
            <w:r>
              <w:rPr>
                <w:rFonts w:hint="eastAsia"/>
              </w:rPr>
              <w:t>本项目</w:t>
            </w:r>
            <w:r>
              <w:rPr>
                <w:rFonts w:hint="eastAsia"/>
              </w:rPr>
              <w:sym w:font="Wingdings 2" w:char="00A3"/>
            </w:r>
            <w:r>
              <w:rPr>
                <w:rFonts w:hint="eastAsia"/>
              </w:rPr>
              <w:t>接受   ☑不接受备份投标文件</w:t>
            </w:r>
          </w:p>
          <w:p w14:paraId="26CD908B">
            <w:r>
              <w:rPr>
                <w:rFonts w:hint="eastAsia"/>
              </w:rPr>
              <w:t>以政采云系统自动生成的备份文件为依据，当项目允许接受备份响应文件时，供应商才可以按规定上传备份响应文件。</w:t>
            </w:r>
          </w:p>
        </w:tc>
      </w:tr>
      <w:tr w14:paraId="17135A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6A9D86C5">
            <w:pPr>
              <w:jc w:val="center"/>
            </w:pPr>
            <w:r>
              <w:rPr>
                <w:rFonts w:hint="eastAsia"/>
              </w:rPr>
              <w:t>4.3</w:t>
            </w:r>
          </w:p>
        </w:tc>
        <w:tc>
          <w:tcPr>
            <w:tcW w:w="1230" w:type="dxa"/>
            <w:tcBorders>
              <w:top w:val="single" w:color="auto" w:sz="4" w:space="0"/>
              <w:left w:val="single" w:color="auto" w:sz="4" w:space="0"/>
              <w:bottom w:val="single" w:color="auto" w:sz="4" w:space="0"/>
              <w:right w:val="single" w:color="auto" w:sz="4" w:space="0"/>
            </w:tcBorders>
            <w:vAlign w:val="center"/>
          </w:tcPr>
          <w:p w14:paraId="3BB9CC22">
            <w:pPr>
              <w:jc w:val="center"/>
            </w:pPr>
            <w:r>
              <w:rPr>
                <w:rFonts w:hint="eastAsia"/>
              </w:rPr>
              <w:t>演示</w:t>
            </w:r>
          </w:p>
        </w:tc>
        <w:tc>
          <w:tcPr>
            <w:tcW w:w="7229" w:type="dxa"/>
            <w:tcBorders>
              <w:top w:val="single" w:color="auto" w:sz="4" w:space="0"/>
              <w:left w:val="single" w:color="auto" w:sz="4" w:space="0"/>
              <w:bottom w:val="single" w:color="auto" w:sz="4" w:space="0"/>
              <w:right w:val="single" w:color="auto" w:sz="4" w:space="0"/>
            </w:tcBorders>
            <w:vAlign w:val="center"/>
          </w:tcPr>
          <w:p w14:paraId="4324831D">
            <w:r>
              <w:rPr>
                <w:rFonts w:hint="eastAsia"/>
              </w:rPr>
              <w:sym w:font="Wingdings 2" w:char="F052"/>
            </w:r>
            <w:r>
              <w:rPr>
                <w:rFonts w:hint="eastAsia"/>
              </w:rPr>
              <w:t>否   □是</w:t>
            </w:r>
          </w:p>
          <w:p w14:paraId="537948C9">
            <w:r>
              <w:rPr>
                <w:rFonts w:hint="eastAsia"/>
              </w:rPr>
              <w:t xml:space="preserve">演示内容：               </w:t>
            </w:r>
          </w:p>
          <w:p w14:paraId="4C9D63A7">
            <w:r>
              <w:rPr>
                <w:rFonts w:hint="eastAsia"/>
              </w:rPr>
              <w:t xml:space="preserve">演示形式： </w:t>
            </w:r>
          </w:p>
        </w:tc>
      </w:tr>
      <w:tr w14:paraId="415343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542AEE96">
            <w:pPr>
              <w:jc w:val="center"/>
            </w:pPr>
            <w:r>
              <w:rPr>
                <w:rFonts w:hint="eastAsia"/>
              </w:rPr>
              <w:t>4.4</w:t>
            </w:r>
          </w:p>
        </w:tc>
        <w:tc>
          <w:tcPr>
            <w:tcW w:w="1230" w:type="dxa"/>
            <w:tcBorders>
              <w:top w:val="single" w:color="auto" w:sz="4" w:space="0"/>
              <w:left w:val="single" w:color="auto" w:sz="4" w:space="0"/>
              <w:bottom w:val="single" w:color="auto" w:sz="4" w:space="0"/>
              <w:right w:val="single" w:color="auto" w:sz="4" w:space="0"/>
            </w:tcBorders>
            <w:vAlign w:val="center"/>
          </w:tcPr>
          <w:p w14:paraId="46828825">
            <w:pPr>
              <w:jc w:val="center"/>
            </w:pPr>
            <w:r>
              <w:rPr>
                <w:rFonts w:hint="eastAsia"/>
              </w:rPr>
              <w:t>样品</w:t>
            </w:r>
          </w:p>
        </w:tc>
        <w:tc>
          <w:tcPr>
            <w:tcW w:w="7229" w:type="dxa"/>
            <w:tcBorders>
              <w:top w:val="single" w:color="auto" w:sz="4" w:space="0"/>
              <w:left w:val="single" w:color="auto" w:sz="4" w:space="0"/>
              <w:bottom w:val="single" w:color="auto" w:sz="4" w:space="0"/>
              <w:right w:val="single" w:color="auto" w:sz="4" w:space="0"/>
            </w:tcBorders>
            <w:vAlign w:val="center"/>
          </w:tcPr>
          <w:p w14:paraId="2F462AE8">
            <w:r>
              <w:rPr>
                <w:rFonts w:hint="eastAsia"/>
              </w:rPr>
              <w:sym w:font="Wingdings 2" w:char="F052"/>
            </w:r>
            <w:r>
              <w:rPr>
                <w:rFonts w:hint="eastAsia"/>
              </w:rPr>
              <w:t>否   □是</w:t>
            </w:r>
          </w:p>
          <w:p w14:paraId="12860B59">
            <w:r>
              <w:rPr>
                <w:rFonts w:hint="eastAsia"/>
              </w:rPr>
              <w:t xml:space="preserve">样品制作的标准和要求：               </w:t>
            </w:r>
          </w:p>
          <w:p w14:paraId="70BDB4CE">
            <w:r>
              <w:rPr>
                <w:rFonts w:hint="eastAsia"/>
              </w:rPr>
              <w:t xml:space="preserve">样品检测机构的要求：                </w:t>
            </w:r>
          </w:p>
          <w:p w14:paraId="534CAAEB">
            <w:r>
              <w:rPr>
                <w:rFonts w:hint="eastAsia"/>
              </w:rPr>
              <w:t xml:space="preserve">检测内容：                     </w:t>
            </w:r>
          </w:p>
          <w:p w14:paraId="3F2F2566">
            <w:r>
              <w:rPr>
                <w:rFonts w:hint="eastAsia"/>
              </w:rPr>
              <w:t xml:space="preserve">样品递交方式： </w:t>
            </w:r>
          </w:p>
        </w:tc>
      </w:tr>
      <w:tr w14:paraId="340666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0134673D">
            <w:pPr>
              <w:jc w:val="center"/>
            </w:pPr>
            <w:r>
              <w:rPr>
                <w:rFonts w:hint="eastAsia"/>
              </w:rPr>
              <w:t>5.3.1</w:t>
            </w:r>
          </w:p>
        </w:tc>
        <w:tc>
          <w:tcPr>
            <w:tcW w:w="1230" w:type="dxa"/>
            <w:tcBorders>
              <w:top w:val="single" w:color="auto" w:sz="4" w:space="0"/>
              <w:left w:val="single" w:color="auto" w:sz="4" w:space="0"/>
              <w:bottom w:val="single" w:color="auto" w:sz="4" w:space="0"/>
              <w:right w:val="single" w:color="auto" w:sz="4" w:space="0"/>
            </w:tcBorders>
            <w:vAlign w:val="center"/>
          </w:tcPr>
          <w:p w14:paraId="1013CDBA">
            <w:pPr>
              <w:jc w:val="center"/>
            </w:pPr>
            <w:r>
              <w:rPr>
                <w:rFonts w:hint="eastAsia"/>
              </w:rPr>
              <w:t>信用查询规则</w:t>
            </w:r>
          </w:p>
        </w:tc>
        <w:tc>
          <w:tcPr>
            <w:tcW w:w="7229" w:type="dxa"/>
            <w:tcBorders>
              <w:top w:val="single" w:color="auto" w:sz="4" w:space="0"/>
              <w:left w:val="single" w:color="auto" w:sz="4" w:space="0"/>
              <w:bottom w:val="single" w:color="auto" w:sz="4" w:space="0"/>
              <w:right w:val="single" w:color="auto" w:sz="4" w:space="0"/>
            </w:tcBorders>
            <w:vAlign w:val="center"/>
          </w:tcPr>
          <w:p w14:paraId="22711440">
            <w:r>
              <w:rPr>
                <w:rFonts w:hint="eastAsia"/>
              </w:rPr>
              <w:t>采购人或者采购代理机构在资格审查结束前，对</w:t>
            </w:r>
            <w:r>
              <w:rPr>
                <w:rFonts w:hint="eastAsia"/>
                <w:lang w:eastAsia="zh-CN"/>
              </w:rPr>
              <w:t>供应商</w:t>
            </w:r>
            <w:r>
              <w:rPr>
                <w:rFonts w:hint="eastAsia"/>
              </w:rPr>
              <w:t>进行信用查询。</w:t>
            </w:r>
          </w:p>
          <w:p w14:paraId="60CFC312">
            <w:r>
              <w:rPr>
                <w:rFonts w:hint="eastAsia"/>
              </w:rPr>
              <w:t>查询渠道：“信用中国”网站（www.creditchina.gov.cn）、中国政府采购网（www.ccgp.gov.cn）。</w:t>
            </w:r>
          </w:p>
          <w:p w14:paraId="7CD59CFA">
            <w:r>
              <w:rPr>
                <w:rFonts w:hint="eastAsia"/>
              </w:rPr>
              <w:t>信用查询截止时点：资格审查结束前。</w:t>
            </w:r>
          </w:p>
          <w:p w14:paraId="13062668">
            <w:r>
              <w:rPr>
                <w:rFonts w:hint="eastAsia"/>
              </w:rPr>
              <w:t>查询记录和证据留存方式：通过</w:t>
            </w:r>
            <w:r>
              <w:rPr>
                <w:rFonts w:hint="eastAsia"/>
                <w:lang w:eastAsia="zh-CN"/>
              </w:rPr>
              <w:t>广西政府采购云平台</w:t>
            </w:r>
            <w:r>
              <w:rPr>
                <w:rFonts w:hint="eastAsia"/>
              </w:rPr>
              <w:t>链接到相关查询网站进行查询及记录。</w:t>
            </w:r>
          </w:p>
          <w:p w14:paraId="09B5B958">
            <w:r>
              <w:rPr>
                <w:rFonts w:hint="eastAsia"/>
              </w:rPr>
              <w:t>信用信息使用规则：根据财政部《关于在政府采购活动中查询及使用信用记录有关问题的通知》（财库〔2016〕125号）的规定，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A1B62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57C7849B">
            <w:pPr>
              <w:jc w:val="center"/>
            </w:pPr>
            <w:r>
              <w:rPr>
                <w:rFonts w:hint="eastAsia"/>
              </w:rPr>
              <w:t>6.3.5</w:t>
            </w:r>
          </w:p>
        </w:tc>
        <w:tc>
          <w:tcPr>
            <w:tcW w:w="1230" w:type="dxa"/>
            <w:tcBorders>
              <w:top w:val="single" w:color="auto" w:sz="4" w:space="0"/>
              <w:left w:val="single" w:color="auto" w:sz="4" w:space="0"/>
              <w:bottom w:val="single" w:color="auto" w:sz="4" w:space="0"/>
              <w:right w:val="single" w:color="auto" w:sz="4" w:space="0"/>
            </w:tcBorders>
            <w:vAlign w:val="center"/>
          </w:tcPr>
          <w:p w14:paraId="216CA549">
            <w:pPr>
              <w:jc w:val="center"/>
            </w:pPr>
            <w:r>
              <w:rPr>
                <w:rFonts w:hint="eastAsia"/>
              </w:rPr>
              <w:t>相同品牌推荐方式</w:t>
            </w:r>
          </w:p>
        </w:tc>
        <w:tc>
          <w:tcPr>
            <w:tcW w:w="7229" w:type="dxa"/>
            <w:tcBorders>
              <w:top w:val="single" w:color="auto" w:sz="4" w:space="0"/>
              <w:left w:val="single" w:color="auto" w:sz="4" w:space="0"/>
              <w:bottom w:val="single" w:color="auto" w:sz="4" w:space="0"/>
              <w:right w:val="single" w:color="auto" w:sz="4" w:space="0"/>
            </w:tcBorders>
            <w:vAlign w:val="center"/>
          </w:tcPr>
          <w:p w14:paraId="0AABA6E6">
            <w:r>
              <w:rPr>
                <w:rFonts w:hint="eastAsia"/>
              </w:rPr>
              <w:sym w:font="Wingdings 2" w:char="F052"/>
            </w:r>
            <w:r>
              <w:rPr>
                <w:rFonts w:hint="eastAsia"/>
              </w:rPr>
              <w:t>采购人委托评标委员会确定   □采购人确定</w:t>
            </w:r>
          </w:p>
        </w:tc>
      </w:tr>
      <w:tr w14:paraId="1BA11B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0B4AEA07">
            <w:pPr>
              <w:jc w:val="center"/>
            </w:pPr>
            <w:r>
              <w:rPr>
                <w:rFonts w:hint="eastAsia"/>
              </w:rPr>
              <w:t>6.5.1</w:t>
            </w:r>
          </w:p>
        </w:tc>
        <w:tc>
          <w:tcPr>
            <w:tcW w:w="1230" w:type="dxa"/>
            <w:tcBorders>
              <w:top w:val="single" w:color="auto" w:sz="4" w:space="0"/>
              <w:left w:val="single" w:color="auto" w:sz="4" w:space="0"/>
              <w:bottom w:val="single" w:color="auto" w:sz="4" w:space="0"/>
              <w:right w:val="single" w:color="auto" w:sz="4" w:space="0"/>
            </w:tcBorders>
            <w:vAlign w:val="center"/>
          </w:tcPr>
          <w:p w14:paraId="68A8A55B">
            <w:pPr>
              <w:jc w:val="center"/>
            </w:pPr>
            <w:r>
              <w:rPr>
                <w:rFonts w:hint="eastAsia"/>
              </w:rPr>
              <w:t>结果公告</w:t>
            </w:r>
          </w:p>
        </w:tc>
        <w:tc>
          <w:tcPr>
            <w:tcW w:w="7229" w:type="dxa"/>
            <w:tcBorders>
              <w:top w:val="single" w:color="auto" w:sz="4" w:space="0"/>
              <w:left w:val="single" w:color="auto" w:sz="4" w:space="0"/>
              <w:bottom w:val="single" w:color="auto" w:sz="4" w:space="0"/>
              <w:right w:val="single" w:color="auto" w:sz="4" w:space="0"/>
            </w:tcBorders>
            <w:vAlign w:val="center"/>
          </w:tcPr>
          <w:p w14:paraId="3A9EA341">
            <w:r>
              <w:rPr>
                <w:rFonts w:hint="eastAsia"/>
              </w:rPr>
              <w:t>采购代理机构在采购人依法确认中标人后2个工作日内在招标公告发布的媒体上发布结果公告。</w:t>
            </w:r>
          </w:p>
        </w:tc>
      </w:tr>
      <w:tr w14:paraId="7B4819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06E9B265">
            <w:pPr>
              <w:jc w:val="center"/>
            </w:pPr>
            <w:r>
              <w:rPr>
                <w:rFonts w:hint="eastAsia"/>
              </w:rPr>
              <w:t>6.5.2</w:t>
            </w:r>
          </w:p>
        </w:tc>
        <w:tc>
          <w:tcPr>
            <w:tcW w:w="1230" w:type="dxa"/>
            <w:tcBorders>
              <w:top w:val="single" w:color="auto" w:sz="4" w:space="0"/>
              <w:left w:val="single" w:color="auto" w:sz="4" w:space="0"/>
              <w:bottom w:val="single" w:color="auto" w:sz="4" w:space="0"/>
              <w:right w:val="single" w:color="auto" w:sz="4" w:space="0"/>
            </w:tcBorders>
            <w:vAlign w:val="center"/>
          </w:tcPr>
          <w:p w14:paraId="14C43A51">
            <w:pPr>
              <w:jc w:val="center"/>
            </w:pPr>
            <w:r>
              <w:rPr>
                <w:rFonts w:hint="eastAsia"/>
              </w:rPr>
              <w:t>中标通知书</w:t>
            </w:r>
          </w:p>
        </w:tc>
        <w:tc>
          <w:tcPr>
            <w:tcW w:w="7229" w:type="dxa"/>
            <w:tcBorders>
              <w:top w:val="single" w:color="auto" w:sz="4" w:space="0"/>
              <w:left w:val="single" w:color="auto" w:sz="4" w:space="0"/>
              <w:bottom w:val="single" w:color="auto" w:sz="4" w:space="0"/>
              <w:right w:val="single" w:color="auto" w:sz="4" w:space="0"/>
            </w:tcBorders>
            <w:vAlign w:val="center"/>
          </w:tcPr>
          <w:p w14:paraId="5A64A3E7">
            <w:r>
              <w:rPr>
                <w:rFonts w:hint="eastAsia"/>
              </w:rPr>
              <w:t>采购代理机构通过</w:t>
            </w:r>
            <w:r>
              <w:rPr>
                <w:rFonts w:hint="eastAsia"/>
                <w:lang w:val="en-US" w:eastAsia="zh-CN"/>
              </w:rPr>
              <w:t>书面形式</w:t>
            </w:r>
            <w:r>
              <w:rPr>
                <w:rFonts w:hint="eastAsia"/>
              </w:rPr>
              <w:t>发出中标通知书。</w:t>
            </w:r>
          </w:p>
        </w:tc>
      </w:tr>
      <w:tr w14:paraId="20E5DF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390C3084">
            <w:pPr>
              <w:jc w:val="center"/>
            </w:pPr>
            <w:r>
              <w:rPr>
                <w:rFonts w:hint="eastAsia"/>
              </w:rPr>
              <w:t>6.5.3</w:t>
            </w:r>
          </w:p>
        </w:tc>
        <w:tc>
          <w:tcPr>
            <w:tcW w:w="1230" w:type="dxa"/>
            <w:tcBorders>
              <w:top w:val="single" w:color="auto" w:sz="4" w:space="0"/>
              <w:left w:val="single" w:color="auto" w:sz="4" w:space="0"/>
              <w:bottom w:val="single" w:color="auto" w:sz="4" w:space="0"/>
              <w:right w:val="single" w:color="auto" w:sz="4" w:space="0"/>
            </w:tcBorders>
            <w:vAlign w:val="center"/>
          </w:tcPr>
          <w:p w14:paraId="572EE5A9">
            <w:pPr>
              <w:jc w:val="center"/>
            </w:pPr>
            <w:r>
              <w:rPr>
                <w:rFonts w:hint="eastAsia"/>
              </w:rPr>
              <w:t>招标结果通知书</w:t>
            </w:r>
          </w:p>
        </w:tc>
        <w:tc>
          <w:tcPr>
            <w:tcW w:w="7229" w:type="dxa"/>
            <w:tcBorders>
              <w:top w:val="single" w:color="auto" w:sz="4" w:space="0"/>
              <w:left w:val="single" w:color="auto" w:sz="4" w:space="0"/>
              <w:bottom w:val="single" w:color="auto" w:sz="4" w:space="0"/>
              <w:right w:val="single" w:color="auto" w:sz="4" w:space="0"/>
            </w:tcBorders>
            <w:vAlign w:val="center"/>
          </w:tcPr>
          <w:p w14:paraId="6CDA271F">
            <w:r>
              <w:rPr>
                <w:rFonts w:hint="eastAsia"/>
              </w:rPr>
              <w:t>招标结果在采购代理机构发布结果公告之日起，视为中标人已收到，中标人自行承担未及时查收的后果。</w:t>
            </w:r>
          </w:p>
        </w:tc>
      </w:tr>
      <w:tr w14:paraId="71C3A8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0AFE15F7">
            <w:pPr>
              <w:jc w:val="center"/>
            </w:pPr>
            <w:r>
              <w:rPr>
                <w:rFonts w:hint="eastAsia"/>
              </w:rPr>
              <w:t>8.1</w:t>
            </w:r>
          </w:p>
        </w:tc>
        <w:tc>
          <w:tcPr>
            <w:tcW w:w="1230" w:type="dxa"/>
            <w:tcBorders>
              <w:top w:val="single" w:color="auto" w:sz="4" w:space="0"/>
              <w:left w:val="single" w:color="auto" w:sz="4" w:space="0"/>
              <w:bottom w:val="single" w:color="auto" w:sz="4" w:space="0"/>
              <w:right w:val="single" w:color="auto" w:sz="4" w:space="0"/>
            </w:tcBorders>
            <w:vAlign w:val="center"/>
          </w:tcPr>
          <w:p w14:paraId="7B806A51">
            <w:pPr>
              <w:jc w:val="center"/>
            </w:pPr>
            <w:r>
              <w:rPr>
                <w:rFonts w:hint="eastAsia"/>
              </w:rPr>
              <w:t>质疑</w:t>
            </w:r>
          </w:p>
        </w:tc>
        <w:tc>
          <w:tcPr>
            <w:tcW w:w="7229" w:type="dxa"/>
            <w:tcBorders>
              <w:top w:val="single" w:color="auto" w:sz="4" w:space="0"/>
              <w:left w:val="single" w:color="auto" w:sz="4" w:space="0"/>
              <w:bottom w:val="single" w:color="auto" w:sz="4" w:space="0"/>
              <w:right w:val="single" w:color="auto" w:sz="4" w:space="0"/>
            </w:tcBorders>
            <w:vAlign w:val="center"/>
          </w:tcPr>
          <w:p w14:paraId="6E09E2F1">
            <w:r>
              <w:rPr>
                <w:rFonts w:hint="eastAsia"/>
              </w:rPr>
              <w:t>（1）供应商认为招标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7718A045">
            <w:r>
              <w:rPr>
                <w:rFonts w:hint="eastAsia"/>
              </w:rPr>
              <w:t>（2）本项目不接受传真、移动通信、</w:t>
            </w:r>
            <w:r>
              <w:rPr>
                <w:rFonts w:hint="eastAsia"/>
                <w:lang w:eastAsia="zh-CN"/>
              </w:rPr>
              <w:t>广西政府采购云平台</w:t>
            </w:r>
            <w:r>
              <w:rPr>
                <w:rFonts w:hint="eastAsia"/>
              </w:rPr>
              <w:t>等方式送达的质疑材料，供应商可通过现场或邮寄方式递交书面质疑材料。供应商应于质疑有效期内将质疑函原件递交或邮寄至招标公告中采购代理机构信息中的联系人。</w:t>
            </w:r>
          </w:p>
        </w:tc>
      </w:tr>
      <w:tr w14:paraId="383461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755" w:type="dxa"/>
            <w:tcBorders>
              <w:top w:val="single" w:color="auto" w:sz="4" w:space="0"/>
              <w:left w:val="single" w:color="auto" w:sz="4" w:space="0"/>
              <w:bottom w:val="single" w:color="auto" w:sz="4" w:space="0"/>
              <w:right w:val="single" w:color="auto" w:sz="4" w:space="0"/>
            </w:tcBorders>
            <w:vAlign w:val="center"/>
          </w:tcPr>
          <w:p w14:paraId="4856BBE3">
            <w:pPr>
              <w:jc w:val="center"/>
            </w:pPr>
            <w:r>
              <w:rPr>
                <w:rFonts w:hint="eastAsia"/>
              </w:rPr>
              <w:t>9.1</w:t>
            </w:r>
          </w:p>
        </w:tc>
        <w:tc>
          <w:tcPr>
            <w:tcW w:w="1230" w:type="dxa"/>
            <w:tcBorders>
              <w:top w:val="single" w:color="auto" w:sz="4" w:space="0"/>
              <w:left w:val="single" w:color="auto" w:sz="4" w:space="0"/>
              <w:bottom w:val="single" w:color="auto" w:sz="4" w:space="0"/>
              <w:right w:val="single" w:color="auto" w:sz="4" w:space="0"/>
            </w:tcBorders>
            <w:vAlign w:val="center"/>
          </w:tcPr>
          <w:p w14:paraId="0CBDB6F0">
            <w:pPr>
              <w:jc w:val="center"/>
            </w:pPr>
            <w:r>
              <w:rPr>
                <w:rFonts w:hint="eastAsia"/>
              </w:rPr>
              <w:t>中小企业政策措施</w:t>
            </w:r>
          </w:p>
        </w:tc>
        <w:tc>
          <w:tcPr>
            <w:tcW w:w="7229" w:type="dxa"/>
            <w:tcBorders>
              <w:top w:val="single" w:color="auto" w:sz="4" w:space="0"/>
              <w:left w:val="single" w:color="auto" w:sz="4" w:space="0"/>
              <w:bottom w:val="single" w:color="auto" w:sz="4" w:space="0"/>
              <w:right w:val="single" w:color="auto" w:sz="4" w:space="0"/>
            </w:tcBorders>
            <w:vAlign w:val="center"/>
          </w:tcPr>
          <w:p w14:paraId="5F67F3C2">
            <w:pPr>
              <w:rPr>
                <w:rFonts w:hint="eastAsia"/>
              </w:rPr>
            </w:pPr>
            <w:r>
              <w:rPr>
                <w:rFonts w:hint="eastAsia"/>
              </w:rPr>
              <w:t>本项目（</w:t>
            </w:r>
            <w:r>
              <w:rPr>
                <w:rFonts w:hint="eastAsia"/>
                <w:lang w:eastAsia="zh-CN"/>
              </w:rPr>
              <w:t>分标</w:t>
            </w:r>
            <w:r>
              <w:rPr>
                <w:rFonts w:hint="eastAsia"/>
                <w:lang w:val="en-US" w:eastAsia="zh-CN"/>
              </w:rPr>
              <w:t>2、4</w:t>
            </w:r>
            <w:r>
              <w:rPr>
                <w:rFonts w:hint="eastAsia"/>
              </w:rPr>
              <w:t>）属于专门面向中小企业采购，</w:t>
            </w:r>
            <w:r>
              <w:rPr>
                <w:rFonts w:hint="eastAsia"/>
                <w:bCs/>
                <w:szCs w:val="21"/>
              </w:rPr>
              <w:t>制造商</w:t>
            </w:r>
            <w:r>
              <w:rPr>
                <w:rFonts w:hint="eastAsia"/>
              </w:rPr>
              <w:t>应为中</w:t>
            </w:r>
            <w:r>
              <w:rPr>
                <w:rFonts w:hint="eastAsia"/>
                <w:lang w:val="en-US" w:eastAsia="zh-CN"/>
              </w:rPr>
              <w:t>型</w:t>
            </w:r>
            <w:r>
              <w:rPr>
                <w:rFonts w:hint="eastAsia"/>
              </w:rPr>
              <w:t>企业</w:t>
            </w:r>
            <w:r>
              <w:rPr>
                <w:rFonts w:hint="eastAsia"/>
                <w:lang w:val="en-US" w:eastAsia="zh-CN"/>
              </w:rPr>
              <w:t>或</w:t>
            </w:r>
            <w:r>
              <w:rPr>
                <w:rFonts w:hint="eastAsia"/>
              </w:rPr>
              <w:t>小</w:t>
            </w:r>
            <w:r>
              <w:rPr>
                <w:rFonts w:hint="eastAsia"/>
                <w:lang w:val="en-US" w:eastAsia="zh-CN"/>
              </w:rPr>
              <w:t>型</w:t>
            </w:r>
            <w:r>
              <w:rPr>
                <w:rFonts w:hint="eastAsia"/>
              </w:rPr>
              <w:t>企业</w:t>
            </w:r>
            <w:r>
              <w:rPr>
                <w:rFonts w:hint="eastAsia"/>
                <w:lang w:val="en-US" w:eastAsia="zh-CN"/>
              </w:rPr>
              <w:t>或</w:t>
            </w:r>
            <w:r>
              <w:rPr>
                <w:rFonts w:hint="eastAsia"/>
              </w:rPr>
              <w:t>微</w:t>
            </w:r>
            <w:r>
              <w:rPr>
                <w:rFonts w:hint="eastAsia"/>
                <w:lang w:val="en-US" w:eastAsia="zh-CN"/>
              </w:rPr>
              <w:t>型</w:t>
            </w:r>
            <w:r>
              <w:rPr>
                <w:rFonts w:hint="eastAsia"/>
              </w:rPr>
              <w:t>企业或监狱企业或残疾人福利性单位。</w:t>
            </w:r>
          </w:p>
          <w:p w14:paraId="2E9C2BE6">
            <w:r>
              <w:rPr>
                <w:rFonts w:hint="eastAsia"/>
              </w:rPr>
              <w:t>本项目（</w:t>
            </w:r>
            <w:r>
              <w:rPr>
                <w:rFonts w:hint="eastAsia"/>
                <w:lang w:eastAsia="zh-CN"/>
              </w:rPr>
              <w:t>分标</w:t>
            </w:r>
            <w:r>
              <w:rPr>
                <w:rFonts w:hint="eastAsia"/>
                <w:lang w:val="en-US" w:eastAsia="zh-CN"/>
              </w:rPr>
              <w:t>1、3、5</w:t>
            </w:r>
            <w:r>
              <w:rPr>
                <w:rFonts w:hint="eastAsia"/>
              </w:rPr>
              <w:t>）属于专门面向小</w:t>
            </w:r>
            <w:r>
              <w:rPr>
                <w:rFonts w:hint="eastAsia"/>
                <w:lang w:val="en-US" w:eastAsia="zh-CN"/>
              </w:rPr>
              <w:t>微</w:t>
            </w:r>
            <w:r>
              <w:rPr>
                <w:rFonts w:hint="eastAsia"/>
              </w:rPr>
              <w:t>企业采购，</w:t>
            </w:r>
            <w:r>
              <w:rPr>
                <w:rFonts w:hint="eastAsia"/>
                <w:bCs/>
                <w:szCs w:val="21"/>
              </w:rPr>
              <w:t>制造商</w:t>
            </w:r>
            <w:r>
              <w:rPr>
                <w:rFonts w:hint="eastAsia"/>
              </w:rPr>
              <w:t>应为小</w:t>
            </w:r>
            <w:r>
              <w:rPr>
                <w:rFonts w:hint="eastAsia"/>
                <w:lang w:val="en-US" w:eastAsia="zh-CN"/>
              </w:rPr>
              <w:t>型</w:t>
            </w:r>
            <w:r>
              <w:rPr>
                <w:rFonts w:hint="eastAsia"/>
              </w:rPr>
              <w:t>企业</w:t>
            </w:r>
            <w:r>
              <w:rPr>
                <w:rFonts w:hint="eastAsia"/>
                <w:lang w:val="en-US" w:eastAsia="zh-CN"/>
              </w:rPr>
              <w:t>或微型企业</w:t>
            </w:r>
            <w:r>
              <w:rPr>
                <w:rFonts w:hint="eastAsia"/>
              </w:rPr>
              <w:t>或监狱企业或残疾人福利性单位。</w:t>
            </w:r>
          </w:p>
        </w:tc>
      </w:tr>
      <w:tr w14:paraId="6B36A4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755" w:type="dxa"/>
            <w:tcBorders>
              <w:top w:val="single" w:color="auto" w:sz="4" w:space="0"/>
              <w:left w:val="single" w:color="auto" w:sz="4" w:space="0"/>
              <w:bottom w:val="single" w:color="auto" w:sz="4" w:space="0"/>
              <w:right w:val="single" w:color="auto" w:sz="4" w:space="0"/>
            </w:tcBorders>
            <w:vAlign w:val="center"/>
          </w:tcPr>
          <w:p w14:paraId="7A26C610">
            <w:pPr>
              <w:jc w:val="center"/>
              <w:rPr>
                <w:rFonts w:hint="default" w:eastAsia="宋体"/>
                <w:lang w:val="en-US" w:eastAsia="zh-CN"/>
              </w:rPr>
            </w:pPr>
            <w:r>
              <w:rPr>
                <w:rFonts w:hint="eastAsia"/>
                <w:lang w:val="en-US" w:eastAsia="zh-CN"/>
              </w:rPr>
              <w:t>10.1</w:t>
            </w:r>
          </w:p>
        </w:tc>
        <w:tc>
          <w:tcPr>
            <w:tcW w:w="1230" w:type="dxa"/>
            <w:tcBorders>
              <w:top w:val="single" w:color="auto" w:sz="4" w:space="0"/>
              <w:left w:val="single" w:color="auto" w:sz="4" w:space="0"/>
              <w:bottom w:val="single" w:color="auto" w:sz="4" w:space="0"/>
              <w:right w:val="single" w:color="auto" w:sz="4" w:space="0"/>
            </w:tcBorders>
            <w:vAlign w:val="center"/>
          </w:tcPr>
          <w:p w14:paraId="48D3E4DB">
            <w:pPr>
              <w:jc w:val="center"/>
              <w:rPr>
                <w:rFonts w:hint="eastAsia"/>
              </w:rPr>
            </w:pPr>
            <w:r>
              <w:rPr>
                <w:rFonts w:hint="eastAsia"/>
                <w:lang w:val="en-US" w:eastAsia="zh-CN"/>
              </w:rPr>
              <w:t>采用本国产品的政策</w:t>
            </w:r>
            <w:r>
              <w:rPr>
                <w:rFonts w:hint="eastAsia"/>
              </w:rPr>
              <w:t>措施</w:t>
            </w:r>
          </w:p>
        </w:tc>
        <w:tc>
          <w:tcPr>
            <w:tcW w:w="7229" w:type="dxa"/>
            <w:tcBorders>
              <w:top w:val="single" w:color="auto" w:sz="4" w:space="0"/>
              <w:left w:val="single" w:color="auto" w:sz="4" w:space="0"/>
              <w:bottom w:val="single" w:color="auto" w:sz="4" w:space="0"/>
              <w:right w:val="single" w:color="auto" w:sz="4" w:space="0"/>
            </w:tcBorders>
            <w:vAlign w:val="center"/>
          </w:tcPr>
          <w:p w14:paraId="11FEAADD">
            <w:pPr>
              <w:rPr>
                <w:rFonts w:hint="default" w:eastAsia="宋体"/>
                <w:lang w:val="en-US" w:eastAsia="zh-CN"/>
              </w:rPr>
            </w:pPr>
            <w:r>
              <w:rPr>
                <w:rFonts w:hint="eastAsia"/>
                <w:lang w:val="en-US" w:eastAsia="zh-CN"/>
              </w:rPr>
              <w:t>本项目采购的内容为</w:t>
            </w:r>
            <w:r>
              <w:rPr>
                <w:rFonts w:hint="eastAsia" w:ascii="宋体" w:hAnsi="宋体" w:eastAsia="宋体" w:cs="宋体"/>
                <w:color w:val="000000"/>
                <w:kern w:val="0"/>
                <w:sz w:val="21"/>
                <w:szCs w:val="21"/>
                <w:highlight w:val="none"/>
                <w:lang w:val="en-US" w:eastAsia="zh-CN" w:bidi="ar-SA"/>
              </w:rPr>
              <w:t>农林牧渔业产品以及食品，不执行价格评审优惠。</w:t>
            </w:r>
          </w:p>
        </w:tc>
      </w:tr>
      <w:tr w14:paraId="6CB989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8" w:hRule="atLeast"/>
        </w:trPr>
        <w:tc>
          <w:tcPr>
            <w:tcW w:w="755" w:type="dxa"/>
            <w:tcBorders>
              <w:top w:val="single" w:color="auto" w:sz="4" w:space="0"/>
              <w:left w:val="single" w:color="auto" w:sz="4" w:space="0"/>
              <w:bottom w:val="single" w:color="auto" w:sz="4" w:space="0"/>
              <w:right w:val="single" w:color="auto" w:sz="4" w:space="0"/>
            </w:tcBorders>
            <w:vAlign w:val="center"/>
          </w:tcPr>
          <w:p w14:paraId="40128A97">
            <w:pPr>
              <w:jc w:val="center"/>
            </w:pPr>
            <w:r>
              <w:rPr>
                <w:rFonts w:hint="eastAsia"/>
              </w:rPr>
              <w:t>1</w:t>
            </w:r>
            <w:r>
              <w:rPr>
                <w:rFonts w:hint="eastAsia"/>
                <w:lang w:val="en-US" w:eastAsia="zh-CN"/>
              </w:rPr>
              <w:t>1</w:t>
            </w:r>
            <w:r>
              <w:rPr>
                <w:rFonts w:hint="eastAsia"/>
              </w:rPr>
              <w:t>.1</w:t>
            </w:r>
          </w:p>
        </w:tc>
        <w:tc>
          <w:tcPr>
            <w:tcW w:w="1230" w:type="dxa"/>
            <w:tcBorders>
              <w:top w:val="single" w:color="auto" w:sz="4" w:space="0"/>
              <w:left w:val="single" w:color="auto" w:sz="4" w:space="0"/>
              <w:bottom w:val="single" w:color="auto" w:sz="4" w:space="0"/>
              <w:right w:val="single" w:color="auto" w:sz="4" w:space="0"/>
            </w:tcBorders>
            <w:vAlign w:val="center"/>
          </w:tcPr>
          <w:p w14:paraId="54E94E07">
            <w:pPr>
              <w:jc w:val="center"/>
            </w:pPr>
            <w:r>
              <w:rPr>
                <w:rFonts w:hint="eastAsia"/>
              </w:rPr>
              <w:t>代理服务费</w:t>
            </w:r>
          </w:p>
        </w:tc>
        <w:tc>
          <w:tcPr>
            <w:tcW w:w="7229" w:type="dxa"/>
            <w:tcBorders>
              <w:top w:val="single" w:color="auto" w:sz="4" w:space="0"/>
              <w:left w:val="single" w:color="auto" w:sz="4" w:space="0"/>
              <w:bottom w:val="single" w:color="auto" w:sz="4" w:space="0"/>
              <w:right w:val="single" w:color="auto" w:sz="4" w:space="0"/>
            </w:tcBorders>
            <w:vAlign w:val="center"/>
          </w:tcPr>
          <w:p w14:paraId="02C2DE79">
            <w:r>
              <w:rPr>
                <w:rFonts w:hint="eastAsia"/>
              </w:rPr>
              <w:t>（1）代理服务费</w:t>
            </w:r>
          </w:p>
          <w:p w14:paraId="7E2AF861">
            <w:r>
              <w:rPr>
                <w:rFonts w:hint="eastAsia"/>
              </w:rPr>
              <w:sym w:font="Wingdings 2" w:char="F052"/>
            </w:r>
            <w:r>
              <w:rPr>
                <w:rFonts w:hint="eastAsia"/>
              </w:rPr>
              <w:t>采购代理机构向中标人收取代理服务费。本项目代理服务费</w:t>
            </w:r>
            <w:r>
              <w:rPr>
                <w:rFonts w:hint="eastAsia"/>
                <w:lang w:val="en-US" w:eastAsia="zh-CN"/>
              </w:rPr>
              <w:t>参照</w:t>
            </w:r>
            <w:r>
              <w:rPr>
                <w:rFonts w:hint="eastAsia"/>
              </w:rPr>
              <w:t>《招标代理服务费管理暂行办法》 (计价格﹝2002﹞1980号)、《国家发展改革委关于降低部分建设项目收费标准规范收费行为等有关问题的通知》(发改价格﹝2011﹞534号)的规定采用差额定率累进法计算。具体费率如下：</w:t>
            </w:r>
          </w:p>
          <w:p w14:paraId="2881F220">
            <w:r>
              <w:rPr>
                <w:rFonts w:hint="eastAsia"/>
              </w:rPr>
              <w:t>①招标金额在100万元以下的：</w:t>
            </w:r>
          </w:p>
          <w:p w14:paraId="6FDD4CF9">
            <w:r>
              <w:rPr>
                <w:rFonts w:hint="eastAsia"/>
              </w:rPr>
              <w:t>货物1.5％；服务招标1.5％；工程招标1.0％；</w:t>
            </w:r>
          </w:p>
          <w:p w14:paraId="1C6C9274">
            <w:r>
              <w:rPr>
                <w:rFonts w:hint="eastAsia"/>
              </w:rPr>
              <w:t>②招标金额在100-500万元之间：</w:t>
            </w:r>
          </w:p>
          <w:p w14:paraId="0A9DDCFC">
            <w:r>
              <w:rPr>
                <w:rFonts w:hint="eastAsia"/>
              </w:rPr>
              <w:t>货物1.1％；服务招标0.8％；工程招标0.7％；</w:t>
            </w:r>
          </w:p>
          <w:p w14:paraId="76315D1A">
            <w:r>
              <w:rPr>
                <w:rFonts w:hint="eastAsia"/>
              </w:rPr>
              <w:t>③招标金额在500-1000万元之间：</w:t>
            </w:r>
          </w:p>
          <w:p w14:paraId="7A8B84C3">
            <w:r>
              <w:rPr>
                <w:rFonts w:hint="eastAsia"/>
              </w:rPr>
              <w:t>货物0.8％；服务招标0.45％；工程招标0.55％；</w:t>
            </w:r>
          </w:p>
          <w:p w14:paraId="1CE62FED">
            <w:r>
              <w:rPr>
                <w:rFonts w:hint="eastAsia"/>
              </w:rPr>
              <w:t>④招标金额在1000-5000万元之间：</w:t>
            </w:r>
          </w:p>
          <w:p w14:paraId="5134DB40">
            <w:r>
              <w:rPr>
                <w:rFonts w:hint="eastAsia"/>
              </w:rPr>
              <w:t>货物0.5％；服务招标0.25％；工程招标0.35％；</w:t>
            </w:r>
          </w:p>
          <w:p w14:paraId="6D60EB0C">
            <w:r>
              <w:rPr>
                <w:rFonts w:hint="eastAsia"/>
              </w:rPr>
              <w:t>……</w:t>
            </w:r>
          </w:p>
          <w:p w14:paraId="3528E5B7">
            <w:r>
              <w:rPr>
                <w:rFonts w:hint="eastAsia"/>
              </w:rPr>
              <w:t>差额定率累进法计算过程示例：</w:t>
            </w:r>
          </w:p>
          <w:p w14:paraId="27F8AF54">
            <w:r>
              <w:rPr>
                <w:rFonts w:hint="eastAsia"/>
              </w:rPr>
              <w:t>例如：某货物招标代理业务成交金额为300万元，招标代理服务费金额按如下计算：</w:t>
            </w:r>
          </w:p>
          <w:p w14:paraId="2AA0791A">
            <w:r>
              <w:rPr>
                <w:rFonts w:hint="eastAsia"/>
              </w:rPr>
              <w:t>100万元×1.5%＝1.5万元</w:t>
            </w:r>
          </w:p>
          <w:p w14:paraId="160202E7">
            <w:r>
              <w:rPr>
                <w:rFonts w:hint="eastAsia"/>
              </w:rPr>
              <w:t>（300－100）万元×1.1%＝2.2万元</w:t>
            </w:r>
          </w:p>
          <w:p w14:paraId="40B44374">
            <w:r>
              <w:rPr>
                <w:rFonts w:hint="eastAsia"/>
              </w:rPr>
              <w:t>合计收费＝1.5＋2.2=3.7万元</w:t>
            </w:r>
          </w:p>
          <w:p w14:paraId="26BD823B">
            <w:pPr>
              <w:rPr>
                <w:u w:val="single"/>
              </w:rPr>
            </w:pPr>
            <w:r>
              <w:rPr>
                <w:rFonts w:hint="eastAsia"/>
              </w:rPr>
              <w:sym w:font="Wingdings 2" w:char="F0A3"/>
            </w:r>
            <w:r>
              <w:rPr>
                <w:rFonts w:hint="eastAsia"/>
              </w:rPr>
              <w:t>采购代理机构向中标人收取代理服务费，具体金额为</w:t>
            </w:r>
            <w:r>
              <w:rPr>
                <w:rFonts w:hint="eastAsia"/>
                <w:u w:val="single"/>
              </w:rPr>
              <w:t xml:space="preserve">             </w:t>
            </w:r>
            <w:r>
              <w:rPr>
                <w:rFonts w:hint="eastAsia"/>
              </w:rPr>
              <w:t>。</w:t>
            </w:r>
          </w:p>
          <w:p w14:paraId="11A6D3D3">
            <w:r>
              <w:rPr>
                <w:rFonts w:hint="eastAsia"/>
              </w:rPr>
              <w:t>（2）中标人在中标通知书发出前以银行转账形式支付代理服务费。</w:t>
            </w:r>
          </w:p>
          <w:p w14:paraId="4D02CC3B">
            <w:r>
              <w:rPr>
                <w:rFonts w:hint="eastAsia"/>
              </w:rPr>
              <w:t>开户银行：建行南宁市金湖广场支行</w:t>
            </w:r>
          </w:p>
          <w:p w14:paraId="0BDA7C1C">
            <w:r>
              <w:rPr>
                <w:rFonts w:hint="eastAsia"/>
              </w:rPr>
              <w:t>开户名称：广西中信恒泰工程顾问有限公司</w:t>
            </w:r>
          </w:p>
          <w:p w14:paraId="34B4D1EB">
            <w:r>
              <w:rPr>
                <w:rFonts w:hint="eastAsia"/>
              </w:rPr>
              <w:t xml:space="preserve">银行账号：45001604266052502851 </w:t>
            </w:r>
          </w:p>
          <w:p w14:paraId="30EAC102">
            <w:r>
              <w:rPr>
                <w:rFonts w:hint="eastAsia"/>
              </w:rPr>
              <w:t>开户行行号：105611042538</w:t>
            </w:r>
          </w:p>
        </w:tc>
      </w:tr>
      <w:tr w14:paraId="3DFE8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55" w:type="dxa"/>
            <w:tcBorders>
              <w:top w:val="single" w:color="auto" w:sz="4" w:space="0"/>
              <w:left w:val="single" w:color="auto" w:sz="4" w:space="0"/>
              <w:bottom w:val="single" w:color="auto" w:sz="4" w:space="0"/>
              <w:right w:val="single" w:color="auto" w:sz="4" w:space="0"/>
            </w:tcBorders>
            <w:vAlign w:val="center"/>
          </w:tcPr>
          <w:p w14:paraId="10BB678C">
            <w:pPr>
              <w:jc w:val="center"/>
            </w:pPr>
            <w:r>
              <w:rPr>
                <w:rFonts w:hint="eastAsia"/>
                <w:lang w:val="en-US" w:eastAsia="zh-CN"/>
              </w:rPr>
              <w:t>11</w:t>
            </w:r>
            <w:r>
              <w:rPr>
                <w:rFonts w:hint="eastAsia"/>
              </w:rPr>
              <w:t>.3</w:t>
            </w:r>
          </w:p>
        </w:tc>
        <w:tc>
          <w:tcPr>
            <w:tcW w:w="1230" w:type="dxa"/>
            <w:tcBorders>
              <w:top w:val="single" w:color="auto" w:sz="4" w:space="0"/>
              <w:left w:val="single" w:color="auto" w:sz="4" w:space="0"/>
              <w:bottom w:val="single" w:color="auto" w:sz="4" w:space="0"/>
              <w:right w:val="single" w:color="auto" w:sz="4" w:space="0"/>
            </w:tcBorders>
            <w:vAlign w:val="center"/>
          </w:tcPr>
          <w:p w14:paraId="1E3BB239">
            <w:pPr>
              <w:jc w:val="center"/>
            </w:pPr>
            <w:r>
              <w:rPr>
                <w:rFonts w:hint="eastAsia"/>
              </w:rPr>
              <w:t>附件</w:t>
            </w:r>
          </w:p>
        </w:tc>
        <w:tc>
          <w:tcPr>
            <w:tcW w:w="7229" w:type="dxa"/>
            <w:tcBorders>
              <w:top w:val="single" w:color="auto" w:sz="4" w:space="0"/>
              <w:left w:val="single" w:color="auto" w:sz="4" w:space="0"/>
              <w:bottom w:val="single" w:color="auto" w:sz="4" w:space="0"/>
              <w:right w:val="single" w:color="auto" w:sz="4" w:space="0"/>
            </w:tcBorders>
            <w:vAlign w:val="center"/>
          </w:tcPr>
          <w:p w14:paraId="3C34B593">
            <w:r>
              <w:rPr>
                <w:rFonts w:hint="eastAsia"/>
              </w:rPr>
              <w:sym w:font="Wingdings 2" w:char="F052"/>
            </w:r>
            <w:r>
              <w:rPr>
                <w:rFonts w:hint="eastAsia"/>
              </w:rPr>
              <w:t>无</w:t>
            </w:r>
          </w:p>
          <w:p w14:paraId="2749483A">
            <w:r>
              <w:rPr>
                <w:rFonts w:hint="eastAsia"/>
              </w:rPr>
              <w:t xml:space="preserve">□有，详见：          </w:t>
            </w:r>
          </w:p>
        </w:tc>
      </w:tr>
      <w:tr w14:paraId="016CB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55" w:type="dxa"/>
            <w:tcBorders>
              <w:top w:val="single" w:color="auto" w:sz="4" w:space="0"/>
              <w:left w:val="single" w:color="auto" w:sz="4" w:space="0"/>
              <w:bottom w:val="single" w:color="auto" w:sz="4" w:space="0"/>
              <w:right w:val="single" w:color="auto" w:sz="4" w:space="0"/>
            </w:tcBorders>
            <w:vAlign w:val="center"/>
          </w:tcPr>
          <w:p w14:paraId="2A88A03C">
            <w:pPr>
              <w:jc w:val="center"/>
            </w:pPr>
            <w:r>
              <w:rPr>
                <w:rFonts w:hint="eastAsia"/>
              </w:rPr>
              <w:t>1</w:t>
            </w:r>
            <w:r>
              <w:rPr>
                <w:rFonts w:hint="eastAsia"/>
                <w:lang w:val="en-US" w:eastAsia="zh-CN"/>
              </w:rPr>
              <w:t>1</w:t>
            </w:r>
            <w:r>
              <w:rPr>
                <w:rFonts w:hint="eastAsia"/>
              </w:rPr>
              <w:t>.3</w:t>
            </w:r>
          </w:p>
        </w:tc>
        <w:tc>
          <w:tcPr>
            <w:tcW w:w="1230" w:type="dxa"/>
            <w:tcBorders>
              <w:top w:val="single" w:color="auto" w:sz="4" w:space="0"/>
              <w:left w:val="single" w:color="auto" w:sz="4" w:space="0"/>
              <w:bottom w:val="single" w:color="auto" w:sz="4" w:space="0"/>
              <w:right w:val="single" w:color="auto" w:sz="4" w:space="0"/>
            </w:tcBorders>
            <w:vAlign w:val="center"/>
          </w:tcPr>
          <w:p w14:paraId="1AA8BF7B">
            <w:pPr>
              <w:jc w:val="center"/>
            </w:pPr>
            <w:r>
              <w:rPr>
                <w:rFonts w:hint="eastAsia"/>
              </w:rPr>
              <w:t>图纸</w:t>
            </w:r>
          </w:p>
        </w:tc>
        <w:tc>
          <w:tcPr>
            <w:tcW w:w="7229" w:type="dxa"/>
            <w:tcBorders>
              <w:top w:val="single" w:color="auto" w:sz="4" w:space="0"/>
              <w:left w:val="single" w:color="auto" w:sz="4" w:space="0"/>
              <w:bottom w:val="single" w:color="auto" w:sz="4" w:space="0"/>
              <w:right w:val="single" w:color="auto" w:sz="4" w:space="0"/>
            </w:tcBorders>
            <w:vAlign w:val="center"/>
          </w:tcPr>
          <w:p w14:paraId="17C1CE22">
            <w:r>
              <w:rPr>
                <w:rFonts w:hint="eastAsia"/>
              </w:rPr>
              <w:sym w:font="Wingdings 2" w:char="F052"/>
            </w:r>
            <w:r>
              <w:rPr>
                <w:rFonts w:hint="eastAsia"/>
              </w:rPr>
              <w:t>无</w:t>
            </w:r>
          </w:p>
          <w:p w14:paraId="3BD678A5">
            <w:r>
              <w:rPr>
                <w:rFonts w:hint="eastAsia"/>
              </w:rPr>
              <w:t xml:space="preserve">□有，详见：             </w:t>
            </w:r>
          </w:p>
        </w:tc>
      </w:tr>
      <w:tr w14:paraId="5F60E5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55" w:type="dxa"/>
            <w:tcBorders>
              <w:top w:val="single" w:color="auto" w:sz="4" w:space="0"/>
              <w:left w:val="single" w:color="auto" w:sz="4" w:space="0"/>
              <w:bottom w:val="single" w:color="auto" w:sz="4" w:space="0"/>
              <w:right w:val="single" w:color="auto" w:sz="4" w:space="0"/>
            </w:tcBorders>
            <w:vAlign w:val="center"/>
          </w:tcPr>
          <w:p w14:paraId="2C63A567">
            <w:pPr>
              <w:jc w:val="center"/>
            </w:pPr>
            <w:r>
              <w:rPr>
                <w:rFonts w:hint="eastAsia"/>
              </w:rPr>
              <w:t>1</w:t>
            </w:r>
            <w:r>
              <w:rPr>
                <w:rFonts w:hint="eastAsia"/>
                <w:lang w:val="en-US" w:eastAsia="zh-CN"/>
              </w:rPr>
              <w:t>1</w:t>
            </w:r>
            <w:r>
              <w:rPr>
                <w:rFonts w:hint="eastAsia"/>
              </w:rPr>
              <w:t>.4</w:t>
            </w:r>
          </w:p>
        </w:tc>
        <w:tc>
          <w:tcPr>
            <w:tcW w:w="1230" w:type="dxa"/>
            <w:tcBorders>
              <w:top w:val="single" w:color="auto" w:sz="4" w:space="0"/>
              <w:left w:val="single" w:color="auto" w:sz="4" w:space="0"/>
              <w:bottom w:val="single" w:color="auto" w:sz="4" w:space="0"/>
              <w:right w:val="single" w:color="auto" w:sz="4" w:space="0"/>
            </w:tcBorders>
            <w:vAlign w:val="center"/>
          </w:tcPr>
          <w:p w14:paraId="0C64F40A">
            <w:pPr>
              <w:jc w:val="center"/>
            </w:pPr>
            <w:r>
              <w:rPr>
                <w:rFonts w:hint="eastAsia"/>
              </w:rPr>
              <w:t>其他事项</w:t>
            </w:r>
          </w:p>
        </w:tc>
        <w:tc>
          <w:tcPr>
            <w:tcW w:w="7229" w:type="dxa"/>
            <w:tcBorders>
              <w:top w:val="single" w:color="auto" w:sz="4" w:space="0"/>
              <w:left w:val="single" w:color="auto" w:sz="4" w:space="0"/>
              <w:bottom w:val="single" w:color="auto" w:sz="4" w:space="0"/>
              <w:right w:val="single" w:color="auto" w:sz="4" w:space="0"/>
            </w:tcBorders>
            <w:vAlign w:val="center"/>
          </w:tcPr>
          <w:p w14:paraId="0CAF0BDE">
            <w:r>
              <w:rPr>
                <w:rFonts w:hint="eastAsia" w:ascii="宋体" w:hAnsi="宋体" w:eastAsia="宋体" w:cs="宋体"/>
                <w:color w:val="auto"/>
                <w:sz w:val="21"/>
                <w:szCs w:val="21"/>
              </w:rPr>
              <w:t>解释：构成本招标文件的各个组成文件应互为解释，互为说明；除招标文件中有特别规定外，仅适用于招标投标阶段的规定，按更正公告（澄清公告）、招标公告、采购需求、</w:t>
            </w:r>
            <w:r>
              <w:rPr>
                <w:rFonts w:hint="eastAsia" w:cs="宋体"/>
                <w:color w:val="auto"/>
                <w:sz w:val="21"/>
                <w:szCs w:val="21"/>
                <w:lang w:val="en-US" w:eastAsia="zh-CN"/>
              </w:rPr>
              <w:t>供应商</w:t>
            </w:r>
            <w:r>
              <w:rPr>
                <w:rFonts w:hint="eastAsia" w:ascii="宋体" w:hAnsi="宋体" w:eastAsia="宋体" w:cs="宋体"/>
                <w:color w:val="auto"/>
                <w:sz w:val="21"/>
                <w:szCs w:val="21"/>
              </w:rPr>
              <w:t>须知、评标方法及标准、</w:t>
            </w:r>
            <w:r>
              <w:rPr>
                <w:rFonts w:hint="eastAsia" w:cs="宋体"/>
                <w:color w:val="auto"/>
                <w:sz w:val="21"/>
                <w:szCs w:val="21"/>
                <w:lang w:val="en-US" w:eastAsia="zh-CN"/>
              </w:rPr>
              <w:t>合同主要条款及格式</w:t>
            </w:r>
            <w:r>
              <w:rPr>
                <w:rFonts w:hint="eastAsia" w:ascii="宋体" w:hAnsi="宋体" w:eastAsia="宋体" w:cs="宋体"/>
                <w:color w:val="auto"/>
                <w:sz w:val="21"/>
                <w:szCs w:val="21"/>
              </w:rPr>
              <w:t>、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6D1092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55" w:type="dxa"/>
            <w:tcBorders>
              <w:top w:val="single" w:color="auto" w:sz="4" w:space="0"/>
              <w:left w:val="single" w:color="auto" w:sz="4" w:space="0"/>
              <w:bottom w:val="single" w:color="auto" w:sz="4" w:space="0"/>
              <w:right w:val="single" w:color="auto" w:sz="4" w:space="0"/>
            </w:tcBorders>
            <w:vAlign w:val="center"/>
          </w:tcPr>
          <w:p w14:paraId="7B200447">
            <w:pPr>
              <w:jc w:val="center"/>
            </w:pPr>
            <w:r>
              <w:rPr>
                <w:rFonts w:hint="eastAsia"/>
              </w:rPr>
              <w:t>1</w:t>
            </w:r>
            <w:r>
              <w:rPr>
                <w:rFonts w:hint="eastAsia"/>
                <w:lang w:val="en-US" w:eastAsia="zh-CN"/>
              </w:rPr>
              <w:t>1</w:t>
            </w:r>
            <w:r>
              <w:rPr>
                <w:rFonts w:hint="eastAsia"/>
              </w:rPr>
              <w:t>.5</w:t>
            </w:r>
          </w:p>
        </w:tc>
        <w:tc>
          <w:tcPr>
            <w:tcW w:w="1230" w:type="dxa"/>
            <w:tcBorders>
              <w:top w:val="single" w:color="auto" w:sz="4" w:space="0"/>
              <w:left w:val="single" w:color="auto" w:sz="4" w:space="0"/>
              <w:bottom w:val="single" w:color="auto" w:sz="4" w:space="0"/>
              <w:right w:val="single" w:color="auto" w:sz="4" w:space="0"/>
            </w:tcBorders>
            <w:vAlign w:val="center"/>
          </w:tcPr>
          <w:p w14:paraId="433A8159">
            <w:pPr>
              <w:jc w:val="center"/>
            </w:pPr>
            <w:r>
              <w:rPr>
                <w:rFonts w:hint="eastAsia"/>
              </w:rPr>
              <w:t>特别说明</w:t>
            </w:r>
          </w:p>
        </w:tc>
        <w:tc>
          <w:tcPr>
            <w:tcW w:w="7229" w:type="dxa"/>
            <w:tcBorders>
              <w:top w:val="single" w:color="auto" w:sz="4" w:space="0"/>
              <w:left w:val="single" w:color="auto" w:sz="4" w:space="0"/>
              <w:bottom w:val="single" w:color="auto" w:sz="4" w:space="0"/>
              <w:right w:val="single" w:color="auto" w:sz="4" w:space="0"/>
            </w:tcBorders>
            <w:vAlign w:val="center"/>
          </w:tcPr>
          <w:p w14:paraId="19BC913D">
            <w:pPr>
              <w:rPr>
                <w:rFonts w:hint="eastAsia" w:cs="Times New Roman"/>
                <w:b/>
                <w:bCs w:val="0"/>
                <w:szCs w:val="21"/>
                <w:highlight w:val="none"/>
                <w:lang w:val="en-US" w:eastAsia="zh-CN"/>
              </w:rPr>
            </w:pPr>
            <w:r>
              <w:rPr>
                <w:rFonts w:hint="eastAsia" w:cs="Times New Roman"/>
                <w:b/>
                <w:bCs w:val="0"/>
                <w:szCs w:val="21"/>
                <w:highlight w:val="none"/>
                <w:lang w:val="en-US" w:eastAsia="zh-CN"/>
              </w:rPr>
              <w:t>1.每个分标不属于“实质性要求”的条款允许负偏离的最高项数：</w:t>
            </w:r>
          </w:p>
          <w:p w14:paraId="7179572D">
            <w:pPr>
              <w:rPr>
                <w:rFonts w:hint="eastAsia" w:ascii="宋体" w:hAnsi="宋体" w:eastAsia="宋体" w:cs="Times New Roman"/>
                <w:b/>
                <w:bCs w:val="0"/>
                <w:szCs w:val="21"/>
                <w:highlight w:val="none"/>
                <w:lang w:val="en-US" w:eastAsia="zh-CN"/>
              </w:rPr>
            </w:pPr>
            <w:r>
              <w:rPr>
                <w:rFonts w:hint="eastAsia" w:ascii="宋体" w:hAnsi="宋体" w:eastAsia="宋体" w:cs="Times New Roman"/>
                <w:b/>
                <w:bCs w:val="0"/>
                <w:szCs w:val="21"/>
                <w:highlight w:val="none"/>
                <w:lang w:val="en-US" w:eastAsia="zh-CN"/>
              </w:rPr>
              <w:t>（1）项目要求及技术需求</w:t>
            </w:r>
            <w:r>
              <w:rPr>
                <w:rFonts w:hint="eastAsia" w:ascii="宋体" w:hAnsi="宋体" w:eastAsia="宋体" w:cs="宋体"/>
                <w:b/>
                <w:bCs w:val="0"/>
                <w:color w:val="auto"/>
                <w:sz w:val="21"/>
                <w:szCs w:val="21"/>
              </w:rPr>
              <w:t>评审中允许负偏离的条款数为：</w:t>
            </w:r>
            <w:r>
              <w:rPr>
                <w:rFonts w:hint="eastAsia" w:ascii="宋体" w:hAnsi="宋体" w:eastAsia="宋体" w:cs="宋体"/>
                <w:b/>
                <w:bCs w:val="0"/>
                <w:color w:val="auto"/>
                <w:sz w:val="21"/>
                <w:szCs w:val="21"/>
                <w:u w:val="single"/>
              </w:rPr>
              <w:t xml:space="preserve"> </w:t>
            </w:r>
            <w:r>
              <w:rPr>
                <w:rFonts w:hint="eastAsia" w:ascii="宋体" w:hAnsi="宋体" w:eastAsia="宋体" w:cs="宋体"/>
                <w:b/>
                <w:bCs w:val="0"/>
                <w:color w:val="auto"/>
                <w:sz w:val="21"/>
                <w:szCs w:val="21"/>
                <w:u w:val="single"/>
                <w:lang w:val="en-US" w:eastAsia="zh-CN"/>
              </w:rPr>
              <w:t>2</w:t>
            </w:r>
            <w:r>
              <w:rPr>
                <w:rFonts w:hint="eastAsia" w:ascii="宋体" w:hAnsi="宋体" w:eastAsia="宋体" w:cs="宋体"/>
                <w:b/>
                <w:bCs w:val="0"/>
                <w:color w:val="auto"/>
                <w:sz w:val="21"/>
                <w:szCs w:val="21"/>
                <w:u w:val="single"/>
              </w:rPr>
              <w:t xml:space="preserve"> </w:t>
            </w:r>
            <w:r>
              <w:rPr>
                <w:rFonts w:hint="eastAsia" w:ascii="宋体" w:hAnsi="宋体" w:eastAsia="宋体" w:cs="宋体"/>
                <w:b/>
                <w:bCs w:val="0"/>
                <w:color w:val="auto"/>
                <w:sz w:val="21"/>
                <w:szCs w:val="21"/>
              </w:rPr>
              <w:t>项。</w:t>
            </w:r>
          </w:p>
          <w:p w14:paraId="616C42D6">
            <w:pPr>
              <w:snapToGrid w:val="0"/>
              <w:spacing w:line="360" w:lineRule="auto"/>
              <w:rPr>
                <w:rFonts w:hint="eastAsia" w:ascii="宋体" w:hAnsi="宋体" w:eastAsia="宋体" w:cs="宋体"/>
                <w:b/>
                <w:bCs w:val="0"/>
                <w:color w:val="auto"/>
                <w:sz w:val="21"/>
                <w:szCs w:val="21"/>
              </w:rPr>
            </w:pPr>
            <w:r>
              <w:rPr>
                <w:rFonts w:hint="eastAsia" w:ascii="宋体" w:hAnsi="宋体" w:eastAsia="宋体" w:cs="Times New Roman"/>
                <w:b/>
                <w:bCs w:val="0"/>
                <w:szCs w:val="21"/>
                <w:highlight w:val="none"/>
                <w:lang w:val="en-US" w:eastAsia="zh-CN"/>
              </w:rPr>
              <w:t>（2）</w:t>
            </w:r>
            <w:r>
              <w:rPr>
                <w:rFonts w:hint="eastAsia" w:ascii="宋体" w:hAnsi="宋体" w:eastAsia="宋体" w:cs="宋体"/>
                <w:b/>
                <w:bCs w:val="0"/>
                <w:color w:val="auto"/>
                <w:sz w:val="21"/>
                <w:szCs w:val="21"/>
              </w:rPr>
              <w:t>商务</w:t>
            </w:r>
            <w:r>
              <w:rPr>
                <w:rFonts w:hint="eastAsia" w:ascii="宋体" w:hAnsi="宋体" w:eastAsia="宋体" w:cs="宋体"/>
                <w:b/>
                <w:bCs w:val="0"/>
                <w:color w:val="auto"/>
                <w:sz w:val="21"/>
                <w:szCs w:val="21"/>
                <w:lang w:val="en-US" w:eastAsia="zh-CN"/>
              </w:rPr>
              <w:t>条款</w:t>
            </w:r>
            <w:r>
              <w:rPr>
                <w:rFonts w:hint="eastAsia" w:ascii="宋体" w:hAnsi="宋体" w:eastAsia="宋体" w:cs="宋体"/>
                <w:b/>
                <w:bCs w:val="0"/>
                <w:color w:val="auto"/>
                <w:sz w:val="21"/>
                <w:szCs w:val="21"/>
              </w:rPr>
              <w:t>评审中允许负偏离的条款数为</w:t>
            </w:r>
            <w:r>
              <w:rPr>
                <w:rFonts w:hint="eastAsia" w:ascii="宋体" w:hAnsi="宋体" w:eastAsia="宋体" w:cs="宋体"/>
                <w:b/>
                <w:bCs w:val="0"/>
                <w:color w:val="auto"/>
                <w:sz w:val="21"/>
                <w:szCs w:val="21"/>
                <w:u w:val="single"/>
              </w:rPr>
              <w:t xml:space="preserve"> 0 </w:t>
            </w:r>
            <w:r>
              <w:rPr>
                <w:rFonts w:hint="eastAsia" w:ascii="宋体" w:hAnsi="宋体" w:eastAsia="宋体" w:cs="宋体"/>
                <w:b/>
                <w:bCs w:val="0"/>
                <w:color w:val="auto"/>
                <w:sz w:val="21"/>
                <w:szCs w:val="21"/>
              </w:rPr>
              <w:t>项。</w:t>
            </w:r>
          </w:p>
          <w:p w14:paraId="77F5143B">
            <w:r>
              <w:rPr>
                <w:rFonts w:hint="eastAsia" w:cs="Times New Roman"/>
                <w:b/>
                <w:bCs w:val="0"/>
                <w:szCs w:val="21"/>
                <w:highlight w:val="none"/>
                <w:lang w:val="en-US" w:eastAsia="zh-CN"/>
              </w:rPr>
              <w:t>2.</w:t>
            </w:r>
            <w:r>
              <w:rPr>
                <w:rFonts w:hint="eastAsia" w:ascii="宋体" w:hAnsi="宋体" w:eastAsia="宋体" w:cs="Times New Roman"/>
                <w:b/>
                <w:bCs w:val="0"/>
                <w:szCs w:val="21"/>
                <w:highlight w:val="none"/>
                <w:lang w:val="en-US" w:eastAsia="zh-CN"/>
              </w:rPr>
              <w:t>本项目分为五个分标，供应商须以分标为单位进行</w:t>
            </w:r>
            <w:r>
              <w:rPr>
                <w:rFonts w:hint="eastAsia" w:cs="Times New Roman"/>
                <w:b/>
                <w:bCs w:val="0"/>
                <w:szCs w:val="21"/>
                <w:highlight w:val="none"/>
                <w:lang w:val="en-US" w:eastAsia="zh-CN"/>
              </w:rPr>
              <w:t>投</w:t>
            </w:r>
            <w:r>
              <w:rPr>
                <w:rFonts w:hint="eastAsia" w:ascii="宋体" w:hAnsi="宋体" w:eastAsia="宋体" w:cs="Times New Roman"/>
                <w:b/>
                <w:bCs w:val="0"/>
                <w:szCs w:val="21"/>
                <w:highlight w:val="none"/>
                <w:lang w:val="en-US" w:eastAsia="zh-CN"/>
              </w:rPr>
              <w:t>标，可选择任意分标或全部分标参与</w:t>
            </w:r>
            <w:r>
              <w:rPr>
                <w:rFonts w:hint="eastAsia" w:cs="Times New Roman"/>
                <w:b/>
                <w:bCs w:val="0"/>
                <w:szCs w:val="21"/>
                <w:highlight w:val="none"/>
                <w:lang w:val="en-US" w:eastAsia="zh-CN"/>
              </w:rPr>
              <w:t>投</w:t>
            </w:r>
            <w:r>
              <w:rPr>
                <w:rFonts w:hint="eastAsia" w:ascii="宋体" w:hAnsi="宋体" w:eastAsia="宋体" w:cs="Times New Roman"/>
                <w:b/>
                <w:bCs w:val="0"/>
                <w:szCs w:val="21"/>
                <w:highlight w:val="none"/>
                <w:lang w:val="en-US" w:eastAsia="zh-CN"/>
              </w:rPr>
              <w:t>标，</w:t>
            </w:r>
            <w:r>
              <w:rPr>
                <w:rFonts w:hint="eastAsia" w:cs="Times New Roman"/>
                <w:b/>
                <w:bCs w:val="0"/>
                <w:szCs w:val="21"/>
                <w:highlight w:val="none"/>
                <w:lang w:val="en-US" w:eastAsia="zh-CN"/>
              </w:rPr>
              <w:t>但</w:t>
            </w:r>
            <w:r>
              <w:rPr>
                <w:rFonts w:hint="eastAsia" w:ascii="宋体" w:hAnsi="宋体" w:eastAsia="宋体" w:cs="Times New Roman"/>
                <w:b/>
                <w:bCs w:val="0"/>
                <w:szCs w:val="21"/>
                <w:highlight w:val="none"/>
                <w:lang w:val="en-US" w:eastAsia="zh-CN"/>
              </w:rPr>
              <w:t>同一供应商最多允许</w:t>
            </w:r>
            <w:r>
              <w:rPr>
                <w:rFonts w:hint="eastAsia" w:cs="Times New Roman"/>
                <w:b/>
                <w:bCs w:val="0"/>
                <w:szCs w:val="21"/>
                <w:highlight w:val="none"/>
                <w:lang w:val="en-US" w:eastAsia="zh-CN"/>
              </w:rPr>
              <w:t>中标一</w:t>
            </w:r>
            <w:r>
              <w:rPr>
                <w:rFonts w:hint="eastAsia" w:ascii="宋体" w:hAnsi="宋体" w:eastAsia="宋体" w:cs="Times New Roman"/>
                <w:b/>
                <w:bCs w:val="0"/>
                <w:szCs w:val="21"/>
                <w:highlight w:val="none"/>
                <w:lang w:val="en-US" w:eastAsia="zh-CN"/>
              </w:rPr>
              <w:t>个分标</w:t>
            </w:r>
            <w:r>
              <w:rPr>
                <w:rFonts w:hint="eastAsia" w:ascii="宋体" w:hAnsi="宋体" w:eastAsia="宋体" w:cs="宋体"/>
                <w:b/>
                <w:bCs w:val="0"/>
                <w:szCs w:val="21"/>
                <w:lang w:val="zh-CN"/>
              </w:rPr>
              <w:t>。</w:t>
            </w:r>
            <w:r>
              <w:rPr>
                <w:rFonts w:hint="eastAsia" w:cs="宋体"/>
                <w:b/>
                <w:bCs w:val="0"/>
                <w:szCs w:val="21"/>
                <w:lang w:val="en-US" w:eastAsia="zh-CN"/>
              </w:rPr>
              <w:t>本项目</w:t>
            </w:r>
            <w:r>
              <w:rPr>
                <w:rFonts w:hint="eastAsia" w:ascii="宋体" w:hAnsi="宋体" w:eastAsia="宋体" w:cs="Times New Roman"/>
                <w:b/>
                <w:bCs w:val="0"/>
                <w:szCs w:val="21"/>
                <w:highlight w:val="none"/>
                <w:lang w:val="en-US" w:eastAsia="zh-CN"/>
              </w:rPr>
              <w:t>按</w:t>
            </w:r>
            <w:r>
              <w:rPr>
                <w:rFonts w:hint="eastAsia" w:cs="Times New Roman"/>
                <w:b/>
                <w:bCs w:val="0"/>
                <w:szCs w:val="21"/>
                <w:highlight w:val="none"/>
                <w:lang w:val="en-US" w:eastAsia="zh-CN"/>
              </w:rPr>
              <w:t>分标</w:t>
            </w:r>
            <w:r>
              <w:rPr>
                <w:rFonts w:hint="eastAsia" w:ascii="宋体" w:hAnsi="宋体" w:eastAsia="宋体" w:cs="Times New Roman"/>
                <w:b/>
                <w:bCs w:val="0"/>
                <w:szCs w:val="21"/>
                <w:highlight w:val="none"/>
                <w:lang w:val="en-US" w:eastAsia="zh-CN"/>
              </w:rPr>
              <w:t>1→</w:t>
            </w:r>
            <w:r>
              <w:rPr>
                <w:rFonts w:hint="eastAsia" w:cs="Times New Roman"/>
                <w:b/>
                <w:bCs w:val="0"/>
                <w:szCs w:val="21"/>
                <w:highlight w:val="none"/>
                <w:lang w:val="en-US" w:eastAsia="zh-CN"/>
              </w:rPr>
              <w:t>分标</w:t>
            </w:r>
            <w:r>
              <w:rPr>
                <w:rFonts w:hint="eastAsia" w:ascii="宋体" w:hAnsi="宋体" w:eastAsia="宋体" w:cs="Times New Roman"/>
                <w:b/>
                <w:bCs w:val="0"/>
                <w:szCs w:val="21"/>
                <w:highlight w:val="none"/>
                <w:lang w:val="en-US" w:eastAsia="zh-CN"/>
              </w:rPr>
              <w:t>2→</w:t>
            </w:r>
            <w:r>
              <w:rPr>
                <w:rFonts w:hint="eastAsia" w:cs="Times New Roman"/>
                <w:b/>
                <w:bCs w:val="0"/>
                <w:szCs w:val="21"/>
                <w:highlight w:val="none"/>
                <w:lang w:val="en-US" w:eastAsia="zh-CN"/>
              </w:rPr>
              <w:t>分标</w:t>
            </w:r>
            <w:r>
              <w:rPr>
                <w:rFonts w:hint="eastAsia" w:ascii="宋体" w:hAnsi="宋体" w:eastAsia="宋体" w:cs="Times New Roman"/>
                <w:b/>
                <w:bCs w:val="0"/>
                <w:szCs w:val="21"/>
                <w:highlight w:val="none"/>
                <w:lang w:val="en-US" w:eastAsia="zh-CN"/>
              </w:rPr>
              <w:t>3→</w:t>
            </w:r>
            <w:r>
              <w:rPr>
                <w:rFonts w:hint="eastAsia" w:cs="Times New Roman"/>
                <w:b/>
                <w:bCs w:val="0"/>
                <w:szCs w:val="21"/>
                <w:highlight w:val="none"/>
                <w:lang w:val="en-US" w:eastAsia="zh-CN"/>
              </w:rPr>
              <w:t>分标</w:t>
            </w:r>
            <w:r>
              <w:rPr>
                <w:rFonts w:hint="eastAsia" w:ascii="宋体" w:hAnsi="宋体" w:eastAsia="宋体" w:cs="Times New Roman"/>
                <w:b/>
                <w:bCs w:val="0"/>
                <w:szCs w:val="21"/>
                <w:highlight w:val="none"/>
                <w:lang w:val="en-US" w:eastAsia="zh-CN"/>
              </w:rPr>
              <w:t>4→</w:t>
            </w:r>
            <w:r>
              <w:rPr>
                <w:rFonts w:hint="eastAsia" w:cs="Times New Roman"/>
                <w:b/>
                <w:bCs w:val="0"/>
                <w:szCs w:val="21"/>
                <w:highlight w:val="none"/>
                <w:lang w:val="en-US" w:eastAsia="zh-CN"/>
              </w:rPr>
              <w:t>分标</w:t>
            </w:r>
            <w:r>
              <w:rPr>
                <w:rFonts w:hint="eastAsia" w:ascii="宋体" w:hAnsi="宋体" w:eastAsia="宋体" w:cs="Times New Roman"/>
                <w:b/>
                <w:bCs w:val="0"/>
                <w:szCs w:val="21"/>
                <w:highlight w:val="none"/>
                <w:lang w:val="en-US" w:eastAsia="zh-CN"/>
              </w:rPr>
              <w:t>5顺序进行评审，并按综合得分由高到低排序</w:t>
            </w:r>
            <w:r>
              <w:rPr>
                <w:rFonts w:hint="eastAsia" w:cs="Times New Roman"/>
                <w:b/>
                <w:bCs w:val="0"/>
                <w:szCs w:val="21"/>
                <w:highlight w:val="none"/>
                <w:lang w:val="en-US" w:eastAsia="zh-CN"/>
              </w:rPr>
              <w:t>推荐中标</w:t>
            </w:r>
            <w:r>
              <w:rPr>
                <w:rFonts w:hint="eastAsia" w:ascii="宋体" w:hAnsi="宋体" w:eastAsia="宋体" w:cs="Times New Roman"/>
                <w:b/>
                <w:bCs w:val="0"/>
                <w:szCs w:val="21"/>
                <w:highlight w:val="none"/>
                <w:lang w:val="en-US" w:eastAsia="zh-CN"/>
              </w:rPr>
              <w:t>候选人。若某供应商已经按顺序被列为前面任意</w:t>
            </w:r>
            <w:r>
              <w:rPr>
                <w:rFonts w:hint="eastAsia" w:cs="Times New Roman"/>
                <w:b/>
                <w:bCs w:val="0"/>
                <w:szCs w:val="21"/>
                <w:highlight w:val="none"/>
                <w:lang w:val="en-US" w:eastAsia="zh-CN"/>
              </w:rPr>
              <w:t>一</w:t>
            </w:r>
            <w:r>
              <w:rPr>
                <w:rFonts w:hint="eastAsia" w:ascii="宋体" w:hAnsi="宋体" w:eastAsia="宋体" w:cs="Times New Roman"/>
                <w:b/>
                <w:bCs w:val="0"/>
                <w:szCs w:val="21"/>
                <w:highlight w:val="none"/>
                <w:lang w:val="en-US" w:eastAsia="zh-CN"/>
              </w:rPr>
              <w:t>个分标的第一</w:t>
            </w:r>
            <w:r>
              <w:rPr>
                <w:rFonts w:hint="eastAsia" w:cs="Times New Roman"/>
                <w:b/>
                <w:bCs w:val="0"/>
                <w:szCs w:val="21"/>
                <w:highlight w:val="none"/>
                <w:lang w:val="en-US" w:eastAsia="zh-CN"/>
              </w:rPr>
              <w:t>中标</w:t>
            </w:r>
            <w:r>
              <w:rPr>
                <w:rFonts w:hint="eastAsia" w:ascii="宋体" w:hAnsi="宋体" w:eastAsia="宋体" w:cs="Times New Roman"/>
                <w:b/>
                <w:bCs w:val="0"/>
                <w:szCs w:val="21"/>
                <w:highlight w:val="none"/>
                <w:lang w:val="en-US" w:eastAsia="zh-CN"/>
              </w:rPr>
              <w:t>候选人，仍可参与其他标段评审但不参与推荐</w:t>
            </w:r>
            <w:r>
              <w:rPr>
                <w:rFonts w:hint="eastAsia" w:cs="Times New Roman"/>
                <w:b/>
                <w:bCs w:val="0"/>
                <w:szCs w:val="21"/>
                <w:highlight w:val="none"/>
                <w:lang w:val="en-US" w:eastAsia="zh-CN"/>
              </w:rPr>
              <w:t>中标</w:t>
            </w:r>
            <w:r>
              <w:rPr>
                <w:rFonts w:hint="eastAsia" w:ascii="宋体" w:hAnsi="宋体" w:eastAsia="宋体" w:cs="Times New Roman"/>
                <w:b/>
                <w:bCs w:val="0"/>
                <w:szCs w:val="21"/>
                <w:highlight w:val="none"/>
                <w:lang w:val="en-US" w:eastAsia="zh-CN"/>
              </w:rPr>
              <w:t>候选人的排序。按分标顺序推荐</w:t>
            </w:r>
            <w:r>
              <w:rPr>
                <w:rFonts w:hint="eastAsia" w:cs="Times New Roman"/>
                <w:b/>
                <w:bCs w:val="0"/>
                <w:szCs w:val="21"/>
                <w:highlight w:val="none"/>
                <w:lang w:val="en-US" w:eastAsia="zh-CN"/>
              </w:rPr>
              <w:t>中标</w:t>
            </w:r>
            <w:r>
              <w:rPr>
                <w:rFonts w:hint="eastAsia" w:ascii="宋体" w:hAnsi="宋体" w:eastAsia="宋体" w:cs="Times New Roman"/>
                <w:b/>
                <w:bCs w:val="0"/>
                <w:szCs w:val="21"/>
                <w:highlight w:val="none"/>
                <w:lang w:val="en-US" w:eastAsia="zh-CN"/>
              </w:rPr>
              <w:t>候选人后，后续分标若进入详评的供应商均在前</w:t>
            </w:r>
            <w:r>
              <w:rPr>
                <w:rFonts w:hint="eastAsia" w:cs="Times New Roman"/>
                <w:b/>
                <w:bCs w:val="0"/>
                <w:szCs w:val="21"/>
                <w:highlight w:val="none"/>
                <w:lang w:val="en-US" w:eastAsia="zh-CN"/>
              </w:rPr>
              <w:t>面</w:t>
            </w:r>
            <w:r>
              <w:rPr>
                <w:rFonts w:hint="eastAsia" w:ascii="宋体" w:hAnsi="宋体" w:eastAsia="宋体" w:cs="Times New Roman"/>
                <w:b/>
                <w:bCs w:val="0"/>
                <w:szCs w:val="21"/>
                <w:highlight w:val="none"/>
                <w:lang w:val="en-US" w:eastAsia="zh-CN"/>
              </w:rPr>
              <w:t>分标中被推荐为第一</w:t>
            </w:r>
            <w:r>
              <w:rPr>
                <w:rFonts w:hint="eastAsia" w:cs="Times New Roman"/>
                <w:b/>
                <w:bCs w:val="0"/>
                <w:szCs w:val="21"/>
                <w:highlight w:val="none"/>
                <w:lang w:val="en-US" w:eastAsia="zh-CN"/>
              </w:rPr>
              <w:t>中标</w:t>
            </w:r>
            <w:r>
              <w:rPr>
                <w:rFonts w:hint="eastAsia" w:ascii="宋体" w:hAnsi="宋体" w:eastAsia="宋体" w:cs="Times New Roman"/>
                <w:b/>
                <w:bCs w:val="0"/>
                <w:szCs w:val="21"/>
                <w:highlight w:val="none"/>
                <w:lang w:val="en-US" w:eastAsia="zh-CN"/>
              </w:rPr>
              <w:t>候选人的，则该分标废标。</w:t>
            </w:r>
          </w:p>
        </w:tc>
      </w:tr>
      <w:bookmarkEnd w:id="23"/>
    </w:tbl>
    <w:p w14:paraId="4811F0E0"/>
    <w:p w14:paraId="758CB76A">
      <w:pPr>
        <w:sectPr>
          <w:headerReference r:id="rId11" w:type="first"/>
          <w:headerReference r:id="rId10" w:type="default"/>
          <w:pgSz w:w="11906" w:h="16838"/>
          <w:pgMar w:top="993" w:right="1133" w:bottom="1246" w:left="1418" w:header="851" w:footer="992" w:gutter="0"/>
          <w:pgBorders>
            <w:top w:val="none" w:sz="0" w:space="0"/>
            <w:left w:val="none" w:sz="0" w:space="0"/>
            <w:bottom w:val="none" w:sz="0" w:space="0"/>
            <w:right w:val="none" w:sz="0" w:space="0"/>
          </w:pgBorders>
          <w:cols w:space="720" w:num="1"/>
          <w:titlePg/>
          <w:docGrid w:linePitch="312" w:charSpace="0"/>
        </w:sectPr>
      </w:pPr>
    </w:p>
    <w:p w14:paraId="34E6F1CC">
      <w:pPr>
        <w:pStyle w:val="4"/>
        <w:jc w:val="center"/>
      </w:pPr>
      <w:bookmarkStart w:id="25" w:name="_Hlk88949215"/>
      <w:r>
        <w:rPr>
          <w:rFonts w:hint="eastAsia"/>
        </w:rPr>
        <w:t>供应商须知正文</w:t>
      </w:r>
    </w:p>
    <w:p w14:paraId="75D055E2">
      <w:pPr>
        <w:ind w:firstLine="422" w:firstLineChars="200"/>
        <w:rPr>
          <w:b/>
          <w:bCs/>
        </w:rPr>
      </w:pPr>
      <w:r>
        <w:rPr>
          <w:rFonts w:hint="eastAsia"/>
          <w:b/>
          <w:bCs/>
        </w:rPr>
        <w:t>1．总则</w:t>
      </w:r>
    </w:p>
    <w:p w14:paraId="591ED46D">
      <w:pPr>
        <w:ind w:firstLine="422" w:firstLineChars="200"/>
        <w:rPr>
          <w:b/>
          <w:bCs/>
        </w:rPr>
      </w:pPr>
      <w:bookmarkStart w:id="26" w:name="_Toc254970668"/>
      <w:bookmarkStart w:id="27" w:name="_Toc254970527"/>
      <w:r>
        <w:rPr>
          <w:rFonts w:hint="eastAsia"/>
          <w:b/>
          <w:bCs/>
        </w:rPr>
        <w:t>1.1适用范围</w:t>
      </w:r>
      <w:bookmarkEnd w:id="26"/>
      <w:bookmarkEnd w:id="27"/>
    </w:p>
    <w:p w14:paraId="3E889FBD">
      <w:pPr>
        <w:ind w:firstLine="420" w:firstLineChars="200"/>
      </w:pPr>
      <w:r>
        <w:rPr>
          <w:rFonts w:hint="eastAsia"/>
        </w:rPr>
        <w:t>本招标文件适用于供应商须知前附表所述项目的政府采购活动。</w:t>
      </w:r>
    </w:p>
    <w:p w14:paraId="1E62FFEE">
      <w:pPr>
        <w:ind w:firstLine="422" w:firstLineChars="200"/>
        <w:rPr>
          <w:b/>
          <w:bCs/>
        </w:rPr>
      </w:pPr>
      <w:bookmarkStart w:id="28" w:name="_Toc254970669"/>
      <w:bookmarkStart w:id="29" w:name="_Toc254970528"/>
      <w:r>
        <w:rPr>
          <w:rFonts w:hint="eastAsia"/>
          <w:b/>
          <w:bCs/>
        </w:rPr>
        <w:t>1.2定义</w:t>
      </w:r>
      <w:bookmarkEnd w:id="28"/>
      <w:bookmarkEnd w:id="29"/>
    </w:p>
    <w:p w14:paraId="5B41044A">
      <w:pPr>
        <w:ind w:firstLine="420" w:firstLineChars="200"/>
      </w:pPr>
      <w:r>
        <w:rPr>
          <w:rFonts w:hint="eastAsia"/>
        </w:rPr>
        <w:t>1.2.1“采购人”系指依法进行政府采购的国家机关、事业单位、团体组织。</w:t>
      </w:r>
    </w:p>
    <w:p w14:paraId="078FA15B">
      <w:pPr>
        <w:ind w:firstLine="420" w:firstLineChars="200"/>
      </w:pPr>
      <w:r>
        <w:rPr>
          <w:rFonts w:hint="eastAsia"/>
        </w:rPr>
        <w:t>1.2.2“供应商”系指响应招标、参加投标竞争的法人、其他组织或者自然人。</w:t>
      </w:r>
    </w:p>
    <w:p w14:paraId="19D63EFF">
      <w:pPr>
        <w:ind w:firstLine="420" w:firstLineChars="200"/>
      </w:pPr>
      <w:r>
        <w:rPr>
          <w:rFonts w:hint="eastAsia"/>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7897812A">
      <w:pPr>
        <w:ind w:firstLine="420" w:firstLineChars="200"/>
      </w:pPr>
      <w:r>
        <w:rPr>
          <w:rFonts w:hint="eastAsia"/>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18D36D94">
      <w:pPr>
        <w:ind w:firstLine="420" w:firstLineChars="200"/>
      </w:pPr>
      <w:r>
        <w:rPr>
          <w:rFonts w:hint="eastAsia"/>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 </w:t>
      </w:r>
    </w:p>
    <w:p w14:paraId="3F7F6B9B">
      <w:pPr>
        <w:ind w:firstLine="420" w:firstLineChars="200"/>
      </w:pPr>
      <w:r>
        <w:rPr>
          <w:rFonts w:hint="eastAsia"/>
        </w:rPr>
        <w:t>1.2.6本项目的技术商务要求重要性分为“▲”（如有）、“#”（如有）和一般无标识指标。▲代表实质性要求指标，</w:t>
      </w:r>
      <w:r>
        <w:rPr>
          <w:rFonts w:hint="eastAsia"/>
          <w:b/>
          <w:bCs/>
        </w:rPr>
        <w:t>不满足该指标项将导致投标被否决</w:t>
      </w:r>
      <w:r>
        <w:rPr>
          <w:rFonts w:hint="eastAsia"/>
        </w:rPr>
        <w:t>，#代表重要指标，无标识则表示一般指标项。</w:t>
      </w:r>
    </w:p>
    <w:p w14:paraId="7173A55D">
      <w:pPr>
        <w:ind w:firstLine="420" w:firstLineChars="200"/>
        <w:rPr>
          <w:rFonts w:hint="eastAsia"/>
        </w:rPr>
      </w:pPr>
      <w:r>
        <w:rPr>
          <w:rFonts w:hint="eastAsia"/>
          <w:lang w:val="en-US" w:eastAsia="zh-CN"/>
        </w:rPr>
        <w:t>1.2.7</w:t>
      </w:r>
      <w:r>
        <w:rPr>
          <w:rFonts w:hint="eastAsia"/>
        </w:rPr>
        <w:t>“正偏离”，是指投标文件对招标文件“采购需求”中有关条款作出的响应优于条款要求并有利于采购人的情形。</w:t>
      </w:r>
    </w:p>
    <w:p w14:paraId="1B9AA19E">
      <w:pPr>
        <w:ind w:firstLine="420" w:firstLineChars="200"/>
        <w:rPr>
          <w:rFonts w:hint="eastAsia"/>
        </w:rPr>
      </w:pPr>
      <w:r>
        <w:rPr>
          <w:rFonts w:hint="eastAsia"/>
          <w:lang w:val="en-US" w:eastAsia="zh-CN"/>
        </w:rPr>
        <w:t>1.2.8</w:t>
      </w:r>
      <w:r>
        <w:rPr>
          <w:rFonts w:hint="eastAsia"/>
        </w:rPr>
        <w:t>“负偏离”，是指投标文件对招标文件“采购需求”中有关条款作出的响应不满足条款要求，导致采购人要求不能得到满足的情形。</w:t>
      </w:r>
    </w:p>
    <w:p w14:paraId="0CB6BA47">
      <w:pPr>
        <w:ind w:firstLine="420" w:firstLineChars="200"/>
        <w:rPr>
          <w:rFonts w:hint="eastAsia"/>
        </w:rPr>
      </w:pPr>
      <w:r>
        <w:rPr>
          <w:rFonts w:hint="eastAsia"/>
          <w:lang w:val="en-US" w:eastAsia="zh-CN"/>
        </w:rPr>
        <w:t>1.2.9</w:t>
      </w:r>
      <w:r>
        <w:rPr>
          <w:rFonts w:hint="eastAsia"/>
        </w:rPr>
        <w:t>“允许负偏离的条款”是指采购需求中的不属于“实质性要求”的条款。</w:t>
      </w:r>
    </w:p>
    <w:p w14:paraId="124C4CB8">
      <w:pPr>
        <w:ind w:firstLine="420" w:firstLineChars="200"/>
      </w:pPr>
      <w:r>
        <w:rPr>
          <w:rFonts w:hint="eastAsia"/>
        </w:rPr>
        <w:t>1.2.</w:t>
      </w:r>
      <w:r>
        <w:rPr>
          <w:rFonts w:hint="eastAsia"/>
          <w:lang w:val="en-US" w:eastAsia="zh-CN"/>
        </w:rPr>
        <w:t>10</w:t>
      </w:r>
      <w:r>
        <w:rPr>
          <w:rFonts w:hint="eastAsia"/>
        </w:rPr>
        <w:t xml:space="preserve"> 本招标文件出现多种选项的条款，以“</w:t>
      </w:r>
      <w:r>
        <w:rPr>
          <w:rFonts w:hint="eastAsia"/>
        </w:rPr>
        <w:sym w:font="Wingdings 2" w:char="F052"/>
      </w:r>
      <w:r>
        <w:rPr>
          <w:rFonts w:hint="eastAsia"/>
        </w:rPr>
        <w:t>”表示本条款所选择的方式。</w:t>
      </w:r>
    </w:p>
    <w:p w14:paraId="3E74AB08">
      <w:pPr>
        <w:ind w:firstLine="420" w:firstLineChars="200"/>
      </w:pPr>
      <w:r>
        <w:rPr>
          <w:rFonts w:hint="eastAsia"/>
        </w:rPr>
        <w:t>1.2.</w:t>
      </w:r>
      <w:r>
        <w:rPr>
          <w:rFonts w:hint="eastAsia"/>
          <w:lang w:val="en-US" w:eastAsia="zh-CN"/>
        </w:rPr>
        <w:t>11</w:t>
      </w:r>
      <w:r>
        <w:rPr>
          <w:rFonts w:hint="eastAsia"/>
        </w:rPr>
        <w:t xml:space="preserve"> “电子交易平台”是指以数据电文形式在线完成采购活动的信息平台，本招标文件中也称“</w:t>
      </w:r>
      <w:r>
        <w:rPr>
          <w:rFonts w:hint="eastAsia"/>
          <w:lang w:eastAsia="zh-CN"/>
        </w:rPr>
        <w:t>广西政府采购云平台</w:t>
      </w:r>
      <w:r>
        <w:rPr>
          <w:rFonts w:hint="eastAsia"/>
        </w:rPr>
        <w:t>”。</w:t>
      </w:r>
    </w:p>
    <w:p w14:paraId="51C4B82A">
      <w:pPr>
        <w:ind w:firstLine="422" w:firstLineChars="200"/>
        <w:rPr>
          <w:b/>
          <w:bCs/>
        </w:rPr>
      </w:pPr>
      <w:r>
        <w:rPr>
          <w:rFonts w:hint="eastAsia"/>
          <w:b/>
          <w:bCs/>
        </w:rPr>
        <w:t>1.3项目信息</w:t>
      </w:r>
    </w:p>
    <w:p w14:paraId="41B5E3F2">
      <w:pPr>
        <w:ind w:firstLine="420" w:firstLineChars="200"/>
      </w:pPr>
      <w:r>
        <w:rPr>
          <w:rFonts w:hint="eastAsia"/>
        </w:rPr>
        <w:t>1.3.1项目名称及编号：详见供应商须知前附表</w:t>
      </w:r>
    </w:p>
    <w:p w14:paraId="6CE0EB2A">
      <w:pPr>
        <w:ind w:firstLine="420" w:firstLineChars="200"/>
      </w:pPr>
      <w:r>
        <w:rPr>
          <w:rFonts w:hint="eastAsia"/>
        </w:rPr>
        <w:t>1.3.2采购方式：详见供应商须知前附表</w:t>
      </w:r>
    </w:p>
    <w:p w14:paraId="3D34CAC5">
      <w:pPr>
        <w:ind w:firstLine="422" w:firstLineChars="200"/>
        <w:rPr>
          <w:b/>
          <w:bCs/>
        </w:rPr>
      </w:pPr>
      <w:r>
        <w:rPr>
          <w:rFonts w:hint="eastAsia"/>
          <w:b/>
          <w:bCs/>
        </w:rPr>
        <w:t>1.4供应商资格要求</w:t>
      </w:r>
    </w:p>
    <w:p w14:paraId="3B447E06">
      <w:pPr>
        <w:ind w:firstLine="420" w:firstLineChars="200"/>
      </w:pPr>
      <w:r>
        <w:rPr>
          <w:rFonts w:hint="eastAsia"/>
        </w:rPr>
        <w:t>1.4.1供应商资格要求：详见供应商须知前附表</w:t>
      </w:r>
    </w:p>
    <w:p w14:paraId="740010BC">
      <w:pPr>
        <w:ind w:firstLine="420" w:firstLineChars="200"/>
      </w:pPr>
      <w:r>
        <w:rPr>
          <w:rFonts w:hint="eastAsia"/>
        </w:rPr>
        <w:t>1.4.2按照招标公告的规定获得招标文件。</w:t>
      </w:r>
    </w:p>
    <w:p w14:paraId="46E1655F">
      <w:pPr>
        <w:ind w:firstLine="420" w:firstLineChars="200"/>
      </w:pPr>
      <w:r>
        <w:rPr>
          <w:rFonts w:hint="eastAsia"/>
        </w:rPr>
        <w:t>1.4.3本项目是否接受联合体投标，见“供应商须知前附表”规定。</w:t>
      </w:r>
    </w:p>
    <w:p w14:paraId="72915AEC">
      <w:pPr>
        <w:ind w:firstLine="420" w:firstLineChars="200"/>
      </w:pPr>
      <w:r>
        <w:rPr>
          <w:rFonts w:hint="eastAsia"/>
        </w:rPr>
        <w:t xml:space="preserve">如接受联合体投标，联合体投标要求如下： </w:t>
      </w:r>
    </w:p>
    <w:p w14:paraId="1E123831">
      <w:pPr>
        <w:ind w:firstLine="420" w:firstLineChars="200"/>
      </w:pPr>
      <w:r>
        <w:rPr>
          <w:rFonts w:hint="eastAsia"/>
        </w:rPr>
        <w:t>（1）供应商可以组成一个投标联合体，以一个供应商的身份共同参加投标。联合体投标的，须提供《联合体协议书》（格式后附）</w:t>
      </w:r>
    </w:p>
    <w:p w14:paraId="1DDDC71F">
      <w:pPr>
        <w:ind w:firstLine="420" w:firstLineChars="200"/>
      </w:pPr>
      <w:r>
        <w:rPr>
          <w:rFonts w:hint="eastAsia"/>
        </w:rPr>
        <w:t>（2）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1BABC773">
      <w:pPr>
        <w:ind w:firstLine="420" w:firstLineChars="200"/>
      </w:pPr>
      <w:r>
        <w:rPr>
          <w:rFonts w:hint="eastAsia"/>
        </w:rPr>
        <w:t>（3）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3B089DED">
      <w:pPr>
        <w:ind w:firstLine="420" w:firstLineChars="200"/>
      </w:pPr>
      <w:r>
        <w:rPr>
          <w:rFonts w:hint="eastAsia"/>
        </w:rPr>
        <w:t>（4）以联合体形式参加政府采购活动的，联合体各方不得再单独参加或者与其他供应商另外组成联合体参加同一合同项下的政府采购活动。</w:t>
      </w:r>
    </w:p>
    <w:p w14:paraId="5680CBDE">
      <w:pPr>
        <w:ind w:firstLine="420" w:firstLineChars="200"/>
      </w:pPr>
      <w:r>
        <w:rPr>
          <w:rFonts w:hint="eastAsia"/>
        </w:rPr>
        <w:t>（5）联合体中有同类资质的供应商按照联合体分工承担相同工作的，应当按照资质等级较低的供应商确定资质等级。</w:t>
      </w:r>
    </w:p>
    <w:p w14:paraId="521D2E16">
      <w:pPr>
        <w:ind w:firstLine="420" w:firstLineChars="200"/>
      </w:pPr>
      <w:r>
        <w:rPr>
          <w:rFonts w:hint="eastAsia"/>
        </w:rPr>
        <w:t>（6）联合体投标业绩、履约能力按照联合体各方其中较高的一方认定并计算（招标文件其他章节另有规定的除外）。</w:t>
      </w:r>
    </w:p>
    <w:p w14:paraId="6E279A13">
      <w:pPr>
        <w:ind w:firstLine="420" w:firstLineChars="200"/>
      </w:pPr>
      <w:r>
        <w:rPr>
          <w:rFonts w:hint="eastAsia"/>
        </w:rPr>
        <w:t>（7）供应商为联合体的，可以由联合体中的一方或者多方共同交纳投标保证金，其交纳的保证金对联合体各方均具有约束力。</w:t>
      </w:r>
    </w:p>
    <w:p w14:paraId="00781605">
      <w:pPr>
        <w:ind w:firstLine="420" w:firstLineChars="200"/>
      </w:pPr>
      <w:r>
        <w:rPr>
          <w:rFonts w:hint="eastAsia"/>
        </w:rPr>
        <w:t>（8）联合体各方均应按照招标文件的规定提交资格证明文件。</w:t>
      </w:r>
    </w:p>
    <w:p w14:paraId="1BCAE013">
      <w:pPr>
        <w:ind w:firstLine="422" w:firstLineChars="200"/>
        <w:rPr>
          <w:b/>
          <w:bCs/>
        </w:rPr>
      </w:pPr>
      <w:bookmarkStart w:id="30" w:name="_Toc254970531"/>
      <w:bookmarkStart w:id="31" w:name="_Toc254970672"/>
      <w:r>
        <w:rPr>
          <w:rFonts w:hint="eastAsia"/>
          <w:b/>
          <w:bCs/>
        </w:rPr>
        <w:t>1.5现场踏勘及投标费用</w:t>
      </w:r>
      <w:bookmarkEnd w:id="30"/>
      <w:bookmarkEnd w:id="31"/>
    </w:p>
    <w:p w14:paraId="4E8C7E4D">
      <w:pPr>
        <w:ind w:firstLine="420" w:firstLineChars="200"/>
      </w:pPr>
      <w:r>
        <w:rPr>
          <w:rFonts w:hint="eastAsia"/>
        </w:rPr>
        <w:t>1.5.1前附表如规定现场踏勘的，供应商应按规定时间地点参加踏勘。</w:t>
      </w:r>
    </w:p>
    <w:p w14:paraId="4895899A">
      <w:pPr>
        <w:ind w:firstLine="420" w:firstLineChars="200"/>
      </w:pPr>
      <w:r>
        <w:rPr>
          <w:rFonts w:hint="eastAsia"/>
        </w:rPr>
        <w:t>1.5.2供应商均应自行承担所有与投标有关的全部费用（招标文件有相关的规定除外）。</w:t>
      </w:r>
    </w:p>
    <w:p w14:paraId="408F6128">
      <w:pPr>
        <w:ind w:firstLine="422" w:firstLineChars="200"/>
        <w:rPr>
          <w:b/>
          <w:bCs/>
        </w:rPr>
      </w:pPr>
      <w:r>
        <w:rPr>
          <w:rFonts w:hint="eastAsia"/>
          <w:b/>
          <w:bCs/>
        </w:rPr>
        <w:t>1.6转包与分包</w:t>
      </w:r>
    </w:p>
    <w:p w14:paraId="271F9DC6">
      <w:pPr>
        <w:ind w:firstLine="420" w:firstLineChars="200"/>
      </w:pPr>
      <w:r>
        <w:rPr>
          <w:rFonts w:hint="eastAsia"/>
        </w:rPr>
        <w:t>1.6.1如招标文件其他地方无特别规定，本项目不允许转包。</w:t>
      </w:r>
    </w:p>
    <w:p w14:paraId="68D9DA33">
      <w:pPr>
        <w:ind w:firstLine="420" w:firstLineChars="200"/>
      </w:pPr>
      <w:r>
        <w:rPr>
          <w:rFonts w:hint="eastAsia"/>
        </w:rPr>
        <w:t>1.6.2本项目是否允许分包详见“供应商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0EE6463B">
      <w:pPr>
        <w:ind w:firstLine="422" w:firstLineChars="200"/>
        <w:rPr>
          <w:b/>
          <w:bCs/>
        </w:rPr>
      </w:pPr>
      <w:bookmarkStart w:id="32" w:name="_Toc254970532"/>
      <w:bookmarkStart w:id="33" w:name="_Toc254970673"/>
      <w:r>
        <w:rPr>
          <w:rFonts w:hint="eastAsia"/>
          <w:b/>
          <w:bCs/>
        </w:rPr>
        <w:t>1.7特别说明</w:t>
      </w:r>
      <w:bookmarkEnd w:id="32"/>
      <w:bookmarkEnd w:id="33"/>
    </w:p>
    <w:p w14:paraId="066CE724">
      <w:pPr>
        <w:ind w:firstLine="420" w:firstLineChars="200"/>
      </w:pPr>
      <w:r>
        <w:rPr>
          <w:rFonts w:hint="eastAsia"/>
        </w:rPr>
        <w:t>1.7.1 供应商应保证其提供的联系方式（电话、传真、电子邮件）有效，以保证往来函件（澄清、修改等）能及时通知供应商，并能及时反馈，否则采购人及代理机构不承担由此引起的一切后果。</w:t>
      </w:r>
    </w:p>
    <w:p w14:paraId="58698C43">
      <w:pPr>
        <w:ind w:firstLine="420" w:firstLineChars="200"/>
      </w:pPr>
      <w:r>
        <w:rPr>
          <w:rFonts w:hint="eastAsia"/>
        </w:rPr>
        <w:t>1.7.2供应商应仔细阅读招标文件的所有内容，按照招标文件的要求提交投标文件，并对所提供的全部资料的真实性承担法律责任。</w:t>
      </w:r>
    </w:p>
    <w:p w14:paraId="5AFAF2A6">
      <w:pPr>
        <w:ind w:firstLine="420" w:firstLineChars="200"/>
      </w:pPr>
      <w:r>
        <w:rPr>
          <w:rFonts w:hint="eastAsia"/>
        </w:rPr>
        <w:t xml:space="preserve">1.7.3供应商在投标活动中提供任何虚假材料，将报监管部门查处； </w:t>
      </w:r>
    </w:p>
    <w:p w14:paraId="3AE88332">
      <w:pPr>
        <w:ind w:firstLine="422" w:firstLineChars="200"/>
        <w:rPr>
          <w:b/>
          <w:bCs/>
        </w:rPr>
      </w:pPr>
      <w:bookmarkStart w:id="34" w:name="_Toc254970675"/>
      <w:bookmarkStart w:id="35" w:name="_Toc254970534"/>
      <w:r>
        <w:rPr>
          <w:rFonts w:hint="eastAsia"/>
          <w:b/>
          <w:bCs/>
        </w:rPr>
        <w:t>2．招标文件</w:t>
      </w:r>
      <w:bookmarkEnd w:id="34"/>
      <w:bookmarkEnd w:id="35"/>
    </w:p>
    <w:p w14:paraId="2066B7AD">
      <w:pPr>
        <w:ind w:firstLine="422" w:firstLineChars="200"/>
        <w:rPr>
          <w:b/>
          <w:bCs/>
        </w:rPr>
      </w:pPr>
      <w:r>
        <w:rPr>
          <w:rFonts w:hint="eastAsia"/>
          <w:b/>
          <w:bCs/>
        </w:rPr>
        <w:t>2.1招标文件的构成</w:t>
      </w:r>
    </w:p>
    <w:p w14:paraId="41DAA9A4">
      <w:pPr>
        <w:ind w:firstLine="420" w:firstLineChars="200"/>
      </w:pPr>
      <w:r>
        <w:rPr>
          <w:rFonts w:hint="eastAsia"/>
        </w:rPr>
        <w:t>第一章 招标公告</w:t>
      </w:r>
    </w:p>
    <w:p w14:paraId="6D3DB51E">
      <w:pPr>
        <w:ind w:firstLine="420" w:firstLineChars="200"/>
      </w:pPr>
      <w:r>
        <w:rPr>
          <w:rFonts w:hint="eastAsia"/>
        </w:rPr>
        <w:t>第二章 采购需求</w:t>
      </w:r>
    </w:p>
    <w:p w14:paraId="66EBACCF">
      <w:pPr>
        <w:ind w:firstLine="420" w:firstLineChars="200"/>
      </w:pPr>
      <w:r>
        <w:rPr>
          <w:rFonts w:hint="eastAsia"/>
        </w:rPr>
        <w:t>第三章 供应商须知</w:t>
      </w:r>
    </w:p>
    <w:p w14:paraId="264DC449">
      <w:pPr>
        <w:ind w:firstLine="420" w:firstLineChars="200"/>
      </w:pPr>
      <w:r>
        <w:rPr>
          <w:rFonts w:hint="eastAsia"/>
        </w:rPr>
        <w:t>第四章 评审方法及标准</w:t>
      </w:r>
    </w:p>
    <w:p w14:paraId="14D82B94">
      <w:pPr>
        <w:ind w:firstLine="420" w:firstLineChars="200"/>
      </w:pPr>
      <w:r>
        <w:rPr>
          <w:rFonts w:hint="eastAsia"/>
        </w:rPr>
        <w:t>第五章 合同主要条款格式</w:t>
      </w:r>
    </w:p>
    <w:p w14:paraId="7549937D">
      <w:pPr>
        <w:ind w:firstLine="420" w:firstLineChars="200"/>
      </w:pPr>
      <w:r>
        <w:rPr>
          <w:rFonts w:hint="eastAsia"/>
        </w:rPr>
        <w:t>第六章 投标文件格式</w:t>
      </w:r>
    </w:p>
    <w:p w14:paraId="7838D733">
      <w:pPr>
        <w:ind w:firstLine="422" w:firstLineChars="200"/>
        <w:rPr>
          <w:b/>
          <w:bCs/>
        </w:rPr>
      </w:pPr>
      <w:r>
        <w:rPr>
          <w:rFonts w:hint="eastAsia"/>
          <w:b/>
          <w:bCs/>
        </w:rPr>
        <w:t>2.2供应商的风险</w:t>
      </w:r>
    </w:p>
    <w:p w14:paraId="0BD20BB0">
      <w:pPr>
        <w:ind w:firstLine="420" w:firstLineChars="200"/>
      </w:pPr>
      <w:r>
        <w:rPr>
          <w:rFonts w:hint="eastAsia"/>
        </w:rPr>
        <w:t>供应商没有按照招标文件要求提供全部资料，或者供应商没有对招标文件在各方面作出实质性响应是供应商的风险，并可能导致其投标被否决。</w:t>
      </w:r>
    </w:p>
    <w:p w14:paraId="204D8A77">
      <w:pPr>
        <w:ind w:firstLine="422" w:firstLineChars="200"/>
        <w:rPr>
          <w:b/>
          <w:bCs/>
        </w:rPr>
      </w:pPr>
      <w:r>
        <w:rPr>
          <w:rFonts w:hint="eastAsia"/>
          <w:b/>
          <w:bCs/>
        </w:rPr>
        <w:t>2.3招标文件的澄清与修改</w:t>
      </w:r>
    </w:p>
    <w:p w14:paraId="65A1286D">
      <w:pPr>
        <w:ind w:firstLine="420" w:firstLineChars="200"/>
      </w:pPr>
      <w:r>
        <w:rPr>
          <w:rFonts w:hint="eastAsia"/>
        </w:rPr>
        <w:t>2.3.1任何已获得招标文件的潜在供应商，均可以书面形式要求采购代理机构作出书面解释、澄清。</w:t>
      </w:r>
    </w:p>
    <w:p w14:paraId="56033DF2">
      <w:pPr>
        <w:ind w:firstLine="420" w:firstLineChars="200"/>
      </w:pPr>
      <w:r>
        <w:rPr>
          <w:rFonts w:hint="eastAsia"/>
        </w:rPr>
        <w:t>2.3.2采购人、采购代理机构对已发出的招标文件进行必要澄清或者修改的，按供应商须知前附表规定发布。</w:t>
      </w:r>
    </w:p>
    <w:p w14:paraId="3E281B94">
      <w:pPr>
        <w:ind w:firstLine="420" w:firstLineChars="200"/>
      </w:pPr>
      <w:r>
        <w:rPr>
          <w:rFonts w:hint="eastAsia"/>
        </w:rPr>
        <w:t>2.3.3招标文件澄清、答复、修改、补充的内容为招标文件的组成部分。当招标文件与招标文件的答复、澄清、修改、补充通知就同一内容的表述不一致时，以最后发出的公告或书面文件为准。</w:t>
      </w:r>
    </w:p>
    <w:p w14:paraId="35D4F54E">
      <w:pPr>
        <w:ind w:firstLine="422" w:firstLineChars="200"/>
        <w:rPr>
          <w:b/>
          <w:bCs/>
        </w:rPr>
      </w:pPr>
      <w:bookmarkStart w:id="36" w:name="_Toc254970535"/>
      <w:bookmarkStart w:id="37" w:name="_Toc254970676"/>
      <w:r>
        <w:rPr>
          <w:rFonts w:hint="eastAsia"/>
          <w:b/>
          <w:bCs/>
        </w:rPr>
        <w:t>3．投标文件</w:t>
      </w:r>
      <w:bookmarkEnd w:id="36"/>
      <w:bookmarkEnd w:id="37"/>
    </w:p>
    <w:p w14:paraId="23B66B9B">
      <w:pPr>
        <w:ind w:firstLine="422" w:firstLineChars="200"/>
        <w:rPr>
          <w:b/>
          <w:bCs/>
        </w:rPr>
      </w:pPr>
      <w:bookmarkStart w:id="38" w:name="_Toc254970677"/>
      <w:bookmarkStart w:id="39" w:name="_Toc254970536"/>
      <w:r>
        <w:rPr>
          <w:rFonts w:hint="eastAsia"/>
          <w:b/>
          <w:bCs/>
        </w:rPr>
        <w:t>3.1投标文件的组成</w:t>
      </w:r>
      <w:bookmarkEnd w:id="38"/>
      <w:bookmarkEnd w:id="39"/>
    </w:p>
    <w:p w14:paraId="2EB71F90">
      <w:pPr>
        <w:ind w:firstLine="420" w:firstLineChars="200"/>
      </w:pPr>
      <w:r>
        <w:rPr>
          <w:rFonts w:hint="eastAsia"/>
        </w:rPr>
        <w:t>投标文件由第六章“投标文件格式”规定的内容和供应商所作的一切有效补充、修改和承诺等文件组成。</w:t>
      </w:r>
    </w:p>
    <w:p w14:paraId="1DBFAB44">
      <w:pPr>
        <w:ind w:firstLine="422" w:firstLineChars="200"/>
        <w:rPr>
          <w:b/>
          <w:bCs/>
        </w:rPr>
      </w:pPr>
      <w:bookmarkStart w:id="40" w:name="_Toc254970537"/>
      <w:bookmarkStart w:id="41" w:name="_Toc254970678"/>
      <w:r>
        <w:rPr>
          <w:rFonts w:hint="eastAsia"/>
          <w:b/>
          <w:bCs/>
        </w:rPr>
        <w:t>3.2投标文件的语言及计量</w:t>
      </w:r>
      <w:bookmarkEnd w:id="40"/>
      <w:bookmarkEnd w:id="41"/>
    </w:p>
    <w:p w14:paraId="147860DB">
      <w:pPr>
        <w:ind w:firstLine="420" w:firstLineChars="200"/>
      </w:pPr>
      <w:r>
        <w:rPr>
          <w:rFonts w:hint="eastAsia"/>
        </w:rPr>
        <w:t>3.2.1投标文件以及供应商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58D40401">
      <w:pPr>
        <w:ind w:firstLine="420" w:firstLineChars="200"/>
      </w:pPr>
      <w:r>
        <w:rPr>
          <w:rFonts w:hint="eastAsia"/>
        </w:rPr>
        <w:t>3.2.2计量单位招标文件已有明确规定的，投标使用招标文件规定的计量单位；招标文件没有规定的，应采用中华人民共和国法定计量单位。</w:t>
      </w:r>
    </w:p>
    <w:p w14:paraId="3357235F">
      <w:pPr>
        <w:ind w:firstLine="422" w:firstLineChars="200"/>
        <w:rPr>
          <w:b/>
          <w:bCs/>
        </w:rPr>
      </w:pPr>
      <w:bookmarkStart w:id="42" w:name="_Toc254970679"/>
      <w:bookmarkStart w:id="43" w:name="_Toc254970538"/>
      <w:r>
        <w:rPr>
          <w:rFonts w:hint="eastAsia"/>
          <w:b/>
          <w:bCs/>
        </w:rPr>
        <w:t>3.3投标报价</w:t>
      </w:r>
      <w:bookmarkEnd w:id="42"/>
      <w:bookmarkEnd w:id="43"/>
    </w:p>
    <w:p w14:paraId="7E135539">
      <w:pPr>
        <w:ind w:firstLine="420" w:firstLineChars="200"/>
      </w:pPr>
      <w:r>
        <w:rPr>
          <w:rFonts w:hint="eastAsia"/>
        </w:rPr>
        <w:t>3.3.1投标报价应按招标文件中相关附表格式填写。</w:t>
      </w:r>
    </w:p>
    <w:p w14:paraId="2F1B0803">
      <w:pPr>
        <w:ind w:firstLine="420" w:firstLineChars="200"/>
      </w:pPr>
      <w:r>
        <w:rPr>
          <w:rFonts w:hint="eastAsia"/>
        </w:rPr>
        <w:t>3.3.2投标文件只允许有一个报价，有选择的或有条件的报价将不予接受。</w:t>
      </w:r>
    </w:p>
    <w:p w14:paraId="422E3712">
      <w:pPr>
        <w:ind w:firstLine="420" w:firstLineChars="200"/>
      </w:pPr>
      <w:r>
        <w:rPr>
          <w:rFonts w:hint="eastAsia"/>
        </w:rPr>
        <w:t>3.3.3对于本文件中未列明，而供应商认为必需的费用也需列入投标报价。在合同实施时，采购人将不予支付中标人没有列入的项目费用，并认为此项目的费用已包括在投标报价中。</w:t>
      </w:r>
    </w:p>
    <w:p w14:paraId="3F904188">
      <w:pPr>
        <w:ind w:firstLine="420" w:firstLineChars="200"/>
      </w:pPr>
      <w:r>
        <w:rPr>
          <w:rFonts w:hint="eastAsia"/>
        </w:rPr>
        <w:t>3.3.4采购人不接受供应商给予的赠品、回扣或者与采购无关的其他商品、服务。</w:t>
      </w:r>
    </w:p>
    <w:p w14:paraId="0DA207F4">
      <w:pPr>
        <w:ind w:firstLine="422" w:firstLineChars="200"/>
        <w:rPr>
          <w:b/>
          <w:bCs/>
        </w:rPr>
      </w:pPr>
      <w:r>
        <w:rPr>
          <w:rFonts w:hint="eastAsia"/>
          <w:b/>
          <w:bCs/>
        </w:rPr>
        <w:t>3.4投标有效期</w:t>
      </w:r>
    </w:p>
    <w:p w14:paraId="1F49D669">
      <w:pPr>
        <w:ind w:firstLine="420" w:firstLineChars="200"/>
      </w:pPr>
      <w:r>
        <w:rPr>
          <w:rFonts w:hint="eastAsia"/>
        </w:rPr>
        <w:t>3.4.1如招标文件其他地方无特别规定，投标有效期则为投标截止之日起90天。在投标有效期内投标文件应保持有效。</w:t>
      </w:r>
      <w:r>
        <w:rPr>
          <w:rFonts w:hint="eastAsia"/>
          <w:b/>
          <w:bCs/>
        </w:rPr>
        <w:t>有效期不足的投标文件将被否决</w:t>
      </w:r>
      <w:r>
        <w:rPr>
          <w:rFonts w:hint="eastAsia"/>
        </w:rPr>
        <w:t>。</w:t>
      </w:r>
    </w:p>
    <w:p w14:paraId="6A4F4210">
      <w:pPr>
        <w:ind w:firstLine="420" w:firstLineChars="200"/>
      </w:pPr>
      <w:r>
        <w:rPr>
          <w:rFonts w:hint="eastAsia"/>
        </w:rPr>
        <w:t>3.4.2在特殊情况下，采购人可与供应商协商延长投标文件的有效期，这种要求和答复均以书面形式进行。</w:t>
      </w:r>
    </w:p>
    <w:p w14:paraId="3271F5B1">
      <w:pPr>
        <w:ind w:firstLine="420" w:firstLineChars="200"/>
      </w:pPr>
      <w:r>
        <w:rPr>
          <w:rFonts w:hint="eastAsia"/>
        </w:rPr>
        <w:t>3.4.3供应商同意延长的投标有效期的，如本项目要求提交保证金则应相应延长其投标保证金的有效期，但不得要求或被允许修改或撤销其投标文件；供应商拒绝延长的，其投标无效，但供应商有权收回其投标保证金。</w:t>
      </w:r>
    </w:p>
    <w:p w14:paraId="4B953EC6">
      <w:pPr>
        <w:ind w:firstLine="422" w:firstLineChars="200"/>
        <w:rPr>
          <w:b/>
          <w:bCs/>
        </w:rPr>
      </w:pPr>
      <w:bookmarkStart w:id="44" w:name="_Toc254970541"/>
      <w:bookmarkStart w:id="45" w:name="_Toc254970682"/>
      <w:r>
        <w:rPr>
          <w:rFonts w:hint="eastAsia"/>
          <w:b/>
          <w:bCs/>
        </w:rPr>
        <w:t>3.5投标保证金</w:t>
      </w:r>
      <w:bookmarkEnd w:id="44"/>
      <w:bookmarkEnd w:id="45"/>
    </w:p>
    <w:p w14:paraId="47CCB3C3">
      <w:pPr>
        <w:ind w:firstLine="420" w:firstLineChars="200"/>
      </w:pPr>
      <w:r>
        <w:rPr>
          <w:rFonts w:hint="eastAsia"/>
        </w:rPr>
        <w:t>3.5.1供应商须按须知前附表规定提交投标保证金，</w:t>
      </w:r>
      <w:r>
        <w:rPr>
          <w:rFonts w:hint="eastAsia"/>
          <w:b/>
          <w:bCs/>
        </w:rPr>
        <w:t>否则其投标将被否决。</w:t>
      </w:r>
      <w:r>
        <w:rPr>
          <w:rFonts w:hint="eastAsia"/>
        </w:rPr>
        <w:t>除招标文件规定不予退还保证金的情形外，代理机构在规定时间内退回供应商的投标保证金（供应商自行承担因未按供应商须知前附表要求交纳导致投标保证金无法及时退还的责任）。</w:t>
      </w:r>
    </w:p>
    <w:p w14:paraId="3F6D12BA">
      <w:pPr>
        <w:ind w:firstLine="420" w:firstLineChars="200"/>
      </w:pPr>
      <w:r>
        <w:rPr>
          <w:rFonts w:hint="eastAsia"/>
        </w:rPr>
        <w:t>3.5.2投标保证金币种应与投标报价币种相同。</w:t>
      </w:r>
    </w:p>
    <w:p w14:paraId="69E07018">
      <w:pPr>
        <w:ind w:firstLine="420" w:firstLineChars="200"/>
      </w:pPr>
      <w:r>
        <w:rPr>
          <w:rFonts w:hint="eastAsia"/>
        </w:rPr>
        <w:t>3.5.3未中标人的投标保证金在中标通知书发出后5个工作日内退还。中标人的投标保证金在合同签订后5个工作日内退还（办理退还手续时需要向采购代理机构提供两份合同复印件）。</w:t>
      </w:r>
    </w:p>
    <w:p w14:paraId="348338D7">
      <w:pPr>
        <w:ind w:firstLine="420" w:firstLineChars="200"/>
      </w:pPr>
      <w:r>
        <w:rPr>
          <w:rFonts w:hint="eastAsia"/>
        </w:rPr>
        <w:t>3.5.4供应商有下列情形之一的，投标保证金将不予退还：</w:t>
      </w:r>
    </w:p>
    <w:p w14:paraId="1161E714">
      <w:pPr>
        <w:ind w:firstLine="420" w:firstLineChars="200"/>
      </w:pPr>
      <w:r>
        <w:rPr>
          <w:rFonts w:hint="eastAsia"/>
        </w:rPr>
        <w:t>（1）供应商在投标有效期内撤销投标文件的；</w:t>
      </w:r>
    </w:p>
    <w:p w14:paraId="11290475">
      <w:pPr>
        <w:ind w:firstLine="420" w:firstLineChars="200"/>
      </w:pPr>
      <w:r>
        <w:rPr>
          <w:rFonts w:hint="eastAsia"/>
        </w:rPr>
        <w:t>（2）供应商在投标过程中弄虚作假，提供虚假材料的；</w:t>
      </w:r>
    </w:p>
    <w:p w14:paraId="2833C930">
      <w:pPr>
        <w:ind w:firstLine="420" w:firstLineChars="200"/>
      </w:pPr>
      <w:r>
        <w:rPr>
          <w:rFonts w:hint="eastAsia"/>
        </w:rPr>
        <w:t>（3）中标人无正当理由不与采购人签订合同的；</w:t>
      </w:r>
    </w:p>
    <w:p w14:paraId="69DC38EC">
      <w:pPr>
        <w:ind w:firstLine="420" w:firstLineChars="200"/>
      </w:pPr>
      <w:r>
        <w:rPr>
          <w:rFonts w:hint="eastAsia"/>
        </w:rPr>
        <w:t>（4）将中标项目转让给他人或者在投标文件中未说明且未经采购人同意，将中标项目分包给他人的；</w:t>
      </w:r>
    </w:p>
    <w:p w14:paraId="3B311154">
      <w:pPr>
        <w:ind w:firstLine="420" w:firstLineChars="200"/>
      </w:pPr>
      <w:r>
        <w:rPr>
          <w:rFonts w:hint="eastAsia"/>
        </w:rPr>
        <w:t>（5）拒绝履行合同义务的；</w:t>
      </w:r>
    </w:p>
    <w:p w14:paraId="74B7AF67">
      <w:pPr>
        <w:ind w:firstLine="420" w:firstLineChars="200"/>
      </w:pPr>
      <w:r>
        <w:rPr>
          <w:rFonts w:hint="eastAsia"/>
        </w:rPr>
        <w:t>（6）其他严重扰乱招投标程序的。</w:t>
      </w:r>
    </w:p>
    <w:p w14:paraId="0EDF2400">
      <w:pPr>
        <w:ind w:firstLine="422" w:firstLineChars="200"/>
        <w:rPr>
          <w:b/>
          <w:bCs/>
        </w:rPr>
      </w:pPr>
      <w:bookmarkStart w:id="46" w:name="_Toc254970542"/>
      <w:bookmarkStart w:id="47" w:name="_Toc254970683"/>
      <w:r>
        <w:rPr>
          <w:rFonts w:hint="eastAsia"/>
          <w:b/>
          <w:bCs/>
        </w:rPr>
        <w:t>3.6投标文件的</w:t>
      </w:r>
      <w:bookmarkEnd w:id="46"/>
      <w:bookmarkEnd w:id="47"/>
      <w:r>
        <w:rPr>
          <w:rFonts w:hint="eastAsia"/>
          <w:b/>
          <w:bCs/>
        </w:rPr>
        <w:t>编制要求</w:t>
      </w:r>
    </w:p>
    <w:p w14:paraId="02803F8B">
      <w:pPr>
        <w:ind w:firstLine="420" w:firstLineChars="200"/>
      </w:pPr>
      <w:r>
        <w:rPr>
          <w:rFonts w:hint="eastAsia"/>
        </w:rPr>
        <w:t>3.6.1供应商应先安装“政采云投标客户端” （请自行前往广西政府采购云平台进行下载），通过账号密码或CA登录客户端制作投标文件。</w:t>
      </w:r>
    </w:p>
    <w:p w14:paraId="172F2CB2">
      <w:pPr>
        <w:ind w:firstLine="420" w:firstLineChars="200"/>
      </w:pPr>
      <w:r>
        <w:rPr>
          <w:rFonts w:hint="eastAsia"/>
        </w:rPr>
        <w:t>3.6.2</w:t>
      </w:r>
      <w:r>
        <w:rPr>
          <w:rFonts w:hint="eastAsia"/>
          <w:bCs/>
          <w:color w:val="auto"/>
          <w:sz w:val="21"/>
          <w:lang w:val="en-US" w:eastAsia="zh-CN"/>
        </w:rPr>
        <w:t>供应商</w:t>
      </w:r>
      <w:r>
        <w:rPr>
          <w:rFonts w:hint="eastAsia" w:hAnsi="宋体"/>
          <w:bCs/>
          <w:color w:val="auto"/>
          <w:sz w:val="21"/>
        </w:rPr>
        <w:t>应按照本项目招标文件规定的格式和顺序和广西政府采购云平台的要求编制投标文件并加密。投标文件内容不完整、编排混乱导致投标文件被误读、漏读或者查找不到相关内容的，由此引发的后果由</w:t>
      </w:r>
      <w:r>
        <w:rPr>
          <w:rFonts w:hint="eastAsia"/>
          <w:bCs/>
          <w:color w:val="auto"/>
          <w:sz w:val="21"/>
          <w:lang w:val="en-US" w:eastAsia="zh-CN"/>
        </w:rPr>
        <w:t>供应商</w:t>
      </w:r>
      <w:r>
        <w:rPr>
          <w:rFonts w:hint="eastAsia" w:hAnsi="宋体"/>
          <w:bCs/>
          <w:color w:val="auto"/>
          <w:sz w:val="21"/>
        </w:rPr>
        <w:t>承担</w:t>
      </w:r>
      <w:r>
        <w:rPr>
          <w:rFonts w:hint="eastAsia"/>
        </w:rPr>
        <w:t>。</w:t>
      </w:r>
    </w:p>
    <w:p w14:paraId="627A8711">
      <w:pPr>
        <w:ind w:firstLine="420" w:firstLineChars="200"/>
      </w:pPr>
      <w:bookmarkStart w:id="48" w:name="_Hlk93046800"/>
      <w:r>
        <w:rPr>
          <w:rFonts w:hint="eastAsia"/>
        </w:rPr>
        <w:t>3.6.3投标文件按照招标文件第六章格式要求在规定位置进行签署、盖章。</w:t>
      </w:r>
      <w:r>
        <w:rPr>
          <w:rFonts w:hint="eastAsia"/>
          <w:lang w:eastAsia="zh-CN"/>
        </w:rPr>
        <w:t>供应商</w:t>
      </w:r>
      <w:r>
        <w:rPr>
          <w:rFonts w:hint="eastAsia"/>
        </w:rPr>
        <w:t>的投标文件未按照招标文件要求签署、盖章的，</w:t>
      </w:r>
      <w:r>
        <w:rPr>
          <w:rFonts w:hint="eastAsia"/>
          <w:b/>
          <w:bCs/>
        </w:rPr>
        <w:t>其投标无效。</w:t>
      </w:r>
      <w:r>
        <w:rPr>
          <w:rFonts w:hint="eastAsia"/>
        </w:rPr>
        <w:t>骑缝盖公章不视为在规定位置盖章。</w:t>
      </w:r>
    </w:p>
    <w:bookmarkEnd w:id="48"/>
    <w:p w14:paraId="4547CED6">
      <w:pPr>
        <w:ind w:firstLine="420" w:firstLineChars="200"/>
      </w:pPr>
      <w:r>
        <w:rPr>
          <w:rFonts w:hint="eastAsia"/>
        </w:rPr>
        <w:t>3.6.4为确保网上操作合法、有效和安全，供应商应当在投标截止时间前完成在广西政府采购云平台的身份认证，确保在电子投标过程中能够对相关数据电文进行加密和使用电子签名。</w:t>
      </w:r>
    </w:p>
    <w:p w14:paraId="31D348B4">
      <w:pPr>
        <w:ind w:firstLine="420" w:firstLineChars="200"/>
      </w:pPr>
      <w:r>
        <w:rPr>
          <w:rFonts w:hint="eastAsia"/>
        </w:rPr>
        <w:t>3.6.5投标文件中标注的供应商名称应与主体资格证明（如营业执照、事业单位法人证书、执业许可证、个体工商户营业执照、自然人身份证等）和公章/电子签章一致，</w:t>
      </w:r>
      <w:r>
        <w:rPr>
          <w:rFonts w:hint="eastAsia"/>
          <w:b/>
          <w:bCs/>
        </w:rPr>
        <w:t>否则作无效投标处理。</w:t>
      </w:r>
    </w:p>
    <w:p w14:paraId="31FE09B5">
      <w:pPr>
        <w:ind w:firstLine="422" w:firstLineChars="200"/>
        <w:rPr>
          <w:b/>
          <w:bCs/>
        </w:rPr>
      </w:pPr>
      <w:r>
        <w:rPr>
          <w:rFonts w:hint="eastAsia"/>
          <w:b/>
          <w:bCs/>
        </w:rPr>
        <w:t>3.7投标文件的递交、修改和撤回</w:t>
      </w:r>
    </w:p>
    <w:p w14:paraId="4F72D870">
      <w:pPr>
        <w:ind w:firstLine="420" w:firstLineChars="200"/>
      </w:pPr>
      <w:r>
        <w:rPr>
          <w:rFonts w:hint="eastAsia"/>
        </w:rPr>
        <w:t>3.7.1供应商必须在“供应商须知前附表”规定的投标文件开标时间和投标地点提交电子版投标文件。电子投标文件应在制作完成后，在投标截止时间前通过有效数字证书（CA认证锁）进行电子签章、加密，然后通过网络将加密的电子投标文件递交至广西政府采购云平台。</w:t>
      </w:r>
    </w:p>
    <w:p w14:paraId="03A93562">
      <w:pPr>
        <w:ind w:firstLine="420" w:firstLineChars="200"/>
      </w:pPr>
      <w:r>
        <w:rPr>
          <w:rFonts w:hint="eastAsia"/>
        </w:rPr>
        <w:t xml:space="preserve">3.7.2未在规定时间内提交或者未按照招标文件要求签章、加密的电子投标文件，广西政府采购云平台将拒收。 </w:t>
      </w:r>
    </w:p>
    <w:p w14:paraId="38375E67">
      <w:pPr>
        <w:ind w:firstLine="420" w:firstLineChars="200"/>
      </w:pPr>
      <w:bookmarkStart w:id="49" w:name="_Toc254970685"/>
      <w:bookmarkStart w:id="50" w:name="_Toc254970544"/>
      <w:r>
        <w:rPr>
          <w:rFonts w:hint="eastAsia"/>
        </w:rPr>
        <w:t>3.7.3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可登录广西政府采购云平台，依次进入“服务中心”中查看 “电子投标文件制作与投送教程”）</w:t>
      </w:r>
    </w:p>
    <w:p w14:paraId="6F7C3A09">
      <w:pPr>
        <w:ind w:firstLine="420" w:firstLineChars="200"/>
      </w:pPr>
      <w:r>
        <w:rPr>
          <w:rFonts w:hint="eastAsia"/>
        </w:rPr>
        <w:t>3.7.4广西政府采购云平台收到投标文件后向供应商发出确认回执通知。在投标截止时间前，除供应商补充、修改或者撤回投标文件外，任何单位和个人不得解密或提取投标文件。</w:t>
      </w:r>
    </w:p>
    <w:p w14:paraId="578A4F46">
      <w:pPr>
        <w:ind w:firstLine="420" w:firstLineChars="200"/>
      </w:pPr>
      <w:r>
        <w:rPr>
          <w:rFonts w:hint="eastAsia"/>
        </w:rPr>
        <w:t>3.7.5</w:t>
      </w:r>
      <w:r>
        <w:rPr>
          <w:rFonts w:hint="eastAsia" w:ascii="宋体" w:hAnsi="宋体" w:cs="宋体"/>
          <w:color w:val="auto"/>
          <w:szCs w:val="21"/>
        </w:rPr>
        <w:t>在投标截止时间后，采购人和采购代理机构对已提交的投标文件概不退回</w:t>
      </w:r>
      <w:r>
        <w:rPr>
          <w:rFonts w:hint="eastAsia"/>
        </w:rPr>
        <w:t>。</w:t>
      </w:r>
    </w:p>
    <w:p w14:paraId="16D656AA">
      <w:pPr>
        <w:ind w:firstLine="422" w:firstLineChars="200"/>
        <w:rPr>
          <w:b/>
          <w:bCs/>
        </w:rPr>
      </w:pPr>
      <w:r>
        <w:rPr>
          <w:rFonts w:hint="eastAsia"/>
          <w:b/>
          <w:bCs/>
        </w:rPr>
        <w:t>4．开标</w:t>
      </w:r>
      <w:bookmarkEnd w:id="49"/>
      <w:bookmarkEnd w:id="50"/>
    </w:p>
    <w:p w14:paraId="239072D4">
      <w:pPr>
        <w:ind w:firstLine="422" w:firstLineChars="200"/>
        <w:rPr>
          <w:b/>
          <w:bCs/>
        </w:rPr>
      </w:pPr>
      <w:r>
        <w:rPr>
          <w:rFonts w:hint="eastAsia"/>
          <w:b/>
          <w:bCs/>
        </w:rPr>
        <w:t>4.1开标准备</w:t>
      </w:r>
    </w:p>
    <w:p w14:paraId="64643493">
      <w:pPr>
        <w:ind w:firstLine="420" w:firstLineChars="200"/>
      </w:pPr>
      <w:r>
        <w:rPr>
          <w:rFonts w:hint="eastAsia"/>
        </w:rPr>
        <w:t>本项目投标截止时间及地点见“供应商须知前附表”规定。</w:t>
      </w:r>
    </w:p>
    <w:p w14:paraId="244469FD">
      <w:pPr>
        <w:ind w:firstLine="422" w:firstLineChars="200"/>
        <w:rPr>
          <w:b/>
          <w:bCs/>
        </w:rPr>
      </w:pPr>
      <w:r>
        <w:rPr>
          <w:rFonts w:hint="eastAsia"/>
          <w:b/>
          <w:bCs/>
        </w:rPr>
        <w:t>4.2开标程序</w:t>
      </w:r>
    </w:p>
    <w:p w14:paraId="5506A200">
      <w:pPr>
        <w:ind w:firstLine="420" w:firstLineChars="200"/>
      </w:pPr>
      <w:r>
        <w:rPr>
          <w:rFonts w:hint="eastAsia"/>
        </w:rPr>
        <w:t>4.2.1供应商登录</w:t>
      </w:r>
      <w:r>
        <w:rPr>
          <w:rFonts w:hint="eastAsia"/>
          <w:lang w:eastAsia="zh-CN"/>
        </w:rPr>
        <w:t>广西政府采购云平台</w:t>
      </w:r>
      <w:r>
        <w:rPr>
          <w:rFonts w:hint="eastAsia"/>
        </w:rPr>
        <w:t>进入开标大厅签到。提交投标文件截止时间止，</w:t>
      </w:r>
      <w:r>
        <w:rPr>
          <w:rFonts w:hint="eastAsia"/>
          <w:lang w:eastAsia="zh-CN"/>
        </w:rPr>
        <w:t>供应商</w:t>
      </w:r>
      <w:r>
        <w:rPr>
          <w:rFonts w:hint="eastAsia"/>
        </w:rPr>
        <w:t>不足3家的，不得开标</w:t>
      </w:r>
    </w:p>
    <w:p w14:paraId="2428BD71">
      <w:pPr>
        <w:ind w:firstLine="420" w:firstLineChars="200"/>
        <w:rPr>
          <w:rFonts w:hint="default" w:eastAsia="宋体"/>
          <w:lang w:val="en-US" w:eastAsia="zh-CN"/>
        </w:rPr>
      </w:pPr>
      <w:r>
        <w:rPr>
          <w:rFonts w:hint="eastAsia"/>
          <w:lang w:val="en-US" w:eastAsia="zh-CN"/>
        </w:rPr>
        <w:t>4.2.2</w:t>
      </w:r>
      <w:r>
        <w:rPr>
          <w:rFonts w:hint="eastAsia"/>
          <w:color w:val="auto"/>
        </w:rPr>
        <w:t>采购代理机构将按照招标文件规定的时间通过广西政府采购云平台组织线上开标活动，所有供应商均应当准时在线参加，</w:t>
      </w:r>
      <w:r>
        <w:rPr>
          <w:rFonts w:hint="eastAsia"/>
          <w:color w:val="auto"/>
          <w:lang w:val="en-US" w:eastAsia="zh-CN"/>
        </w:rPr>
        <w:t>供应商</w:t>
      </w:r>
      <w:r>
        <w:rPr>
          <w:rFonts w:hint="eastAsia"/>
          <w:color w:val="auto"/>
        </w:rPr>
        <w:t>因未在线参加开标而导致投标文件无法按时解密等一切后果由</w:t>
      </w:r>
      <w:r>
        <w:rPr>
          <w:rFonts w:hint="eastAsia"/>
          <w:color w:val="auto"/>
          <w:lang w:val="en-US" w:eastAsia="zh-CN"/>
        </w:rPr>
        <w:t>供应商</w:t>
      </w:r>
      <w:r>
        <w:rPr>
          <w:rFonts w:hint="eastAsia"/>
          <w:color w:val="auto"/>
        </w:rPr>
        <w:t>自己承担。</w:t>
      </w:r>
    </w:p>
    <w:p w14:paraId="79BF6CA5">
      <w:pPr>
        <w:ind w:firstLine="420" w:firstLineChars="200"/>
      </w:pPr>
      <w:r>
        <w:rPr>
          <w:rFonts w:hint="eastAsia"/>
        </w:rPr>
        <w:t>4.2.</w:t>
      </w:r>
      <w:r>
        <w:rPr>
          <w:rFonts w:hint="eastAsia"/>
          <w:lang w:val="en-US" w:eastAsia="zh-CN"/>
        </w:rPr>
        <w:t>3</w:t>
      </w:r>
      <w:r>
        <w:rPr>
          <w:rFonts w:hint="eastAsia"/>
          <w:color w:val="auto"/>
        </w:rPr>
        <w:t>解密电子投标文件。广西政府采购云平台按开标时间自动提取所有投标文件。采购代理机构依托广西政府采购云平台向各</w:t>
      </w:r>
      <w:r>
        <w:rPr>
          <w:rFonts w:hint="eastAsia"/>
          <w:color w:val="auto"/>
          <w:lang w:eastAsia="zh-CN"/>
        </w:rPr>
        <w:t>供应商</w:t>
      </w:r>
      <w:r>
        <w:rPr>
          <w:rFonts w:hint="eastAsia"/>
          <w:color w:val="auto"/>
        </w:rPr>
        <w:t>发出电子加密投标文件【开始解密】通知，由</w:t>
      </w:r>
      <w:r>
        <w:rPr>
          <w:rFonts w:hint="eastAsia"/>
          <w:color w:val="auto"/>
          <w:lang w:eastAsia="zh-CN"/>
        </w:rPr>
        <w:t>供应商</w:t>
      </w:r>
      <w:r>
        <w:rPr>
          <w:rFonts w:hint="eastAsia"/>
          <w:color w:val="auto"/>
        </w:rPr>
        <w:t>按</w:t>
      </w:r>
      <w:r>
        <w:rPr>
          <w:rFonts w:hint="eastAsia" w:hAnsi="宋体"/>
          <w:bCs/>
          <w:color w:val="auto"/>
          <w:szCs w:val="21"/>
        </w:rPr>
        <w:t>“</w:t>
      </w:r>
      <w:r>
        <w:rPr>
          <w:rFonts w:hint="eastAsia"/>
          <w:bCs/>
          <w:color w:val="auto"/>
          <w:szCs w:val="21"/>
          <w:lang w:eastAsia="zh-CN"/>
        </w:rPr>
        <w:t>供应商</w:t>
      </w:r>
      <w:r>
        <w:rPr>
          <w:rFonts w:hint="eastAsia" w:hAnsi="宋体"/>
          <w:bCs/>
          <w:color w:val="auto"/>
          <w:szCs w:val="21"/>
        </w:rPr>
        <w:t>须知前附表”</w:t>
      </w:r>
      <w:r>
        <w:rPr>
          <w:rFonts w:hint="eastAsia"/>
          <w:color w:val="auto"/>
        </w:rPr>
        <w:t>规定的时间内自行进行投标文件解密。</w:t>
      </w:r>
      <w:r>
        <w:rPr>
          <w:rFonts w:hint="eastAsia"/>
          <w:color w:val="auto"/>
          <w:lang w:eastAsia="zh-CN"/>
        </w:rPr>
        <w:t>供应商</w:t>
      </w:r>
      <w:r>
        <w:rPr>
          <w:rFonts w:hint="eastAsia"/>
          <w:color w:val="auto"/>
        </w:rPr>
        <w:t>的法定代表人或其委托代理人须凭加密时所用的</w:t>
      </w:r>
      <w:r>
        <w:rPr>
          <w:color w:val="auto"/>
        </w:rPr>
        <w:t>CA</w:t>
      </w:r>
      <w:r>
        <w:rPr>
          <w:rFonts w:hint="eastAsia"/>
          <w:color w:val="auto"/>
        </w:rPr>
        <w:t>锁准时登录到广西政府采购云平台电子开标大厅签到并对电子投标文件解密。</w:t>
      </w:r>
      <w:r>
        <w:rPr>
          <w:rFonts w:hint="eastAsia"/>
          <w:b/>
          <w:color w:val="auto"/>
          <w:lang w:eastAsia="zh-CN"/>
        </w:rPr>
        <w:t>供应商</w:t>
      </w:r>
      <w:r>
        <w:rPr>
          <w:rFonts w:hint="eastAsia"/>
          <w:b/>
          <w:color w:val="auto"/>
        </w:rPr>
        <w:t>未在规定的时间内解密投标文件或者解密失败的，</w:t>
      </w:r>
      <w:r>
        <w:rPr>
          <w:rFonts w:hint="eastAsia"/>
          <w:b/>
          <w:color w:val="auto"/>
          <w:szCs w:val="21"/>
          <w:lang w:eastAsia="zh-CN"/>
        </w:rPr>
        <w:t>供应商</w:t>
      </w:r>
      <w:r>
        <w:rPr>
          <w:rFonts w:hint="eastAsia" w:ascii="宋体" w:hAnsi="宋体"/>
          <w:b/>
          <w:color w:val="auto"/>
          <w:szCs w:val="21"/>
        </w:rPr>
        <w:t>的投标文件作无效处理</w:t>
      </w:r>
      <w:r>
        <w:rPr>
          <w:rFonts w:hint="eastAsia"/>
          <w:b/>
          <w:color w:val="auto"/>
        </w:rPr>
        <w:t>。</w:t>
      </w:r>
    </w:p>
    <w:p w14:paraId="6F6E7658">
      <w:pPr>
        <w:ind w:firstLine="420" w:firstLineChars="200"/>
      </w:pPr>
      <w:r>
        <w:rPr>
          <w:rFonts w:hint="eastAsia"/>
        </w:rPr>
        <w:t>4.2.</w:t>
      </w:r>
      <w:r>
        <w:rPr>
          <w:rFonts w:hint="eastAsia"/>
          <w:lang w:val="en-US" w:eastAsia="zh-CN"/>
        </w:rPr>
        <w:t>4</w:t>
      </w:r>
      <w:r>
        <w:rPr>
          <w:rFonts w:hint="eastAsia"/>
        </w:rPr>
        <w:t>电子备份投标文件是指通过在线编制生成且后缀名为“bfbs”的文件，是否接受电子备份投标文件详见“</w:t>
      </w:r>
      <w:r>
        <w:rPr>
          <w:rFonts w:hint="eastAsia"/>
          <w:lang w:eastAsia="zh-CN"/>
        </w:rPr>
        <w:t>供应商</w:t>
      </w:r>
      <w:r>
        <w:rPr>
          <w:rFonts w:hint="eastAsia"/>
        </w:rPr>
        <w:t>须知前附表”。</w:t>
      </w:r>
    </w:p>
    <w:p w14:paraId="0E81FA9E">
      <w:pPr>
        <w:ind w:firstLine="420" w:firstLineChars="200"/>
      </w:pPr>
      <w:r>
        <w:rPr>
          <w:rFonts w:hint="eastAsia"/>
        </w:rPr>
        <w:t>4.2.</w:t>
      </w:r>
      <w:r>
        <w:rPr>
          <w:rFonts w:hint="eastAsia"/>
          <w:lang w:val="en-US" w:eastAsia="zh-CN"/>
        </w:rPr>
        <w:t>5</w:t>
      </w:r>
      <w:r>
        <w:rPr>
          <w:rFonts w:hint="eastAsia"/>
        </w:rPr>
        <w:t>解密异常情况处理：详见本章10.2电子交易活动的中止。</w:t>
      </w:r>
    </w:p>
    <w:p w14:paraId="3C6583EA">
      <w:pPr>
        <w:ind w:firstLine="420" w:firstLineChars="200"/>
      </w:pPr>
      <w:r>
        <w:rPr>
          <w:rFonts w:hint="eastAsia"/>
        </w:rPr>
        <w:t>4.2.</w:t>
      </w:r>
      <w:r>
        <w:rPr>
          <w:rFonts w:hint="eastAsia"/>
          <w:lang w:val="en-US" w:eastAsia="zh-CN"/>
        </w:rPr>
        <w:t>6</w:t>
      </w:r>
      <w:r>
        <w:rPr>
          <w:rFonts w:hint="eastAsia"/>
        </w:rPr>
        <w:t>供应商对报价进行确认。</w:t>
      </w:r>
    </w:p>
    <w:p w14:paraId="605CA92D">
      <w:pPr>
        <w:ind w:firstLine="420" w:firstLineChars="200"/>
      </w:pPr>
      <w:r>
        <w:rPr>
          <w:rFonts w:hint="eastAsia"/>
        </w:rPr>
        <w:t>4.2.</w:t>
      </w:r>
      <w:r>
        <w:rPr>
          <w:rFonts w:hint="eastAsia"/>
          <w:lang w:val="en-US" w:eastAsia="zh-CN"/>
        </w:rPr>
        <w:t>7</w:t>
      </w:r>
      <w:r>
        <w:rPr>
          <w:rFonts w:hint="eastAsia"/>
        </w:rPr>
        <w:t>开标结束。</w:t>
      </w:r>
    </w:p>
    <w:p w14:paraId="46EED327">
      <w:pPr>
        <w:ind w:firstLine="422" w:firstLineChars="200"/>
      </w:pPr>
      <w:r>
        <w:rPr>
          <w:rFonts w:hint="eastAsia"/>
          <w:b/>
          <w:bCs/>
        </w:rPr>
        <w:t>特别说明：</w:t>
      </w:r>
      <w:r>
        <w:rPr>
          <w:rFonts w:hint="eastAsia"/>
        </w:rPr>
        <w:t>如遇</w:t>
      </w:r>
      <w:r>
        <w:rPr>
          <w:rFonts w:hint="eastAsia"/>
          <w:lang w:eastAsia="zh-CN"/>
        </w:rPr>
        <w:t>广西政府采购云平台</w:t>
      </w:r>
      <w:r>
        <w:rPr>
          <w:rFonts w:hint="eastAsia"/>
        </w:rPr>
        <w:t>电子化开标或评审程序调整的，按调整后的程序执行。</w:t>
      </w:r>
    </w:p>
    <w:p w14:paraId="44836D60">
      <w:pPr>
        <w:ind w:firstLine="422" w:firstLineChars="200"/>
        <w:rPr>
          <w:b/>
          <w:bCs/>
        </w:rPr>
      </w:pPr>
      <w:r>
        <w:rPr>
          <w:rFonts w:hint="eastAsia"/>
          <w:b/>
          <w:bCs/>
        </w:rPr>
        <w:t>4.3演示</w:t>
      </w:r>
    </w:p>
    <w:p w14:paraId="0535A56F">
      <w:pPr>
        <w:ind w:firstLine="420" w:firstLineChars="200"/>
      </w:pPr>
      <w:r>
        <w:rPr>
          <w:rFonts w:hint="eastAsia"/>
        </w:rPr>
        <w:t>4.3.1“供应商须知前附表”规定在开标会议结束后进行演示的，供应商应按规定进行演示。</w:t>
      </w:r>
    </w:p>
    <w:p w14:paraId="0950C9CA">
      <w:pPr>
        <w:ind w:firstLine="420" w:firstLineChars="200"/>
      </w:pPr>
      <w:r>
        <w:rPr>
          <w:rFonts w:hint="eastAsia"/>
        </w:rPr>
        <w:t>4.3.2未按规定时间进行演示可能引起的演示分数被计为0分或投标无效等后果由供应商自行承担。</w:t>
      </w:r>
    </w:p>
    <w:p w14:paraId="24B1FE52">
      <w:pPr>
        <w:ind w:firstLine="422" w:firstLineChars="200"/>
        <w:rPr>
          <w:b/>
          <w:bCs/>
        </w:rPr>
      </w:pPr>
      <w:r>
        <w:rPr>
          <w:rFonts w:hint="eastAsia"/>
          <w:b/>
          <w:bCs/>
        </w:rPr>
        <w:t>4.4样品</w:t>
      </w:r>
    </w:p>
    <w:p w14:paraId="793898E9">
      <w:pPr>
        <w:ind w:firstLine="420" w:firstLineChars="200"/>
      </w:pPr>
      <w:r>
        <w:rPr>
          <w:rFonts w:hint="eastAsia"/>
        </w:rPr>
        <w:t>4.4.1“供应商须知前附表”规定递交样品的，供应商应按前附表规定递交样品，递交样品时应附样品递交表。</w:t>
      </w:r>
    </w:p>
    <w:p w14:paraId="4026DCBF">
      <w:pPr>
        <w:ind w:firstLine="420" w:firstLineChars="200"/>
      </w:pPr>
      <w:r>
        <w:rPr>
          <w:rFonts w:hint="eastAsia"/>
        </w:rPr>
        <w:t>4.4.2未按规定时间递交样品可能引起的样品分数被计为0分或投标无效等后果由供应商自行承担。</w:t>
      </w:r>
    </w:p>
    <w:p w14:paraId="0A897CD0">
      <w:pPr>
        <w:ind w:firstLine="420" w:firstLineChars="200"/>
      </w:pPr>
      <w:bookmarkStart w:id="51" w:name="_Toc254970545"/>
      <w:bookmarkStart w:id="52" w:name="_Toc254970686"/>
      <w:r>
        <w:rPr>
          <w:rFonts w:hint="eastAsia"/>
        </w:rPr>
        <w:t>4.4.3样品封存或退还的说明请见第六章投标文件格式所附样品递交表。</w:t>
      </w:r>
    </w:p>
    <w:p w14:paraId="1B827834">
      <w:pPr>
        <w:ind w:firstLine="422" w:firstLineChars="200"/>
        <w:rPr>
          <w:b/>
          <w:bCs/>
        </w:rPr>
      </w:pPr>
      <w:bookmarkStart w:id="53" w:name="_Hlk93420947"/>
      <w:r>
        <w:rPr>
          <w:rFonts w:hint="eastAsia"/>
          <w:b/>
          <w:bCs/>
        </w:rPr>
        <w:t>5．资格审查</w:t>
      </w:r>
    </w:p>
    <w:p w14:paraId="4A018FFD">
      <w:pPr>
        <w:ind w:firstLine="420" w:firstLineChars="200"/>
      </w:pPr>
      <w:r>
        <w:rPr>
          <w:rFonts w:hint="eastAsia"/>
        </w:rPr>
        <w:t>5.1开标结束后，采购人或者采购代理机构通过电子交易平台对供应商的资格进行审查。资格审查是根据法律法规和招标文件的规定，对供应商的基本资格条件、特定资格条件进行审查。</w:t>
      </w:r>
    </w:p>
    <w:p w14:paraId="34D5538D">
      <w:pPr>
        <w:ind w:firstLine="420" w:firstLineChars="200"/>
      </w:pPr>
      <w:r>
        <w:rPr>
          <w:rFonts w:hint="eastAsia"/>
        </w:rPr>
        <w:t>5.2资格审查标准在第四章评审方法及标准中规定，符合资格审查标准要求的供应商即为资格审查合格。</w:t>
      </w:r>
    </w:p>
    <w:p w14:paraId="55092A6F">
      <w:pPr>
        <w:ind w:firstLine="420" w:firstLineChars="200"/>
      </w:pPr>
      <w:r>
        <w:rPr>
          <w:rFonts w:hint="eastAsia"/>
        </w:rPr>
        <w:t>5.3供应商有下列情形之一的，资格审查不合格，作无效投标处理：</w:t>
      </w:r>
    </w:p>
    <w:p w14:paraId="6CF1B5A2">
      <w:pPr>
        <w:ind w:firstLine="420" w:firstLineChars="200"/>
      </w:pPr>
      <w:r>
        <w:rPr>
          <w:rFonts w:hint="eastAsia"/>
        </w:rPr>
        <w:t>5.3.1不具备招标文件中规定的资格要求或资格条件的； （注：其中信用查询规则见“</w:t>
      </w:r>
      <w:r>
        <w:rPr>
          <w:rFonts w:hint="eastAsia"/>
          <w:lang w:eastAsia="zh-CN"/>
        </w:rPr>
        <w:t>供应商</w:t>
      </w:r>
      <w:r>
        <w:rPr>
          <w:rFonts w:hint="eastAsia"/>
        </w:rPr>
        <w:t>须知前附表”，</w:t>
      </w:r>
      <w:r>
        <w:rPr>
          <w:rFonts w:hint="eastAsia"/>
          <w:lang w:eastAsia="zh-CN"/>
        </w:rPr>
        <w:t>广西政府采购云平台</w:t>
      </w:r>
      <w:r>
        <w:rPr>
          <w:rFonts w:hint="eastAsia"/>
        </w:rPr>
        <w:t>已与“信用中国”平台做接口，可直接在线查询）</w:t>
      </w:r>
    </w:p>
    <w:p w14:paraId="56B5C9C5">
      <w:pPr>
        <w:ind w:firstLine="420" w:firstLineChars="200"/>
      </w:pPr>
      <w:r>
        <w:rPr>
          <w:rFonts w:hint="eastAsia"/>
        </w:rPr>
        <w:t>5.3.2投标文件缺少任何一项资格证明文件或不符合第四章评审方法及标准中资格审查标准规定的评审内容的；</w:t>
      </w:r>
    </w:p>
    <w:p w14:paraId="305A2C4F">
      <w:pPr>
        <w:ind w:firstLine="420" w:firstLineChars="200"/>
      </w:pPr>
      <w:r>
        <w:rPr>
          <w:rFonts w:hint="eastAsia"/>
        </w:rPr>
        <w:t>5.4资格审查合格的供应商不足3家的，不得评审。</w:t>
      </w:r>
    </w:p>
    <w:bookmarkEnd w:id="53"/>
    <w:p w14:paraId="14E8D4DF">
      <w:pPr>
        <w:ind w:firstLine="422" w:firstLineChars="200"/>
        <w:rPr>
          <w:b/>
          <w:bCs/>
        </w:rPr>
      </w:pPr>
      <w:bookmarkStart w:id="54" w:name="_Hlk93420990"/>
      <w:r>
        <w:rPr>
          <w:rFonts w:hint="eastAsia"/>
          <w:b/>
          <w:bCs/>
        </w:rPr>
        <w:t>6．评审</w:t>
      </w:r>
      <w:bookmarkEnd w:id="51"/>
      <w:bookmarkEnd w:id="52"/>
    </w:p>
    <w:p w14:paraId="45EFF4BE">
      <w:pPr>
        <w:ind w:firstLine="422" w:firstLineChars="200"/>
        <w:rPr>
          <w:b/>
          <w:bCs/>
        </w:rPr>
      </w:pPr>
      <w:r>
        <w:rPr>
          <w:rFonts w:hint="eastAsia"/>
          <w:b/>
          <w:bCs/>
        </w:rPr>
        <w:t>6.1评标委员会及评审原则</w:t>
      </w:r>
    </w:p>
    <w:p w14:paraId="4CB04F0D">
      <w:pPr>
        <w:ind w:firstLine="420" w:firstLineChars="200"/>
      </w:pPr>
      <w:bookmarkStart w:id="55" w:name="_Hlk91249317"/>
      <w:r>
        <w:rPr>
          <w:rFonts w:hint="eastAsia"/>
        </w:rPr>
        <w:t>6.1.1本项目评审工作由评标委员会负责，评标委员会由评审专家和采购人代表（如有）组成。评标委员会评审时必须公平、公正、客观，不带任何倾向性和启发性；不得向外界透露任何与评审有关的内容；任何单位和个人不得干扰、影响评标的正常进行；评标委员会及有关工作人员不得私下与</w:t>
      </w:r>
      <w:r>
        <w:rPr>
          <w:rFonts w:hint="eastAsia"/>
          <w:lang w:eastAsia="zh-CN"/>
        </w:rPr>
        <w:t>供应商</w:t>
      </w:r>
      <w:r>
        <w:rPr>
          <w:rFonts w:hint="eastAsia"/>
        </w:rPr>
        <w:t>接触，不得收受利害关系人的财物或者其他好处；评审专家发现本人与参加采购活动的供应商有利害关系的，应当主动提出回避。</w:t>
      </w:r>
    </w:p>
    <w:p w14:paraId="72A3420B">
      <w:pPr>
        <w:ind w:firstLine="420" w:firstLineChars="200"/>
      </w:pPr>
      <w:r>
        <w:rPr>
          <w:rFonts w:hint="eastAsia"/>
        </w:rPr>
        <w:t>6.1.2评标委员会成员应当通过电子交易平台进行独立评审，评标委员会成员对需要共同认定的事项存在争议的，应当按照少数服从多数的原则作出结论。持不同意见的评标委员会成员应当在评审报告上签署不同意见及理由，否则视为同意评审报告。如果在评审过程中出现法律法规和招标文件均没有明确规定的情形时，由评标委员会现场协商确定，协商不一致的，由全体评标委员会成员投票表决，应当按照少数服从多数的原则作出结论并记录在评审报告中。</w:t>
      </w:r>
    </w:p>
    <w:p w14:paraId="2BAA3EF4">
      <w:pPr>
        <w:ind w:firstLine="420" w:firstLineChars="200"/>
      </w:pPr>
      <w:r>
        <w:rPr>
          <w:rFonts w:hint="eastAsia"/>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7BC6FF84">
      <w:pPr>
        <w:ind w:firstLine="420" w:firstLineChars="200"/>
      </w:pPr>
      <w:r>
        <w:rPr>
          <w:rFonts w:hint="eastAsia"/>
        </w:rPr>
        <w:t>6.1.4本项目评审过程实行全程网上留痕及录音、录像监控，供应商在评审过程中所进行的试图影响评审结果的不公正活动，可能导致其投标按无效处理。</w:t>
      </w:r>
    </w:p>
    <w:bookmarkEnd w:id="55"/>
    <w:p w14:paraId="710D6D54">
      <w:pPr>
        <w:ind w:firstLine="422" w:firstLineChars="200"/>
        <w:rPr>
          <w:b/>
          <w:bCs/>
        </w:rPr>
      </w:pPr>
      <w:bookmarkStart w:id="56" w:name="_Hlk91324148"/>
      <w:r>
        <w:rPr>
          <w:rFonts w:hint="eastAsia"/>
          <w:b/>
          <w:bCs/>
        </w:rPr>
        <w:t>6.2评审方法及依据</w:t>
      </w:r>
    </w:p>
    <w:p w14:paraId="2C04EB05">
      <w:pPr>
        <w:ind w:firstLine="420" w:firstLineChars="200"/>
      </w:pPr>
      <w:r>
        <w:rPr>
          <w:rFonts w:hint="eastAsia"/>
        </w:rPr>
        <w:t>6.2.1本项目采用第四章评审方法及标准规定的方法进行评审。</w:t>
      </w:r>
    </w:p>
    <w:p w14:paraId="2E8D36FE">
      <w:pPr>
        <w:ind w:firstLine="420" w:firstLineChars="200"/>
      </w:pPr>
      <w:r>
        <w:rPr>
          <w:rFonts w:hint="eastAsia"/>
        </w:rPr>
        <w:t>6.2.2评标委员会以招标文件、补充文件、投标文件、澄清及答复为评审依据，第四章评审方法及标准没有规定的评审方法、标准及因素，不得作为评审依据。</w:t>
      </w:r>
    </w:p>
    <w:bookmarkEnd w:id="56"/>
    <w:p w14:paraId="087C2B24">
      <w:pPr>
        <w:ind w:firstLine="422" w:firstLineChars="200"/>
        <w:rPr>
          <w:b/>
          <w:bCs/>
        </w:rPr>
      </w:pPr>
      <w:bookmarkStart w:id="57" w:name="_Hlk91324322"/>
      <w:r>
        <w:rPr>
          <w:rFonts w:hint="eastAsia"/>
          <w:b/>
          <w:bCs/>
        </w:rPr>
        <w:t>6.3评审程序</w:t>
      </w:r>
    </w:p>
    <w:p w14:paraId="5E1813B0">
      <w:pPr>
        <w:ind w:firstLine="420" w:firstLineChars="200"/>
      </w:pPr>
      <w:r>
        <w:rPr>
          <w:rFonts w:hint="eastAsia"/>
        </w:rPr>
        <w:t>6.</w:t>
      </w:r>
      <w:bookmarkStart w:id="58" w:name="_Hlk19175507"/>
      <w:bookmarkStart w:id="59" w:name="_Hlk80956880"/>
      <w:r>
        <w:rPr>
          <w:rFonts w:hint="eastAsia"/>
        </w:rPr>
        <w:t>3.1符合性审查</w:t>
      </w:r>
    </w:p>
    <w:p w14:paraId="7A37F217">
      <w:pPr>
        <w:ind w:firstLine="420" w:firstLineChars="200"/>
      </w:pPr>
      <w:r>
        <w:rPr>
          <w:rFonts w:hint="eastAsia"/>
        </w:rPr>
        <w:t>资格审查结束后，评标委员会对通过资格审查的供应商的投标文件报价、商务资信、技术等方面实质性内容进行符合性审查，符合性审查标准详见第四章评审方法及标准。</w:t>
      </w:r>
    </w:p>
    <w:bookmarkEnd w:id="58"/>
    <w:bookmarkEnd w:id="59"/>
    <w:p w14:paraId="4AF979D2">
      <w:pPr>
        <w:ind w:firstLine="420" w:firstLineChars="200"/>
      </w:pPr>
      <w:r>
        <w:rPr>
          <w:rFonts w:hint="eastAsia"/>
        </w:rPr>
        <w:t>6.3.2强制性采购要求（仅适用于货物采购项目）</w:t>
      </w:r>
    </w:p>
    <w:p w14:paraId="5045E77F">
      <w:pPr>
        <w:ind w:firstLine="420" w:firstLineChars="200"/>
      </w:pPr>
      <w:bookmarkStart w:id="60" w:name="_Hlk47714684"/>
      <w:r>
        <w:rPr>
          <w:rFonts w:hint="eastAsia"/>
        </w:rPr>
        <w:t>（1）</w:t>
      </w:r>
      <w:bookmarkEnd w:id="60"/>
      <w:r>
        <w:rPr>
          <w:rFonts w:hint="eastAsia"/>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投标货物必须使用政府强制采购的节能产品，否则投标文件作无效处理；属于品目清单内非标注“★”的产品时，应优先采购。</w:t>
      </w:r>
    </w:p>
    <w:p w14:paraId="0FDD21E8">
      <w:pPr>
        <w:ind w:firstLine="420" w:firstLineChars="200"/>
      </w:pPr>
      <w:bookmarkStart w:id="61" w:name="_Hlk19176155"/>
      <w:r>
        <w:rPr>
          <w:rFonts w:hint="eastAsia"/>
        </w:rPr>
        <w:t>（2）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7D53C7EA">
      <w:pPr>
        <w:ind w:firstLine="420" w:firstLineChars="200"/>
      </w:pPr>
      <w:r>
        <w:rPr>
          <w:rFonts w:hint="eastAsia"/>
        </w:rPr>
        <w:t>注：网络安全专用产品在中共中央网络安全和信息化委员会办公室网站上发布的《网络关键设备和网络安全专用产品目录》中查询。 目前共15类：路由器、交换机、服务器（机架式）、可编程逻辑控制器（PLC设备）、数据备份一体机、防火墙（硬件）、WEB应用防火墙（WAF）、入侵检测系统（IDS）、入侵防御系统（IPS）、安全隔离与信息交换产品（网闸）、反垃圾邮件产品、网络综合审计系统、网络脆弱性扫描产品、安全数据库系统、网站恢复产品（硬件）。</w:t>
      </w:r>
    </w:p>
    <w:p w14:paraId="6F43EEF7">
      <w:pPr>
        <w:ind w:firstLine="420" w:firstLineChars="200"/>
      </w:pPr>
      <w:r>
        <w:rPr>
          <w:rFonts w:hint="eastAsia"/>
        </w:rPr>
        <w:t>6.3.3澄清、说明或补正</w:t>
      </w:r>
    </w:p>
    <w:p w14:paraId="0D3B3E7F">
      <w:pPr>
        <w:ind w:firstLine="420" w:firstLineChars="200"/>
      </w:pPr>
      <w:r>
        <w:rPr>
          <w:rFonts w:hint="eastAsia"/>
        </w:rPr>
        <w:t>（1）对投标文件中含义不明确、同类问题表述不一致或者有明显文字和计算错误的内容，评标委员会应在</w:t>
      </w:r>
      <w:r>
        <w:rPr>
          <w:rFonts w:hint="eastAsia"/>
          <w:lang w:eastAsia="zh-CN"/>
        </w:rPr>
        <w:t>广西政府采购云平台</w:t>
      </w:r>
      <w:r>
        <w:rPr>
          <w:rFonts w:hint="eastAsia"/>
        </w:rPr>
        <w:t>发布电子澄清函，要求供应商在平台设置的时间内作出必要的澄清、说明或者补正。供应商在</w:t>
      </w:r>
      <w:r>
        <w:rPr>
          <w:rFonts w:hint="eastAsia"/>
          <w:lang w:eastAsia="zh-CN"/>
        </w:rPr>
        <w:t>广西政府采购云平台</w:t>
      </w:r>
      <w:r>
        <w:rPr>
          <w:rFonts w:hint="eastAsia"/>
        </w:rPr>
        <w:t>接收到电子澄清函后根据澄清函内容直接在线编辑或上传PDF格式回函，电子澄清答复函使用CA证书加盖单位电子签章后提交至评标委员会。供应商的澄清、说明或者补正不得超出投标文件的范围或者改变投标文件的实质性内容。供应商未在规定时间内进行澄清、说明或者补正的，按无效投标处理。</w:t>
      </w:r>
    </w:p>
    <w:p w14:paraId="1A11009B">
      <w:pPr>
        <w:ind w:firstLine="420" w:firstLineChars="200"/>
      </w:pPr>
      <w:r>
        <w:rPr>
          <w:rFonts w:hint="eastAsia"/>
        </w:rPr>
        <w:t>（2）异常情况处理：如遇无法正常使用线上发送澄清函的情况，将以书面形式执行。评标委员会以书面形式要求供应商在规定时间内作出必要的澄清、说明或者补正。供应商的澄清、说明或者补正必须采用书面形式，并加盖公章或者由法定代表人或者其授权的代表签字。</w:t>
      </w:r>
    </w:p>
    <w:p w14:paraId="0FEC3E60">
      <w:pPr>
        <w:ind w:firstLine="420" w:firstLineChars="200"/>
      </w:pPr>
      <w:r>
        <w:rPr>
          <w:rFonts w:hint="eastAsia"/>
        </w:rPr>
        <w:t>6.3.4报价修正</w:t>
      </w:r>
    </w:p>
    <w:p w14:paraId="57F81FE4">
      <w:pPr>
        <w:ind w:firstLine="420" w:firstLineChars="200"/>
      </w:pPr>
      <w:r>
        <w:rPr>
          <w:rFonts w:hint="eastAsia"/>
        </w:rPr>
        <w:t>（1）报价出现前后不一致的，按照下列规定修正：</w:t>
      </w:r>
    </w:p>
    <w:p w14:paraId="5DBC6BDE">
      <w:pPr>
        <w:ind w:firstLine="420" w:firstLineChars="200"/>
      </w:pPr>
      <w:r>
        <w:rPr>
          <w:rFonts w:hint="eastAsia"/>
        </w:rPr>
        <w:t>①投标文件中开标一览表（报价表）内容与投标文件中相应内容不一致的，以开标一览表（报价表）为准；</w:t>
      </w:r>
    </w:p>
    <w:p w14:paraId="4232323F">
      <w:pPr>
        <w:ind w:firstLine="420" w:firstLineChars="200"/>
      </w:pPr>
      <w:r>
        <w:rPr>
          <w:rFonts w:hint="eastAsia"/>
        </w:rPr>
        <w:t>②大写金额和小写金额不一致的，以大写金额为准；</w:t>
      </w:r>
    </w:p>
    <w:p w14:paraId="38BFDC64">
      <w:pPr>
        <w:ind w:firstLine="420" w:firstLineChars="200"/>
      </w:pPr>
      <w:r>
        <w:rPr>
          <w:rFonts w:hint="eastAsia"/>
        </w:rPr>
        <w:t>③单价金额小数点或者百分比有明显错位的，以开标一览表的总价为准，并修改单价；</w:t>
      </w:r>
    </w:p>
    <w:p w14:paraId="320B94A8">
      <w:pPr>
        <w:ind w:firstLine="420" w:firstLineChars="200"/>
      </w:pPr>
      <w:r>
        <w:rPr>
          <w:rFonts w:hint="eastAsia"/>
        </w:rPr>
        <w:t>④总价金额与按单价汇总金额不一致的，以单价金额计算结果为准。</w:t>
      </w:r>
    </w:p>
    <w:p w14:paraId="55FBD18F">
      <w:pPr>
        <w:ind w:firstLine="420" w:firstLineChars="200"/>
      </w:pPr>
      <w:r>
        <w:rPr>
          <w:rFonts w:hint="eastAsia"/>
        </w:rPr>
        <w:t>同时出现两种以上不一致的，按照上述①-④顺序修正。修正后的报价按照上述“6.3.3澄清、说明或补正”的规定经供应商确认后产生约束力，供应商不确认的，其投标无效。</w:t>
      </w:r>
    </w:p>
    <w:p w14:paraId="11D45538">
      <w:pPr>
        <w:ind w:firstLine="420" w:firstLineChars="200"/>
        <w:rPr>
          <w:rFonts w:hint="eastAsia"/>
          <w:lang w:eastAsia="zh-CN"/>
        </w:rPr>
      </w:pPr>
      <w:r>
        <w:rPr>
          <w:rFonts w:hint="eastAsia"/>
        </w:rPr>
        <w:t>（2）异常低价审查</w:t>
      </w:r>
      <w:r>
        <w:rPr>
          <w:rFonts w:hint="eastAsia"/>
          <w:lang w:eastAsia="zh-CN"/>
        </w:rPr>
        <w:t>：</w:t>
      </w:r>
    </w:p>
    <w:p w14:paraId="54EACE3A">
      <w:pPr>
        <w:ind w:firstLine="420" w:firstLineChars="200"/>
        <w:rPr>
          <w:rFonts w:hint="eastAsia"/>
        </w:rPr>
      </w:pPr>
      <w:r>
        <w:rPr>
          <w:rFonts w:hint="eastAsia"/>
          <w:lang w:val="en-US" w:eastAsia="zh-CN"/>
        </w:rPr>
        <w:t>①</w:t>
      </w:r>
      <w:r>
        <w:rPr>
          <w:rFonts w:hint="eastAsia"/>
        </w:rPr>
        <w:t>评审中出现下列情形之一的，</w:t>
      </w:r>
      <w:r>
        <w:rPr>
          <w:rFonts w:hint="eastAsia"/>
          <w:lang w:val="en-US" w:eastAsia="zh-CN"/>
        </w:rPr>
        <w:t>评标委员会</w:t>
      </w:r>
      <w:r>
        <w:rPr>
          <w:rFonts w:hint="eastAsia"/>
        </w:rPr>
        <w:t>应当启动异常低价</w:t>
      </w:r>
      <w:r>
        <w:rPr>
          <w:rFonts w:hint="eastAsia"/>
          <w:lang w:eastAsia="zh-CN"/>
        </w:rPr>
        <w:t>投标</w:t>
      </w:r>
      <w:r>
        <w:rPr>
          <w:rFonts w:hint="eastAsia"/>
        </w:rPr>
        <w:t>审查程序：</w:t>
      </w:r>
    </w:p>
    <w:p w14:paraId="6FCD7403">
      <w:pPr>
        <w:ind w:firstLine="420" w:firstLineChars="200"/>
        <w:rPr>
          <w:rFonts w:hint="eastAsia"/>
        </w:rPr>
      </w:pPr>
      <w:r>
        <w:rPr>
          <w:rFonts w:hint="eastAsia"/>
          <w:lang w:val="en-US" w:eastAsia="zh-CN"/>
        </w:rPr>
        <w:t>a.</w:t>
      </w:r>
      <w:r>
        <w:rPr>
          <w:rFonts w:hint="eastAsia"/>
          <w:lang w:eastAsia="zh-CN"/>
        </w:rPr>
        <w:t>投标</w:t>
      </w:r>
      <w:r>
        <w:rPr>
          <w:rFonts w:hint="eastAsia"/>
        </w:rPr>
        <w:t>报价低于全部通过符合性审查供应商</w:t>
      </w:r>
      <w:r>
        <w:rPr>
          <w:rFonts w:hint="eastAsia"/>
          <w:lang w:eastAsia="zh-CN"/>
        </w:rPr>
        <w:t>投标</w:t>
      </w:r>
      <w:r>
        <w:rPr>
          <w:rFonts w:hint="eastAsia"/>
        </w:rPr>
        <w:t>报价平均值</w:t>
      </w:r>
      <w:r>
        <w:rPr>
          <w:rFonts w:hint="eastAsia"/>
          <w:lang w:val="en-US" w:eastAsia="zh-CN"/>
        </w:rPr>
        <w:t>65</w:t>
      </w:r>
      <w:r>
        <w:rPr>
          <w:rFonts w:hint="eastAsia"/>
        </w:rPr>
        <w:t>%的，即</w:t>
      </w:r>
      <w:r>
        <w:rPr>
          <w:rFonts w:hint="eastAsia"/>
          <w:lang w:eastAsia="zh-CN"/>
        </w:rPr>
        <w:t>投标</w:t>
      </w:r>
      <w:r>
        <w:rPr>
          <w:rFonts w:hint="eastAsia"/>
        </w:rPr>
        <w:t>报价</w:t>
      </w:r>
      <w:r>
        <w:rPr>
          <w:rFonts w:hint="eastAsia"/>
          <w:lang w:val="en-US" w:eastAsia="zh-CN"/>
        </w:rPr>
        <w:t>＜</w:t>
      </w:r>
      <w:r>
        <w:rPr>
          <w:rFonts w:hint="eastAsia"/>
        </w:rPr>
        <w:t>全部通过符合性审查供应商</w:t>
      </w:r>
      <w:r>
        <w:rPr>
          <w:rFonts w:hint="eastAsia"/>
          <w:lang w:eastAsia="zh-CN"/>
        </w:rPr>
        <w:t>投标</w:t>
      </w:r>
      <w:r>
        <w:rPr>
          <w:rFonts w:hint="eastAsia"/>
        </w:rPr>
        <w:t>报价平均值×</w:t>
      </w:r>
      <w:r>
        <w:rPr>
          <w:rFonts w:hint="eastAsia"/>
          <w:lang w:val="en-US" w:eastAsia="zh-CN"/>
        </w:rPr>
        <w:t>65</w:t>
      </w:r>
      <w:r>
        <w:rPr>
          <w:rFonts w:hint="eastAsia"/>
        </w:rPr>
        <w:t>%；</w:t>
      </w:r>
    </w:p>
    <w:p w14:paraId="627E7ACF">
      <w:pPr>
        <w:ind w:firstLine="420" w:firstLineChars="200"/>
        <w:rPr>
          <w:rFonts w:hint="eastAsia"/>
        </w:rPr>
      </w:pPr>
      <w:r>
        <w:rPr>
          <w:rFonts w:hint="eastAsia"/>
          <w:lang w:val="en-US" w:eastAsia="zh-CN"/>
        </w:rPr>
        <w:t>b.</w:t>
      </w:r>
      <w:r>
        <w:rPr>
          <w:rFonts w:hint="eastAsia"/>
          <w:lang w:eastAsia="zh-CN"/>
        </w:rPr>
        <w:t>投标</w:t>
      </w:r>
      <w:r>
        <w:rPr>
          <w:rFonts w:hint="eastAsia"/>
        </w:rPr>
        <w:t>报价低于通过符合性审查的次低报价供应商</w:t>
      </w:r>
      <w:r>
        <w:rPr>
          <w:rFonts w:hint="eastAsia"/>
          <w:lang w:eastAsia="zh-CN"/>
        </w:rPr>
        <w:t>投标</w:t>
      </w:r>
      <w:r>
        <w:rPr>
          <w:rFonts w:hint="eastAsia"/>
        </w:rPr>
        <w:t>报价</w:t>
      </w:r>
      <w:r>
        <w:rPr>
          <w:rFonts w:hint="eastAsia"/>
          <w:lang w:val="en-US" w:eastAsia="zh-CN"/>
        </w:rPr>
        <w:t>65</w:t>
      </w:r>
      <w:r>
        <w:rPr>
          <w:rFonts w:hint="eastAsia"/>
        </w:rPr>
        <w:t>%的，即</w:t>
      </w:r>
      <w:r>
        <w:rPr>
          <w:rFonts w:hint="eastAsia"/>
          <w:lang w:eastAsia="zh-CN"/>
        </w:rPr>
        <w:t>投标</w:t>
      </w:r>
      <w:r>
        <w:rPr>
          <w:rFonts w:hint="eastAsia"/>
        </w:rPr>
        <w:t>报价</w:t>
      </w:r>
      <w:r>
        <w:rPr>
          <w:rFonts w:hint="eastAsia"/>
          <w:lang w:val="en-US" w:eastAsia="zh-CN"/>
        </w:rPr>
        <w:t>＜</w:t>
      </w:r>
      <w:r>
        <w:rPr>
          <w:rFonts w:hint="eastAsia"/>
        </w:rPr>
        <w:t>通过符合性审查的次低报价供应商</w:t>
      </w:r>
      <w:r>
        <w:rPr>
          <w:rFonts w:hint="eastAsia"/>
          <w:lang w:eastAsia="zh-CN"/>
        </w:rPr>
        <w:t>投标</w:t>
      </w:r>
      <w:r>
        <w:rPr>
          <w:rFonts w:hint="eastAsia"/>
        </w:rPr>
        <w:t>报价×</w:t>
      </w:r>
      <w:r>
        <w:rPr>
          <w:rFonts w:hint="eastAsia"/>
          <w:lang w:val="en-US" w:eastAsia="zh-CN"/>
        </w:rPr>
        <w:t>65</w:t>
      </w:r>
      <w:r>
        <w:rPr>
          <w:rFonts w:hint="eastAsia"/>
        </w:rPr>
        <w:t>%；</w:t>
      </w:r>
    </w:p>
    <w:p w14:paraId="7CAC6342">
      <w:pPr>
        <w:ind w:firstLine="420" w:firstLineChars="200"/>
        <w:rPr>
          <w:rFonts w:hint="eastAsia"/>
        </w:rPr>
      </w:pPr>
      <w:r>
        <w:rPr>
          <w:rFonts w:hint="eastAsia"/>
          <w:lang w:val="en-US" w:eastAsia="zh-CN"/>
        </w:rPr>
        <w:t>c.</w:t>
      </w:r>
      <w:r>
        <w:rPr>
          <w:rFonts w:hint="eastAsia"/>
          <w:lang w:eastAsia="zh-CN"/>
        </w:rPr>
        <w:t>投标</w:t>
      </w:r>
      <w:r>
        <w:rPr>
          <w:rFonts w:hint="eastAsia"/>
        </w:rPr>
        <w:t>报价低于采购项目最高限价</w:t>
      </w:r>
      <w:r>
        <w:rPr>
          <w:rFonts w:hint="eastAsia"/>
          <w:lang w:val="en-US" w:eastAsia="zh-CN"/>
        </w:rPr>
        <w:t>65</w:t>
      </w:r>
      <w:r>
        <w:rPr>
          <w:rFonts w:hint="eastAsia"/>
        </w:rPr>
        <w:t>%的，即</w:t>
      </w:r>
      <w:r>
        <w:rPr>
          <w:rFonts w:hint="eastAsia"/>
          <w:lang w:eastAsia="zh-CN"/>
        </w:rPr>
        <w:t>投标</w:t>
      </w:r>
      <w:r>
        <w:rPr>
          <w:rFonts w:hint="eastAsia"/>
        </w:rPr>
        <w:t>报价</w:t>
      </w:r>
      <w:r>
        <w:rPr>
          <w:rFonts w:hint="eastAsia"/>
          <w:lang w:val="en-US" w:eastAsia="zh-CN"/>
        </w:rPr>
        <w:t>＜</w:t>
      </w:r>
      <w:r>
        <w:rPr>
          <w:rFonts w:hint="eastAsia"/>
        </w:rPr>
        <w:t>采购项目最高限价×</w:t>
      </w:r>
      <w:r>
        <w:rPr>
          <w:rFonts w:hint="eastAsia"/>
          <w:lang w:val="en-US" w:eastAsia="zh-CN"/>
        </w:rPr>
        <w:t>65</w:t>
      </w:r>
      <w:r>
        <w:rPr>
          <w:rFonts w:hint="eastAsia"/>
        </w:rPr>
        <w:t>%；</w:t>
      </w:r>
    </w:p>
    <w:p w14:paraId="4E3C29C0">
      <w:pPr>
        <w:ind w:firstLine="420" w:firstLineChars="200"/>
        <w:rPr>
          <w:rFonts w:hint="eastAsia"/>
        </w:rPr>
      </w:pPr>
      <w:r>
        <w:rPr>
          <w:rFonts w:hint="eastAsia"/>
          <w:lang w:val="en-US" w:eastAsia="zh-CN"/>
        </w:rPr>
        <w:t>d.评标委员会</w:t>
      </w:r>
      <w:r>
        <w:rPr>
          <w:rFonts w:hint="eastAsia"/>
        </w:rPr>
        <w:t>基于专业判断，认为供应商报价过低，有可能影响产品质量或者不能诚信履约的其他情形。</w:t>
      </w:r>
    </w:p>
    <w:p w14:paraId="73E7DFED">
      <w:pPr>
        <w:ind w:firstLine="420" w:firstLineChars="200"/>
        <w:rPr>
          <w:rFonts w:hint="eastAsia"/>
        </w:rPr>
      </w:pPr>
      <w:r>
        <w:rPr>
          <w:rFonts w:hint="eastAsia"/>
        </w:rPr>
        <w:t>相关法律法规对供应商报价有规定的，从其规定。</w:t>
      </w:r>
    </w:p>
    <w:p w14:paraId="19FB815A">
      <w:pPr>
        <w:ind w:firstLine="420" w:firstLineChars="200"/>
        <w:rPr>
          <w:rFonts w:hint="eastAsia"/>
        </w:rPr>
      </w:pPr>
      <w:r>
        <w:rPr>
          <w:rFonts w:hint="eastAsia"/>
          <w:lang w:val="en-US" w:eastAsia="zh-CN"/>
        </w:rPr>
        <w:t>②评标委员会</w:t>
      </w:r>
      <w:r>
        <w:rPr>
          <w:rFonts w:hint="eastAsia"/>
        </w:rPr>
        <w:t>启动异常低价</w:t>
      </w:r>
      <w:r>
        <w:rPr>
          <w:rFonts w:hint="eastAsia"/>
          <w:lang w:eastAsia="zh-CN"/>
        </w:rPr>
        <w:t>投标</w:t>
      </w:r>
      <w:r>
        <w:rPr>
          <w:rFonts w:hint="eastAsia"/>
        </w:rPr>
        <w:t>审查后，属于前述</w:t>
      </w:r>
      <w:r>
        <w:rPr>
          <w:rFonts w:hint="eastAsia"/>
          <w:lang w:val="en-US" w:eastAsia="zh-CN"/>
        </w:rPr>
        <w:t>第a</w:t>
      </w:r>
      <w:r>
        <w:rPr>
          <w:rFonts w:hint="eastAsia"/>
        </w:rPr>
        <w:t>至</w:t>
      </w:r>
      <w:r>
        <w:rPr>
          <w:rFonts w:hint="eastAsia"/>
          <w:lang w:val="en-US" w:eastAsia="zh-CN"/>
        </w:rPr>
        <w:t>d项</w:t>
      </w:r>
      <w:r>
        <w:rPr>
          <w:rFonts w:hint="eastAsia"/>
        </w:rPr>
        <w:t>情形的，应当要求相关供应商在评审现场合理的时间内对</w:t>
      </w:r>
      <w:r>
        <w:rPr>
          <w:rFonts w:hint="eastAsia"/>
          <w:lang w:eastAsia="zh-CN"/>
        </w:rPr>
        <w:t>投标</w:t>
      </w:r>
      <w:r>
        <w:rPr>
          <w:rFonts w:hint="eastAsia"/>
        </w:rPr>
        <w:t>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lang w:val="en-US" w:eastAsia="zh-CN"/>
        </w:rPr>
        <w:t>c</w:t>
      </w:r>
      <w:r>
        <w:rPr>
          <w:rFonts w:hint="eastAsia"/>
        </w:rPr>
        <w:t>项情形，供应商已随</w:t>
      </w:r>
      <w:r>
        <w:rPr>
          <w:rFonts w:hint="eastAsia"/>
          <w:lang w:eastAsia="zh-CN"/>
        </w:rPr>
        <w:t>投标</w:t>
      </w:r>
      <w:r>
        <w:rPr>
          <w:rFonts w:hint="eastAsia"/>
        </w:rPr>
        <w:t>文件一并提交相关书面说明及必要的证明材料的，在评审现场可不再重复提交。</w:t>
      </w:r>
    </w:p>
    <w:p w14:paraId="2CD11C30">
      <w:pPr>
        <w:ind w:firstLine="420" w:firstLineChars="200"/>
        <w:rPr>
          <w:rFonts w:hint="eastAsia"/>
        </w:rPr>
      </w:pPr>
      <w:r>
        <w:rPr>
          <w:rFonts w:hint="eastAsia"/>
          <w:lang w:val="en-US" w:eastAsia="zh-CN"/>
        </w:rPr>
        <w:t>评标委员会</w:t>
      </w:r>
      <w:r>
        <w:rPr>
          <w:rFonts w:hint="eastAsia"/>
        </w:rPr>
        <w:t>依据专业经验，参考同类项目中标（成交）价格、类似产品市场价格水平、行业人工费用标准、国家有关部门指导行业协会发布的行业平均成本等情况，对报价合理性进行判断。</w:t>
      </w:r>
      <w:r>
        <w:rPr>
          <w:rFonts w:hint="eastAsia"/>
          <w:lang w:eastAsia="zh-CN"/>
        </w:rPr>
        <w:t>投标</w:t>
      </w:r>
      <w:r>
        <w:rPr>
          <w:rFonts w:hint="eastAsia"/>
        </w:rPr>
        <w:t>供应商不能提供书面说明、证明材料，或者提供的书面说明、证明材料不能证明其报价合理性的，</w:t>
      </w:r>
      <w:r>
        <w:rPr>
          <w:rFonts w:hint="eastAsia"/>
          <w:lang w:val="en-US" w:eastAsia="zh-CN"/>
        </w:rPr>
        <w:t>评标委员会</w:t>
      </w:r>
      <w:r>
        <w:rPr>
          <w:rFonts w:hint="eastAsia"/>
        </w:rPr>
        <w:t>应当将其作为无效</w:t>
      </w:r>
      <w:r>
        <w:rPr>
          <w:rFonts w:hint="eastAsia"/>
          <w:lang w:eastAsia="zh-CN"/>
        </w:rPr>
        <w:t>投标</w:t>
      </w:r>
      <w:r>
        <w:rPr>
          <w:rFonts w:hint="eastAsia"/>
        </w:rPr>
        <w:t>处理。</w:t>
      </w:r>
    </w:p>
    <w:p w14:paraId="235570E6">
      <w:pPr>
        <w:ind w:firstLine="420" w:firstLineChars="200"/>
      </w:pPr>
      <w:r>
        <w:rPr>
          <w:rFonts w:hint="eastAsia"/>
        </w:rPr>
        <w:t>（3）经供应商确认修正后的报价若超过采购预算金额或者最高限价，其投标文件作无效投标处理。</w:t>
      </w:r>
    </w:p>
    <w:p w14:paraId="5B2CA099">
      <w:pPr>
        <w:ind w:firstLine="420" w:firstLineChars="200"/>
      </w:pPr>
      <w:r>
        <w:rPr>
          <w:rFonts w:hint="eastAsia"/>
        </w:rPr>
        <w:t>（4）经供应产确认修正后的报价作为签订合同的依据，并以此报价计算价格分。</w:t>
      </w:r>
    </w:p>
    <w:p w14:paraId="38A6791A">
      <w:pPr>
        <w:ind w:firstLine="420" w:firstLineChars="200"/>
      </w:pPr>
      <w:r>
        <w:rPr>
          <w:rFonts w:hint="eastAsia"/>
        </w:rPr>
        <w:t>6.3.5相同品牌认定（仅适用于货物采购项目）</w:t>
      </w:r>
    </w:p>
    <w:p w14:paraId="30379CD7">
      <w:pPr>
        <w:ind w:firstLine="420" w:firstLineChars="200"/>
      </w:pPr>
      <w:r>
        <w:rPr>
          <w:rFonts w:hint="eastAsia"/>
        </w:rPr>
        <w:t>（1）单一产品采购项目，不同供应商提供的产品品牌相同时，按以下规定确定相同品牌的投标有效性。</w:t>
      </w:r>
    </w:p>
    <w:bookmarkEnd w:id="61"/>
    <w:p w14:paraId="1D573C44">
      <w:pPr>
        <w:ind w:firstLine="420" w:firstLineChars="200"/>
      </w:pPr>
      <w:r>
        <w:rPr>
          <w:rFonts w:hint="eastAsia"/>
        </w:rPr>
        <w:t>①采用综合评分法的采购项目，提供相同品牌产品且通过资格审查、符合性审查的不同供应商参加同一合同项下投标的，按一家供应商计算，评审后得分最高的同品牌供应商获得中标人推荐资格；评审得分相同的，由采购人或者采购人委托评标委员会按照招标文件规定的方式确定一个供应商获得中标人推荐资格，招标文件未规定的采取随机抽取方式确定，其他同品牌供应商不作为中标候选人。</w:t>
      </w:r>
    </w:p>
    <w:p w14:paraId="4F3A85FA">
      <w:pPr>
        <w:ind w:firstLine="420" w:firstLineChars="200"/>
      </w:pPr>
      <w:r>
        <w:rPr>
          <w:rFonts w:hint="eastAsia"/>
        </w:rPr>
        <w:t>②采用最低评标价法的采购项目，提供相同品牌产品的不同供应商参加同一合同项下投标的，以其中通过资格审查、符合性审查且报价最低的参加评标；报价相同的，由采购人或者采购人委托评标委员会按照招标文件规定的方式确定一个参加评标的供应商，招标文件未规定的采取随机抽取方式确定，其他投标无效。</w:t>
      </w:r>
    </w:p>
    <w:p w14:paraId="5BD294CB">
      <w:pPr>
        <w:ind w:firstLine="420" w:firstLineChars="200"/>
      </w:pPr>
      <w:r>
        <w:rPr>
          <w:rFonts w:hint="eastAsia"/>
        </w:rPr>
        <w:t>（2）非单一产品采购项目，采购人应当确定核心产品，并在招标文件中载明。不同供应商提供的核心产品品牌相同的，按上述规定处理。核心产品在第二章采购需求规定。</w:t>
      </w:r>
    </w:p>
    <w:p w14:paraId="148AF7EC">
      <w:pPr>
        <w:ind w:firstLine="420" w:firstLineChars="200"/>
      </w:pPr>
      <w:r>
        <w:rPr>
          <w:rFonts w:hint="eastAsia"/>
        </w:rPr>
        <w:t>6.3.6串通投标认定</w:t>
      </w:r>
    </w:p>
    <w:p w14:paraId="7F249DC4">
      <w:pPr>
        <w:ind w:firstLine="420" w:firstLineChars="200"/>
      </w:pPr>
      <w:r>
        <w:rPr>
          <w:rFonts w:hint="eastAsia"/>
        </w:rPr>
        <w:t>评标委员会须根据以下规定认定供应商是否有串通投标的行为。</w:t>
      </w:r>
    </w:p>
    <w:p w14:paraId="2EE2B5FB">
      <w:pPr>
        <w:ind w:firstLine="420" w:firstLineChars="200"/>
      </w:pPr>
      <w:bookmarkStart w:id="62" w:name="_Hlk19122026"/>
      <w:r>
        <w:rPr>
          <w:rFonts w:hint="eastAsia"/>
        </w:rPr>
        <w:t>（1）</w:t>
      </w:r>
      <w:bookmarkEnd w:id="62"/>
      <w:r>
        <w:rPr>
          <w:rFonts w:hint="eastAsia"/>
        </w:rPr>
        <w:t>根据《关于防治政府采购招标中串通投标行为的通知》（桂财采[2016]42号）规定，出现下述情况的，相关供应商的投标作无效投标处理。</w:t>
      </w:r>
    </w:p>
    <w:p w14:paraId="759ED397">
      <w:pPr>
        <w:ind w:firstLine="420" w:firstLineChars="200"/>
      </w:pPr>
      <w:bookmarkStart w:id="63" w:name="_Hlk19122039"/>
      <w:r>
        <w:rPr>
          <w:rFonts w:hint="eastAsia"/>
        </w:rPr>
        <w:t>①单位负责人为同一人或者存在直接控股、管理关系，参加同一合同项下政府采购活动的不同供应商。</w:t>
      </w:r>
    </w:p>
    <w:p w14:paraId="379FA4A1">
      <w:pPr>
        <w:ind w:firstLine="420" w:firstLineChars="200"/>
      </w:pPr>
      <w:r>
        <w:rPr>
          <w:rFonts w:hint="eastAsia"/>
        </w:rPr>
        <w:t>②授权给供应商后参加同一合同项（分标、分包）投标的生产厂商。</w:t>
      </w:r>
    </w:p>
    <w:p w14:paraId="0FEF235C">
      <w:pPr>
        <w:ind w:firstLine="420" w:firstLineChars="200"/>
      </w:pPr>
      <w:r>
        <w:rPr>
          <w:rFonts w:hint="eastAsia"/>
        </w:rPr>
        <w:t>③视为或被认定为串通投标的相关供应商。</w:t>
      </w:r>
    </w:p>
    <w:bookmarkEnd w:id="63"/>
    <w:p w14:paraId="3EBCF61E">
      <w:pPr>
        <w:ind w:firstLine="420" w:firstLineChars="200"/>
      </w:pPr>
      <w:bookmarkStart w:id="64" w:name="_Hlk19122058"/>
      <w:r>
        <w:rPr>
          <w:rFonts w:hint="eastAsia"/>
        </w:rPr>
        <w:t>（2）</w:t>
      </w:r>
      <w:bookmarkEnd w:id="64"/>
      <w:r>
        <w:rPr>
          <w:rFonts w:hint="eastAsia"/>
        </w:rPr>
        <w:t>根据《关于防治政府采购招标中串通投标行为的通知》（桂财采[2016]42号）规定，有下列情形之一的视为供应商相互串通投标，投标文件将被视为无效。</w:t>
      </w:r>
    </w:p>
    <w:p w14:paraId="186BF2ED">
      <w:pPr>
        <w:ind w:firstLine="420" w:firstLineChars="200"/>
      </w:pPr>
      <w:bookmarkStart w:id="65" w:name="_Hlk19122048"/>
      <w:r>
        <w:rPr>
          <w:rFonts w:hint="eastAsia"/>
        </w:rPr>
        <w:t>①不同供应商的投标文件由同一单位或者个人编制；或不同供应商报名的IP地址一致的；</w:t>
      </w:r>
    </w:p>
    <w:p w14:paraId="6CF2EEEC">
      <w:pPr>
        <w:ind w:firstLine="420" w:firstLineChars="200"/>
      </w:pPr>
      <w:r>
        <w:rPr>
          <w:rFonts w:hint="eastAsia"/>
        </w:rPr>
        <w:t>②不同供应商委托同一单位或者个人办理投标事宜；</w:t>
      </w:r>
    </w:p>
    <w:p w14:paraId="7A81CB69">
      <w:pPr>
        <w:ind w:firstLine="420" w:firstLineChars="200"/>
      </w:pPr>
      <w:r>
        <w:rPr>
          <w:rFonts w:hint="eastAsia"/>
        </w:rPr>
        <w:t>③不同的供应商的投标文件载明的项目管理员为同一个人；</w:t>
      </w:r>
    </w:p>
    <w:p w14:paraId="5CF47133">
      <w:pPr>
        <w:ind w:firstLine="420" w:firstLineChars="200"/>
      </w:pPr>
      <w:r>
        <w:rPr>
          <w:rFonts w:hint="eastAsia"/>
        </w:rPr>
        <w:t>④不同供应商的投标文件异常一致或投标报价呈规律性差异；</w:t>
      </w:r>
    </w:p>
    <w:p w14:paraId="167738B3">
      <w:pPr>
        <w:ind w:firstLine="420" w:firstLineChars="200"/>
      </w:pPr>
      <w:r>
        <w:rPr>
          <w:rFonts w:hint="eastAsia"/>
        </w:rPr>
        <w:t>⑤不同供应商的投标文件相互混装；</w:t>
      </w:r>
    </w:p>
    <w:p w14:paraId="6738EF21">
      <w:pPr>
        <w:ind w:firstLine="420" w:firstLineChars="200"/>
      </w:pPr>
      <w:r>
        <w:rPr>
          <w:rFonts w:hint="eastAsia"/>
        </w:rPr>
        <w:t>⑥不同供应商的保证金从同一单位或者个人账户转出。</w:t>
      </w:r>
    </w:p>
    <w:bookmarkEnd w:id="65"/>
    <w:p w14:paraId="0E33BFBB">
      <w:pPr>
        <w:ind w:firstLine="420" w:firstLineChars="200"/>
      </w:pPr>
      <w:bookmarkStart w:id="66" w:name="_Hlk19122102"/>
      <w:r>
        <w:rPr>
          <w:rFonts w:hint="eastAsia"/>
        </w:rPr>
        <w:t>（3）</w:t>
      </w:r>
      <w:bookmarkEnd w:id="66"/>
      <w:r>
        <w:rPr>
          <w:rFonts w:hint="eastAsia"/>
        </w:rPr>
        <w:t>根据《关于防治政府采购招标中串通投标行为的通知》（桂财采[2016]42号）规定，供应商有下列情形之一的，属于恶意串通行为，投标文件将被视为无效。</w:t>
      </w:r>
    </w:p>
    <w:p w14:paraId="6C2DDBA7">
      <w:pPr>
        <w:ind w:firstLine="420" w:firstLineChars="200"/>
      </w:pPr>
      <w:bookmarkStart w:id="67" w:name="_Hlk19122095"/>
      <w:r>
        <w:rPr>
          <w:rFonts w:hint="eastAsia"/>
        </w:rPr>
        <w:t>①供应商直接或者间接从采购人或者采购代理机构处获得其他供应商的相关信息并修改其投标文件或者响应文件；</w:t>
      </w:r>
    </w:p>
    <w:p w14:paraId="5EB867CF">
      <w:pPr>
        <w:ind w:firstLine="420" w:firstLineChars="200"/>
      </w:pPr>
      <w:r>
        <w:rPr>
          <w:rFonts w:hint="eastAsia"/>
        </w:rPr>
        <w:t>②供应商按照采购人或者采购代理机构的授意撤换、修改投标文件或者响应文件;；</w:t>
      </w:r>
    </w:p>
    <w:p w14:paraId="5C272D31">
      <w:pPr>
        <w:ind w:firstLine="420" w:firstLineChars="200"/>
      </w:pPr>
      <w:r>
        <w:rPr>
          <w:rFonts w:hint="eastAsia"/>
        </w:rPr>
        <w:t>③供应商之间协商报价、技术方案等投标文件或者响应文件的实质性内容；</w:t>
      </w:r>
    </w:p>
    <w:p w14:paraId="08980088">
      <w:pPr>
        <w:ind w:firstLine="420" w:firstLineChars="200"/>
      </w:pPr>
      <w:r>
        <w:rPr>
          <w:rFonts w:hint="eastAsia"/>
        </w:rPr>
        <w:t>④属于同一集团、协会、商会等组织成员的供应商按照该组织要求协同参加政府采购活动；</w:t>
      </w:r>
    </w:p>
    <w:p w14:paraId="4D0F23B9">
      <w:pPr>
        <w:ind w:firstLine="420" w:firstLineChars="200"/>
      </w:pPr>
      <w:r>
        <w:rPr>
          <w:rFonts w:hint="eastAsia"/>
        </w:rPr>
        <w:t>⑤供应商之间事先约定一致抬高或者压低投标报价，或者在招标项目中事先约定轮流以高价位或者低价位中标，或者事先约定由某一特定供应商中标，然后再参加投标；</w:t>
      </w:r>
    </w:p>
    <w:p w14:paraId="714CCC83">
      <w:pPr>
        <w:ind w:firstLine="420" w:firstLineChars="200"/>
      </w:pPr>
      <w:r>
        <w:rPr>
          <w:rFonts w:hint="eastAsia"/>
        </w:rPr>
        <w:t>⑥供应商之间商定部分供应商放弃参加政府采购活动或者放弃中标；</w:t>
      </w:r>
    </w:p>
    <w:p w14:paraId="355939DC">
      <w:pPr>
        <w:ind w:firstLine="420" w:firstLineChars="200"/>
      </w:pPr>
      <w:r>
        <w:rPr>
          <w:rFonts w:hint="eastAsia"/>
        </w:rPr>
        <w:t>⑦供应商与采购人或者采购代理机构之间、供应商相互之间，为谋求特定供应商中标或者排斥其他供应商的其他串通行为。</w:t>
      </w:r>
    </w:p>
    <w:bookmarkEnd w:id="67"/>
    <w:p w14:paraId="04A91DE9">
      <w:pPr>
        <w:ind w:firstLine="420" w:firstLineChars="200"/>
      </w:pPr>
      <w:r>
        <w:rPr>
          <w:rFonts w:hint="eastAsia"/>
        </w:rPr>
        <w:t>6.3.7投标无效认定</w:t>
      </w:r>
    </w:p>
    <w:p w14:paraId="59B3738B">
      <w:pPr>
        <w:ind w:firstLine="420" w:firstLineChars="200"/>
      </w:pPr>
      <w:bookmarkStart w:id="68" w:name="_Hlk19113301"/>
      <w:r>
        <w:rPr>
          <w:rFonts w:hint="eastAsia"/>
        </w:rPr>
        <w:t>（1）在评审过程中如发现下列情形之一的，投标文件将被视为无效：</w:t>
      </w:r>
    </w:p>
    <w:p w14:paraId="124AC222">
      <w:pPr>
        <w:ind w:firstLine="420" w:firstLineChars="200"/>
      </w:pPr>
      <w:r>
        <w:rPr>
          <w:rFonts w:hint="eastAsia"/>
        </w:rPr>
        <w:t>①投标文件存在法律、法规及监督部门有关文件规定的无效情形。</w:t>
      </w:r>
    </w:p>
    <w:p w14:paraId="1C5C6E59">
      <w:pPr>
        <w:ind w:firstLine="420" w:firstLineChars="200"/>
      </w:pPr>
      <w:r>
        <w:rPr>
          <w:rFonts w:hint="eastAsia"/>
        </w:rPr>
        <w:t>②投标文件存在招标文件规定的无效情形。</w:t>
      </w:r>
    </w:p>
    <w:bookmarkEnd w:id="68"/>
    <w:p w14:paraId="1D696634">
      <w:pPr>
        <w:ind w:firstLine="420" w:firstLineChars="200"/>
      </w:pPr>
      <w:bookmarkStart w:id="69" w:name="_Hlk19113313"/>
      <w:r>
        <w:rPr>
          <w:rFonts w:hint="eastAsia"/>
        </w:rPr>
        <w:t>（2）根据财库《关于促进政府采购公平竞争优化营商环境的通知》（〔2019〕38号）以及《广西壮族自治区财政厅转发财政部关于促进政府采购公平竞争优化营商环境的通知》（桂财采〔2019〕41号）规定，评标委员会不得因装订、纸张、文件排序等非实质性的格式、形式问题认定投标无效或否决投标，从而限制和影响供应商投标（响应）。</w:t>
      </w:r>
    </w:p>
    <w:bookmarkEnd w:id="69"/>
    <w:p w14:paraId="26529B0E">
      <w:pPr>
        <w:ind w:firstLine="420" w:firstLineChars="200"/>
      </w:pPr>
      <w:bookmarkStart w:id="70" w:name="_Hlk19113363"/>
      <w:r>
        <w:rPr>
          <w:rFonts w:hint="eastAsia"/>
        </w:rPr>
        <w:t>6.3.8比较与评价</w:t>
      </w:r>
    </w:p>
    <w:p w14:paraId="2C97C380">
      <w:pPr>
        <w:ind w:firstLine="420" w:firstLineChars="200"/>
      </w:pPr>
      <w:r>
        <w:rPr>
          <w:rFonts w:hint="eastAsia"/>
        </w:rPr>
        <w:t>（1）评标委员会按招标文件中规定的评审方法和标准，对符合性审查合格的投标文件进行综合比较与评价。</w:t>
      </w:r>
    </w:p>
    <w:p w14:paraId="2BD0ED7C">
      <w:pPr>
        <w:ind w:firstLine="420" w:firstLineChars="200"/>
      </w:pPr>
      <w:r>
        <w:rPr>
          <w:rFonts w:hint="eastAsia"/>
        </w:rPr>
        <w:t>（2）评标委员会各成员独立对每个有效供应商的投标文件进行评价。评价有误的应及时进行修正。评分标准如有客观分定义，评标委员会所有成员的客观分评分分值应当一致。</w:t>
      </w:r>
    </w:p>
    <w:p w14:paraId="064EB07D">
      <w:pPr>
        <w:ind w:firstLine="420" w:firstLineChars="200"/>
      </w:pPr>
      <w:r>
        <w:rPr>
          <w:rFonts w:hint="eastAsia"/>
        </w:rPr>
        <w:t>（3）评标委员会按综合评分由高到低的排列顺序推荐综合评分排名第一的为第一中标候选人。若中标候选人综合评分相同的，按投标报价由低到高顺序排列；综合评分且投标报价相同的并列；中标候选人并列的，按技术部分得分由高到低顺序排列，若综合评分、投标报价、技术部分均相同的，按商务部分得分由高到低顺序排列。</w:t>
      </w:r>
    </w:p>
    <w:p w14:paraId="35900476">
      <w:pPr>
        <w:ind w:firstLine="420" w:firstLineChars="200"/>
      </w:pPr>
      <w:r>
        <w:rPr>
          <w:rFonts w:hint="eastAsia"/>
        </w:rPr>
        <w:t>（4）评标委员会根据评审记录及评审结果编写评审报告，评标委员会成员均应当在评审报告上签字，对自己的评审意见承担法律责任。评审报告签署前，经复核发现存在以下情形之一的，评标委员会应当当场修改评审结果，并在评审报告中记载；评审报告签署后，采购人或者采购代理机构发现存在以下情形之一的，应当组织原评标委员会进行重新评审。</w:t>
      </w:r>
    </w:p>
    <w:p w14:paraId="7CF099AC">
      <w:pPr>
        <w:ind w:firstLine="420" w:firstLineChars="200"/>
      </w:pPr>
      <w:r>
        <w:rPr>
          <w:rFonts w:hint="eastAsia"/>
        </w:rPr>
        <w:t>分值汇总计算错误的；分项评分超出评分标准范围的；评标委员会成员对客观评审因素评分不一致的；经评标委员会认定评分畸高、畸低的。</w:t>
      </w:r>
    </w:p>
    <w:bookmarkEnd w:id="70"/>
    <w:p w14:paraId="6C30B1E9">
      <w:pPr>
        <w:ind w:firstLine="422" w:firstLineChars="200"/>
        <w:rPr>
          <w:b/>
          <w:bCs/>
        </w:rPr>
      </w:pPr>
      <w:r>
        <w:rPr>
          <w:rFonts w:hint="eastAsia"/>
          <w:b/>
          <w:bCs/>
        </w:rPr>
        <w:t>6.4确定中标人</w:t>
      </w:r>
    </w:p>
    <w:p w14:paraId="3B67586A">
      <w:pPr>
        <w:ind w:firstLine="420" w:firstLineChars="200"/>
      </w:pPr>
      <w:r>
        <w:rPr>
          <w:rFonts w:hint="eastAsia"/>
        </w:rPr>
        <w:t>6.4.1采购代理机构在评审结束后2个工作日内将评审报告送采购人，采购人在5个工作日内按照评审报告中推荐的中标候选供应商顺序确定中标人。</w:t>
      </w:r>
    </w:p>
    <w:p w14:paraId="78866EAA">
      <w:pPr>
        <w:ind w:firstLine="420" w:firstLineChars="200"/>
      </w:pPr>
      <w:r>
        <w:rPr>
          <w:rFonts w:hint="eastAsia"/>
        </w:rPr>
        <w:t>6.4.2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0B183CAA">
      <w:pPr>
        <w:ind w:firstLine="422" w:firstLineChars="200"/>
        <w:rPr>
          <w:b/>
          <w:bCs/>
        </w:rPr>
      </w:pPr>
      <w:r>
        <w:rPr>
          <w:rFonts w:hint="eastAsia"/>
          <w:b/>
          <w:bCs/>
        </w:rPr>
        <w:t>6.5结果公告</w:t>
      </w:r>
    </w:p>
    <w:p w14:paraId="4BF013FA">
      <w:pPr>
        <w:ind w:firstLine="420" w:firstLineChars="200"/>
      </w:pPr>
      <w:r>
        <w:rPr>
          <w:rFonts w:hint="eastAsia"/>
        </w:rPr>
        <w:t>6.5.1自中标人确定后2个工作日内，采购代理机构按照供应商须知前附表的规定公告中标结果。</w:t>
      </w:r>
    </w:p>
    <w:p w14:paraId="1D7BEA1C">
      <w:pPr>
        <w:ind w:firstLine="420" w:firstLineChars="200"/>
      </w:pPr>
      <w:r>
        <w:rPr>
          <w:rFonts w:hint="eastAsia"/>
        </w:rPr>
        <w:t>6.5.2在发布结果公告的同时，采购代理机构以供应商须知前附表规定的形式向中标人发出中标通知书。中标通知书发出后，采购人改变中标结果，或者中标人放弃中标，应当承担相应的法律责任。</w:t>
      </w:r>
    </w:p>
    <w:p w14:paraId="22AAAF53">
      <w:pPr>
        <w:ind w:firstLine="420" w:firstLineChars="200"/>
      </w:pPr>
      <w:r>
        <w:rPr>
          <w:rFonts w:hint="eastAsia"/>
        </w:rPr>
        <w:t>6.5.3在发布结果公告的同时，采购代理机构以供应商须知前附表规定的形式向未中标人发出招标结果通知书，供应商自行承担未及时查收的后果。</w:t>
      </w:r>
    </w:p>
    <w:p w14:paraId="78FCC87B">
      <w:pPr>
        <w:ind w:firstLine="422" w:firstLineChars="200"/>
        <w:rPr>
          <w:b/>
          <w:bCs/>
        </w:rPr>
      </w:pPr>
      <w:r>
        <w:rPr>
          <w:rFonts w:hint="eastAsia"/>
          <w:b/>
          <w:bCs/>
        </w:rPr>
        <w:t>6.6废标</w:t>
      </w:r>
    </w:p>
    <w:p w14:paraId="644E7807">
      <w:pPr>
        <w:ind w:firstLine="420" w:firstLineChars="200"/>
      </w:pPr>
      <w:r>
        <w:rPr>
          <w:rFonts w:hint="eastAsia"/>
        </w:rPr>
        <w:t xml:space="preserve">6.6.1出现下列情形之一，将导致项目废标： </w:t>
      </w:r>
    </w:p>
    <w:p w14:paraId="60B4B00A">
      <w:pPr>
        <w:ind w:firstLine="420" w:firstLineChars="200"/>
      </w:pPr>
      <w:r>
        <w:rPr>
          <w:rFonts w:hint="eastAsia"/>
        </w:rPr>
        <w:t>（1）符合专业条件的供应商或者对招标文件做实质性响应的供应商不足三家；</w:t>
      </w:r>
    </w:p>
    <w:p w14:paraId="3B3DCD72">
      <w:pPr>
        <w:ind w:firstLine="420" w:firstLineChars="200"/>
      </w:pPr>
      <w:r>
        <w:rPr>
          <w:rFonts w:hint="eastAsia"/>
        </w:rPr>
        <w:t>（2）出现影响采购公正的违法、违规行为的；</w:t>
      </w:r>
    </w:p>
    <w:p w14:paraId="1BC1FCAE">
      <w:pPr>
        <w:ind w:firstLine="420" w:firstLineChars="200"/>
      </w:pPr>
      <w:r>
        <w:rPr>
          <w:rFonts w:hint="eastAsia"/>
        </w:rPr>
        <w:t>（3）供应商的报价均超过了采购预算，采购人不能支付的；</w:t>
      </w:r>
    </w:p>
    <w:p w14:paraId="6FB9CA1F">
      <w:pPr>
        <w:ind w:firstLine="420" w:firstLineChars="200"/>
      </w:pPr>
      <w:r>
        <w:rPr>
          <w:rFonts w:hint="eastAsia"/>
        </w:rPr>
        <w:t>（4）因发生重大变故或采购任务取消的。</w:t>
      </w:r>
    </w:p>
    <w:p w14:paraId="33B046B2">
      <w:pPr>
        <w:ind w:firstLine="420" w:firstLineChars="200"/>
      </w:pPr>
      <w:r>
        <w:rPr>
          <w:rFonts w:hint="eastAsia"/>
        </w:rPr>
        <w:t>6.6.2废标后采购代理机构将发布废标公告通知供应商。</w:t>
      </w:r>
      <w:bookmarkEnd w:id="57"/>
    </w:p>
    <w:bookmarkEnd w:id="54"/>
    <w:p w14:paraId="0D4B98FC">
      <w:pPr>
        <w:ind w:firstLine="422" w:firstLineChars="200"/>
        <w:rPr>
          <w:b/>
          <w:bCs/>
        </w:rPr>
      </w:pPr>
      <w:r>
        <w:rPr>
          <w:rFonts w:hint="eastAsia"/>
          <w:b/>
          <w:bCs/>
        </w:rPr>
        <w:t>7．合同</w:t>
      </w:r>
    </w:p>
    <w:p w14:paraId="21A2DD47">
      <w:pPr>
        <w:ind w:firstLine="422" w:firstLineChars="200"/>
        <w:rPr>
          <w:b/>
          <w:bCs/>
        </w:rPr>
      </w:pPr>
      <w:r>
        <w:rPr>
          <w:rFonts w:hint="eastAsia"/>
          <w:b/>
          <w:bCs/>
        </w:rPr>
        <w:t>7.1合同授予标准</w:t>
      </w:r>
    </w:p>
    <w:p w14:paraId="7C5A7527">
      <w:pPr>
        <w:ind w:firstLine="420" w:firstLineChars="200"/>
      </w:pPr>
      <w:r>
        <w:rPr>
          <w:rFonts w:hint="eastAsia"/>
        </w:rPr>
        <w:t>合同将授予被确定实质上响应招标文件要求，具备履行合同能力，综合评分排名第一的供应商（具体规定详见第三章供应商须知前附表）。在中标通知书发出前或签订合同前，如果中标人的组织机构、经营、财务状况发生较大变化，可能造成不能履行合同、无法按照招标文件要求提交履约保证金等情形，不符合中标条件或不满足供应商资格条件要求 ，应在中标通知书发出前或签订合同前及时书面告知采购人，未主动告知，给采购人造成损失的，采购人有权取消其中标资格并没收投标保证金。</w:t>
      </w:r>
    </w:p>
    <w:p w14:paraId="2B8D49BC">
      <w:pPr>
        <w:ind w:firstLine="422" w:firstLineChars="200"/>
        <w:rPr>
          <w:b/>
          <w:bCs/>
        </w:rPr>
      </w:pPr>
      <w:r>
        <w:rPr>
          <w:rFonts w:hint="eastAsia"/>
          <w:b/>
          <w:bCs/>
        </w:rPr>
        <w:t>7.2签订合同</w:t>
      </w:r>
    </w:p>
    <w:p w14:paraId="6D25D8E2">
      <w:pPr>
        <w:ind w:firstLine="420" w:firstLineChars="200"/>
      </w:pPr>
      <w:bookmarkStart w:id="71" w:name="_Hlk93421039"/>
      <w:r>
        <w:rPr>
          <w:rFonts w:hint="eastAsia"/>
        </w:rPr>
        <w:t>7.2.1如招标文件无特别规定，中标人按招标文件确定的事项签订政府采购合同。</w:t>
      </w:r>
    </w:p>
    <w:p w14:paraId="35294E7F">
      <w:pPr>
        <w:ind w:firstLine="420" w:firstLineChars="200"/>
      </w:pPr>
      <w:r>
        <w:rPr>
          <w:rFonts w:hint="eastAsia"/>
        </w:rPr>
        <w:t>7.2.2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1447B918">
      <w:pPr>
        <w:ind w:firstLine="420" w:firstLineChars="200"/>
      </w:pPr>
      <w:r>
        <w:rPr>
          <w:rFonts w:hint="eastAsia"/>
        </w:rPr>
        <w:t>7.2.3如中标人不按中标通知书的规定签订合同，其投标保证金将不予退还，并报由同级政府采购监督管理部门处理。</w:t>
      </w:r>
    </w:p>
    <w:p w14:paraId="1E4814EA">
      <w:pPr>
        <w:ind w:firstLine="420" w:firstLineChars="200"/>
      </w:pPr>
      <w:r>
        <w:rPr>
          <w:rFonts w:hint="eastAsia"/>
        </w:rPr>
        <w:t>7.2.4中标人拒绝与采购人签订合同的，采购人可以按照评审报告推荐的中标候选人名单排序，确定下一候选人为中标人，也可以重新开展政府采购活动。</w:t>
      </w:r>
    </w:p>
    <w:bookmarkEnd w:id="71"/>
    <w:p w14:paraId="25FC0274">
      <w:pPr>
        <w:ind w:firstLine="422" w:firstLineChars="200"/>
        <w:rPr>
          <w:b/>
          <w:bCs/>
        </w:rPr>
      </w:pPr>
      <w:r>
        <w:rPr>
          <w:rFonts w:hint="eastAsia"/>
          <w:b/>
          <w:bCs/>
        </w:rPr>
        <w:t>7.3合同公告</w:t>
      </w:r>
    </w:p>
    <w:p w14:paraId="5399B026">
      <w:pPr>
        <w:ind w:firstLine="420" w:firstLineChars="200"/>
      </w:pPr>
      <w:bookmarkStart w:id="72" w:name="_Hlk93421052"/>
      <w:r>
        <w:rPr>
          <w:rFonts w:hint="eastAsia"/>
        </w:rPr>
        <w:t>7.3.1如招标文件无特殊规定，中标人应在签订合同后1个工作日内，将政府采购合同副本送采购代理机构存档。</w:t>
      </w:r>
    </w:p>
    <w:p w14:paraId="448D299D">
      <w:pPr>
        <w:ind w:firstLine="420" w:firstLineChars="200"/>
      </w:pPr>
      <w:r>
        <w:rPr>
          <w:rFonts w:hint="eastAsia"/>
        </w:rPr>
        <w:t>7.3.2采购人应当自政府采购合同签订之日起2个工作日内，将政府采购合同在省级以上人民政府财政部门指定的媒体上公告，但政府采购合同中涉及国家秘密、商业秘密的内容除外。</w:t>
      </w:r>
    </w:p>
    <w:bookmarkEnd w:id="72"/>
    <w:p w14:paraId="3A271F3F">
      <w:pPr>
        <w:ind w:firstLine="422" w:firstLineChars="200"/>
        <w:rPr>
          <w:b/>
          <w:bCs/>
        </w:rPr>
      </w:pPr>
      <w:r>
        <w:rPr>
          <w:rFonts w:hint="eastAsia"/>
          <w:b/>
          <w:bCs/>
        </w:rPr>
        <w:t>7.4 履行合同</w:t>
      </w:r>
    </w:p>
    <w:p w14:paraId="19D88C7B">
      <w:pPr>
        <w:ind w:firstLine="420" w:firstLineChars="200"/>
      </w:pPr>
      <w:bookmarkStart w:id="73" w:name="_Hlk93421061"/>
      <w:r>
        <w:rPr>
          <w:rFonts w:hint="eastAsia"/>
        </w:rPr>
        <w:t>7.4.1</w:t>
      </w:r>
      <w:bookmarkStart w:id="74" w:name="_Toc217446070"/>
      <w:bookmarkStart w:id="75" w:name="_Toc308164814"/>
      <w:r>
        <w:rPr>
          <w:rFonts w:hint="eastAsia"/>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73"/>
    <w:p w14:paraId="74532DC2">
      <w:pPr>
        <w:ind w:firstLine="422" w:firstLineChars="200"/>
        <w:rPr>
          <w:b/>
          <w:bCs/>
        </w:rPr>
      </w:pPr>
      <w:r>
        <w:rPr>
          <w:rFonts w:hint="eastAsia"/>
          <w:b/>
          <w:bCs/>
        </w:rPr>
        <w:t>7.5履约验收</w:t>
      </w:r>
      <w:bookmarkEnd w:id="74"/>
      <w:bookmarkEnd w:id="75"/>
    </w:p>
    <w:p w14:paraId="45543CD5">
      <w:pPr>
        <w:ind w:firstLine="420" w:firstLineChars="200"/>
      </w:pPr>
      <w:bookmarkStart w:id="76" w:name="_Hlk93421069"/>
      <w:r>
        <w:rPr>
          <w:rFonts w:hint="eastAsia"/>
        </w:rPr>
        <w:t>7.5.1采购人可以根据政府采购项目具体情况自行组织验收，或者委托政府采购代理机构、国家认可的质量检测机构开展采购项目履约验收工作。</w:t>
      </w:r>
    </w:p>
    <w:p w14:paraId="164A8E0B">
      <w:pPr>
        <w:ind w:firstLine="420" w:firstLineChars="200"/>
      </w:pPr>
      <w:r>
        <w:rPr>
          <w:rFonts w:hint="eastAsia"/>
        </w:rPr>
        <w:t>7.5.2验收结果合格的，中标人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2368F209">
      <w:pPr>
        <w:ind w:firstLine="420" w:firstLineChars="200"/>
      </w:pPr>
      <w:r>
        <w:rPr>
          <w:rFonts w:hint="eastAsia"/>
        </w:rPr>
        <w:t>7.5.3采购合同项目完成验收后，采购人应当将验收原始记录、验收书等资料作为该采购项目档案妥善保管，不得伪造、变造、隐匿或者销毁，验收资料保存期为采购结束之日起至少保存15年。</w:t>
      </w:r>
    </w:p>
    <w:p w14:paraId="1E1EB2D2">
      <w:pPr>
        <w:ind w:firstLine="420" w:firstLineChars="200"/>
      </w:pPr>
      <w:r>
        <w:rPr>
          <w:rFonts w:hint="eastAsia"/>
        </w:rPr>
        <w:t>7.5.4本项目将严格按照本招标文件及合同有关规定进行合同履约验收。招标文件或合同未规定的按财政部关于进一步加强政府采购需求和履约验收管理的指导意见（财库〔2016〕205号）以及《广西壮族自治区政府采购项目履约验收管理办法》（桂财采〔2015〕22号）的规定执行。</w:t>
      </w:r>
    </w:p>
    <w:bookmarkEnd w:id="76"/>
    <w:p w14:paraId="4CD95766">
      <w:pPr>
        <w:ind w:firstLine="422" w:firstLineChars="200"/>
        <w:rPr>
          <w:b/>
          <w:bCs/>
        </w:rPr>
      </w:pPr>
      <w:bookmarkStart w:id="77" w:name="_Toc254970533"/>
      <w:bookmarkStart w:id="78" w:name="_Toc254970674"/>
      <w:r>
        <w:rPr>
          <w:rFonts w:hint="eastAsia"/>
          <w:b/>
          <w:bCs/>
        </w:rPr>
        <w:t>8．质疑和投诉</w:t>
      </w:r>
      <w:bookmarkEnd w:id="77"/>
      <w:bookmarkEnd w:id="78"/>
    </w:p>
    <w:p w14:paraId="3FF0E09B">
      <w:pPr>
        <w:ind w:firstLine="422" w:firstLineChars="200"/>
        <w:rPr>
          <w:b/>
          <w:bCs/>
        </w:rPr>
      </w:pPr>
      <w:r>
        <w:rPr>
          <w:rFonts w:hint="eastAsia"/>
          <w:b/>
          <w:bCs/>
        </w:rPr>
        <w:t>8.1质疑</w:t>
      </w:r>
    </w:p>
    <w:p w14:paraId="1E19D143">
      <w:pPr>
        <w:ind w:firstLine="420" w:firstLineChars="200"/>
      </w:pPr>
      <w:r>
        <w:rPr>
          <w:rFonts w:hint="eastAsia"/>
        </w:rPr>
        <w:t>8.1.1质疑内容、时限</w:t>
      </w:r>
    </w:p>
    <w:p w14:paraId="1A449AD2">
      <w:pPr>
        <w:ind w:firstLine="420" w:firstLineChars="200"/>
      </w:pPr>
      <w:r>
        <w:rPr>
          <w:rFonts w:hint="eastAsia"/>
        </w:rPr>
        <w:t>（1）</w:t>
      </w:r>
      <w:r>
        <w:rPr>
          <w:rFonts w:hint="eastAsia" w:ascii="宋体" w:hAnsi="宋体"/>
          <w:color w:val="auto"/>
          <w:szCs w:val="21"/>
        </w:rPr>
        <w:t>供应商对政府采购活动事项有疑问的，可以向采购人提出询问，采购人或者采购代理机构应当在3个工作日内对供应商依法提出的询问作出答复，但答复的内容不得涉及商业秘密。</w:t>
      </w:r>
    </w:p>
    <w:p w14:paraId="31F2555A">
      <w:pPr>
        <w:ind w:firstLine="420" w:firstLineChars="200"/>
        <w:rPr>
          <w:rFonts w:hint="eastAsia" w:hAnsi="宋体"/>
          <w:color w:val="auto"/>
          <w:sz w:val="21"/>
        </w:rPr>
      </w:pPr>
      <w:r>
        <w:rPr>
          <w:rFonts w:hint="eastAsia"/>
        </w:rPr>
        <w:t>（2）供应商为认为招标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r>
        <w:rPr>
          <w:rFonts w:hint="eastAsia" w:hAnsi="宋体"/>
          <w:color w:val="auto"/>
          <w:sz w:val="21"/>
        </w:rPr>
        <w:t>具体质疑起算时间如下：</w:t>
      </w:r>
    </w:p>
    <w:p w14:paraId="3D102A76">
      <w:pPr>
        <w:pStyle w:val="27"/>
        <w:snapToGrid w:val="0"/>
        <w:spacing w:line="360" w:lineRule="auto"/>
        <w:ind w:firstLine="420" w:firstLineChars="200"/>
        <w:rPr>
          <w:rFonts w:hint="eastAsia" w:hAnsi="宋体"/>
          <w:color w:val="auto"/>
          <w:sz w:val="21"/>
        </w:rPr>
      </w:pPr>
      <w:r>
        <w:rPr>
          <w:rFonts w:hint="eastAsia" w:hAnsi="宋体"/>
          <w:color w:val="auto"/>
          <w:sz w:val="21"/>
          <w:lang w:val="en-US" w:eastAsia="zh-CN"/>
        </w:rPr>
        <w:t>①</w:t>
      </w:r>
      <w:r>
        <w:rPr>
          <w:rFonts w:hint="eastAsia" w:hAnsi="宋体"/>
          <w:color w:val="auto"/>
          <w:sz w:val="21"/>
        </w:rPr>
        <w:t>对可以质疑的招标文件提出质疑的，为收到招标文件之日或者招标文件公告期限届满之日；</w:t>
      </w:r>
    </w:p>
    <w:p w14:paraId="3039CB75">
      <w:pPr>
        <w:pStyle w:val="27"/>
        <w:snapToGrid w:val="0"/>
        <w:spacing w:line="360" w:lineRule="auto"/>
        <w:ind w:firstLine="420" w:firstLineChars="200"/>
        <w:rPr>
          <w:rFonts w:hint="eastAsia" w:hAnsi="宋体"/>
          <w:color w:val="auto"/>
          <w:sz w:val="21"/>
        </w:rPr>
      </w:pPr>
      <w:r>
        <w:rPr>
          <w:rFonts w:hint="eastAsia" w:hAnsi="宋体"/>
          <w:color w:val="auto"/>
          <w:sz w:val="21"/>
          <w:lang w:val="en-US" w:eastAsia="zh-CN"/>
        </w:rPr>
        <w:t>②</w:t>
      </w:r>
      <w:r>
        <w:rPr>
          <w:rFonts w:hint="eastAsia" w:hAnsi="宋体"/>
          <w:color w:val="auto"/>
          <w:sz w:val="21"/>
        </w:rPr>
        <w:t>对采购过程提出质疑的，为各采购程序环节结束之日；</w:t>
      </w:r>
    </w:p>
    <w:p w14:paraId="45D4FC3A">
      <w:pPr>
        <w:ind w:firstLine="420" w:firstLineChars="200"/>
        <w:rPr>
          <w:rFonts w:hint="eastAsia" w:hAnsi="宋体"/>
          <w:color w:val="auto"/>
          <w:sz w:val="21"/>
        </w:rPr>
      </w:pPr>
      <w:r>
        <w:rPr>
          <w:rFonts w:hint="eastAsia" w:hAnsi="宋体"/>
          <w:color w:val="auto"/>
          <w:sz w:val="21"/>
          <w:lang w:val="en-US" w:eastAsia="zh-CN"/>
        </w:rPr>
        <w:t>③</w:t>
      </w:r>
      <w:r>
        <w:rPr>
          <w:rFonts w:hint="eastAsia" w:hAnsi="宋体"/>
          <w:color w:val="auto"/>
          <w:sz w:val="21"/>
        </w:rPr>
        <w:t>对中标结果提出质疑的，为中标结果公告期限届满之日。</w:t>
      </w:r>
    </w:p>
    <w:p w14:paraId="13A233F4">
      <w:pPr>
        <w:ind w:firstLine="420" w:firstLineChars="200"/>
      </w:pPr>
      <w:r>
        <w:rPr>
          <w:rFonts w:hint="eastAsia"/>
        </w:rPr>
        <w:t>8.1.2质疑形式</w:t>
      </w:r>
    </w:p>
    <w:p w14:paraId="4B3617B1">
      <w:pPr>
        <w:ind w:firstLine="420" w:firstLineChars="200"/>
      </w:pPr>
      <w:r>
        <w:rPr>
          <w:rFonts w:hint="eastAsia"/>
        </w:rPr>
        <w:t>质疑应当采用供应商须知前附表所规定的形式，质疑书应明确阐述招标文件、采购过程或中标结果中使自己合法权益受到损害的实质性内容，提供相关事实、依据和证据及其来源或线索，便于有关单位调查、答复和处理。</w:t>
      </w:r>
    </w:p>
    <w:p w14:paraId="001B7EB0">
      <w:pPr>
        <w:ind w:firstLine="420" w:firstLineChars="200"/>
      </w:pPr>
      <w:r>
        <w:rPr>
          <w:rFonts w:hint="eastAsia"/>
        </w:rPr>
        <w:t>8.1.3 供应商提出质疑应当提交质疑函和必要的证明材料。</w:t>
      </w:r>
      <w:r>
        <w:rPr>
          <w:rFonts w:hint="eastAsia" w:hAnsi="宋体"/>
          <w:color w:val="auto"/>
          <w:sz w:val="21"/>
        </w:rPr>
        <w:t>针对同一采购程序环节的质疑必须在法定质疑期内一次性提出。</w:t>
      </w:r>
      <w:r>
        <w:rPr>
          <w:rFonts w:hint="eastAsia"/>
        </w:rPr>
        <w:t>质疑函应当包括下列内容：</w:t>
      </w:r>
    </w:p>
    <w:p w14:paraId="1DD5BB2A">
      <w:pPr>
        <w:pStyle w:val="27"/>
        <w:snapToGrid w:val="0"/>
        <w:spacing w:line="360" w:lineRule="auto"/>
        <w:ind w:firstLine="420" w:firstLineChars="200"/>
        <w:rPr>
          <w:rFonts w:hint="eastAsia" w:hAnsi="宋体"/>
          <w:color w:val="auto"/>
          <w:sz w:val="21"/>
        </w:rPr>
      </w:pPr>
      <w:r>
        <w:rPr>
          <w:rFonts w:hint="eastAsia" w:hAnsi="宋体"/>
          <w:color w:val="auto"/>
          <w:sz w:val="21"/>
        </w:rPr>
        <w:t>（1）供应商的姓名或者名称、地址、邮编、联系人及联系电话；</w:t>
      </w:r>
    </w:p>
    <w:p w14:paraId="2B7A094F">
      <w:pPr>
        <w:pStyle w:val="27"/>
        <w:snapToGrid w:val="0"/>
        <w:spacing w:line="360" w:lineRule="auto"/>
        <w:ind w:firstLine="420" w:firstLineChars="200"/>
        <w:rPr>
          <w:rFonts w:hint="eastAsia" w:hAnsi="宋体"/>
          <w:color w:val="auto"/>
          <w:sz w:val="21"/>
        </w:rPr>
      </w:pPr>
      <w:r>
        <w:rPr>
          <w:rFonts w:hint="eastAsia" w:hAnsi="宋体"/>
          <w:color w:val="auto"/>
          <w:sz w:val="21"/>
        </w:rPr>
        <w:t>（2）质疑项目的名称、编号；</w:t>
      </w:r>
    </w:p>
    <w:p w14:paraId="03C3E761">
      <w:pPr>
        <w:pStyle w:val="27"/>
        <w:snapToGrid w:val="0"/>
        <w:spacing w:line="360" w:lineRule="auto"/>
        <w:ind w:firstLine="420" w:firstLineChars="200"/>
        <w:rPr>
          <w:rFonts w:hint="eastAsia" w:hAnsi="宋体"/>
          <w:color w:val="auto"/>
          <w:sz w:val="21"/>
        </w:rPr>
      </w:pPr>
      <w:r>
        <w:rPr>
          <w:rFonts w:hint="eastAsia" w:hAnsi="宋体"/>
          <w:color w:val="auto"/>
          <w:sz w:val="21"/>
        </w:rPr>
        <w:t>（3）具体、明确的质疑事项和与质疑事项相关的请求；</w:t>
      </w:r>
    </w:p>
    <w:p w14:paraId="0D903940">
      <w:pPr>
        <w:pStyle w:val="27"/>
        <w:snapToGrid w:val="0"/>
        <w:spacing w:line="360" w:lineRule="auto"/>
        <w:ind w:firstLine="420" w:firstLineChars="200"/>
        <w:rPr>
          <w:rFonts w:hint="eastAsia" w:hAnsi="宋体"/>
          <w:color w:val="auto"/>
          <w:sz w:val="21"/>
        </w:rPr>
      </w:pPr>
      <w:r>
        <w:rPr>
          <w:rFonts w:hint="eastAsia" w:hAnsi="宋体"/>
          <w:color w:val="auto"/>
          <w:sz w:val="21"/>
        </w:rPr>
        <w:t>（4）事实依据；</w:t>
      </w:r>
    </w:p>
    <w:p w14:paraId="70F10AE3">
      <w:pPr>
        <w:pStyle w:val="27"/>
        <w:snapToGrid w:val="0"/>
        <w:spacing w:line="360" w:lineRule="auto"/>
        <w:ind w:firstLine="420" w:firstLineChars="200"/>
        <w:rPr>
          <w:rFonts w:hint="eastAsia" w:hAnsi="宋体"/>
          <w:color w:val="auto"/>
          <w:sz w:val="21"/>
        </w:rPr>
      </w:pPr>
      <w:r>
        <w:rPr>
          <w:rFonts w:hint="eastAsia" w:hAnsi="宋体"/>
          <w:color w:val="auto"/>
          <w:sz w:val="21"/>
        </w:rPr>
        <w:t>（5）必要的法律依据；</w:t>
      </w:r>
    </w:p>
    <w:p w14:paraId="1419D6AC">
      <w:pPr>
        <w:ind w:firstLine="420" w:firstLineChars="200"/>
      </w:pPr>
      <w:r>
        <w:rPr>
          <w:rFonts w:hint="eastAsia" w:hAnsi="宋体"/>
          <w:color w:val="auto"/>
          <w:sz w:val="21"/>
        </w:rPr>
        <w:t>（6）提出质疑的日期。</w:t>
      </w:r>
    </w:p>
    <w:p w14:paraId="17ADFF78">
      <w:pPr>
        <w:ind w:firstLine="420" w:firstLineChars="200"/>
        <w:rPr>
          <w:rFonts w:hint="eastAsia"/>
        </w:rPr>
      </w:pPr>
      <w:r>
        <w:rPr>
          <w:rFonts w:hint="eastAsia"/>
        </w:rPr>
        <w:t xml:space="preserve">供应商为自然人的，应当由本人签字；供应商为法人或者其他组织的，应当由法定代表人、主要负责人，或者其授权代表签字或者盖章，并加盖公章。 </w:t>
      </w:r>
    </w:p>
    <w:p w14:paraId="2D61FFFA">
      <w:pPr>
        <w:ind w:firstLine="420" w:firstLineChars="200"/>
        <w:rPr>
          <w:rFonts w:hint="eastAsia" w:ascii="宋体" w:hAnsi="宋体" w:eastAsia="宋体" w:cs="宋体"/>
          <w:lang w:val="en-US" w:eastAsia="zh-CN"/>
        </w:rPr>
      </w:pPr>
      <w:r>
        <w:rPr>
          <w:rFonts w:hint="eastAsia" w:ascii="宋体" w:hAnsi="宋体" w:eastAsia="宋体" w:cs="宋体"/>
          <w:lang w:val="en-US" w:eastAsia="zh-CN"/>
        </w:rPr>
        <w:t>8.1.4采购人、采购代理机构认为供应商质疑不成立，或者成立但未对中标结果构成影响的，继续开展采购活动；认为供应商质疑成立且影响或者可能影响中标结果的，按照下列情况处理：</w:t>
      </w:r>
    </w:p>
    <w:p w14:paraId="5F2C3731">
      <w:pPr>
        <w:ind w:firstLine="420" w:firstLineChars="200"/>
        <w:rPr>
          <w:rFonts w:hint="eastAsia" w:ascii="宋体" w:hAnsi="宋体" w:eastAsia="宋体" w:cs="宋体"/>
          <w:lang w:val="en-US" w:eastAsia="zh-CN"/>
        </w:rPr>
      </w:pPr>
      <w:r>
        <w:rPr>
          <w:rFonts w:hint="eastAsia" w:ascii="宋体" w:hAnsi="宋体" w:eastAsia="宋体" w:cs="宋体"/>
          <w:lang w:val="en-US" w:eastAsia="zh-CN"/>
        </w:rPr>
        <w:t>（1）对招标文件提出的质疑，依法通过澄清或者修改可以继续开展采购活动的，澄清或者修改招标文件后继续开展采购活动；否则应当修改招标文件后重新开展采购活动。</w:t>
      </w:r>
    </w:p>
    <w:p w14:paraId="2F03F46C">
      <w:pPr>
        <w:ind w:firstLine="420" w:firstLineChars="200"/>
        <w:rPr>
          <w:rFonts w:hint="eastAsia" w:ascii="宋体" w:hAnsi="宋体" w:eastAsia="宋体" w:cs="宋体"/>
          <w:lang w:val="en-US" w:eastAsia="zh-CN"/>
        </w:rPr>
      </w:pPr>
      <w:r>
        <w:rPr>
          <w:rFonts w:hint="eastAsia" w:ascii="宋体" w:hAnsi="宋体" w:eastAsia="宋体" w:cs="宋体"/>
          <w:lang w:val="en-US" w:eastAsia="zh-CN"/>
        </w:rPr>
        <w:t>（2）对采购过程、中标结果提出的质疑，合格供应商符合法定数量时，可以从合格的中标候选人中另行确定中标人的，应当依法另行确定中标人；否则应当重新开展采购活动。</w:t>
      </w:r>
    </w:p>
    <w:p w14:paraId="57D8627E">
      <w:pPr>
        <w:ind w:firstLine="420" w:firstLineChars="200"/>
        <w:rPr>
          <w:rFonts w:hint="default" w:ascii="宋体" w:hAnsi="宋体" w:eastAsia="宋体" w:cs="宋体"/>
          <w:lang w:val="en-US" w:eastAsia="zh-CN"/>
        </w:rPr>
      </w:pPr>
      <w:r>
        <w:rPr>
          <w:rFonts w:hint="eastAsia" w:ascii="宋体" w:hAnsi="宋体" w:eastAsia="宋体" w:cs="宋体"/>
          <w:lang w:val="en-US" w:eastAsia="zh-CN"/>
        </w:rPr>
        <w:t>质疑答复导致中标结果改变的，采购人或者采购代理机构应当将有关情况书面报告本级财政部门。</w:t>
      </w:r>
    </w:p>
    <w:p w14:paraId="63A785DD">
      <w:pPr>
        <w:ind w:firstLine="422" w:firstLineChars="200"/>
        <w:rPr>
          <w:b/>
          <w:bCs/>
        </w:rPr>
      </w:pPr>
      <w:r>
        <w:rPr>
          <w:rFonts w:hint="eastAsia"/>
          <w:b/>
          <w:bCs/>
        </w:rPr>
        <w:t>8.2投诉</w:t>
      </w:r>
    </w:p>
    <w:p w14:paraId="6BF2052F">
      <w:pPr>
        <w:ind w:firstLine="420" w:firstLineChars="200"/>
      </w:pPr>
      <w:r>
        <w:rPr>
          <w:rFonts w:hint="eastAsia"/>
        </w:rPr>
        <w:t>8.2.1</w:t>
      </w:r>
      <w:r>
        <w:rPr>
          <w:rFonts w:hint="eastAsia" w:hAnsi="宋体"/>
          <w:color w:val="auto"/>
          <w:sz w:val="2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w:t>
      </w:r>
      <w:r>
        <w:rPr>
          <w:rFonts w:hint="eastAsia"/>
        </w:rPr>
        <w:t>。</w:t>
      </w:r>
    </w:p>
    <w:p w14:paraId="636D5528">
      <w:pPr>
        <w:ind w:firstLine="420" w:firstLineChars="200"/>
      </w:pPr>
      <w:r>
        <w:rPr>
          <w:rFonts w:hint="eastAsia"/>
        </w:rPr>
        <w:t>8.2.2投诉书应使用财政部发布的政府采购供应投诉书范本，并应按照“投诉书制作说明”进行编写。</w:t>
      </w:r>
    </w:p>
    <w:p w14:paraId="29F6288A">
      <w:pPr>
        <w:ind w:firstLine="422" w:firstLineChars="200"/>
        <w:rPr>
          <w:b/>
          <w:bCs/>
        </w:rPr>
      </w:pPr>
      <w:bookmarkStart w:id="79" w:name="_Hlk93421085"/>
      <w:r>
        <w:rPr>
          <w:rFonts w:hint="eastAsia"/>
          <w:b/>
          <w:bCs/>
        </w:rPr>
        <w:t>9．促进中小企业发展政策</w:t>
      </w:r>
    </w:p>
    <w:p w14:paraId="0C2C5105">
      <w:pPr>
        <w:ind w:firstLine="420" w:firstLineChars="200"/>
      </w:pPr>
      <w:bookmarkStart w:id="80" w:name="_Hlk92205820"/>
      <w:r>
        <w:rPr>
          <w:rFonts w:hint="eastAsia"/>
        </w:rPr>
        <w:t>9.1本项目落实促进中小企业发展政策措施在前附表规定。依据促进中小企业发展政策获得政府采购合同的，小微企业不得将合同分包给大中型企业，中型企业不得将合同分包给大型企业。</w:t>
      </w:r>
    </w:p>
    <w:p w14:paraId="0BEA2CB0">
      <w:pPr>
        <w:ind w:firstLine="420" w:firstLineChars="200"/>
      </w:pPr>
      <w:bookmarkStart w:id="81" w:name="_Hlk138842976"/>
      <w:r>
        <w:rPr>
          <w:rFonts w:hint="eastAsia"/>
        </w:rPr>
        <w:t>根据《政府采购促进中小企业发展管理办法》（财库[2020]46号）第九条以及《广西壮族自治区财政厅 广西壮族自治区工业和信息化厅转发财政部 工业和信息化部政府采购促进中小企业发展管理办法的通知》（桂财采[2021]70号）规定，</w:t>
      </w:r>
      <w:bookmarkEnd w:id="81"/>
      <w:r>
        <w:rPr>
          <w:rFonts w:hint="eastAsia"/>
        </w:rPr>
        <w:t>价格扣除比例在第四章评审方法及标准中规定，对小型企业和微型企业同等对待，不作区分。</w:t>
      </w:r>
    </w:p>
    <w:p w14:paraId="36A80D82">
      <w:pPr>
        <w:ind w:firstLine="422" w:firstLineChars="200"/>
        <w:rPr>
          <w:b/>
          <w:bCs/>
        </w:rPr>
      </w:pPr>
      <w:r>
        <w:rPr>
          <w:rFonts w:hint="eastAsia"/>
          <w:b/>
          <w:bCs/>
        </w:rPr>
        <w:t>9.2中小企业定义</w:t>
      </w:r>
    </w:p>
    <w:p w14:paraId="1A0B9175">
      <w:pPr>
        <w:ind w:firstLine="420" w:firstLineChars="200"/>
      </w:pPr>
      <w:r>
        <w:rPr>
          <w:rFonts w:hint="eastAsia"/>
        </w:rPr>
        <w:t>9.2.1中小企业是指在中华人民共和国境内依法设立，依据国务院批准的中小企业划分标准确定的中型企业、小型企业和微型企业，但与大企业的负责人为同一人，或者与大企业存在直接控股、管理关系的除外。</w:t>
      </w:r>
    </w:p>
    <w:p w14:paraId="1AC8F0A0">
      <w:pPr>
        <w:ind w:firstLine="420" w:firstLineChars="200"/>
      </w:pPr>
      <w:r>
        <w:rPr>
          <w:rFonts w:hint="eastAsia"/>
        </w:rPr>
        <w:t>9.2.2供应商提供的货物、工程或者服务符合下列情形的，享受本款规定的促进中小企业发展政策：</w:t>
      </w:r>
    </w:p>
    <w:p w14:paraId="5952BD71">
      <w:pPr>
        <w:ind w:firstLine="420" w:firstLineChars="200"/>
      </w:pPr>
      <w:r>
        <w:rPr>
          <w:rFonts w:hint="eastAsia"/>
        </w:rPr>
        <w:t>在货物采购项目中，货物由中小企业制造，即货物由中小企业生产且使用该中小企业商号或者注册商标；</w:t>
      </w:r>
    </w:p>
    <w:p w14:paraId="5FE10B45">
      <w:pPr>
        <w:ind w:firstLine="420" w:firstLineChars="200"/>
      </w:pPr>
      <w:r>
        <w:rPr>
          <w:rFonts w:hint="eastAsia"/>
        </w:rPr>
        <w:t>在工程采购项目中，工程由中小企业承建，即工程施工单位为中小企业；</w:t>
      </w:r>
    </w:p>
    <w:p w14:paraId="7272C4F7">
      <w:pPr>
        <w:ind w:firstLine="420" w:firstLineChars="200"/>
      </w:pPr>
      <w:r>
        <w:rPr>
          <w:rFonts w:hint="eastAsia"/>
        </w:rPr>
        <w:t>在服务采购项目中，服务由中小企业承接，即提供服务的人员为中小企业依照《中华人民共和国劳动合同法》订立劳动合同的从业人员。</w:t>
      </w:r>
    </w:p>
    <w:p w14:paraId="7BA2A13E">
      <w:pPr>
        <w:ind w:firstLine="420" w:firstLineChars="200"/>
      </w:pPr>
      <w:r>
        <w:rPr>
          <w:rFonts w:hint="eastAsia"/>
        </w:rPr>
        <w:t>在货物采购项目中，供应商提供的货物既有中小企业制造货物，也有大型企业制造货物的，不享受本款规定的促进中小企业发展政策。</w:t>
      </w:r>
    </w:p>
    <w:p w14:paraId="31CE6DB8">
      <w:pPr>
        <w:ind w:firstLine="420" w:firstLineChars="200"/>
      </w:pPr>
      <w:r>
        <w:rPr>
          <w:rFonts w:hint="eastAsia"/>
        </w:rPr>
        <w:t>9.2.3本项目标的所属行业在第二章采购需求中规定。供应商根据中小企业划分标准（《关于印发中小企业划型标准规定的通知》（工信部联企业〔2011〕300号）判断是否为中小企业。（见附件）</w:t>
      </w:r>
    </w:p>
    <w:p w14:paraId="276B5862">
      <w:pPr>
        <w:ind w:firstLine="420" w:firstLineChars="200"/>
      </w:pPr>
      <w:r>
        <w:rPr>
          <w:rFonts w:hint="eastAsia"/>
        </w:rPr>
        <w:t>符合条件的货物制造商、工程施工单位、服务承接单位为中小企业的，应按招标文件规定在投标文件中提供声明函。</w:t>
      </w:r>
    </w:p>
    <w:p w14:paraId="770EF782">
      <w:pPr>
        <w:ind w:firstLine="420" w:firstLineChars="200"/>
      </w:pPr>
      <w:r>
        <w:rPr>
          <w:rFonts w:hint="eastAsia"/>
        </w:rPr>
        <w:t>9.2.4视同中小企业情形</w:t>
      </w:r>
    </w:p>
    <w:p w14:paraId="26BF5554">
      <w:pPr>
        <w:ind w:firstLine="420" w:firstLineChars="200"/>
      </w:pPr>
      <w:r>
        <w:rPr>
          <w:rFonts w:hint="eastAsia"/>
        </w:rPr>
        <w:t>（1）符合中小企业划分标准的个体工商户，视同中小企业。</w:t>
      </w:r>
    </w:p>
    <w:p w14:paraId="04DAD5F2">
      <w:pPr>
        <w:ind w:firstLine="420" w:firstLineChars="200"/>
      </w:pPr>
      <w:r>
        <w:rPr>
          <w:rFonts w:hint="eastAsia"/>
        </w:rPr>
        <w:t>（2）以联合体形式参加政府采购活动，联合体各方均为中小企业的，联合体视同中小企业。其中，联合体各方均为小微企业的，联合体视同小微企业。</w:t>
      </w:r>
    </w:p>
    <w:p w14:paraId="67785307">
      <w:pPr>
        <w:ind w:firstLine="420" w:firstLineChars="200"/>
      </w:pPr>
      <w:r>
        <w:rPr>
          <w:rFonts w:hint="eastAsia"/>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306C5CDC">
      <w:pPr>
        <w:ind w:firstLine="420" w:firstLineChars="200"/>
      </w:pPr>
      <w:r>
        <w:rPr>
          <w:rFonts w:hint="eastAsia"/>
        </w:rPr>
        <w:t>符合条件的货物制造商、工程施工单位、服务承接单位为监狱企业或残疾人福利性单位的，应按招标文件规定在投标文件中提供相关证明文件。</w:t>
      </w:r>
    </w:p>
    <w:bookmarkEnd w:id="79"/>
    <w:bookmarkEnd w:id="80"/>
    <w:p w14:paraId="1D143B03">
      <w:pPr>
        <w:widowControl w:val="0"/>
        <w:spacing w:line="360" w:lineRule="auto"/>
        <w:ind w:firstLine="422" w:firstLineChars="200"/>
        <w:jc w:val="both"/>
        <w:rPr>
          <w:rFonts w:hint="eastAsia"/>
          <w:b/>
          <w:bCs/>
          <w:lang w:val="en-US" w:eastAsia="zh-CN"/>
        </w:rPr>
      </w:pPr>
      <w:r>
        <w:rPr>
          <w:rFonts w:hint="eastAsia"/>
          <w:b/>
          <w:bCs/>
          <w:lang w:val="en-US" w:eastAsia="zh-CN"/>
        </w:rPr>
        <w:t>10.支持采用本国产品的政策</w:t>
      </w:r>
    </w:p>
    <w:p w14:paraId="23101072">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10.1</w:t>
      </w:r>
      <w:r>
        <w:rPr>
          <w:rFonts w:hint="eastAsia"/>
        </w:rPr>
        <w:t>本项目落实</w:t>
      </w:r>
      <w:r>
        <w:rPr>
          <w:rFonts w:hint="eastAsia"/>
          <w:lang w:val="en-US" w:eastAsia="zh-CN"/>
        </w:rPr>
        <w:t>采用本国产品的政策</w:t>
      </w:r>
      <w:r>
        <w:rPr>
          <w:rFonts w:hint="eastAsia"/>
        </w:rPr>
        <w:t>措施在前附表规定。</w:t>
      </w:r>
      <w:r>
        <w:rPr>
          <w:rFonts w:hint="eastAsia" w:ascii="宋体" w:hAnsi="宋体" w:eastAsia="宋体" w:cs="宋体"/>
          <w:color w:val="000000"/>
          <w:kern w:val="0"/>
          <w:sz w:val="21"/>
          <w:szCs w:val="21"/>
          <w:highlight w:val="none"/>
          <w:lang w:val="en-US" w:eastAsia="zh-CN" w:bidi="ar-SA"/>
        </w:rPr>
        <w:t xml:space="preserve">依据《国务院办公厅关于在政府采购中实施本国产品标准及相关政策的通知》（国办发〔2025〕34 号）及《财政部和工业和信息化部关于贯彻落实&lt;国务院办公厅关于在政府采购中实施本国产品标准及相关政策的通知&gt;的意见》（财库〔2025〕30 号）等相关规定，对本国产品的支持政策。 </w:t>
      </w:r>
    </w:p>
    <w:p w14:paraId="6FF85A0E">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（1）本国产品标准的适用范围 </w:t>
      </w:r>
    </w:p>
    <w:p w14:paraId="57831121">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 </w:t>
      </w:r>
    </w:p>
    <w:p w14:paraId="032D23A1">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（2）对本国产品的支持政策 </w:t>
      </w:r>
    </w:p>
    <w:p w14:paraId="4B7582C3">
      <w:pPr>
        <w:spacing w:line="360" w:lineRule="auto"/>
        <w:ind w:firstLine="420" w:firstLineChars="200"/>
        <w:jc w:val="both"/>
        <w:rPr>
          <w:rFonts w:hint="eastAsia" w:ascii="宋体" w:hAnsi="宋体" w:eastAsia="宋体" w:cs="Times New Roman"/>
          <w:color w:val="auto"/>
          <w:szCs w:val="20"/>
        </w:rPr>
      </w:pPr>
      <w:r>
        <w:rPr>
          <w:rFonts w:hint="eastAsia" w:ascii="宋体" w:hAnsi="宋体" w:eastAsia="宋体" w:cs="Times New Roman"/>
          <w:color w:val="auto"/>
          <w:szCs w:val="20"/>
          <w:lang w:val="en-US" w:eastAsia="zh-CN"/>
        </w:rPr>
        <w:t>政府采购活动中既有本国产品又有非本国产品参与竞争的，依法对本国产品给予价格评审优惠，对本国产品的报价给予 20%的价格扣除，用扣除后的价格参与评审。</w:t>
      </w:r>
    </w:p>
    <w:p w14:paraId="45D7EB00">
      <w:pPr>
        <w:spacing w:line="360" w:lineRule="auto"/>
        <w:ind w:firstLine="420" w:firstLineChars="200"/>
        <w:rPr>
          <w:rFonts w:hint="eastAsia" w:ascii="宋体" w:hAnsi="宋体" w:eastAsia="宋体" w:cs="Times New Roman"/>
          <w:color w:val="auto"/>
          <w:szCs w:val="20"/>
        </w:rPr>
      </w:pPr>
      <w:r>
        <w:rPr>
          <w:rFonts w:hint="eastAsia" w:ascii="宋体" w:hAnsi="宋体" w:eastAsia="宋体" w:cs="Times New Roman"/>
          <w:color w:val="auto"/>
          <w:szCs w:val="20"/>
          <w:lang w:val="en-US" w:eastAsia="zh-CN"/>
        </w:rPr>
        <w:t xml:space="preserve">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 </w:t>
      </w:r>
    </w:p>
    <w:p w14:paraId="5233CF34">
      <w:pPr>
        <w:spacing w:line="360" w:lineRule="auto"/>
        <w:ind w:firstLine="420" w:firstLineChars="200"/>
        <w:rPr>
          <w:rFonts w:hint="eastAsia" w:ascii="宋体" w:hAnsi="宋体" w:eastAsia="宋体" w:cs="Times New Roman"/>
          <w:color w:val="auto"/>
          <w:szCs w:val="20"/>
          <w:lang w:val="en-US" w:eastAsia="zh-CN"/>
        </w:rPr>
      </w:pPr>
      <w:r>
        <w:rPr>
          <w:rFonts w:hint="eastAsia" w:ascii="宋体" w:hAnsi="宋体" w:eastAsia="宋体" w:cs="Times New Roman"/>
          <w:color w:val="auto"/>
          <w:szCs w:val="20"/>
          <w:lang w:val="en-US" w:eastAsia="zh-CN"/>
        </w:rPr>
        <w:t>（3）本国产品应当符合以下条件：</w:t>
      </w:r>
    </w:p>
    <w:p w14:paraId="3B679D37">
      <w:pPr>
        <w:spacing w:line="360" w:lineRule="auto"/>
        <w:ind w:firstLine="420" w:firstLineChars="200"/>
        <w:rPr>
          <w:rFonts w:hint="eastAsia" w:ascii="宋体" w:hAnsi="宋体" w:eastAsia="宋体" w:cs="Times New Roman"/>
          <w:color w:val="auto"/>
          <w:szCs w:val="20"/>
          <w:lang w:val="en-US" w:eastAsia="zh-CN"/>
        </w:rPr>
      </w:pPr>
      <w:r>
        <w:rPr>
          <w:rFonts w:hint="eastAsia" w:ascii="宋体" w:hAnsi="宋体" w:cs="Times New Roman"/>
          <w:color w:val="auto"/>
          <w:szCs w:val="20"/>
          <w:lang w:val="en-US" w:eastAsia="zh-CN"/>
        </w:rPr>
        <w:t>①</w:t>
      </w:r>
      <w:r>
        <w:rPr>
          <w:rFonts w:hint="eastAsia" w:ascii="宋体" w:hAnsi="宋体" w:eastAsia="宋体" w:cs="Times New Roman"/>
          <w:color w:val="auto"/>
          <w:szCs w:val="20"/>
          <w:lang w:val="en-US" w:eastAsia="zh-CN"/>
        </w:rPr>
        <w:t>在中国境内生产</w:t>
      </w:r>
    </w:p>
    <w:p w14:paraId="158B94C2">
      <w:pPr>
        <w:spacing w:line="360" w:lineRule="auto"/>
        <w:rPr>
          <w:rFonts w:hint="eastAsia" w:ascii="宋体" w:hAnsi="宋体" w:eastAsia="宋体" w:cs="Times New Roman"/>
          <w:color w:val="auto"/>
          <w:szCs w:val="20"/>
          <w:lang w:val="en-US" w:eastAsia="zh-CN"/>
        </w:rPr>
      </w:pPr>
      <w:r>
        <w:rPr>
          <w:rFonts w:hint="eastAsia" w:ascii="宋体" w:hAnsi="宋体" w:eastAsia="宋体" w:cs="Times New Roman"/>
          <w:color w:val="auto"/>
          <w:szCs w:val="20"/>
          <w:lang w:val="en-US" w:eastAsia="zh-CN"/>
        </w:rPr>
        <w:t>产品应当在中国境内生产，即在中华人民共和国关境内实现从原材料、组件到产品的属性改变。</w:t>
      </w:r>
    </w:p>
    <w:p w14:paraId="231FD85A">
      <w:pPr>
        <w:spacing w:line="360" w:lineRule="auto"/>
        <w:rPr>
          <w:rFonts w:hint="eastAsia" w:ascii="宋体" w:hAnsi="宋体" w:eastAsia="宋体" w:cs="Times New Roman"/>
          <w:color w:val="auto"/>
          <w:szCs w:val="20"/>
          <w:lang w:val="en-US" w:eastAsia="zh-CN"/>
        </w:rPr>
      </w:pPr>
      <w:r>
        <w:rPr>
          <w:rFonts w:hint="eastAsia" w:ascii="宋体" w:hAnsi="宋体" w:eastAsia="宋体" w:cs="Times New Roman"/>
          <w:color w:val="auto"/>
          <w:szCs w:val="20"/>
          <w:lang w:val="en-US" w:eastAsia="zh-CN"/>
        </w:rPr>
        <w:t>属性改变是指经过制造、加工或者组装等工序，产生完全不同于原材料、组件的新产品，并具有新的名称和特征（用途）。属性改变不包括以下细微操作：</w:t>
      </w:r>
    </w:p>
    <w:p w14:paraId="2CB4B35E">
      <w:pPr>
        <w:spacing w:line="360" w:lineRule="auto"/>
        <w:ind w:firstLine="420" w:firstLineChars="200"/>
        <w:rPr>
          <w:rFonts w:hint="eastAsia" w:ascii="宋体" w:hAnsi="宋体" w:eastAsia="宋体" w:cs="Times New Roman"/>
          <w:color w:val="auto"/>
          <w:szCs w:val="20"/>
          <w:lang w:val="en-US" w:eastAsia="zh-CN"/>
        </w:rPr>
      </w:pPr>
      <w:r>
        <w:rPr>
          <w:rFonts w:hint="eastAsia" w:ascii="宋体" w:hAnsi="宋体" w:cs="Times New Roman"/>
          <w:color w:val="auto"/>
          <w:szCs w:val="20"/>
          <w:lang w:val="en-US" w:eastAsia="zh-CN"/>
        </w:rPr>
        <w:t>a</w:t>
      </w:r>
      <w:r>
        <w:rPr>
          <w:rFonts w:hint="eastAsia" w:ascii="宋体" w:hAnsi="宋体" w:eastAsia="宋体" w:cs="Times New Roman"/>
          <w:color w:val="auto"/>
          <w:szCs w:val="20"/>
          <w:lang w:val="en-US" w:eastAsia="zh-CN"/>
        </w:rPr>
        <w:t>.为确保产品在运输或者储存期间保持某种状态而进行的操作；</w:t>
      </w:r>
    </w:p>
    <w:p w14:paraId="63F12EA8">
      <w:pPr>
        <w:spacing w:line="360" w:lineRule="auto"/>
        <w:ind w:firstLine="420" w:firstLineChars="200"/>
        <w:rPr>
          <w:rFonts w:hint="eastAsia" w:ascii="宋体" w:hAnsi="宋体" w:eastAsia="宋体" w:cs="Times New Roman"/>
          <w:color w:val="auto"/>
          <w:szCs w:val="20"/>
          <w:lang w:val="en-US" w:eastAsia="zh-CN"/>
        </w:rPr>
      </w:pPr>
      <w:r>
        <w:rPr>
          <w:rFonts w:hint="eastAsia" w:ascii="宋体" w:hAnsi="宋体" w:cs="Times New Roman"/>
          <w:color w:val="auto"/>
          <w:szCs w:val="20"/>
          <w:lang w:val="en-US" w:eastAsia="zh-CN"/>
        </w:rPr>
        <w:t>b</w:t>
      </w:r>
      <w:r>
        <w:rPr>
          <w:rFonts w:hint="eastAsia" w:ascii="宋体" w:hAnsi="宋体" w:eastAsia="宋体" w:cs="Times New Roman"/>
          <w:color w:val="auto"/>
          <w:szCs w:val="20"/>
          <w:lang w:val="en-US" w:eastAsia="zh-CN"/>
        </w:rPr>
        <w:t>.为产品运输或者销售进行的包装或者展示；</w:t>
      </w:r>
    </w:p>
    <w:p w14:paraId="71A9DAFA">
      <w:pPr>
        <w:spacing w:line="360" w:lineRule="auto"/>
        <w:ind w:firstLine="420" w:firstLineChars="200"/>
        <w:rPr>
          <w:rFonts w:hint="eastAsia" w:ascii="宋体" w:hAnsi="宋体" w:eastAsia="宋体" w:cs="Times New Roman"/>
          <w:color w:val="auto"/>
          <w:szCs w:val="20"/>
          <w:lang w:val="en-US" w:eastAsia="zh-CN"/>
        </w:rPr>
      </w:pPr>
      <w:r>
        <w:rPr>
          <w:rFonts w:hint="eastAsia" w:ascii="宋体" w:hAnsi="宋体" w:cs="Times New Roman"/>
          <w:color w:val="auto"/>
          <w:szCs w:val="20"/>
          <w:lang w:val="en-US" w:eastAsia="zh-CN"/>
        </w:rPr>
        <w:t>c</w:t>
      </w:r>
      <w:r>
        <w:rPr>
          <w:rFonts w:hint="eastAsia" w:ascii="宋体" w:hAnsi="宋体" w:eastAsia="宋体" w:cs="Times New Roman"/>
          <w:color w:val="auto"/>
          <w:szCs w:val="20"/>
          <w:lang w:val="en-US" w:eastAsia="zh-CN"/>
        </w:rPr>
        <w:t>.在产品或者其包装上粘贴或者印刷品牌、标志、标识以及其他用于区别的标记；</w:t>
      </w:r>
    </w:p>
    <w:p w14:paraId="07FEE97B">
      <w:pPr>
        <w:spacing w:line="360" w:lineRule="auto"/>
        <w:ind w:firstLine="420" w:firstLineChars="200"/>
        <w:rPr>
          <w:rFonts w:hint="eastAsia" w:ascii="宋体" w:hAnsi="宋体" w:eastAsia="宋体" w:cs="Times New Roman"/>
          <w:color w:val="auto"/>
          <w:szCs w:val="20"/>
          <w:lang w:val="en-US" w:eastAsia="zh-CN"/>
        </w:rPr>
      </w:pPr>
      <w:r>
        <w:rPr>
          <w:rFonts w:hint="eastAsia" w:ascii="宋体" w:hAnsi="宋体" w:cs="Times New Roman"/>
          <w:color w:val="auto"/>
          <w:szCs w:val="20"/>
          <w:lang w:val="en-US" w:eastAsia="zh-CN"/>
        </w:rPr>
        <w:t>d</w:t>
      </w:r>
      <w:r>
        <w:rPr>
          <w:rFonts w:hint="eastAsia" w:ascii="宋体" w:hAnsi="宋体" w:eastAsia="宋体" w:cs="Times New Roman"/>
          <w:color w:val="auto"/>
          <w:szCs w:val="20"/>
          <w:lang w:val="en-US" w:eastAsia="zh-CN"/>
        </w:rPr>
        <w:t>.简单的上漆、磨光和分装；</w:t>
      </w:r>
    </w:p>
    <w:p w14:paraId="64EC9FD1">
      <w:pPr>
        <w:spacing w:line="360" w:lineRule="auto"/>
        <w:ind w:firstLine="420" w:firstLineChars="200"/>
        <w:rPr>
          <w:rFonts w:hint="eastAsia" w:ascii="宋体" w:hAnsi="宋体" w:eastAsia="宋体" w:cs="Times New Roman"/>
          <w:color w:val="auto"/>
          <w:szCs w:val="20"/>
          <w:lang w:val="en-US" w:eastAsia="zh-CN"/>
        </w:rPr>
      </w:pPr>
      <w:r>
        <w:rPr>
          <w:rFonts w:hint="eastAsia" w:ascii="宋体" w:hAnsi="宋体" w:cs="Times New Roman"/>
          <w:color w:val="auto"/>
          <w:szCs w:val="20"/>
          <w:lang w:val="en-US" w:eastAsia="zh-CN"/>
        </w:rPr>
        <w:t>e</w:t>
      </w:r>
      <w:r>
        <w:rPr>
          <w:rFonts w:hint="eastAsia" w:ascii="宋体" w:hAnsi="宋体" w:eastAsia="宋体" w:cs="Times New Roman"/>
          <w:color w:val="auto"/>
          <w:szCs w:val="20"/>
          <w:lang w:val="en-US" w:eastAsia="zh-CN"/>
        </w:rPr>
        <w:t>.其他不属于属性改变的情形。</w:t>
      </w:r>
    </w:p>
    <w:p w14:paraId="0661AB89">
      <w:pPr>
        <w:spacing w:line="360" w:lineRule="auto"/>
        <w:ind w:firstLine="420" w:firstLineChars="200"/>
        <w:rPr>
          <w:rFonts w:hint="eastAsia" w:ascii="宋体" w:hAnsi="宋体" w:eastAsia="宋体" w:cs="Times New Roman"/>
          <w:color w:val="auto"/>
          <w:szCs w:val="20"/>
          <w:lang w:val="en-US" w:eastAsia="zh-CN"/>
        </w:rPr>
      </w:pPr>
      <w:r>
        <w:rPr>
          <w:rFonts w:hint="eastAsia" w:ascii="宋体" w:hAnsi="宋体" w:cs="Times New Roman"/>
          <w:color w:val="auto"/>
          <w:szCs w:val="20"/>
          <w:lang w:val="en-US" w:eastAsia="zh-CN"/>
        </w:rPr>
        <w:t>②</w:t>
      </w:r>
      <w:r>
        <w:rPr>
          <w:rFonts w:hint="eastAsia" w:ascii="宋体" w:hAnsi="宋体" w:eastAsia="宋体" w:cs="Times New Roman"/>
          <w:color w:val="auto"/>
          <w:szCs w:val="20"/>
          <w:lang w:val="en-US" w:eastAsia="zh-CN"/>
        </w:rPr>
        <w:t>在中国境内生产的组件成本占比达到规定比例</w:t>
      </w:r>
    </w:p>
    <w:p w14:paraId="6934A638">
      <w:pPr>
        <w:spacing w:line="360" w:lineRule="auto"/>
        <w:rPr>
          <w:rFonts w:hint="eastAsia" w:ascii="宋体" w:hAnsi="宋体" w:eastAsia="宋体" w:cs="Times New Roman"/>
          <w:color w:val="auto"/>
          <w:szCs w:val="20"/>
          <w:lang w:val="en-US" w:eastAsia="zh-CN"/>
        </w:rPr>
      </w:pPr>
      <w:r>
        <w:rPr>
          <w:rFonts w:hint="eastAsia" w:ascii="宋体" w:hAnsi="宋体" w:eastAsia="宋体" w:cs="Times New Roman"/>
          <w:color w:val="auto"/>
          <w:szCs w:val="20"/>
          <w:lang w:val="en-US" w:eastAsia="zh-CN"/>
        </w:rPr>
        <w:t>产品在中国境内生产的组件成本占比应当达到规定比例，计算公式为：</w:t>
      </w:r>
    </w:p>
    <w:p w14:paraId="630A2CC7">
      <w:pPr>
        <w:spacing w:line="360" w:lineRule="auto"/>
        <w:rPr>
          <w:rFonts w:hint="eastAsia" w:ascii="宋体" w:hAnsi="宋体" w:eastAsia="宋体" w:cs="Times New Roman"/>
          <w:color w:val="auto"/>
          <w:szCs w:val="20"/>
          <w:lang w:val="en-US" w:eastAsia="zh-CN"/>
        </w:rPr>
      </w:pPr>
      <w:r>
        <w:rPr>
          <w:rFonts w:hint="eastAsia" w:ascii="宋体" w:hAnsi="宋体" w:eastAsia="宋体" w:cs="Times New Roman"/>
          <w:color w:val="auto"/>
          <w:szCs w:val="20"/>
          <w:lang w:val="en-US" w:eastAsia="zh-CN"/>
        </w:rPr>
        <w:t xml:space="preserve">         </w:t>
      </w:r>
      <w:r>
        <w:rPr>
          <w:rFonts w:hint="eastAsia" w:ascii="宋体" w:hAnsi="宋体" w:eastAsia="宋体" w:cs="Times New Roman"/>
          <w:color w:val="auto"/>
          <w:szCs w:val="20"/>
          <w:lang w:val="en-US" w:eastAsia="zh-CN"/>
        </w:rPr>
        <w:drawing>
          <wp:inline distT="0" distB="0" distL="114300" distR="114300">
            <wp:extent cx="2733675" cy="390525"/>
            <wp:effectExtent l="0" t="0" r="9525" b="9525"/>
            <wp:docPr id="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6"/>
                    <pic:cNvPicPr>
                      <a:picLocks noChangeAspect="1"/>
                    </pic:cNvPicPr>
                  </pic:nvPicPr>
                  <pic:blipFill>
                    <a:blip r:embed="rId17"/>
                    <a:stretch>
                      <a:fillRect/>
                    </a:stretch>
                  </pic:blipFill>
                  <pic:spPr>
                    <a:xfrm>
                      <a:off x="0" y="0"/>
                      <a:ext cx="2733675" cy="390525"/>
                    </a:xfrm>
                    <a:prstGeom prst="rect">
                      <a:avLst/>
                    </a:prstGeom>
                    <a:noFill/>
                    <a:ln w="9525">
                      <a:noFill/>
                    </a:ln>
                  </pic:spPr>
                </pic:pic>
              </a:graphicData>
            </a:graphic>
          </wp:inline>
        </w:drawing>
      </w:r>
    </w:p>
    <w:p w14:paraId="2A40BCE7">
      <w:pPr>
        <w:spacing w:line="360" w:lineRule="auto"/>
        <w:rPr>
          <w:rFonts w:hint="eastAsia" w:ascii="宋体" w:hAnsi="宋体" w:eastAsia="宋体" w:cs="Times New Roman"/>
          <w:color w:val="auto"/>
          <w:szCs w:val="20"/>
          <w:lang w:val="en-US" w:eastAsia="zh-CN"/>
        </w:rPr>
      </w:pPr>
      <w:r>
        <w:rPr>
          <w:rFonts w:hint="eastAsia" w:ascii="宋体" w:hAnsi="宋体" w:eastAsia="宋体" w:cs="Times New Roman"/>
          <w:color w:val="auto"/>
          <w:szCs w:val="20"/>
          <w:lang w:val="en-US" w:eastAsia="zh-CN"/>
        </w:rPr>
        <w:t>财政部会同有关行业主管部门，分产品确定在中国境内生产的组件成本占比应当达到的规定比例。在分产品的中国境内生产的组件成本占比相关要求实施前，符合34.4第</w:t>
      </w:r>
      <w:r>
        <w:rPr>
          <w:rFonts w:hint="eastAsia" w:ascii="宋体" w:hAnsi="宋体" w:cs="Times New Roman"/>
          <w:color w:val="auto"/>
          <w:szCs w:val="20"/>
          <w:lang w:val="en-US" w:eastAsia="zh-CN"/>
        </w:rPr>
        <w:t>①</w:t>
      </w:r>
      <w:r>
        <w:rPr>
          <w:rFonts w:hint="eastAsia" w:ascii="宋体" w:hAnsi="宋体" w:eastAsia="宋体" w:cs="Times New Roman"/>
          <w:color w:val="auto"/>
          <w:szCs w:val="20"/>
          <w:lang w:val="en-US" w:eastAsia="zh-CN"/>
        </w:rPr>
        <w:t>项条件的产品在政府采购活动中视同本国产品。</w:t>
      </w:r>
    </w:p>
    <w:p w14:paraId="2294C40B">
      <w:pPr>
        <w:spacing w:line="360" w:lineRule="auto"/>
        <w:ind w:firstLine="420" w:firstLineChars="200"/>
        <w:rPr>
          <w:rFonts w:hint="eastAsia" w:ascii="宋体" w:hAnsi="宋体" w:eastAsia="宋体" w:cs="Times New Roman"/>
          <w:color w:val="auto"/>
          <w:szCs w:val="20"/>
          <w:lang w:val="en-US" w:eastAsia="zh-CN"/>
        </w:rPr>
      </w:pPr>
      <w:r>
        <w:rPr>
          <w:rFonts w:hint="eastAsia" w:ascii="宋体" w:hAnsi="宋体" w:cs="Times New Roman"/>
          <w:color w:val="auto"/>
          <w:szCs w:val="20"/>
          <w:lang w:val="en-US" w:eastAsia="zh-CN"/>
        </w:rPr>
        <w:t>③</w:t>
      </w:r>
      <w:r>
        <w:rPr>
          <w:rFonts w:hint="eastAsia" w:ascii="宋体" w:hAnsi="宋体" w:eastAsia="宋体" w:cs="Times New Roman"/>
          <w:color w:val="auto"/>
          <w:szCs w:val="20"/>
          <w:lang w:val="en-US" w:eastAsia="zh-CN"/>
        </w:rPr>
        <w:t>特定产品的关键组件、关键工序符合相关要求</w:t>
      </w:r>
    </w:p>
    <w:p w14:paraId="34511DDB">
      <w:pPr>
        <w:spacing w:line="360" w:lineRule="auto"/>
        <w:rPr>
          <w:rFonts w:hint="eastAsia" w:ascii="宋体" w:hAnsi="宋体" w:eastAsia="宋体" w:cs="Times New Roman"/>
          <w:color w:val="auto"/>
          <w:szCs w:val="20"/>
        </w:rPr>
      </w:pPr>
      <w:r>
        <w:rPr>
          <w:rFonts w:hint="eastAsia" w:ascii="宋体" w:hAnsi="宋体" w:eastAsia="宋体" w:cs="Times New Roman"/>
          <w:color w:val="auto"/>
          <w:szCs w:val="20"/>
          <w:lang w:val="en-US" w:eastAsia="zh-CN"/>
        </w:rPr>
        <w:t>对特定产品，在符合34.4第</w:t>
      </w:r>
      <w:r>
        <w:rPr>
          <w:rFonts w:hint="eastAsia" w:ascii="宋体" w:hAnsi="宋体" w:cs="Times New Roman"/>
          <w:color w:val="auto"/>
          <w:szCs w:val="20"/>
          <w:lang w:val="en-US" w:eastAsia="zh-CN"/>
        </w:rPr>
        <w:t>①</w:t>
      </w:r>
      <w:r>
        <w:rPr>
          <w:rFonts w:hint="eastAsia" w:ascii="宋体" w:hAnsi="宋体" w:eastAsia="宋体" w:cs="Times New Roman"/>
          <w:color w:val="auto"/>
          <w:szCs w:val="20"/>
          <w:lang w:val="en-US" w:eastAsia="zh-CN"/>
        </w:rPr>
        <w:t>项和第</w:t>
      </w:r>
      <w:r>
        <w:rPr>
          <w:rFonts w:hint="eastAsia" w:ascii="宋体" w:hAnsi="宋体" w:cs="Times New Roman"/>
          <w:color w:val="auto"/>
          <w:szCs w:val="20"/>
          <w:lang w:val="en-US" w:eastAsia="zh-CN"/>
        </w:rPr>
        <w:t>②</w:t>
      </w:r>
      <w:r>
        <w:rPr>
          <w:rFonts w:hint="eastAsia" w:ascii="宋体" w:hAnsi="宋体" w:eastAsia="宋体" w:cs="Times New Roman"/>
          <w:color w:val="auto"/>
          <w:szCs w:val="20"/>
          <w:lang w:val="en-US" w:eastAsia="zh-CN"/>
        </w:rPr>
        <w:t>项条件的基础上，应当符合财政部会同有关行业主管部门确定的其关键组件、关键工序在中国境内生产、完成等要求。</w:t>
      </w:r>
    </w:p>
    <w:p w14:paraId="014B8BEA">
      <w:pPr>
        <w:spacing w:line="360" w:lineRule="auto"/>
        <w:ind w:firstLine="420" w:firstLineChars="200"/>
        <w:rPr>
          <w:rFonts w:hint="eastAsia" w:ascii="宋体" w:hAnsi="宋体" w:eastAsia="宋体" w:cs="Times New Roman"/>
          <w:color w:val="auto"/>
          <w:szCs w:val="20"/>
        </w:rPr>
      </w:pPr>
      <w:r>
        <w:rPr>
          <w:rFonts w:hint="eastAsia" w:ascii="宋体" w:hAnsi="宋体" w:eastAsia="宋体" w:cs="Times New Roman"/>
          <w:color w:val="auto"/>
          <w:szCs w:val="20"/>
          <w:lang w:val="en-US" w:eastAsia="zh-CN"/>
        </w:rPr>
        <w:t xml:space="preserve">（4）认真审查有关证明文件。 </w:t>
      </w:r>
    </w:p>
    <w:p w14:paraId="359FE8BD">
      <w:pPr>
        <w:ind w:firstLine="420" w:firstLineChars="200"/>
        <w:rPr>
          <w:rFonts w:hint="default" w:eastAsia="宋体"/>
          <w:b/>
          <w:bCs/>
          <w:lang w:val="en-US" w:eastAsia="zh-CN"/>
        </w:rPr>
      </w:pPr>
      <w:r>
        <w:rPr>
          <w:rFonts w:hint="eastAsia" w:ascii="宋体" w:hAnsi="宋体" w:eastAsia="宋体" w:cs="Times New Roman"/>
          <w:color w:val="auto"/>
          <w:szCs w:val="20"/>
          <w:lang w:val="en-US" w:eastAsia="zh-CN"/>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07BDB371">
      <w:pPr>
        <w:ind w:firstLine="422" w:firstLineChars="200"/>
        <w:rPr>
          <w:b/>
          <w:bCs/>
        </w:rPr>
      </w:pPr>
      <w:r>
        <w:rPr>
          <w:rFonts w:hint="eastAsia"/>
          <w:b/>
          <w:bCs/>
        </w:rPr>
        <w:t>1</w:t>
      </w:r>
      <w:r>
        <w:rPr>
          <w:rFonts w:hint="eastAsia"/>
          <w:b/>
          <w:bCs/>
          <w:lang w:val="en-US" w:eastAsia="zh-CN"/>
        </w:rPr>
        <w:t>1</w:t>
      </w:r>
      <w:r>
        <w:rPr>
          <w:rFonts w:hint="eastAsia"/>
          <w:b/>
          <w:bCs/>
        </w:rPr>
        <w:t>．其他事项</w:t>
      </w:r>
    </w:p>
    <w:p w14:paraId="546E4759">
      <w:pPr>
        <w:ind w:firstLine="420" w:firstLineChars="200"/>
      </w:pPr>
      <w:r>
        <w:rPr>
          <w:rFonts w:hint="eastAsia"/>
        </w:rPr>
        <w:t>1</w:t>
      </w:r>
      <w:r>
        <w:rPr>
          <w:rFonts w:hint="eastAsia"/>
          <w:lang w:val="en-US" w:eastAsia="zh-CN"/>
        </w:rPr>
        <w:t>1</w:t>
      </w:r>
      <w:r>
        <w:rPr>
          <w:rFonts w:hint="eastAsia"/>
        </w:rPr>
        <w:t>.1代理服务收费由采购代理机构向中标人收取。签订合同前，中标人应向采购代理机构一次付清代理服务费。</w:t>
      </w:r>
    </w:p>
    <w:p w14:paraId="6FAFFA6A">
      <w:pPr>
        <w:ind w:firstLine="420" w:firstLineChars="200"/>
      </w:pPr>
      <w:r>
        <w:rPr>
          <w:rFonts w:hint="eastAsia"/>
        </w:rPr>
        <w:t>1</w:t>
      </w:r>
      <w:r>
        <w:rPr>
          <w:rFonts w:hint="eastAsia"/>
          <w:lang w:val="en-US" w:eastAsia="zh-CN"/>
        </w:rPr>
        <w:t>1</w:t>
      </w:r>
      <w:r>
        <w:rPr>
          <w:rFonts w:hint="eastAsia"/>
        </w:rPr>
        <w:t>.2电子交易活动的中止。采购过程中出现以下情形，导致电子交易平台无法正常运行，或者无法保证电子交易的公平、公正和安全时，采购机构可中止电子交易活动：</w:t>
      </w:r>
    </w:p>
    <w:p w14:paraId="13B64F8D">
      <w:pPr>
        <w:ind w:firstLine="420" w:firstLineChars="200"/>
      </w:pPr>
      <w:r>
        <w:rPr>
          <w:rFonts w:hint="eastAsia"/>
        </w:rPr>
        <w:t xml:space="preserve">（1）电子交易平台发生故障而无法登录访问的； </w:t>
      </w:r>
    </w:p>
    <w:p w14:paraId="07996104">
      <w:pPr>
        <w:ind w:firstLine="420" w:firstLineChars="200"/>
      </w:pPr>
      <w:r>
        <w:rPr>
          <w:rFonts w:hint="eastAsia"/>
        </w:rPr>
        <w:t>（2）电子交易平台应用或数据库出现错误，不能进行正常操作的；</w:t>
      </w:r>
    </w:p>
    <w:p w14:paraId="4D966CFD">
      <w:pPr>
        <w:ind w:firstLine="420" w:firstLineChars="200"/>
      </w:pPr>
      <w:r>
        <w:rPr>
          <w:rFonts w:hint="eastAsia"/>
        </w:rPr>
        <w:t>（3）电子交易平台发现严重安全漏洞，有潜在泄密危险的；</w:t>
      </w:r>
    </w:p>
    <w:p w14:paraId="50ACABDC">
      <w:pPr>
        <w:ind w:firstLine="420" w:firstLineChars="200"/>
      </w:pPr>
      <w:r>
        <w:rPr>
          <w:rFonts w:hint="eastAsia"/>
        </w:rPr>
        <w:t xml:space="preserve">（4）病毒发作导致不能进行正常操作的； </w:t>
      </w:r>
    </w:p>
    <w:p w14:paraId="00508B24">
      <w:pPr>
        <w:ind w:firstLine="420" w:firstLineChars="200"/>
      </w:pPr>
      <w:r>
        <w:rPr>
          <w:rFonts w:hint="eastAsia"/>
        </w:rPr>
        <w:t>（4）其他无法保证电子交易的公平、公正和安全的情况。</w:t>
      </w:r>
    </w:p>
    <w:p w14:paraId="23762E1B">
      <w:pPr>
        <w:ind w:firstLine="420" w:firstLineChars="200"/>
      </w:pPr>
      <w:r>
        <w:rPr>
          <w:rFonts w:hint="eastAsia"/>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7865D61F">
      <w:pPr>
        <w:ind w:firstLine="420" w:firstLineChars="200"/>
      </w:pPr>
      <w:r>
        <w:rPr>
          <w:rFonts w:hint="eastAsia"/>
        </w:rPr>
        <w:t>1</w:t>
      </w:r>
      <w:r>
        <w:rPr>
          <w:rFonts w:hint="eastAsia"/>
          <w:lang w:val="en-US" w:eastAsia="zh-CN"/>
        </w:rPr>
        <w:t>1</w:t>
      </w:r>
      <w:r>
        <w:rPr>
          <w:rFonts w:hint="eastAsia"/>
        </w:rPr>
        <w:t>.3本项目的附件及图纸详见供应商须知前附表。</w:t>
      </w:r>
    </w:p>
    <w:p w14:paraId="658BFD71">
      <w:pPr>
        <w:ind w:firstLine="420" w:firstLineChars="200"/>
      </w:pPr>
      <w:r>
        <w:rPr>
          <w:rFonts w:hint="eastAsia"/>
        </w:rPr>
        <w:t>1</w:t>
      </w:r>
      <w:r>
        <w:rPr>
          <w:rFonts w:hint="eastAsia"/>
          <w:lang w:val="en-US" w:eastAsia="zh-CN"/>
        </w:rPr>
        <w:t>1</w:t>
      </w:r>
      <w:r>
        <w:rPr>
          <w:rFonts w:hint="eastAsia"/>
        </w:rPr>
        <w:t>.4本项目的其他事项详见供应商须知前附表。</w:t>
      </w:r>
    </w:p>
    <w:p w14:paraId="0397B35E">
      <w:pPr>
        <w:ind w:firstLine="420" w:firstLineChars="200"/>
      </w:pPr>
      <w:r>
        <w:rPr>
          <w:rFonts w:hint="eastAsia"/>
        </w:rPr>
        <w:t>1</w:t>
      </w:r>
      <w:r>
        <w:rPr>
          <w:rFonts w:hint="eastAsia"/>
          <w:lang w:val="en-US" w:eastAsia="zh-CN"/>
        </w:rPr>
        <w:t>1</w:t>
      </w:r>
      <w:r>
        <w:rPr>
          <w:rFonts w:hint="eastAsia"/>
        </w:rPr>
        <w:t>.5本项目的特别说明详见供应商须知前附表。</w:t>
      </w:r>
    </w:p>
    <w:p w14:paraId="7ED14C35">
      <w:pPr>
        <w:ind w:firstLine="422" w:firstLineChars="200"/>
        <w:rPr>
          <w:b/>
          <w:bCs/>
        </w:rPr>
      </w:pPr>
      <w:bookmarkStart w:id="82" w:name="_Toc254970690"/>
      <w:bookmarkStart w:id="83" w:name="_Toc254970549"/>
      <w:r>
        <w:rPr>
          <w:rFonts w:hint="eastAsia"/>
          <w:b/>
          <w:bCs/>
        </w:rPr>
        <w:t>1</w:t>
      </w:r>
      <w:r>
        <w:rPr>
          <w:rFonts w:hint="eastAsia"/>
          <w:b/>
          <w:bCs/>
          <w:lang w:val="en-US" w:eastAsia="zh-CN"/>
        </w:rPr>
        <w:t>2</w:t>
      </w:r>
      <w:r>
        <w:rPr>
          <w:rFonts w:hint="eastAsia"/>
          <w:b/>
          <w:bCs/>
        </w:rPr>
        <w:t>．其他说明</w:t>
      </w:r>
    </w:p>
    <w:p w14:paraId="6F631987">
      <w:pPr>
        <w:ind w:firstLine="420" w:firstLineChars="200"/>
      </w:pPr>
      <w:r>
        <w:rPr>
          <w:rFonts w:hint="eastAsia"/>
        </w:rPr>
        <w:t>1</w:t>
      </w:r>
      <w:r>
        <w:rPr>
          <w:rFonts w:hint="eastAsia"/>
          <w:lang w:val="en-US" w:eastAsia="zh-CN"/>
        </w:rPr>
        <w:t>2</w:t>
      </w:r>
      <w:r>
        <w:rPr>
          <w:rFonts w:hint="eastAsia"/>
        </w:rPr>
        <w:t>.1其余未尽事宜按《中华人民共和国政府采购法》、《中华人民共和国政府采购法实施条例》的相关规定执行。</w:t>
      </w:r>
    </w:p>
    <w:p w14:paraId="3236A351">
      <w:pPr>
        <w:ind w:firstLine="420" w:firstLineChars="200"/>
      </w:pPr>
      <w:r>
        <w:rPr>
          <w:rFonts w:hint="eastAsia"/>
        </w:rPr>
        <w:t>1</w:t>
      </w:r>
      <w:r>
        <w:rPr>
          <w:rFonts w:hint="eastAsia"/>
          <w:lang w:val="en-US" w:eastAsia="zh-CN"/>
        </w:rPr>
        <w:t>2</w:t>
      </w:r>
      <w:r>
        <w:rPr>
          <w:rFonts w:hint="eastAsia"/>
        </w:rPr>
        <w:t>.2本招标文件是根据国家有关法律及有关政策、法规和参照国际惯例编制，解释权属采购代理机构。</w:t>
      </w:r>
    </w:p>
    <w:p w14:paraId="451F6524">
      <w:r>
        <w:rPr>
          <w:rFonts w:hint="eastAsia"/>
        </w:rPr>
        <w:br w:type="page"/>
      </w:r>
    </w:p>
    <w:p w14:paraId="55437087">
      <w:pPr>
        <w:rPr>
          <w:sz w:val="28"/>
          <w:szCs w:val="28"/>
        </w:rPr>
      </w:pPr>
      <w:r>
        <w:rPr>
          <w:rFonts w:hint="eastAsia"/>
          <w:sz w:val="28"/>
          <w:szCs w:val="28"/>
          <w:lang w:bidi="ar"/>
        </w:rPr>
        <w:t>附件：</w:t>
      </w:r>
    </w:p>
    <w:p w14:paraId="4888FCD7">
      <w:pPr>
        <w:pStyle w:val="46"/>
        <w:jc w:val="center"/>
        <w:rPr>
          <w:b/>
          <w:bCs/>
          <w:sz w:val="28"/>
          <w:szCs w:val="28"/>
        </w:rPr>
      </w:pPr>
      <w:r>
        <w:rPr>
          <w:rFonts w:hint="eastAsia"/>
          <w:b/>
          <w:bCs/>
          <w:sz w:val="28"/>
          <w:szCs w:val="28"/>
          <w:lang w:bidi="ar"/>
        </w:rPr>
        <w:t>中小企业划型标准规定</w:t>
      </w:r>
    </w:p>
    <w:p w14:paraId="39842B1C">
      <w:pPr>
        <w:pStyle w:val="46"/>
        <w:jc w:val="center"/>
        <w:rPr>
          <w:sz w:val="21"/>
        </w:rPr>
      </w:pPr>
      <w:r>
        <w:rPr>
          <w:rFonts w:hint="eastAsia"/>
          <w:lang w:bidi="ar"/>
        </w:rPr>
        <w:t>工信部联企业[2011]300号</w:t>
      </w:r>
    </w:p>
    <w:p w14:paraId="4B9D946C">
      <w:pPr>
        <w:ind w:firstLine="420" w:firstLineChars="200"/>
      </w:pPr>
      <w:r>
        <w:rPr>
          <w:rFonts w:hint="eastAsia"/>
        </w:rPr>
        <w:t>一、根据《中华人民共和国中小企业促进法》和《国务院关于进一步促进中小企业发展的若干意见》(国发[2009]36号)，制定本规定。</w:t>
      </w:r>
    </w:p>
    <w:p w14:paraId="37C2EBB6">
      <w:pPr>
        <w:ind w:firstLine="420" w:firstLineChars="200"/>
      </w:pPr>
      <w:r>
        <w:rPr>
          <w:rFonts w:hint="eastAsia"/>
        </w:rPr>
        <w:t>二、中小企业划分为中型、小型、微型三种类型，具体标准根据企业从业人员、营业收入、资产总额等指标，结合行业特点制定。</w:t>
      </w:r>
    </w:p>
    <w:p w14:paraId="4B020DCA">
      <w:pPr>
        <w:ind w:firstLine="420" w:firstLineChars="200"/>
      </w:pPr>
      <w:r>
        <w:rPr>
          <w:rFonts w:hint="eastAsia"/>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42FC727">
      <w:pPr>
        <w:ind w:firstLine="420" w:firstLineChars="200"/>
      </w:pPr>
      <w:r>
        <w:rPr>
          <w:rFonts w:hint="eastAsia"/>
        </w:rPr>
        <w:t>四、各行业划型标准为：</w:t>
      </w:r>
    </w:p>
    <w:p w14:paraId="589EFE18">
      <w:pPr>
        <w:ind w:firstLine="420" w:firstLineChars="200"/>
      </w:pPr>
      <w:r>
        <w:rPr>
          <w:rFonts w:hint="eastAsia"/>
        </w:rPr>
        <w:t>（一）农、林、牧、渔业。营业收入20000万元以下的为中小微型企业。其中，营业收入500万元及以上的为中型企业，营业收入50万元及以上的为小型企业，营业收入50万元以下的为微型企业。</w:t>
      </w:r>
    </w:p>
    <w:p w14:paraId="57C37BFE">
      <w:pPr>
        <w:ind w:firstLine="420" w:firstLineChars="200"/>
      </w:pPr>
      <w:r>
        <w:rPr>
          <w:rFonts w:hint="eastAsia"/>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EB22CB6">
      <w:pPr>
        <w:ind w:firstLine="420" w:firstLineChars="200"/>
      </w:pPr>
      <w:r>
        <w:rPr>
          <w:rFonts w:hint="eastAsia"/>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F90C4C4">
      <w:pPr>
        <w:ind w:firstLine="420" w:firstLineChars="200"/>
      </w:pPr>
      <w:r>
        <w:rPr>
          <w:rFonts w:hint="eastAsia"/>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C8220CD">
      <w:pPr>
        <w:ind w:firstLine="420" w:firstLineChars="200"/>
      </w:pPr>
      <w:r>
        <w:rPr>
          <w:rFonts w:hint="eastAsia"/>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B2276A1">
      <w:pPr>
        <w:ind w:firstLine="420" w:firstLineChars="200"/>
      </w:pPr>
      <w:r>
        <w:rPr>
          <w:rFonts w:hint="eastAsia"/>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F9340A3">
      <w:pPr>
        <w:ind w:firstLine="420" w:firstLineChars="200"/>
      </w:pPr>
      <w:r>
        <w:rPr>
          <w:rFonts w:hint="eastAsia"/>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52AB8E93">
      <w:pPr>
        <w:ind w:firstLine="420" w:firstLineChars="200"/>
      </w:pPr>
      <w:r>
        <w:rPr>
          <w:rFonts w:hint="eastAsia"/>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A40F329">
      <w:pPr>
        <w:ind w:firstLine="420" w:firstLineChars="200"/>
      </w:pPr>
      <w:r>
        <w:rPr>
          <w:rFonts w:hint="eastAsia"/>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75373E9">
      <w:pPr>
        <w:ind w:firstLine="420" w:firstLineChars="200"/>
      </w:pPr>
      <w:r>
        <w:rPr>
          <w:rFonts w:hint="eastAsia"/>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CC54160">
      <w:pPr>
        <w:ind w:firstLine="420" w:firstLineChars="200"/>
      </w:pPr>
      <w:r>
        <w:rPr>
          <w:rFonts w:hint="eastAsia"/>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51BF38FB">
      <w:pPr>
        <w:ind w:firstLine="420" w:firstLineChars="200"/>
      </w:pPr>
      <w:r>
        <w:rPr>
          <w:rFonts w:hint="eastAsia"/>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2B85025">
      <w:pPr>
        <w:ind w:firstLine="420" w:firstLineChars="200"/>
      </w:pPr>
      <w:r>
        <w:rPr>
          <w:rFonts w:hint="eastAsia"/>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A7803C9">
      <w:pPr>
        <w:ind w:firstLine="420" w:firstLineChars="200"/>
      </w:pPr>
      <w:r>
        <w:rPr>
          <w:rFonts w:hint="eastAsia"/>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DA4ACB7">
      <w:pPr>
        <w:ind w:firstLine="420" w:firstLineChars="200"/>
      </w:pPr>
      <w:r>
        <w:rPr>
          <w:rFonts w:hint="eastAsia"/>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1F98632">
      <w:pPr>
        <w:ind w:firstLine="420" w:firstLineChars="200"/>
      </w:pPr>
      <w:r>
        <w:rPr>
          <w:rFonts w:hint="eastAsia"/>
        </w:rPr>
        <w:t>（十六）其他未列明行业。从业人员300人以下的为中小微型企业。其中，从业人员100人及以上的为中型企业；从业人员10人及以上的为小型企业；从业人员10人以下的为微型企业。</w:t>
      </w:r>
    </w:p>
    <w:p w14:paraId="29649B86">
      <w:pPr>
        <w:ind w:firstLine="420" w:firstLineChars="200"/>
      </w:pPr>
      <w:r>
        <w:rPr>
          <w:rFonts w:hint="eastAsia"/>
        </w:rPr>
        <w:t>五、企业类型的划分以统计部门的统计数据为依据。</w:t>
      </w:r>
    </w:p>
    <w:p w14:paraId="63BD999B">
      <w:pPr>
        <w:ind w:firstLine="420" w:firstLineChars="200"/>
      </w:pPr>
      <w:r>
        <w:rPr>
          <w:rFonts w:hint="eastAsia"/>
        </w:rPr>
        <w:t>六、本规定适用于在中华人民共和国境内依法设立的各类所有制和各种组织形式的企业。个体工商户和本规定以外的行业，参照本规定进行划型。</w:t>
      </w:r>
    </w:p>
    <w:p w14:paraId="5C1054FB">
      <w:pPr>
        <w:ind w:firstLine="420" w:firstLineChars="200"/>
      </w:pPr>
      <w:r>
        <w:rPr>
          <w:rFonts w:hint="eastAsia"/>
        </w:rPr>
        <w:t>七、本规定的中型企业标准上限即为大型企业标准的下限，国家统计部门据此制定大中小微型企业的统计分类。国务院有关部门据此进行相关数据分析，不得制定与本规定不一致的企业划型标准。</w:t>
      </w:r>
    </w:p>
    <w:p w14:paraId="22CF47E8">
      <w:pPr>
        <w:ind w:firstLine="420" w:firstLineChars="200"/>
      </w:pPr>
      <w:r>
        <w:rPr>
          <w:rFonts w:hint="eastAsia"/>
        </w:rPr>
        <w:t>八、本规定由工业和信息化部、国家统计局会同有关部门根据《国民经济行业分类》修订情况和企业发展变化情况适时修订。</w:t>
      </w:r>
    </w:p>
    <w:p w14:paraId="4EDF98D0">
      <w:pPr>
        <w:ind w:firstLine="420" w:firstLineChars="200"/>
      </w:pPr>
      <w:r>
        <w:rPr>
          <w:rFonts w:hint="eastAsia"/>
        </w:rPr>
        <w:t>九、本规定由工业和信息化部、国家统计局会同有关部门负责解释。</w:t>
      </w:r>
    </w:p>
    <w:p w14:paraId="2F8F4BD3">
      <w:pPr>
        <w:ind w:firstLine="420" w:firstLineChars="200"/>
      </w:pPr>
      <w:r>
        <w:rPr>
          <w:rFonts w:hint="eastAsia"/>
        </w:rPr>
        <w:t>十、本规定自发布之日起执行，原国家经贸委、原国家计委、财政部和国家统计局2003年颁布的《中小企业标准暂行规定》同时废止。</w:t>
      </w:r>
    </w:p>
    <w:p w14:paraId="4130EF99">
      <w:r>
        <w:rPr>
          <w:rFonts w:hint="eastAsia"/>
        </w:rPr>
        <w:br w:type="page"/>
      </w:r>
    </w:p>
    <w:bookmarkEnd w:id="25"/>
    <w:p w14:paraId="081D47F5">
      <w:pPr>
        <w:pStyle w:val="27"/>
        <w:snapToGrid w:val="0"/>
        <w:spacing w:before="120" w:after="120"/>
        <w:jc w:val="center"/>
        <w:outlineLvl w:val="0"/>
        <w:rPr>
          <w:b/>
          <w:bCs/>
          <w:sz w:val="32"/>
          <w:szCs w:val="32"/>
        </w:rPr>
      </w:pPr>
      <w:bookmarkStart w:id="84" w:name="_Toc22604"/>
      <w:r>
        <w:rPr>
          <w:b/>
          <w:bCs/>
          <w:sz w:val="32"/>
          <w:szCs w:val="32"/>
        </w:rPr>
        <w:t>第四章  评审方法及标准</w:t>
      </w:r>
      <w:bookmarkEnd w:id="84"/>
    </w:p>
    <w:p w14:paraId="1E49CCF5">
      <w:pPr>
        <w:ind w:firstLine="422" w:firstLineChars="200"/>
        <w:rPr>
          <w:b/>
          <w:bCs/>
        </w:rPr>
      </w:pPr>
      <w:bookmarkStart w:id="85" w:name="_Hlk93421148"/>
      <w:r>
        <w:rPr>
          <w:rFonts w:hint="eastAsia"/>
          <w:b/>
          <w:bCs/>
        </w:rPr>
        <w:t>1.评审方法</w:t>
      </w:r>
    </w:p>
    <w:p w14:paraId="50810511">
      <w:pPr>
        <w:ind w:firstLine="420" w:firstLineChars="200"/>
      </w:pPr>
      <w:r>
        <w:rPr>
          <w:rFonts w:hint="eastAsia"/>
        </w:rPr>
        <w:sym w:font="Wingdings 2" w:char="F052"/>
      </w:r>
      <w:r>
        <w:rPr>
          <w:rFonts w:hint="eastAsia"/>
        </w:rPr>
        <w:t>本项目采用综合评分法进行评审。</w:t>
      </w:r>
    </w:p>
    <w:p w14:paraId="1C3B5A73">
      <w:pPr>
        <w:ind w:firstLine="420" w:firstLineChars="200"/>
      </w:pPr>
      <w:r>
        <w:rPr>
          <w:rFonts w:hint="eastAsia"/>
        </w:rPr>
        <w:t>综合评分法，是指投标文件满足招标文件全部实质性要求且按照评审因素的量化指标评审得分最高的供应商为中标候选人的评审方法。</w:t>
      </w:r>
    </w:p>
    <w:p w14:paraId="08341D9D">
      <w:pPr>
        <w:ind w:firstLine="420" w:firstLineChars="200"/>
      </w:pPr>
      <w:r>
        <w:rPr>
          <w:rFonts w:hint="eastAsia"/>
        </w:rPr>
        <w:t>□本项目采用最低评标价法进行评审。</w:t>
      </w:r>
    </w:p>
    <w:p w14:paraId="2E3BD182">
      <w:pPr>
        <w:ind w:firstLine="420" w:firstLineChars="200"/>
      </w:pPr>
      <w:r>
        <w:rPr>
          <w:rFonts w:hint="eastAsia"/>
        </w:rPr>
        <w:t>最低评标价法，是指投标文件满足招标文件全部实质性要求且投标报价最低的供应商为中标候选人的评标方法。</w:t>
      </w:r>
    </w:p>
    <w:p w14:paraId="26AC07DD">
      <w:pPr>
        <w:ind w:firstLine="420" w:firstLineChars="200"/>
      </w:pPr>
      <w:bookmarkStart w:id="86" w:name="_Hlk92206009"/>
      <w:r>
        <w:rPr>
          <w:rFonts w:hint="eastAsia"/>
        </w:rPr>
        <w:t>本项目评审的其他详细规定在第三章</w:t>
      </w:r>
      <w:r>
        <w:rPr>
          <w:rFonts w:hint="eastAsia"/>
          <w:lang w:eastAsia="zh-CN"/>
        </w:rPr>
        <w:t>供应商</w:t>
      </w:r>
      <w:r>
        <w:rPr>
          <w:rFonts w:hint="eastAsia"/>
        </w:rPr>
        <w:t>须知中规定。</w:t>
      </w:r>
      <w:bookmarkEnd w:id="86"/>
    </w:p>
    <w:bookmarkEnd w:id="85"/>
    <w:p w14:paraId="7ED47D07">
      <w:pPr>
        <w:ind w:firstLine="422" w:firstLineChars="200"/>
        <w:rPr>
          <w:b/>
          <w:bCs/>
        </w:rPr>
      </w:pPr>
      <w:bookmarkStart w:id="87" w:name="_Hlk93421162"/>
      <w:r>
        <w:rPr>
          <w:rFonts w:hint="eastAsia"/>
          <w:b/>
          <w:bCs/>
        </w:rPr>
        <w:t>2.资格审查标准（不满足任何一项审查内容要求，资格审查即为不合格）</w:t>
      </w:r>
      <w:bookmarkEnd w:id="87"/>
      <w:bookmarkStart w:id="88" w:name="_Hlk19052412"/>
    </w:p>
    <w:tbl>
      <w:tblPr>
        <w:tblStyle w:val="52"/>
        <w:tblW w:w="9548" w:type="dxa"/>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2582"/>
        <w:gridCol w:w="5699"/>
      </w:tblGrid>
      <w:tr w14:paraId="0060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267" w:type="dxa"/>
            <w:vAlign w:val="center"/>
          </w:tcPr>
          <w:p w14:paraId="37AECA53">
            <w:pPr>
              <w:jc w:val="center"/>
              <w:rPr>
                <w:b/>
                <w:bCs/>
              </w:rPr>
            </w:pPr>
            <w:bookmarkStart w:id="89" w:name="_Hlk93421270"/>
            <w:r>
              <w:rPr>
                <w:rFonts w:hint="eastAsia"/>
                <w:b/>
                <w:bCs/>
              </w:rPr>
              <w:t>审查</w:t>
            </w:r>
            <w:r>
              <w:rPr>
                <w:b/>
                <w:bCs/>
              </w:rPr>
              <w:t>因素</w:t>
            </w:r>
          </w:p>
        </w:tc>
        <w:tc>
          <w:tcPr>
            <w:tcW w:w="2582" w:type="dxa"/>
            <w:vAlign w:val="center"/>
          </w:tcPr>
          <w:p w14:paraId="5B0701E8">
            <w:pPr>
              <w:jc w:val="center"/>
              <w:rPr>
                <w:b/>
                <w:bCs/>
              </w:rPr>
            </w:pPr>
            <w:r>
              <w:rPr>
                <w:rFonts w:hint="eastAsia"/>
                <w:b/>
                <w:bCs/>
              </w:rPr>
              <w:t>审查</w:t>
            </w:r>
            <w:r>
              <w:rPr>
                <w:b/>
                <w:bCs/>
              </w:rPr>
              <w:t>内容</w:t>
            </w:r>
          </w:p>
        </w:tc>
        <w:tc>
          <w:tcPr>
            <w:tcW w:w="5699" w:type="dxa"/>
            <w:vAlign w:val="center"/>
          </w:tcPr>
          <w:p w14:paraId="4222D658">
            <w:pPr>
              <w:jc w:val="center"/>
              <w:rPr>
                <w:b/>
                <w:bCs/>
              </w:rPr>
            </w:pPr>
            <w:r>
              <w:rPr>
                <w:rFonts w:hint="eastAsia"/>
                <w:b/>
                <w:bCs/>
              </w:rPr>
              <w:t>说明</w:t>
            </w:r>
          </w:p>
        </w:tc>
      </w:tr>
      <w:tr w14:paraId="2C51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1267" w:type="dxa"/>
            <w:vMerge w:val="restart"/>
            <w:vAlign w:val="center"/>
          </w:tcPr>
          <w:p w14:paraId="3C328058">
            <w:pPr>
              <w:jc w:val="center"/>
              <w:rPr>
                <w:lang w:val="zh-CN"/>
              </w:rPr>
            </w:pPr>
            <w:r>
              <w:rPr>
                <w:lang w:val="zh-CN"/>
              </w:rPr>
              <w:t>供应商应符合的</w:t>
            </w:r>
            <w:r>
              <w:rPr>
                <w:rFonts w:hint="eastAsia"/>
                <w:lang w:val="zh-CN"/>
              </w:rPr>
              <w:t>基本</w:t>
            </w:r>
            <w:r>
              <w:t>资格</w:t>
            </w:r>
            <w:r>
              <w:rPr>
                <w:rFonts w:hint="eastAsia"/>
              </w:rPr>
              <w:t>要求</w:t>
            </w:r>
          </w:p>
        </w:tc>
        <w:tc>
          <w:tcPr>
            <w:tcW w:w="2582" w:type="dxa"/>
            <w:vAlign w:val="center"/>
          </w:tcPr>
          <w:p w14:paraId="317D1AF1">
            <w:pPr>
              <w:jc w:val="center"/>
            </w:pPr>
            <w:r>
              <w:t>（1）具有独立承担民事责任的能力</w:t>
            </w:r>
          </w:p>
        </w:tc>
        <w:tc>
          <w:tcPr>
            <w:tcW w:w="5699" w:type="dxa"/>
            <w:vAlign w:val="center"/>
          </w:tcPr>
          <w:p w14:paraId="575CD1EE">
            <w:r>
              <w:rPr>
                <w:rFonts w:hint="eastAsia"/>
              </w:rPr>
              <w:t>①供应商为法人或者其他组织的，审查营业执照等证明文件（如营业执照或者事业单位法人证书或者执业许可证等）扫描件。</w:t>
            </w:r>
          </w:p>
          <w:p w14:paraId="64435C48">
            <w:r>
              <w:rPr>
                <w:rFonts w:hint="eastAsia"/>
              </w:rPr>
              <w:t>②供应商为自然人的，审查身份证扫描件。</w:t>
            </w:r>
          </w:p>
        </w:tc>
      </w:tr>
      <w:tr w14:paraId="6113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267" w:type="dxa"/>
            <w:vMerge w:val="continue"/>
            <w:vAlign w:val="center"/>
          </w:tcPr>
          <w:p w14:paraId="59EFB06A">
            <w:pPr>
              <w:jc w:val="center"/>
              <w:rPr>
                <w:lang w:val="zh-CN"/>
              </w:rPr>
            </w:pPr>
          </w:p>
        </w:tc>
        <w:tc>
          <w:tcPr>
            <w:tcW w:w="2582" w:type="dxa"/>
            <w:vAlign w:val="center"/>
          </w:tcPr>
          <w:p w14:paraId="621683A8">
            <w:pPr>
              <w:jc w:val="center"/>
            </w:pPr>
            <w:r>
              <w:rPr>
                <w:lang w:val="zh-CN"/>
              </w:rPr>
              <w:t>（2）</w:t>
            </w:r>
            <w:r>
              <w:t>具有良好的商业信誉和健全的财务会计制度</w:t>
            </w:r>
          </w:p>
        </w:tc>
        <w:tc>
          <w:tcPr>
            <w:tcW w:w="5699" w:type="dxa"/>
            <w:vAlign w:val="center"/>
          </w:tcPr>
          <w:p w14:paraId="680B199F">
            <w:r>
              <w:rPr>
                <w:rFonts w:hint="eastAsia"/>
              </w:rPr>
              <w:t>①</w:t>
            </w:r>
            <w:r>
              <w:t>审查商业信誉声明</w:t>
            </w:r>
            <w:r>
              <w:rPr>
                <w:rFonts w:hint="eastAsia"/>
                <w:lang w:eastAsia="zh-CN"/>
              </w:rPr>
              <w:t>，</w:t>
            </w:r>
            <w:r>
              <w:t>须提供</w:t>
            </w:r>
            <w:r>
              <w:rPr>
                <w:rFonts w:hint="eastAsia"/>
                <w:lang w:eastAsia="zh-CN"/>
              </w:rPr>
              <w:t>。</w:t>
            </w:r>
            <w:r>
              <w:t>格式见第六章投标文件格式“投标声明书”。</w:t>
            </w:r>
          </w:p>
          <w:p w14:paraId="036CF372">
            <w:r>
              <w:rPr>
                <w:rFonts w:hint="eastAsia"/>
              </w:rPr>
              <w:t>②</w:t>
            </w:r>
            <w:r>
              <w:t>审查</w:t>
            </w:r>
            <w:r>
              <w:rPr>
                <w:rFonts w:hint="eastAsia"/>
              </w:rPr>
              <w:t>202</w:t>
            </w:r>
            <w:r>
              <w:rPr>
                <w:rFonts w:hint="eastAsia"/>
                <w:lang w:val="en-US" w:eastAsia="zh-CN"/>
              </w:rPr>
              <w:t>4</w:t>
            </w:r>
            <w:r>
              <w:rPr>
                <w:rFonts w:hint="eastAsia"/>
              </w:rPr>
              <w:t>年</w:t>
            </w:r>
            <w:r>
              <w:t>度</w:t>
            </w:r>
            <w:r>
              <w:rPr>
                <w:rFonts w:hint="eastAsia"/>
                <w:lang w:val="en-US" w:eastAsia="zh-CN"/>
              </w:rPr>
              <w:t>或2025年度</w:t>
            </w:r>
            <w:r>
              <w:t>财务状况报告（表）</w:t>
            </w:r>
            <w:r>
              <w:rPr>
                <w:rFonts w:hint="eastAsia"/>
                <w:lang w:eastAsia="zh-CN"/>
              </w:rPr>
              <w:t>扫描件</w:t>
            </w:r>
            <w:r>
              <w:t>或银行出具的资信证明</w:t>
            </w:r>
            <w:r>
              <w:rPr>
                <w:rFonts w:hint="eastAsia"/>
              </w:rPr>
              <w:t>扫描件</w:t>
            </w:r>
            <w:r>
              <w:t>，对于从取得营业执照时间起到投标文件递交截止时间为止不足1年的供应商，只需提交投标文件递交截止时间前一个月的财务状况报告（表）</w:t>
            </w:r>
            <w:r>
              <w:rPr>
                <w:rFonts w:hint="eastAsia"/>
              </w:rPr>
              <w:t>加盖电子公章</w:t>
            </w:r>
            <w:r>
              <w:t>。</w:t>
            </w:r>
          </w:p>
        </w:tc>
      </w:tr>
      <w:tr w14:paraId="752C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267" w:type="dxa"/>
            <w:vMerge w:val="continue"/>
            <w:vAlign w:val="center"/>
          </w:tcPr>
          <w:p w14:paraId="383E7740">
            <w:pPr>
              <w:jc w:val="center"/>
              <w:rPr>
                <w:lang w:val="zh-CN"/>
              </w:rPr>
            </w:pPr>
          </w:p>
        </w:tc>
        <w:tc>
          <w:tcPr>
            <w:tcW w:w="2582" w:type="dxa"/>
            <w:vAlign w:val="center"/>
          </w:tcPr>
          <w:p w14:paraId="4BDF17E0">
            <w:pPr>
              <w:jc w:val="center"/>
            </w:pPr>
            <w:r>
              <w:rPr>
                <w:lang w:val="zh-CN"/>
              </w:rPr>
              <w:t>（3）具有履行合同所必需的设备和专业技术能力</w:t>
            </w:r>
          </w:p>
        </w:tc>
        <w:tc>
          <w:tcPr>
            <w:tcW w:w="5699" w:type="dxa"/>
            <w:vAlign w:val="center"/>
          </w:tcPr>
          <w:p w14:paraId="4FD7C82B">
            <w:r>
              <w:t>审查书面声明</w:t>
            </w:r>
            <w:r>
              <w:rPr>
                <w:rFonts w:hint="eastAsia"/>
                <w:lang w:eastAsia="zh-CN"/>
              </w:rPr>
              <w:t>，</w:t>
            </w:r>
            <w:r>
              <w:t>须提供</w:t>
            </w:r>
            <w:r>
              <w:rPr>
                <w:rFonts w:hint="eastAsia"/>
                <w:lang w:eastAsia="zh-CN"/>
              </w:rPr>
              <w:t>。</w:t>
            </w:r>
            <w:r>
              <w:t>格式见第六章投标文件格式“投标声明书”。</w:t>
            </w:r>
          </w:p>
        </w:tc>
      </w:tr>
      <w:tr w14:paraId="393DB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267" w:type="dxa"/>
            <w:vMerge w:val="continue"/>
            <w:vAlign w:val="center"/>
          </w:tcPr>
          <w:p w14:paraId="575D6CF0">
            <w:pPr>
              <w:jc w:val="center"/>
              <w:rPr>
                <w:lang w:val="zh-CN"/>
              </w:rPr>
            </w:pPr>
          </w:p>
        </w:tc>
        <w:tc>
          <w:tcPr>
            <w:tcW w:w="2582" w:type="dxa"/>
            <w:vAlign w:val="center"/>
          </w:tcPr>
          <w:p w14:paraId="133367BF">
            <w:pPr>
              <w:jc w:val="center"/>
            </w:pPr>
            <w:r>
              <w:rPr>
                <w:lang w:val="zh-CN"/>
              </w:rPr>
              <w:t>（4）有依法缴纳税收和社会保障金的良好记录</w:t>
            </w:r>
          </w:p>
        </w:tc>
        <w:tc>
          <w:tcPr>
            <w:tcW w:w="5699" w:type="dxa"/>
            <w:vAlign w:val="center"/>
          </w:tcPr>
          <w:p w14:paraId="13877EDB">
            <w:r>
              <w:rPr>
                <w:rFonts w:hint="eastAsia"/>
              </w:rPr>
              <w:t>①</w:t>
            </w:r>
            <w:r>
              <w:t>审查投标截止时间前6个月内，</w:t>
            </w:r>
            <w:r>
              <w:rPr>
                <w:rFonts w:hint="eastAsia"/>
              </w:rPr>
              <w:t>供应商</w:t>
            </w:r>
            <w:r>
              <w:t>任意</w:t>
            </w:r>
            <w:r>
              <w:rPr>
                <w:rFonts w:hint="eastAsia"/>
              </w:rPr>
              <w:t>1个月</w:t>
            </w:r>
            <w:r>
              <w:t>依法缴纳税费证明</w:t>
            </w:r>
            <w:r>
              <w:rPr>
                <w:rFonts w:hint="eastAsia"/>
              </w:rPr>
              <w:t>扫描件</w:t>
            </w:r>
            <w:r>
              <w:t>。</w:t>
            </w:r>
          </w:p>
          <w:p w14:paraId="45742E55">
            <w:r>
              <w:rPr>
                <w:rFonts w:hint="eastAsia"/>
              </w:rPr>
              <w:t>②</w:t>
            </w:r>
            <w:r>
              <w:t>审查投标截止时间前6个月内，</w:t>
            </w:r>
            <w:r>
              <w:rPr>
                <w:rFonts w:hint="eastAsia"/>
              </w:rPr>
              <w:t>供应商</w:t>
            </w:r>
            <w:r>
              <w:t>任意</w:t>
            </w:r>
            <w:r>
              <w:rPr>
                <w:rFonts w:hint="eastAsia"/>
              </w:rPr>
              <w:t>1个月</w:t>
            </w:r>
            <w:r>
              <w:t>的社保缴费证明记录</w:t>
            </w:r>
            <w:r>
              <w:rPr>
                <w:rFonts w:hint="eastAsia"/>
              </w:rPr>
              <w:t>扫描件</w:t>
            </w:r>
            <w:r>
              <w:t>。</w:t>
            </w:r>
          </w:p>
          <w:p w14:paraId="14ED6AC2">
            <w:r>
              <w:t>供应商成立不足</w:t>
            </w:r>
            <w:r>
              <w:rPr>
                <w:rFonts w:hint="eastAsia"/>
              </w:rPr>
              <w:t>1个月的，无须提供</w:t>
            </w:r>
            <w:r>
              <w:t>缴纳税费证明及社保缴费证明</w:t>
            </w:r>
            <w:r>
              <w:rPr>
                <w:rFonts w:hint="eastAsia"/>
              </w:rPr>
              <w:t>。</w:t>
            </w:r>
          </w:p>
          <w:p w14:paraId="40D335BB">
            <w:r>
              <w:t>依法免税或不需要缴纳社会保障资金的供应商，须提供相应文件证明其依法免税或不需要缴纳社会保障资金。</w:t>
            </w:r>
          </w:p>
        </w:tc>
      </w:tr>
      <w:tr w14:paraId="6C24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267" w:type="dxa"/>
            <w:vMerge w:val="continue"/>
            <w:vAlign w:val="center"/>
          </w:tcPr>
          <w:p w14:paraId="496DEF4F">
            <w:pPr>
              <w:jc w:val="center"/>
              <w:rPr>
                <w:lang w:val="zh-CN"/>
              </w:rPr>
            </w:pPr>
          </w:p>
        </w:tc>
        <w:tc>
          <w:tcPr>
            <w:tcW w:w="2582" w:type="dxa"/>
            <w:vAlign w:val="center"/>
          </w:tcPr>
          <w:p w14:paraId="43AE2332">
            <w:pPr>
              <w:jc w:val="center"/>
            </w:pPr>
            <w:r>
              <w:t>（5）参加政府采购活动前三年内，在经营活动中没有重大违法记录及不良信用记录</w:t>
            </w:r>
          </w:p>
        </w:tc>
        <w:tc>
          <w:tcPr>
            <w:tcW w:w="5699" w:type="dxa"/>
            <w:vAlign w:val="center"/>
          </w:tcPr>
          <w:p w14:paraId="3CE83895">
            <w:r>
              <w:t>审查无重大违法记录声明</w:t>
            </w:r>
            <w:r>
              <w:rPr>
                <w:rFonts w:hint="eastAsia"/>
                <w:lang w:eastAsia="zh-CN"/>
              </w:rPr>
              <w:t>，</w:t>
            </w:r>
            <w:r>
              <w:t>须提供</w:t>
            </w:r>
            <w:r>
              <w:rPr>
                <w:rFonts w:hint="eastAsia"/>
                <w:lang w:eastAsia="zh-CN"/>
              </w:rPr>
              <w:t>。</w:t>
            </w:r>
            <w:r>
              <w:t xml:space="preserve">格式见第六章投标文件格式“投标声明书”。 </w:t>
            </w:r>
          </w:p>
        </w:tc>
      </w:tr>
      <w:tr w14:paraId="358F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267" w:type="dxa"/>
            <w:vMerge w:val="continue"/>
            <w:vAlign w:val="center"/>
          </w:tcPr>
          <w:p w14:paraId="1BB9831C">
            <w:pPr>
              <w:jc w:val="center"/>
              <w:rPr>
                <w:lang w:val="zh-CN"/>
              </w:rPr>
            </w:pPr>
          </w:p>
        </w:tc>
        <w:tc>
          <w:tcPr>
            <w:tcW w:w="2582" w:type="dxa"/>
            <w:vAlign w:val="center"/>
          </w:tcPr>
          <w:p w14:paraId="6BA3A837">
            <w:pPr>
              <w:jc w:val="center"/>
            </w:pPr>
            <w:r>
              <w:t>（6）具备法律、行政法规规定的其他要求</w:t>
            </w:r>
          </w:p>
        </w:tc>
        <w:tc>
          <w:tcPr>
            <w:tcW w:w="5699" w:type="dxa"/>
            <w:vAlign w:val="center"/>
          </w:tcPr>
          <w:p w14:paraId="06BF5189">
            <w:r>
              <w:t>无。</w:t>
            </w:r>
          </w:p>
        </w:tc>
      </w:tr>
      <w:tr w14:paraId="63AA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1267" w:type="dxa"/>
            <w:vAlign w:val="center"/>
          </w:tcPr>
          <w:p w14:paraId="2BAD280C">
            <w:pPr>
              <w:jc w:val="center"/>
            </w:pPr>
            <w:r>
              <w:rPr>
                <w:lang w:val="zh-CN"/>
              </w:rPr>
              <w:t>供应商应符合的</w:t>
            </w:r>
            <w:r>
              <w:t>特定资格</w:t>
            </w:r>
            <w:r>
              <w:rPr>
                <w:rFonts w:hint="eastAsia"/>
              </w:rPr>
              <w:t>要求</w:t>
            </w:r>
          </w:p>
        </w:tc>
        <w:tc>
          <w:tcPr>
            <w:tcW w:w="2582" w:type="dxa"/>
            <w:vAlign w:val="center"/>
          </w:tcPr>
          <w:p w14:paraId="1DA998A0">
            <w:pPr>
              <w:jc w:val="center"/>
            </w:pPr>
            <w:r>
              <w:t>资质</w:t>
            </w:r>
            <w:r>
              <w:rPr>
                <w:rFonts w:hint="eastAsia"/>
              </w:rPr>
              <w:t>要求</w:t>
            </w:r>
          </w:p>
        </w:tc>
        <w:tc>
          <w:tcPr>
            <w:tcW w:w="5699" w:type="dxa"/>
            <w:vAlign w:val="center"/>
          </w:tcPr>
          <w:p w14:paraId="0B295509">
            <w:pPr>
              <w:rPr>
                <w:rFonts w:hint="default"/>
                <w:lang w:val="en-US"/>
              </w:rPr>
            </w:pPr>
            <w:r>
              <w:rPr>
                <w:rFonts w:hint="eastAsia"/>
              </w:rPr>
              <w:t>①本项目</w:t>
            </w:r>
            <w:r>
              <w:rPr>
                <w:rFonts w:hint="eastAsia"/>
                <w:lang w:eastAsia="zh-CN"/>
              </w:rPr>
              <w:t>（</w:t>
            </w:r>
            <w:r>
              <w:rPr>
                <w:rFonts w:hint="eastAsia"/>
                <w:lang w:val="en-US" w:eastAsia="zh-CN"/>
              </w:rPr>
              <w:t>分标4</w:t>
            </w:r>
            <w:r>
              <w:rPr>
                <w:rFonts w:hint="eastAsia"/>
                <w:lang w:eastAsia="zh-CN"/>
              </w:rPr>
              <w:t>）：供应商须具备有效的《食品经营许可证》，</w:t>
            </w:r>
            <w:r>
              <w:rPr>
                <w:rFonts w:hint="eastAsia"/>
              </w:rPr>
              <w:t>审查供应商</w:t>
            </w:r>
            <w:r>
              <w:t>有效的《食品经营许可证》</w:t>
            </w:r>
            <w:r>
              <w:rPr>
                <w:rFonts w:hint="eastAsia"/>
              </w:rPr>
              <w:t>扫描件。</w:t>
            </w:r>
            <w:r>
              <w:rPr>
                <w:rFonts w:hint="eastAsia"/>
              </w:rPr>
              <w:br w:type="textWrapping"/>
            </w:r>
            <w:r>
              <w:rPr>
                <w:rFonts w:hint="eastAsia"/>
              </w:rPr>
              <w:t>②本项目</w:t>
            </w:r>
            <w:r>
              <w:rPr>
                <w:rFonts w:hint="eastAsia"/>
                <w:lang w:eastAsia="zh-CN"/>
              </w:rPr>
              <w:t>（</w:t>
            </w:r>
            <w:r>
              <w:rPr>
                <w:rFonts w:hint="eastAsia"/>
                <w:lang w:val="en-US" w:eastAsia="zh-CN"/>
              </w:rPr>
              <w:t>分标1</w:t>
            </w:r>
            <w:r>
              <w:rPr>
                <w:rFonts w:hint="eastAsia"/>
                <w:lang w:eastAsia="zh-CN"/>
              </w:rPr>
              <w:t>、</w:t>
            </w:r>
            <w:r>
              <w:rPr>
                <w:rFonts w:hint="eastAsia"/>
                <w:lang w:val="en-US" w:eastAsia="zh-CN"/>
              </w:rPr>
              <w:t>2、3、5</w:t>
            </w:r>
            <w:r>
              <w:rPr>
                <w:rFonts w:hint="eastAsia"/>
                <w:lang w:eastAsia="zh-CN"/>
              </w:rPr>
              <w:t>）：</w:t>
            </w:r>
            <w:r>
              <w:rPr>
                <w:rFonts w:hint="eastAsia"/>
                <w:lang w:val="en-US" w:eastAsia="zh-CN"/>
              </w:rPr>
              <w:t>无要求。</w:t>
            </w:r>
          </w:p>
        </w:tc>
      </w:tr>
      <w:tr w14:paraId="2ED8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trPr>
        <w:tc>
          <w:tcPr>
            <w:tcW w:w="1267" w:type="dxa"/>
            <w:vAlign w:val="center"/>
          </w:tcPr>
          <w:p w14:paraId="43AA8EAD">
            <w:pPr>
              <w:jc w:val="center"/>
            </w:pPr>
            <w:r>
              <w:rPr>
                <w:rFonts w:hint="eastAsia"/>
              </w:rPr>
              <w:t>采购政策</w:t>
            </w:r>
          </w:p>
        </w:tc>
        <w:tc>
          <w:tcPr>
            <w:tcW w:w="2582" w:type="dxa"/>
            <w:vAlign w:val="center"/>
          </w:tcPr>
          <w:p w14:paraId="4CB54DA8">
            <w:pPr>
              <w:jc w:val="center"/>
            </w:pPr>
            <w:r>
              <w:rPr>
                <w:rFonts w:hint="eastAsia"/>
              </w:rPr>
              <w:t>落实政府采购政策需满足的资格要求</w:t>
            </w:r>
          </w:p>
        </w:tc>
        <w:tc>
          <w:tcPr>
            <w:tcW w:w="5699" w:type="dxa"/>
            <w:vAlign w:val="center"/>
          </w:tcPr>
          <w:p w14:paraId="02C1B73A">
            <w:r>
              <w:rPr>
                <w:rFonts w:hint="eastAsia"/>
              </w:rPr>
              <w:t>①本项目</w:t>
            </w:r>
            <w:r>
              <w:rPr>
                <w:rFonts w:hint="eastAsia"/>
                <w:lang w:eastAsia="zh-CN"/>
              </w:rPr>
              <w:t>（</w:t>
            </w:r>
            <w:r>
              <w:rPr>
                <w:rFonts w:hint="eastAsia"/>
                <w:lang w:val="en-US" w:eastAsia="zh-CN"/>
              </w:rPr>
              <w:t>分标2</w:t>
            </w:r>
            <w:r>
              <w:rPr>
                <w:rFonts w:hint="eastAsia"/>
                <w:lang w:eastAsia="zh-CN"/>
              </w:rPr>
              <w:t>、</w:t>
            </w:r>
            <w:r>
              <w:rPr>
                <w:rFonts w:hint="eastAsia"/>
                <w:lang w:val="en-US" w:eastAsia="zh-CN"/>
              </w:rPr>
              <w:t>4</w:t>
            </w:r>
            <w:r>
              <w:rPr>
                <w:rFonts w:hint="eastAsia"/>
                <w:lang w:eastAsia="zh-CN"/>
              </w:rPr>
              <w:t>）</w:t>
            </w:r>
            <w:r>
              <w:rPr>
                <w:rFonts w:hint="eastAsia"/>
              </w:rPr>
              <w:t>为专门面向</w:t>
            </w:r>
            <w:r>
              <w:rPr>
                <w:rFonts w:hint="eastAsia"/>
                <w:lang w:val="en-US" w:eastAsia="zh-CN"/>
              </w:rPr>
              <w:t>中小</w:t>
            </w:r>
            <w:r>
              <w:rPr>
                <w:rFonts w:hint="eastAsia"/>
              </w:rPr>
              <w:t>企业采购</w:t>
            </w:r>
            <w:r>
              <w:rPr>
                <w:rFonts w:hint="eastAsia"/>
                <w:lang w:eastAsia="zh-CN"/>
              </w:rPr>
              <w:t>，</w:t>
            </w:r>
            <w:r>
              <w:rPr>
                <w:rFonts w:hint="eastAsia"/>
                <w:bCs/>
                <w:szCs w:val="21"/>
              </w:rPr>
              <w:t>制造商</w:t>
            </w:r>
            <w:r>
              <w:rPr>
                <w:rFonts w:hint="eastAsia"/>
                <w:lang w:eastAsia="zh-CN"/>
              </w:rPr>
              <w:t>应为</w:t>
            </w:r>
            <w:r>
              <w:rPr>
                <w:rFonts w:hint="eastAsia"/>
                <w:lang w:val="en-US" w:eastAsia="zh-CN"/>
              </w:rPr>
              <w:t>中型</w:t>
            </w:r>
            <w:r>
              <w:rPr>
                <w:rFonts w:hint="eastAsia"/>
                <w:lang w:eastAsia="zh-CN"/>
              </w:rPr>
              <w:t>企业</w:t>
            </w:r>
            <w:r>
              <w:rPr>
                <w:rFonts w:hint="eastAsia"/>
                <w:lang w:val="en-US" w:eastAsia="zh-CN"/>
              </w:rPr>
              <w:t>或</w:t>
            </w:r>
            <w:r>
              <w:rPr>
                <w:rFonts w:hint="eastAsia"/>
                <w:lang w:eastAsia="zh-CN"/>
              </w:rPr>
              <w:t>小</w:t>
            </w:r>
            <w:r>
              <w:rPr>
                <w:rFonts w:hint="eastAsia"/>
                <w:lang w:val="en-US" w:eastAsia="zh-CN"/>
              </w:rPr>
              <w:t>型</w:t>
            </w:r>
            <w:r>
              <w:rPr>
                <w:rFonts w:hint="eastAsia"/>
                <w:lang w:eastAsia="zh-CN"/>
              </w:rPr>
              <w:t>企业</w:t>
            </w:r>
            <w:r>
              <w:rPr>
                <w:rFonts w:hint="eastAsia"/>
                <w:lang w:val="en-US" w:eastAsia="zh-CN"/>
              </w:rPr>
              <w:t>或</w:t>
            </w:r>
            <w:r>
              <w:rPr>
                <w:rFonts w:hint="eastAsia"/>
                <w:lang w:eastAsia="zh-CN"/>
              </w:rPr>
              <w:t>微</w:t>
            </w:r>
            <w:r>
              <w:rPr>
                <w:rFonts w:hint="eastAsia"/>
                <w:lang w:val="en-US" w:eastAsia="zh-CN"/>
              </w:rPr>
              <w:t>型</w:t>
            </w:r>
            <w:r>
              <w:rPr>
                <w:rFonts w:hint="eastAsia"/>
                <w:lang w:eastAsia="zh-CN"/>
              </w:rPr>
              <w:t>企业或监狱企业或残疾人福利性单位</w:t>
            </w:r>
            <w:r>
              <w:rPr>
                <w:rFonts w:hint="eastAsia"/>
              </w:rPr>
              <w:t>。审查</w:t>
            </w:r>
            <w:r>
              <w:t>中小企业声明函或者残疾人福利性单位声明函或者</w:t>
            </w:r>
            <w:r>
              <w:rPr>
                <w:rFonts w:hint="eastAsia"/>
                <w:lang w:eastAsia="zh-CN"/>
              </w:rPr>
              <w:t>供应商</w:t>
            </w:r>
            <w:r>
              <w:t>属于监狱企业的证明材料</w:t>
            </w:r>
            <w:r>
              <w:rPr>
                <w:rFonts w:hint="eastAsia"/>
                <w:lang w:eastAsia="zh-CN"/>
              </w:rPr>
              <w:t>，</w:t>
            </w:r>
            <w:r>
              <w:rPr>
                <w:rFonts w:hint="eastAsia"/>
              </w:rPr>
              <w:t>须提供</w:t>
            </w:r>
            <w:r>
              <w:rPr>
                <w:rFonts w:hint="eastAsia"/>
                <w:lang w:eastAsia="zh-CN"/>
              </w:rPr>
              <w:t>。</w:t>
            </w:r>
            <w:r>
              <w:rPr>
                <w:rFonts w:hint="eastAsia"/>
              </w:rPr>
              <w:t>部分格式</w:t>
            </w:r>
            <w:r>
              <w:t>见第六章投标文件格式“中小企业声明函”</w:t>
            </w:r>
            <w:r>
              <w:rPr>
                <w:rFonts w:hint="eastAsia"/>
              </w:rPr>
              <w:t>、</w:t>
            </w:r>
            <w:r>
              <w:t>“残疾人福利性单位声明函”。</w:t>
            </w:r>
          </w:p>
          <w:p w14:paraId="07767D53">
            <w:r>
              <w:rPr>
                <w:rFonts w:hint="eastAsia"/>
              </w:rPr>
              <w:t>②本项目</w:t>
            </w:r>
            <w:r>
              <w:rPr>
                <w:rFonts w:hint="eastAsia"/>
                <w:lang w:eastAsia="zh-CN"/>
              </w:rPr>
              <w:t>（</w:t>
            </w:r>
            <w:r>
              <w:rPr>
                <w:rFonts w:hint="eastAsia"/>
                <w:lang w:val="en-US" w:eastAsia="zh-CN"/>
              </w:rPr>
              <w:t>分标1、3、5</w:t>
            </w:r>
            <w:r>
              <w:rPr>
                <w:rFonts w:hint="eastAsia"/>
                <w:lang w:eastAsia="zh-CN"/>
              </w:rPr>
              <w:t>）</w:t>
            </w:r>
            <w:r>
              <w:rPr>
                <w:rFonts w:hint="eastAsia"/>
              </w:rPr>
              <w:t>为专门面向</w:t>
            </w:r>
            <w:r>
              <w:rPr>
                <w:rFonts w:hint="eastAsia"/>
                <w:lang w:val="en-US" w:eastAsia="zh-CN"/>
              </w:rPr>
              <w:t>小微</w:t>
            </w:r>
            <w:r>
              <w:rPr>
                <w:rFonts w:hint="eastAsia"/>
              </w:rPr>
              <w:t>企业采购</w:t>
            </w:r>
            <w:r>
              <w:rPr>
                <w:rFonts w:hint="eastAsia"/>
                <w:lang w:eastAsia="zh-CN"/>
              </w:rPr>
              <w:t>，</w:t>
            </w:r>
            <w:r>
              <w:rPr>
                <w:rFonts w:hint="eastAsia"/>
                <w:bCs/>
                <w:szCs w:val="21"/>
              </w:rPr>
              <w:t>制造商</w:t>
            </w:r>
            <w:r>
              <w:rPr>
                <w:rFonts w:hint="eastAsia"/>
                <w:lang w:eastAsia="zh-CN"/>
              </w:rPr>
              <w:t>应为小</w:t>
            </w:r>
            <w:r>
              <w:rPr>
                <w:rFonts w:hint="eastAsia"/>
                <w:lang w:val="en-US" w:eastAsia="zh-CN"/>
              </w:rPr>
              <w:t>型</w:t>
            </w:r>
            <w:r>
              <w:rPr>
                <w:rFonts w:hint="eastAsia"/>
                <w:lang w:eastAsia="zh-CN"/>
              </w:rPr>
              <w:t>企业</w:t>
            </w:r>
            <w:r>
              <w:rPr>
                <w:rFonts w:hint="eastAsia"/>
                <w:lang w:val="en-US" w:eastAsia="zh-CN"/>
              </w:rPr>
              <w:t>或</w:t>
            </w:r>
            <w:r>
              <w:rPr>
                <w:rFonts w:hint="eastAsia"/>
                <w:lang w:eastAsia="zh-CN"/>
              </w:rPr>
              <w:t>微</w:t>
            </w:r>
            <w:r>
              <w:rPr>
                <w:rFonts w:hint="eastAsia"/>
                <w:lang w:val="en-US" w:eastAsia="zh-CN"/>
              </w:rPr>
              <w:t>型</w:t>
            </w:r>
            <w:r>
              <w:rPr>
                <w:rFonts w:hint="eastAsia"/>
                <w:lang w:eastAsia="zh-CN"/>
              </w:rPr>
              <w:t>企业或监狱企业或残疾人福利性单位</w:t>
            </w:r>
            <w:r>
              <w:rPr>
                <w:rFonts w:hint="eastAsia"/>
              </w:rPr>
              <w:t>。审查</w:t>
            </w:r>
            <w:r>
              <w:rPr>
                <w:spacing w:val="-1"/>
              </w:rPr>
              <w:t>中小企业声明函或者残疾人福利性单位声明函或者</w:t>
            </w:r>
            <w:r>
              <w:rPr>
                <w:rFonts w:hint="eastAsia"/>
                <w:spacing w:val="-1"/>
                <w:lang w:eastAsia="zh-CN"/>
              </w:rPr>
              <w:t>供应商</w:t>
            </w:r>
            <w:r>
              <w:rPr>
                <w:spacing w:val="-1"/>
              </w:rPr>
              <w:t>属于监狱企业的证明材料</w:t>
            </w:r>
            <w:r>
              <w:rPr>
                <w:rFonts w:hint="eastAsia"/>
                <w:lang w:eastAsia="zh-CN"/>
              </w:rPr>
              <w:t>，</w:t>
            </w:r>
            <w:r>
              <w:rPr>
                <w:rFonts w:hint="eastAsia"/>
              </w:rPr>
              <w:t>须提供</w:t>
            </w:r>
            <w:r>
              <w:rPr>
                <w:rFonts w:hint="eastAsia"/>
                <w:lang w:eastAsia="zh-CN"/>
              </w:rPr>
              <w:t>。</w:t>
            </w:r>
            <w:r>
              <w:rPr>
                <w:rFonts w:hint="eastAsia"/>
              </w:rPr>
              <w:t>部分格式</w:t>
            </w:r>
            <w:r>
              <w:t>见第六章投标文件格式“</w:t>
            </w:r>
            <w:r>
              <w:rPr>
                <w:spacing w:val="-1"/>
              </w:rPr>
              <w:t>中小企业声明函</w:t>
            </w:r>
            <w:r>
              <w:t>”</w:t>
            </w:r>
            <w:r>
              <w:rPr>
                <w:rFonts w:hint="eastAsia"/>
              </w:rPr>
              <w:t>、</w:t>
            </w:r>
            <w:r>
              <w:t>“</w:t>
            </w:r>
            <w:r>
              <w:rPr>
                <w:spacing w:val="-1"/>
              </w:rPr>
              <w:t>残疾人福利性单位声明函</w:t>
            </w:r>
            <w:r>
              <w:t>”。</w:t>
            </w:r>
          </w:p>
        </w:tc>
      </w:tr>
      <w:tr w14:paraId="60E7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1267" w:type="dxa"/>
            <w:vAlign w:val="center"/>
          </w:tcPr>
          <w:p w14:paraId="04CBBD6B">
            <w:pPr>
              <w:jc w:val="center"/>
            </w:pPr>
            <w:r>
              <w:rPr>
                <w:rFonts w:hint="eastAsia"/>
              </w:rPr>
              <w:t>联合体</w:t>
            </w:r>
          </w:p>
        </w:tc>
        <w:tc>
          <w:tcPr>
            <w:tcW w:w="2582" w:type="dxa"/>
            <w:vAlign w:val="center"/>
          </w:tcPr>
          <w:p w14:paraId="1B72342B">
            <w:pPr>
              <w:jc w:val="center"/>
            </w:pPr>
            <w:r>
              <w:rPr>
                <w:rFonts w:hint="eastAsia"/>
              </w:rPr>
              <w:t>联合体要求</w:t>
            </w:r>
          </w:p>
        </w:tc>
        <w:tc>
          <w:tcPr>
            <w:tcW w:w="5699" w:type="dxa"/>
            <w:vAlign w:val="center"/>
          </w:tcPr>
          <w:p w14:paraId="41953F30">
            <w:r>
              <w:rPr>
                <w:rFonts w:hint="eastAsia"/>
                <w:lang w:val="zh-CN"/>
              </w:rPr>
              <w:t>本项目</w:t>
            </w:r>
            <w:r>
              <w:rPr>
                <w:rFonts w:hint="eastAsia"/>
              </w:rPr>
              <w:t>不接受</w:t>
            </w:r>
            <w:r>
              <w:rPr>
                <w:rFonts w:hint="eastAsia"/>
                <w:lang w:val="zh-CN"/>
              </w:rPr>
              <w:t>联合体</w:t>
            </w:r>
            <w:r>
              <w:rPr>
                <w:rFonts w:hint="eastAsia"/>
              </w:rPr>
              <w:t>投标</w:t>
            </w:r>
            <w:r>
              <w:rPr>
                <w:rFonts w:hint="eastAsia"/>
                <w:lang w:val="zh-CN"/>
              </w:rPr>
              <w:t>。</w:t>
            </w:r>
          </w:p>
        </w:tc>
      </w:tr>
      <w:tr w14:paraId="49AB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1267" w:type="dxa"/>
            <w:vMerge w:val="restart"/>
            <w:vAlign w:val="center"/>
          </w:tcPr>
          <w:p w14:paraId="3B39903D">
            <w:pPr>
              <w:jc w:val="center"/>
            </w:pPr>
            <w:r>
              <w:rPr>
                <w:rFonts w:hint="eastAsia"/>
              </w:rPr>
              <w:t>供应商不得参加政府采购的情形</w:t>
            </w:r>
          </w:p>
        </w:tc>
        <w:tc>
          <w:tcPr>
            <w:tcW w:w="2582" w:type="dxa"/>
            <w:vAlign w:val="center"/>
          </w:tcPr>
          <w:p w14:paraId="53D09A34">
            <w:pPr>
              <w:jc w:val="center"/>
            </w:pPr>
            <w:r>
              <w:rPr>
                <w:rFonts w:hint="eastAsia"/>
              </w:rPr>
              <w:t>（1）单位负责人、直接控股、管理关系要求</w:t>
            </w:r>
          </w:p>
        </w:tc>
        <w:tc>
          <w:tcPr>
            <w:tcW w:w="5699" w:type="dxa"/>
            <w:vAlign w:val="center"/>
          </w:tcPr>
          <w:p w14:paraId="5BFB5BEE">
            <w:pPr>
              <w:rPr>
                <w:lang w:val="zh-CN"/>
              </w:rPr>
            </w:pPr>
            <w:r>
              <w:rPr>
                <w:rFonts w:hint="eastAsia"/>
                <w:kern w:val="0"/>
              </w:rPr>
              <w:t>与本项目其他</w:t>
            </w:r>
            <w:r>
              <w:rPr>
                <w:rFonts w:hint="eastAsia"/>
                <w:kern w:val="0"/>
                <w:lang w:eastAsia="zh-CN"/>
              </w:rPr>
              <w:t>供应商</w:t>
            </w:r>
            <w:r>
              <w:rPr>
                <w:rFonts w:hint="eastAsia"/>
                <w:kern w:val="0"/>
              </w:rPr>
              <w:t>不存在单位负责人为同一人或者直接控股、管理关系的情形。</w:t>
            </w:r>
            <w:r>
              <w:rPr>
                <w:rFonts w:hint="eastAsia"/>
              </w:rPr>
              <w:t>审查</w:t>
            </w:r>
            <w:r>
              <w:rPr>
                <w:rFonts w:hint="eastAsia"/>
                <w:lang w:eastAsia="zh-CN"/>
              </w:rPr>
              <w:t>供应商</w:t>
            </w:r>
            <w:r>
              <w:rPr>
                <w:rFonts w:hint="eastAsia" w:ascii="Arial" w:hAnsi="Arial" w:cs="Arial"/>
                <w:lang w:eastAsia="zh-CN"/>
              </w:rPr>
              <w:t>供应商</w:t>
            </w:r>
            <w:r>
              <w:rPr>
                <w:rFonts w:ascii="Arial" w:hAnsi="Arial" w:cs="Arial"/>
              </w:rPr>
              <w:t>直接控股股东信息表</w:t>
            </w:r>
            <w:r>
              <w:rPr>
                <w:rFonts w:hint="eastAsia" w:ascii="Arial" w:hAnsi="Arial" w:cs="Arial"/>
                <w:lang w:eastAsia="zh-CN"/>
              </w:rPr>
              <w:t>、</w:t>
            </w:r>
            <w:r>
              <w:rPr>
                <w:rFonts w:hint="eastAsia"/>
                <w:lang w:eastAsia="zh-CN"/>
              </w:rPr>
              <w:t>供应商</w:t>
            </w:r>
            <w:r>
              <w:rPr>
                <w:rFonts w:hint="eastAsia"/>
              </w:rPr>
              <w:t>直接管理关系信息表</w:t>
            </w:r>
            <w:r>
              <w:rPr>
                <w:rFonts w:hint="eastAsia"/>
                <w:lang w:val="en-US" w:eastAsia="zh-CN"/>
              </w:rPr>
              <w:t>，</w:t>
            </w:r>
            <w:r>
              <w:rPr>
                <w:rFonts w:hint="eastAsia"/>
              </w:rPr>
              <w:t>须提供</w:t>
            </w:r>
            <w:r>
              <w:rPr>
                <w:rFonts w:hint="eastAsia"/>
                <w:lang w:eastAsia="zh-CN"/>
              </w:rPr>
              <w:t>。</w:t>
            </w:r>
            <w:r>
              <w:t>格式见第六章投标文件格式“</w:t>
            </w:r>
            <w:r>
              <w:rPr>
                <w:rFonts w:hint="eastAsia" w:ascii="Arial" w:hAnsi="Arial" w:cs="Arial"/>
                <w:lang w:eastAsia="zh-CN"/>
              </w:rPr>
              <w:t>供应商</w:t>
            </w:r>
            <w:r>
              <w:rPr>
                <w:rFonts w:ascii="Arial" w:hAnsi="Arial" w:cs="Arial"/>
              </w:rPr>
              <w:t>直接控股股东信息表</w:t>
            </w:r>
            <w:r>
              <w:t>”</w:t>
            </w:r>
            <w:r>
              <w:rPr>
                <w:rFonts w:hint="eastAsia"/>
              </w:rPr>
              <w:t>、“</w:t>
            </w:r>
            <w:r>
              <w:rPr>
                <w:rFonts w:hint="eastAsia"/>
                <w:lang w:eastAsia="zh-CN"/>
              </w:rPr>
              <w:t>供应商</w:t>
            </w:r>
            <w:r>
              <w:rPr>
                <w:rFonts w:hint="eastAsia"/>
              </w:rPr>
              <w:t>直接管理关系信息表”</w:t>
            </w:r>
            <w:r>
              <w:t>。</w:t>
            </w:r>
          </w:p>
        </w:tc>
      </w:tr>
      <w:tr w14:paraId="0BDB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1267" w:type="dxa"/>
            <w:vMerge w:val="continue"/>
            <w:vAlign w:val="center"/>
          </w:tcPr>
          <w:p w14:paraId="6EFFF495">
            <w:pPr>
              <w:jc w:val="center"/>
            </w:pPr>
          </w:p>
        </w:tc>
        <w:tc>
          <w:tcPr>
            <w:tcW w:w="2582" w:type="dxa"/>
            <w:vAlign w:val="center"/>
          </w:tcPr>
          <w:p w14:paraId="45E56580">
            <w:pPr>
              <w:jc w:val="center"/>
            </w:pPr>
            <w:r>
              <w:rPr>
                <w:rFonts w:hint="eastAsia"/>
              </w:rPr>
              <w:t>（2）供应商信用要求</w:t>
            </w:r>
          </w:p>
        </w:tc>
        <w:tc>
          <w:tcPr>
            <w:tcW w:w="5699" w:type="dxa"/>
            <w:vAlign w:val="center"/>
          </w:tcPr>
          <w:p w14:paraId="5172B0AC">
            <w:pPr>
              <w:rPr>
                <w:lang w:val="zh-CN"/>
              </w:rPr>
            </w:pPr>
            <w:r>
              <w:rPr>
                <w:rFonts w:hint="eastAsia"/>
              </w:rPr>
              <w:t>未被列入失信被执行人、</w:t>
            </w:r>
            <w:r>
              <w:t>重大税收违法失信主体、政府采购严重违法失信行为记录名单</w:t>
            </w:r>
            <w:r>
              <w:rPr>
                <w:rFonts w:hint="eastAsia"/>
              </w:rPr>
              <w:t>。信用查询规则见“</w:t>
            </w:r>
            <w:r>
              <w:rPr>
                <w:rFonts w:hint="eastAsia"/>
                <w:lang w:eastAsia="zh-CN"/>
              </w:rPr>
              <w:t>供应商</w:t>
            </w:r>
            <w:r>
              <w:rPr>
                <w:rFonts w:hint="eastAsia"/>
              </w:rPr>
              <w:t>须知前附表”。</w:t>
            </w:r>
          </w:p>
        </w:tc>
      </w:tr>
      <w:bookmarkEnd w:id="89"/>
    </w:tbl>
    <w:p w14:paraId="3C22A6A2">
      <w:pPr>
        <w:ind w:firstLine="422" w:firstLineChars="200"/>
        <w:rPr>
          <w:b/>
          <w:bCs/>
        </w:rPr>
      </w:pPr>
      <w:r>
        <w:rPr>
          <w:rFonts w:hint="eastAsia"/>
          <w:b/>
          <w:bCs/>
        </w:rPr>
        <w:t>3.符合性审查标准（不满足任何一项审查内容要求，符合性审查即为不合格）</w:t>
      </w:r>
    </w:p>
    <w:tbl>
      <w:tblPr>
        <w:tblStyle w:val="52"/>
        <w:tblW w:w="9573" w:type="dxa"/>
        <w:tblInd w:w="-2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6"/>
        <w:gridCol w:w="2622"/>
        <w:gridCol w:w="5725"/>
      </w:tblGrid>
      <w:tr w14:paraId="6ACB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226" w:type="dxa"/>
            <w:vAlign w:val="center"/>
          </w:tcPr>
          <w:p w14:paraId="6E458745">
            <w:pPr>
              <w:jc w:val="center"/>
              <w:rPr>
                <w:b/>
                <w:bCs/>
              </w:rPr>
            </w:pPr>
            <w:bookmarkStart w:id="90" w:name="_Hlk92966680"/>
            <w:r>
              <w:rPr>
                <w:rFonts w:hint="eastAsia"/>
                <w:b/>
                <w:bCs/>
              </w:rPr>
              <w:t>审查</w:t>
            </w:r>
            <w:r>
              <w:rPr>
                <w:b/>
                <w:bCs/>
              </w:rPr>
              <w:t>因素</w:t>
            </w:r>
          </w:p>
        </w:tc>
        <w:tc>
          <w:tcPr>
            <w:tcW w:w="2622" w:type="dxa"/>
            <w:vAlign w:val="center"/>
          </w:tcPr>
          <w:p w14:paraId="295C55A0">
            <w:pPr>
              <w:jc w:val="center"/>
              <w:rPr>
                <w:b/>
                <w:bCs/>
              </w:rPr>
            </w:pPr>
            <w:r>
              <w:rPr>
                <w:rFonts w:hint="eastAsia"/>
                <w:b/>
                <w:bCs/>
              </w:rPr>
              <w:t>审查内容</w:t>
            </w:r>
          </w:p>
        </w:tc>
        <w:tc>
          <w:tcPr>
            <w:tcW w:w="5725" w:type="dxa"/>
            <w:vAlign w:val="center"/>
          </w:tcPr>
          <w:p w14:paraId="0722AC99">
            <w:pPr>
              <w:jc w:val="center"/>
              <w:rPr>
                <w:b/>
                <w:bCs/>
              </w:rPr>
            </w:pPr>
            <w:r>
              <w:rPr>
                <w:rFonts w:hint="eastAsia"/>
                <w:b/>
                <w:bCs/>
              </w:rPr>
              <w:t>说明</w:t>
            </w:r>
          </w:p>
        </w:tc>
      </w:tr>
      <w:tr w14:paraId="65EF6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1226" w:type="dxa"/>
            <w:vMerge w:val="restart"/>
            <w:vAlign w:val="center"/>
          </w:tcPr>
          <w:p w14:paraId="16041CEB">
            <w:pPr>
              <w:jc w:val="center"/>
              <w:rPr>
                <w:lang w:val="zh-CN"/>
              </w:rPr>
            </w:pPr>
            <w:r>
              <w:rPr>
                <w:rFonts w:hint="eastAsia"/>
                <w:lang w:val="zh-CN"/>
              </w:rPr>
              <w:t>商务</w:t>
            </w:r>
          </w:p>
        </w:tc>
        <w:tc>
          <w:tcPr>
            <w:tcW w:w="2622" w:type="dxa"/>
            <w:vAlign w:val="center"/>
          </w:tcPr>
          <w:p w14:paraId="556F7AEB">
            <w:pPr>
              <w:jc w:val="center"/>
            </w:pPr>
            <w:r>
              <w:rPr>
                <w:rFonts w:hint="eastAsia"/>
              </w:rPr>
              <w:t>法定代表人身份证明及授权委托书</w:t>
            </w:r>
          </w:p>
        </w:tc>
        <w:tc>
          <w:tcPr>
            <w:tcW w:w="5725" w:type="dxa"/>
            <w:vAlign w:val="center"/>
          </w:tcPr>
          <w:p w14:paraId="3EAD617C">
            <w:r>
              <w:rPr>
                <w:rFonts w:hint="eastAsia"/>
              </w:rPr>
              <w:t>①</w:t>
            </w:r>
            <w:r>
              <w:t>审查法定代表人身份证明</w:t>
            </w:r>
            <w:r>
              <w:rPr>
                <w:rFonts w:hint="eastAsia"/>
              </w:rPr>
              <w:t>及</w:t>
            </w:r>
            <w:r>
              <w:t>附件</w:t>
            </w:r>
            <w:r>
              <w:rPr>
                <w:rFonts w:hint="eastAsia"/>
                <w:lang w:eastAsia="zh-CN"/>
              </w:rPr>
              <w:t>，</w:t>
            </w:r>
            <w:r>
              <w:rPr>
                <w:rFonts w:hint="eastAsia"/>
              </w:rPr>
              <w:t>须提供</w:t>
            </w:r>
            <w:r>
              <w:rPr>
                <w:rFonts w:hint="eastAsia"/>
                <w:lang w:eastAsia="zh-CN"/>
              </w:rPr>
              <w:t>。</w:t>
            </w:r>
            <w:r>
              <w:t>格式及附件见第六章投标文件格式</w:t>
            </w:r>
            <w:r>
              <w:rPr>
                <w:rFonts w:hint="eastAsia"/>
              </w:rPr>
              <w:t>“</w:t>
            </w:r>
            <w:r>
              <w:t>法定代表人身份证</w:t>
            </w:r>
            <w:r>
              <w:rPr>
                <w:rFonts w:hint="eastAsia"/>
              </w:rPr>
              <w:t>”。</w:t>
            </w:r>
          </w:p>
          <w:p w14:paraId="214C0F6B">
            <w:r>
              <w:rPr>
                <w:rFonts w:hint="eastAsia"/>
              </w:rPr>
              <w:t>②有授权代表时，</w:t>
            </w:r>
            <w:r>
              <w:t>审查法定代表人授权委托书及附件</w:t>
            </w:r>
            <w:r>
              <w:rPr>
                <w:rFonts w:hint="eastAsia"/>
                <w:lang w:eastAsia="zh-CN"/>
              </w:rPr>
              <w:t>，</w:t>
            </w:r>
            <w:r>
              <w:rPr>
                <w:rFonts w:hint="eastAsia"/>
              </w:rPr>
              <w:t>须提供</w:t>
            </w:r>
            <w:r>
              <w:rPr>
                <w:rFonts w:hint="eastAsia"/>
                <w:lang w:eastAsia="zh-CN"/>
              </w:rPr>
              <w:t>。</w:t>
            </w:r>
            <w:r>
              <w:t>格式及附件见第六章投标文件格式</w:t>
            </w:r>
            <w:r>
              <w:rPr>
                <w:rFonts w:hint="eastAsia"/>
              </w:rPr>
              <w:t>“法定代表人授权委托书”。</w:t>
            </w:r>
          </w:p>
        </w:tc>
      </w:tr>
      <w:tr w14:paraId="6FD0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26" w:type="dxa"/>
            <w:vMerge w:val="continue"/>
            <w:vAlign w:val="center"/>
          </w:tcPr>
          <w:p w14:paraId="4E6241D0">
            <w:pPr>
              <w:jc w:val="center"/>
              <w:rPr>
                <w:lang w:val="zh-CN"/>
              </w:rPr>
            </w:pPr>
          </w:p>
        </w:tc>
        <w:tc>
          <w:tcPr>
            <w:tcW w:w="2622" w:type="dxa"/>
            <w:vAlign w:val="center"/>
          </w:tcPr>
          <w:p w14:paraId="573DB7D1">
            <w:pPr>
              <w:jc w:val="center"/>
            </w:pPr>
            <w:r>
              <w:rPr>
                <w:rFonts w:hint="eastAsia"/>
              </w:rPr>
              <w:t>实质性条款响应</w:t>
            </w:r>
          </w:p>
        </w:tc>
        <w:tc>
          <w:tcPr>
            <w:tcW w:w="5725" w:type="dxa"/>
            <w:vAlign w:val="center"/>
          </w:tcPr>
          <w:p w14:paraId="561D6B2E">
            <w:r>
              <w:t>第二章采购需求中，</w:t>
            </w:r>
            <w:r>
              <w:rPr>
                <w:rFonts w:hint="eastAsia"/>
              </w:rPr>
              <w:t>商务要求标注“▲”的</w:t>
            </w:r>
            <w:r>
              <w:t>实质性要求均响应</w:t>
            </w:r>
            <w:r>
              <w:rPr>
                <w:rFonts w:hint="eastAsia"/>
              </w:rPr>
              <w:t>且</w:t>
            </w:r>
            <w:r>
              <w:t>无负偏离</w:t>
            </w:r>
            <w:r>
              <w:rPr>
                <w:rFonts w:hint="eastAsia"/>
              </w:rPr>
              <w:t>，</w:t>
            </w:r>
            <w:r>
              <w:t>审查商务要求响应表</w:t>
            </w:r>
            <w:r>
              <w:rPr>
                <w:rFonts w:hint="eastAsia"/>
              </w:rPr>
              <w:t>及附件</w:t>
            </w:r>
            <w:r>
              <w:rPr>
                <w:rFonts w:hint="eastAsia"/>
                <w:lang w:eastAsia="zh-CN"/>
              </w:rPr>
              <w:t>（</w:t>
            </w:r>
            <w:r>
              <w:rPr>
                <w:rFonts w:hint="eastAsia"/>
                <w:lang w:val="en-US" w:eastAsia="zh-CN"/>
              </w:rPr>
              <w:t>如有</w:t>
            </w:r>
            <w:r>
              <w:rPr>
                <w:rFonts w:hint="eastAsia"/>
                <w:lang w:eastAsia="zh-CN"/>
              </w:rPr>
              <w:t>），</w:t>
            </w:r>
            <w:r>
              <w:rPr>
                <w:rFonts w:hint="eastAsia"/>
              </w:rPr>
              <w:t>须提供</w:t>
            </w:r>
            <w:r>
              <w:rPr>
                <w:rFonts w:hint="eastAsia"/>
                <w:lang w:eastAsia="zh-CN"/>
              </w:rPr>
              <w:t>。</w:t>
            </w:r>
            <w:r>
              <w:t>格式见第六章投标文件格式“商务要求响应表”</w:t>
            </w:r>
            <w:r>
              <w:rPr>
                <w:rFonts w:hint="eastAsia"/>
              </w:rPr>
              <w:t>。</w:t>
            </w:r>
          </w:p>
        </w:tc>
      </w:tr>
      <w:tr w14:paraId="3420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26" w:type="dxa"/>
            <w:vMerge w:val="continue"/>
            <w:vAlign w:val="center"/>
          </w:tcPr>
          <w:p w14:paraId="14C1F640">
            <w:pPr>
              <w:jc w:val="center"/>
              <w:rPr>
                <w:lang w:val="zh-CN"/>
              </w:rPr>
            </w:pPr>
          </w:p>
        </w:tc>
        <w:tc>
          <w:tcPr>
            <w:tcW w:w="2622" w:type="dxa"/>
            <w:vAlign w:val="center"/>
          </w:tcPr>
          <w:p w14:paraId="1D8F3FC8">
            <w:pPr>
              <w:jc w:val="center"/>
            </w:pPr>
            <w:r>
              <w:rPr>
                <w:rFonts w:hint="eastAsia"/>
              </w:rPr>
              <w:t>投标保证金</w:t>
            </w:r>
          </w:p>
        </w:tc>
        <w:tc>
          <w:tcPr>
            <w:tcW w:w="5725" w:type="dxa"/>
            <w:vAlign w:val="center"/>
          </w:tcPr>
          <w:p w14:paraId="01604F51">
            <w:r>
              <w:rPr>
                <w:rFonts w:hint="eastAsia"/>
              </w:rPr>
              <w:t>及时、足额缴纳投标保证金，审查投标保证金交纳证明</w:t>
            </w:r>
            <w:r>
              <w:rPr>
                <w:rFonts w:hint="eastAsia"/>
                <w:lang w:eastAsia="zh-CN"/>
              </w:rPr>
              <w:t>，</w:t>
            </w:r>
            <w:r>
              <w:rPr>
                <w:rFonts w:hint="eastAsia"/>
              </w:rPr>
              <w:t>须提供</w:t>
            </w:r>
            <w:r>
              <w:rPr>
                <w:rFonts w:hint="eastAsia"/>
                <w:lang w:eastAsia="zh-CN"/>
              </w:rPr>
              <w:t>。</w:t>
            </w:r>
            <w:r>
              <w:rPr>
                <w:rFonts w:hint="eastAsia"/>
              </w:rPr>
              <w:t>如采用银行转账方式交纳的，格式见</w:t>
            </w:r>
            <w:r>
              <w:t>第六章投标文件格式</w:t>
            </w:r>
            <w:r>
              <w:rPr>
                <w:rFonts w:hint="eastAsia"/>
              </w:rPr>
              <w:t>“保证金汇款声明函”。</w:t>
            </w:r>
          </w:p>
        </w:tc>
      </w:tr>
      <w:tr w14:paraId="5967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26" w:type="dxa"/>
            <w:vMerge w:val="continue"/>
            <w:vAlign w:val="center"/>
          </w:tcPr>
          <w:p w14:paraId="1DCA4469">
            <w:pPr>
              <w:jc w:val="center"/>
              <w:rPr>
                <w:lang w:val="zh-CN"/>
              </w:rPr>
            </w:pPr>
          </w:p>
        </w:tc>
        <w:tc>
          <w:tcPr>
            <w:tcW w:w="2622" w:type="dxa"/>
            <w:vAlign w:val="center"/>
          </w:tcPr>
          <w:p w14:paraId="42F7F93D">
            <w:pPr>
              <w:jc w:val="center"/>
            </w:pPr>
            <w:r>
              <w:rPr>
                <w:rFonts w:hint="eastAsia"/>
                <w:lang w:val="en-US" w:eastAsia="zh-CN"/>
              </w:rPr>
              <w:t>不存在</w:t>
            </w:r>
            <w:r>
              <w:rPr>
                <w:rFonts w:hint="eastAsia"/>
              </w:rPr>
              <w:t>串通投标</w:t>
            </w:r>
          </w:p>
        </w:tc>
        <w:tc>
          <w:tcPr>
            <w:tcW w:w="5725" w:type="dxa"/>
            <w:vAlign w:val="center"/>
          </w:tcPr>
          <w:p w14:paraId="28ABF405">
            <w:r>
              <w:rPr>
                <w:rFonts w:hint="eastAsia"/>
              </w:rPr>
              <w:t>不属于供应商须知正文第</w:t>
            </w:r>
            <w:r>
              <w:t>6</w:t>
            </w:r>
            <w:r>
              <w:rPr>
                <w:rFonts w:hint="eastAsia"/>
              </w:rPr>
              <w:t>.</w:t>
            </w:r>
            <w:r>
              <w:t>3</w:t>
            </w:r>
            <w:r>
              <w:rPr>
                <w:rFonts w:hint="eastAsia"/>
              </w:rPr>
              <w:t>.</w:t>
            </w:r>
            <w:r>
              <w:t>6</w:t>
            </w:r>
            <w:r>
              <w:rPr>
                <w:rFonts w:hint="eastAsia"/>
              </w:rPr>
              <w:t>规定的串通投标情形，审查无串标行为承诺函</w:t>
            </w:r>
            <w:r>
              <w:rPr>
                <w:rFonts w:hint="eastAsia"/>
                <w:lang w:eastAsia="zh-CN"/>
              </w:rPr>
              <w:t>，</w:t>
            </w:r>
            <w:r>
              <w:rPr>
                <w:rFonts w:hint="eastAsia"/>
              </w:rPr>
              <w:t>须提供</w:t>
            </w:r>
            <w:r>
              <w:rPr>
                <w:rFonts w:hint="eastAsia"/>
                <w:lang w:eastAsia="zh-CN"/>
              </w:rPr>
              <w:t>。</w:t>
            </w:r>
            <w:r>
              <w:rPr>
                <w:rFonts w:hint="eastAsia"/>
              </w:rPr>
              <w:t>格式见</w:t>
            </w:r>
            <w:r>
              <w:t>第六章投标文件格式</w:t>
            </w:r>
            <w:r>
              <w:rPr>
                <w:rFonts w:hint="eastAsia"/>
              </w:rPr>
              <w:t>“</w:t>
            </w:r>
            <w:r>
              <w:rPr>
                <w:rFonts w:ascii="Arial" w:hAnsi="Arial" w:cs="Arial"/>
              </w:rPr>
              <w:t>无串标行为承诺函</w:t>
            </w:r>
            <w:r>
              <w:rPr>
                <w:rFonts w:hint="eastAsia"/>
              </w:rPr>
              <w:t>”。</w:t>
            </w:r>
          </w:p>
        </w:tc>
      </w:tr>
      <w:tr w14:paraId="2107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26" w:type="dxa"/>
            <w:vMerge w:val="continue"/>
            <w:vAlign w:val="center"/>
          </w:tcPr>
          <w:p w14:paraId="18BF1680">
            <w:pPr>
              <w:jc w:val="center"/>
              <w:rPr>
                <w:lang w:val="zh-CN"/>
              </w:rPr>
            </w:pPr>
          </w:p>
        </w:tc>
        <w:tc>
          <w:tcPr>
            <w:tcW w:w="2622" w:type="dxa"/>
            <w:vAlign w:val="center"/>
          </w:tcPr>
          <w:p w14:paraId="263E4B2D">
            <w:pPr>
              <w:jc w:val="center"/>
            </w:pPr>
            <w:r>
              <w:rPr>
                <w:rFonts w:hint="eastAsia"/>
              </w:rPr>
              <w:t>投标有效期</w:t>
            </w:r>
          </w:p>
        </w:tc>
        <w:tc>
          <w:tcPr>
            <w:tcW w:w="5725" w:type="dxa"/>
            <w:vAlign w:val="center"/>
          </w:tcPr>
          <w:p w14:paraId="31A5915F">
            <w:r>
              <w:rPr>
                <w:rFonts w:hint="eastAsia"/>
              </w:rPr>
              <w:t>满足招标文件规定</w:t>
            </w:r>
          </w:p>
        </w:tc>
      </w:tr>
      <w:tr w14:paraId="24BB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1226" w:type="dxa"/>
            <w:vAlign w:val="center"/>
          </w:tcPr>
          <w:p w14:paraId="17DC9766">
            <w:pPr>
              <w:jc w:val="center"/>
              <w:rPr>
                <w:lang w:val="zh-CN"/>
              </w:rPr>
            </w:pPr>
            <w:r>
              <w:rPr>
                <w:rFonts w:hint="eastAsia"/>
                <w:lang w:val="zh-CN"/>
              </w:rPr>
              <w:t>技术</w:t>
            </w:r>
          </w:p>
        </w:tc>
        <w:tc>
          <w:tcPr>
            <w:tcW w:w="2622" w:type="dxa"/>
            <w:vAlign w:val="center"/>
          </w:tcPr>
          <w:p w14:paraId="0AD59490">
            <w:pPr>
              <w:jc w:val="center"/>
            </w:pPr>
            <w:r>
              <w:t>实质性条款响应</w:t>
            </w:r>
          </w:p>
        </w:tc>
        <w:tc>
          <w:tcPr>
            <w:tcW w:w="5725" w:type="dxa"/>
            <w:vAlign w:val="center"/>
          </w:tcPr>
          <w:p w14:paraId="3ACE3AE8">
            <w:r>
              <w:t>第二章采购需求中，项目要求及技术需求</w:t>
            </w:r>
            <w:r>
              <w:rPr>
                <w:rFonts w:hint="eastAsia"/>
              </w:rPr>
              <w:t>标注“▲”的</w:t>
            </w:r>
            <w:r>
              <w:t>实质性要求均响应</w:t>
            </w:r>
            <w:r>
              <w:rPr>
                <w:rFonts w:hint="eastAsia"/>
              </w:rPr>
              <w:t>且</w:t>
            </w:r>
            <w:r>
              <w:t>无负偏离。审查技术要求响应表</w:t>
            </w:r>
            <w:r>
              <w:rPr>
                <w:rFonts w:hint="eastAsia"/>
                <w:lang w:eastAsia="zh-CN"/>
              </w:rPr>
              <w:t>，</w:t>
            </w:r>
            <w:r>
              <w:rPr>
                <w:rFonts w:hint="eastAsia"/>
              </w:rPr>
              <w:t>须提供</w:t>
            </w:r>
            <w:r>
              <w:rPr>
                <w:rFonts w:hint="eastAsia"/>
                <w:lang w:eastAsia="zh-CN"/>
              </w:rPr>
              <w:t>。</w:t>
            </w:r>
            <w:r>
              <w:t>格式见第六章投标文件格式“技术要求响应表”</w:t>
            </w:r>
            <w:r>
              <w:rPr>
                <w:rFonts w:hint="eastAsia"/>
              </w:rPr>
              <w:t>。</w:t>
            </w:r>
          </w:p>
        </w:tc>
      </w:tr>
      <w:tr w14:paraId="0C63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226" w:type="dxa"/>
            <w:vMerge w:val="restart"/>
            <w:vAlign w:val="center"/>
          </w:tcPr>
          <w:p w14:paraId="4F8106DE">
            <w:pPr>
              <w:jc w:val="center"/>
              <w:rPr>
                <w:lang w:val="zh-CN"/>
              </w:rPr>
            </w:pPr>
            <w:r>
              <w:rPr>
                <w:rFonts w:hint="eastAsia"/>
                <w:lang w:val="zh-CN"/>
              </w:rPr>
              <w:t>报价</w:t>
            </w:r>
          </w:p>
        </w:tc>
        <w:tc>
          <w:tcPr>
            <w:tcW w:w="2622" w:type="dxa"/>
            <w:vAlign w:val="center"/>
          </w:tcPr>
          <w:p w14:paraId="72AB597A">
            <w:pPr>
              <w:jc w:val="center"/>
            </w:pPr>
            <w:r>
              <w:rPr>
                <w:rFonts w:hint="eastAsia"/>
              </w:rPr>
              <w:t>有效报价</w:t>
            </w:r>
          </w:p>
        </w:tc>
        <w:tc>
          <w:tcPr>
            <w:tcW w:w="5725" w:type="dxa"/>
            <w:vAlign w:val="center"/>
          </w:tcPr>
          <w:p w14:paraId="33475FDE">
            <w:r>
              <w:rPr>
                <w:rFonts w:hint="eastAsia"/>
              </w:rPr>
              <w:t>报价未超出采购预算</w:t>
            </w:r>
            <w:r>
              <w:rPr>
                <w:rFonts w:hint="eastAsia"/>
                <w:lang w:val="en-US" w:eastAsia="zh-CN"/>
              </w:rPr>
              <w:t>总</w:t>
            </w:r>
            <w:r>
              <w:rPr>
                <w:rFonts w:hint="eastAsia"/>
              </w:rPr>
              <w:t>金额</w:t>
            </w:r>
            <w:r>
              <w:rPr>
                <w:rFonts w:hint="eastAsia"/>
                <w:lang w:eastAsia="zh-CN"/>
              </w:rPr>
              <w:t>、</w:t>
            </w:r>
            <w:r>
              <w:rPr>
                <w:rFonts w:hint="eastAsia"/>
              </w:rPr>
              <w:t>分项预算</w:t>
            </w:r>
            <w:r>
              <w:rPr>
                <w:rFonts w:hint="eastAsia"/>
                <w:lang w:val="en-US" w:eastAsia="zh-CN"/>
              </w:rPr>
              <w:t>金额（如有）</w:t>
            </w:r>
            <w:r>
              <w:rPr>
                <w:rFonts w:hint="eastAsia"/>
              </w:rPr>
              <w:t>，也未超出最高限价（如有）</w:t>
            </w:r>
          </w:p>
        </w:tc>
      </w:tr>
      <w:tr w14:paraId="54AA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226" w:type="dxa"/>
            <w:vMerge w:val="continue"/>
            <w:vAlign w:val="center"/>
          </w:tcPr>
          <w:p w14:paraId="1E24AE50">
            <w:pPr>
              <w:jc w:val="center"/>
            </w:pPr>
          </w:p>
        </w:tc>
        <w:tc>
          <w:tcPr>
            <w:tcW w:w="2622" w:type="dxa"/>
            <w:vAlign w:val="center"/>
          </w:tcPr>
          <w:p w14:paraId="524F82EB">
            <w:pPr>
              <w:jc w:val="center"/>
            </w:pPr>
            <w:r>
              <w:rPr>
                <w:rFonts w:hint="eastAsia"/>
                <w:lang w:val="en-US" w:eastAsia="zh-CN"/>
              </w:rPr>
              <w:t>无</w:t>
            </w:r>
            <w:r>
              <w:rPr>
                <w:rFonts w:hint="eastAsia"/>
              </w:rPr>
              <w:t>漏项报价</w:t>
            </w:r>
          </w:p>
        </w:tc>
        <w:tc>
          <w:tcPr>
            <w:tcW w:w="5725" w:type="dxa"/>
            <w:vAlign w:val="center"/>
          </w:tcPr>
          <w:p w14:paraId="3568112B">
            <w:r>
              <w:rPr>
                <w:rFonts w:hint="eastAsia"/>
                <w:lang w:val="en-US" w:eastAsia="zh-CN"/>
              </w:rPr>
              <w:t>已</w:t>
            </w:r>
            <w:r>
              <w:rPr>
                <w:rFonts w:hint="eastAsia"/>
              </w:rPr>
              <w:t>就所投分标</w:t>
            </w:r>
            <w:r>
              <w:rPr>
                <w:rFonts w:hint="eastAsia"/>
                <w:lang w:val="en-US" w:eastAsia="zh-CN"/>
              </w:rPr>
              <w:t>全部内容</w:t>
            </w:r>
            <w:r>
              <w:rPr>
                <w:rFonts w:hint="eastAsia"/>
              </w:rPr>
              <w:t>进行报价</w:t>
            </w:r>
            <w:r>
              <w:rPr>
                <w:rFonts w:hint="eastAsia"/>
                <w:lang w:eastAsia="zh-CN"/>
              </w:rPr>
              <w:t>，</w:t>
            </w:r>
            <w:r>
              <w:rPr>
                <w:rFonts w:hint="eastAsia"/>
                <w:lang w:val="en-US" w:eastAsia="zh-CN"/>
              </w:rPr>
              <w:t>不</w:t>
            </w:r>
            <w:r>
              <w:rPr>
                <w:rFonts w:hint="eastAsia"/>
              </w:rPr>
              <w:t>存在漏项报价；</w:t>
            </w:r>
          </w:p>
        </w:tc>
      </w:tr>
      <w:tr w14:paraId="08D6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26" w:type="dxa"/>
            <w:vMerge w:val="continue"/>
            <w:vAlign w:val="center"/>
          </w:tcPr>
          <w:p w14:paraId="588FA299">
            <w:pPr>
              <w:jc w:val="center"/>
            </w:pPr>
          </w:p>
        </w:tc>
        <w:tc>
          <w:tcPr>
            <w:tcW w:w="2622" w:type="dxa"/>
            <w:vAlign w:val="center"/>
          </w:tcPr>
          <w:p w14:paraId="1A504724">
            <w:pPr>
              <w:jc w:val="center"/>
            </w:pPr>
            <w:r>
              <w:rPr>
                <w:rFonts w:hint="eastAsia"/>
              </w:rPr>
              <w:t>投标报价唯一性</w:t>
            </w:r>
          </w:p>
        </w:tc>
        <w:tc>
          <w:tcPr>
            <w:tcW w:w="5725" w:type="dxa"/>
            <w:vAlign w:val="center"/>
          </w:tcPr>
          <w:p w14:paraId="17444B1C">
            <w:r>
              <w:rPr>
                <w:rFonts w:hint="eastAsia"/>
              </w:rPr>
              <w:t>不存在有选择、有条件报价（招标文件允许有备选方案或者其他约定的除外）</w:t>
            </w:r>
          </w:p>
        </w:tc>
      </w:tr>
      <w:tr w14:paraId="0066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226" w:type="dxa"/>
            <w:vMerge w:val="continue"/>
            <w:vAlign w:val="center"/>
          </w:tcPr>
          <w:p w14:paraId="5E84827F">
            <w:pPr>
              <w:jc w:val="center"/>
            </w:pPr>
          </w:p>
        </w:tc>
        <w:tc>
          <w:tcPr>
            <w:tcW w:w="2622" w:type="dxa"/>
            <w:vAlign w:val="center"/>
          </w:tcPr>
          <w:p w14:paraId="5A2D54FD">
            <w:pPr>
              <w:jc w:val="center"/>
              <w:rPr>
                <w:rFonts w:hint="default" w:eastAsia="宋体"/>
                <w:lang w:val="en-US" w:eastAsia="zh-CN"/>
              </w:rPr>
            </w:pPr>
            <w:r>
              <w:rPr>
                <w:rFonts w:hint="eastAsia"/>
                <w:lang w:val="en-US" w:eastAsia="zh-CN"/>
              </w:rPr>
              <w:t>不存在异常低价</w:t>
            </w:r>
          </w:p>
        </w:tc>
        <w:tc>
          <w:tcPr>
            <w:tcW w:w="5725" w:type="dxa"/>
            <w:vAlign w:val="center"/>
          </w:tcPr>
          <w:p w14:paraId="31D4BC30">
            <w:r>
              <w:t>供应商的报价</w:t>
            </w:r>
            <w:r>
              <w:rPr>
                <w:rFonts w:hint="eastAsia"/>
              </w:rPr>
              <w:t>不存在</w:t>
            </w:r>
            <w:r>
              <w:rPr>
                <w:rFonts w:hint="eastAsia"/>
                <w:lang w:val="en-US" w:eastAsia="zh-CN"/>
              </w:rPr>
              <w:t>异常低价</w:t>
            </w:r>
            <w:r>
              <w:rPr>
                <w:rFonts w:hint="eastAsia"/>
              </w:rPr>
              <w:t>的情况。如存在应提供能证明其报价合理性的书面说明，必要时提交相关证明材料；否则，评标委员会应当将其作为无效投标处理。</w:t>
            </w:r>
          </w:p>
        </w:tc>
      </w:tr>
      <w:bookmarkEnd w:id="90"/>
    </w:tbl>
    <w:p w14:paraId="48B06298">
      <w:pPr>
        <w:ind w:firstLine="422" w:firstLineChars="200"/>
        <w:rPr>
          <w:b/>
          <w:bCs/>
        </w:rPr>
      </w:pPr>
      <w:bookmarkStart w:id="91" w:name="_Hlk19113393"/>
      <w:r>
        <w:rPr>
          <w:b/>
          <w:bCs/>
        </w:rPr>
        <w:t>4.</w:t>
      </w:r>
      <w:r>
        <w:rPr>
          <w:rFonts w:hint="eastAsia"/>
          <w:b/>
          <w:bCs/>
        </w:rPr>
        <w:t>评分</w:t>
      </w:r>
      <w:r>
        <w:rPr>
          <w:b/>
          <w:bCs/>
        </w:rPr>
        <w:t>标准</w:t>
      </w:r>
    </w:p>
    <w:bookmarkEnd w:id="91"/>
    <w:p w14:paraId="008DA7C1">
      <w:pPr>
        <w:ind w:firstLine="422" w:firstLineChars="200"/>
        <w:rPr>
          <w:b/>
          <w:bCs/>
        </w:rPr>
      </w:pPr>
      <w:bookmarkStart w:id="92" w:name="_Hlk77609326"/>
      <w:r>
        <w:rPr>
          <w:rFonts w:hint="eastAsia"/>
          <w:b/>
          <w:bCs/>
        </w:rPr>
        <w:t>一、评标原则</w:t>
      </w:r>
    </w:p>
    <w:p w14:paraId="6E7C86B5">
      <w:pPr>
        <w:ind w:firstLine="420" w:firstLineChars="200"/>
      </w:pPr>
      <w:r>
        <w:rPr>
          <w:rFonts w:hint="eastAsia"/>
        </w:rPr>
        <w:t>（一）评委构成：评标委员会由采购人代表和评审专家组成，成员人数应当为5人以上单数，其中评审专家不得少于成员总数的三分之二。采购项目符合下列情形之一的，评标委员会成员人数应当为7人以上单数：1.采购预算金额在1000万元以上；2.技术复杂；3.社会影响较大。</w:t>
      </w:r>
    </w:p>
    <w:p w14:paraId="6E598BC9">
      <w:pPr>
        <w:ind w:firstLine="420" w:firstLineChars="200"/>
      </w:pPr>
      <w:r>
        <w:rPr>
          <w:rFonts w:hint="eastAsia"/>
        </w:rPr>
        <w:t>（二）评标依据：评委将以招标文件和投标文件为评标依据，对</w:t>
      </w:r>
      <w:r>
        <w:rPr>
          <w:rFonts w:hint="eastAsia"/>
          <w:lang w:eastAsia="zh-CN"/>
        </w:rPr>
        <w:t>供应商</w:t>
      </w:r>
      <w:r>
        <w:rPr>
          <w:rFonts w:hint="eastAsia"/>
        </w:rPr>
        <w:t>的投标报价、技术、商务等方面内容按百分制打分。</w:t>
      </w:r>
    </w:p>
    <w:p w14:paraId="307BA9F4">
      <w:pPr>
        <w:ind w:firstLine="420" w:firstLineChars="200"/>
      </w:pPr>
      <w:r>
        <w:rPr>
          <w:rFonts w:hint="eastAsia"/>
        </w:rPr>
        <w:t>（三）评标方式：以封闭方式进行。</w:t>
      </w:r>
    </w:p>
    <w:p w14:paraId="470075C5">
      <w:pPr>
        <w:ind w:firstLine="422" w:firstLineChars="200"/>
        <w:rPr>
          <w:b/>
          <w:bCs/>
        </w:rPr>
      </w:pPr>
      <w:r>
        <w:rPr>
          <w:b/>
          <w:bCs/>
        </w:rPr>
        <w:t>二、评定办法及标准</w:t>
      </w:r>
    </w:p>
    <w:p w14:paraId="149FC31F">
      <w:pPr>
        <w:ind w:firstLine="420" w:firstLineChars="200"/>
      </w:pPr>
      <w:r>
        <w:rPr>
          <w:rFonts w:hint="eastAsia"/>
        </w:rPr>
        <w:t>（一）对进入详评的，采用百分制综合评分法。</w:t>
      </w:r>
    </w:p>
    <w:p w14:paraId="490BCD9D">
      <w:pPr>
        <w:ind w:firstLine="420" w:firstLineChars="200"/>
      </w:pPr>
      <w:r>
        <w:rPr>
          <w:rFonts w:hint="eastAsia"/>
        </w:rPr>
        <w:t>（二）计分办法（按四舍五入取至百分位）。</w:t>
      </w:r>
    </w:p>
    <w:p w14:paraId="2982BD5C">
      <w:pPr>
        <w:ind w:firstLine="420" w:firstLineChars="200"/>
      </w:pPr>
      <w:r>
        <w:rPr>
          <w:rFonts w:hint="eastAsia"/>
        </w:rPr>
        <w:t>（三）评标标准</w:t>
      </w:r>
    </w:p>
    <w:tbl>
      <w:tblPr>
        <w:tblStyle w:val="5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8"/>
        <w:gridCol w:w="1153"/>
        <w:gridCol w:w="1269"/>
        <w:gridCol w:w="6375"/>
      </w:tblGrid>
      <w:tr w14:paraId="3406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10" w:type="pct"/>
            <w:gridSpan w:val="2"/>
            <w:vAlign w:val="center"/>
          </w:tcPr>
          <w:p w14:paraId="747DDC42">
            <w:pPr>
              <w:jc w:val="center"/>
              <w:rPr>
                <w:b/>
                <w:bCs/>
              </w:rPr>
            </w:pPr>
            <w:r>
              <w:rPr>
                <w:rFonts w:hint="eastAsia"/>
                <w:b/>
                <w:bCs/>
              </w:rPr>
              <w:t>序号</w:t>
            </w:r>
          </w:p>
        </w:tc>
        <w:tc>
          <w:tcPr>
            <w:tcW w:w="679" w:type="pct"/>
            <w:vAlign w:val="center"/>
          </w:tcPr>
          <w:p w14:paraId="19A28C3C">
            <w:pPr>
              <w:jc w:val="center"/>
              <w:rPr>
                <w:b/>
                <w:bCs/>
              </w:rPr>
            </w:pPr>
            <w:r>
              <w:rPr>
                <w:rFonts w:hint="eastAsia"/>
                <w:b/>
                <w:bCs/>
              </w:rPr>
              <w:t>评审因素</w:t>
            </w:r>
          </w:p>
        </w:tc>
        <w:tc>
          <w:tcPr>
            <w:tcW w:w="3410" w:type="pct"/>
            <w:vAlign w:val="center"/>
          </w:tcPr>
          <w:p w14:paraId="2E5D84AC">
            <w:pPr>
              <w:jc w:val="center"/>
              <w:rPr>
                <w:b/>
                <w:bCs/>
              </w:rPr>
            </w:pPr>
            <w:r>
              <w:rPr>
                <w:rFonts w:hint="eastAsia"/>
                <w:b/>
                <w:bCs/>
              </w:rPr>
              <w:t>评标标准</w:t>
            </w:r>
          </w:p>
        </w:tc>
      </w:tr>
      <w:tr w14:paraId="19E1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46445E1D">
            <w:pPr>
              <w:jc w:val="center"/>
            </w:pPr>
            <w:r>
              <w:rPr>
                <w:rFonts w:hint="eastAsia"/>
              </w:rPr>
              <w:t>1</w:t>
            </w:r>
          </w:p>
        </w:tc>
        <w:tc>
          <w:tcPr>
            <w:tcW w:w="616" w:type="pct"/>
            <w:vAlign w:val="center"/>
          </w:tcPr>
          <w:p w14:paraId="0EBF0F13">
            <w:pPr>
              <w:jc w:val="center"/>
            </w:pPr>
            <w:r>
              <w:rPr>
                <w:rFonts w:hint="eastAsia"/>
              </w:rPr>
              <w:t>价格分（满分</w:t>
            </w:r>
            <w:r>
              <w:rPr>
                <w:rFonts w:hint="eastAsia"/>
                <w:lang w:val="en-US" w:eastAsia="zh-CN"/>
              </w:rPr>
              <w:t>30</w:t>
            </w:r>
            <w:r>
              <w:rPr>
                <w:rFonts w:hint="eastAsia"/>
              </w:rPr>
              <w:t>分）</w:t>
            </w:r>
          </w:p>
        </w:tc>
        <w:tc>
          <w:tcPr>
            <w:tcW w:w="679" w:type="pct"/>
            <w:vAlign w:val="center"/>
          </w:tcPr>
          <w:p w14:paraId="0C9541DC">
            <w:pPr>
              <w:jc w:val="center"/>
            </w:pPr>
            <w:r>
              <w:rPr>
                <w:rFonts w:hint="eastAsia"/>
              </w:rPr>
              <w:t>投标报价</w:t>
            </w:r>
          </w:p>
          <w:p w14:paraId="2B4F8EE9">
            <w:pPr>
              <w:jc w:val="center"/>
            </w:pPr>
            <w:r>
              <w:rPr>
                <w:rFonts w:hint="eastAsia"/>
              </w:rPr>
              <w:t>（满分</w:t>
            </w:r>
            <w:r>
              <w:rPr>
                <w:rFonts w:hint="eastAsia"/>
                <w:lang w:val="en-US" w:eastAsia="zh-CN"/>
              </w:rPr>
              <w:t>30</w:t>
            </w:r>
            <w:r>
              <w:rPr>
                <w:rFonts w:hint="eastAsia"/>
              </w:rPr>
              <w:t>分）</w:t>
            </w:r>
          </w:p>
        </w:tc>
        <w:tc>
          <w:tcPr>
            <w:tcW w:w="3410" w:type="pct"/>
            <w:vAlign w:val="center"/>
          </w:tcPr>
          <w:p w14:paraId="05FB1C6C">
            <w:pPr>
              <w:pStyle w:val="27"/>
            </w:pPr>
            <w:r>
              <w:rPr>
                <w:rFonts w:hint="eastAsia"/>
              </w:rPr>
              <w:t>1.投标报价分采用低价优先法计算，满足招标文件要求且评标价最低的有效</w:t>
            </w:r>
            <w:r>
              <w:rPr>
                <w:rFonts w:hint="eastAsia"/>
                <w:lang w:eastAsia="zh-CN"/>
              </w:rPr>
              <w:t>供应商</w:t>
            </w:r>
            <w:r>
              <w:rPr>
                <w:rFonts w:hint="eastAsia"/>
              </w:rPr>
              <w:t>的评标价为评标基准价，其投标报价分为满分。</w:t>
            </w:r>
          </w:p>
          <w:p w14:paraId="280D9653">
            <w:pPr>
              <w:pStyle w:val="27"/>
            </w:pPr>
            <w:r>
              <w:rPr>
                <w:rFonts w:hint="eastAsia"/>
              </w:rPr>
              <w:t>2.其他</w:t>
            </w:r>
            <w:r>
              <w:rPr>
                <w:rFonts w:hint="eastAsia"/>
                <w:lang w:eastAsia="zh-CN"/>
              </w:rPr>
              <w:t>供应商</w:t>
            </w:r>
            <w:r>
              <w:rPr>
                <w:rFonts w:hint="eastAsia"/>
              </w:rPr>
              <w:t>的价格分统一按照下列公式计算：</w:t>
            </w:r>
          </w:p>
          <w:p w14:paraId="1B0337BD">
            <w:r>
              <w:rPr>
                <w:rFonts w:hint="eastAsia"/>
              </w:rPr>
              <w:t>某有效</w:t>
            </w:r>
            <w:r>
              <w:rPr>
                <w:rFonts w:hint="eastAsia"/>
                <w:lang w:eastAsia="zh-CN"/>
              </w:rPr>
              <w:t>供应商</w:t>
            </w:r>
            <w:r>
              <w:rPr>
                <w:rFonts w:hint="eastAsia"/>
              </w:rPr>
              <w:t>的投标报价分=（评标基准价／某有效</w:t>
            </w:r>
            <w:r>
              <w:rPr>
                <w:rFonts w:hint="eastAsia"/>
                <w:lang w:eastAsia="zh-CN"/>
              </w:rPr>
              <w:t>供应商</w:t>
            </w:r>
            <w:r>
              <w:rPr>
                <w:rFonts w:hint="eastAsia"/>
              </w:rPr>
              <w:t xml:space="preserve">投标报价）× </w:t>
            </w:r>
            <w:r>
              <w:rPr>
                <w:rFonts w:hint="eastAsia"/>
                <w:lang w:val="en-US" w:eastAsia="zh-CN"/>
              </w:rPr>
              <w:t>30</w:t>
            </w:r>
            <w:r>
              <w:rPr>
                <w:rFonts w:hint="eastAsia"/>
              </w:rPr>
              <w:t>分</w:t>
            </w:r>
          </w:p>
          <w:p w14:paraId="05ACF9FE">
            <w:r>
              <w:rPr>
                <w:rFonts w:hint="eastAsia"/>
              </w:rPr>
              <w:t>注：本项目</w:t>
            </w:r>
            <w:r>
              <w:rPr>
                <w:rFonts w:hint="eastAsia"/>
                <w:lang w:eastAsia="zh-CN"/>
              </w:rPr>
              <w:t>（</w:t>
            </w:r>
            <w:r>
              <w:rPr>
                <w:rFonts w:hint="eastAsia"/>
                <w:lang w:val="en-US" w:eastAsia="zh-CN"/>
              </w:rPr>
              <w:t>分标2、4</w:t>
            </w:r>
            <w:r>
              <w:rPr>
                <w:rFonts w:hint="eastAsia"/>
                <w:lang w:eastAsia="zh-CN"/>
              </w:rPr>
              <w:t>）</w:t>
            </w:r>
            <w:r>
              <w:rPr>
                <w:rFonts w:hint="eastAsia"/>
              </w:rPr>
              <w:t>为专门面向</w:t>
            </w:r>
            <w:r>
              <w:rPr>
                <w:rFonts w:hint="eastAsia"/>
                <w:lang w:val="en-US" w:eastAsia="zh-CN"/>
              </w:rPr>
              <w:t>中小</w:t>
            </w:r>
            <w:r>
              <w:rPr>
                <w:rFonts w:hint="eastAsia"/>
              </w:rPr>
              <w:t>企业采购，本项目</w:t>
            </w:r>
            <w:r>
              <w:rPr>
                <w:rFonts w:hint="eastAsia"/>
                <w:lang w:eastAsia="zh-CN"/>
              </w:rPr>
              <w:t>（</w:t>
            </w:r>
            <w:r>
              <w:rPr>
                <w:rFonts w:hint="eastAsia"/>
                <w:lang w:val="en-US" w:eastAsia="zh-CN"/>
              </w:rPr>
              <w:t>分标1、3、5</w:t>
            </w:r>
            <w:r>
              <w:rPr>
                <w:rFonts w:hint="eastAsia"/>
                <w:lang w:eastAsia="zh-CN"/>
              </w:rPr>
              <w:t>）</w:t>
            </w:r>
            <w:r>
              <w:rPr>
                <w:rFonts w:hint="eastAsia"/>
              </w:rPr>
              <w:t>为专门面向</w:t>
            </w:r>
            <w:r>
              <w:rPr>
                <w:rFonts w:hint="eastAsia"/>
                <w:lang w:val="en-US" w:eastAsia="zh-CN"/>
              </w:rPr>
              <w:t>小微</w:t>
            </w:r>
            <w:r>
              <w:rPr>
                <w:rFonts w:hint="eastAsia"/>
              </w:rPr>
              <w:t>企业采购</w:t>
            </w:r>
            <w:r>
              <w:rPr>
                <w:rFonts w:hint="eastAsia"/>
                <w:lang w:eastAsia="zh-CN"/>
              </w:rPr>
              <w:t>，</w:t>
            </w:r>
            <w:r>
              <w:rPr>
                <w:rFonts w:hint="eastAsia"/>
                <w:lang w:val="en-US" w:eastAsia="zh-CN"/>
              </w:rPr>
              <w:t>均不再执行中小企业价格扣除</w:t>
            </w:r>
            <w:r>
              <w:rPr>
                <w:rFonts w:hint="eastAsia"/>
              </w:rPr>
              <w:t>。</w:t>
            </w:r>
          </w:p>
        </w:tc>
      </w:tr>
      <w:tr w14:paraId="0F98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3" w:type="pct"/>
            <w:vMerge w:val="restart"/>
            <w:vAlign w:val="center"/>
          </w:tcPr>
          <w:p w14:paraId="3819B76D">
            <w:pPr>
              <w:jc w:val="center"/>
            </w:pPr>
            <w:r>
              <w:rPr>
                <w:rFonts w:hint="eastAsia"/>
              </w:rPr>
              <w:t>2</w:t>
            </w:r>
          </w:p>
        </w:tc>
        <w:tc>
          <w:tcPr>
            <w:tcW w:w="616" w:type="pct"/>
            <w:vMerge w:val="restart"/>
            <w:vAlign w:val="center"/>
          </w:tcPr>
          <w:p w14:paraId="1864C512">
            <w:pPr>
              <w:jc w:val="center"/>
              <w:rPr>
                <w:spacing w:val="-18"/>
              </w:rPr>
            </w:pPr>
            <w:r>
              <w:rPr>
                <w:rFonts w:hint="eastAsia"/>
              </w:rPr>
              <w:t xml:space="preserve">技术分（满分 </w:t>
            </w:r>
            <w:r>
              <w:rPr>
                <w:rFonts w:hint="eastAsia"/>
                <w:lang w:val="en-US" w:eastAsia="zh-CN"/>
              </w:rPr>
              <w:t>40</w:t>
            </w:r>
            <w:r>
              <w:rPr>
                <w:rFonts w:hint="eastAsia"/>
              </w:rPr>
              <w:t>分）</w:t>
            </w:r>
          </w:p>
        </w:tc>
        <w:tc>
          <w:tcPr>
            <w:tcW w:w="679" w:type="pct"/>
            <w:vAlign w:val="center"/>
          </w:tcPr>
          <w:p w14:paraId="2AF8151E">
            <w:pPr>
              <w:jc w:val="center"/>
            </w:pPr>
            <w:r>
              <w:rPr>
                <w:rFonts w:hint="eastAsia"/>
              </w:rPr>
              <w:t>配送服务方案（满分</w:t>
            </w:r>
            <w:r>
              <w:rPr>
                <w:rFonts w:hint="eastAsia"/>
                <w:lang w:val="en-US" w:eastAsia="zh-CN"/>
              </w:rPr>
              <w:t>15</w:t>
            </w:r>
            <w:r>
              <w:rPr>
                <w:rFonts w:hint="eastAsia"/>
              </w:rPr>
              <w:t>分）</w:t>
            </w:r>
          </w:p>
        </w:tc>
        <w:tc>
          <w:tcPr>
            <w:tcW w:w="3410" w:type="pct"/>
            <w:vAlign w:val="center"/>
          </w:tcPr>
          <w:p w14:paraId="2CA43EA8">
            <w:pPr>
              <w:rPr>
                <w:rFonts w:hint="eastAsia"/>
              </w:rPr>
            </w:pPr>
            <w:r>
              <w:rPr>
                <w:rFonts w:hint="eastAsia"/>
              </w:rPr>
              <w:t>由评标委员会成员根据</w:t>
            </w:r>
            <w:r>
              <w:rPr>
                <w:rFonts w:hint="eastAsia"/>
                <w:lang w:val="en-US" w:eastAsia="zh-CN"/>
              </w:rPr>
              <w:t>供应商提供的配送服务方案对采购需求的响应程度</w:t>
            </w:r>
            <w:r>
              <w:rPr>
                <w:bCs/>
              </w:rPr>
              <w:t>进行独立评审评定其档次</w:t>
            </w:r>
            <w:r>
              <w:rPr>
                <w:rFonts w:hint="eastAsia"/>
              </w:rPr>
              <w:t>。未提供配送服务方案的不得分。</w:t>
            </w:r>
          </w:p>
          <w:p w14:paraId="1E662DDB">
            <w:pPr>
              <w:rPr>
                <w:rFonts w:hint="eastAsia"/>
              </w:rPr>
            </w:pPr>
            <w:r>
              <w:rPr>
                <w:rFonts w:hint="eastAsia"/>
              </w:rPr>
              <w:t>一档（</w:t>
            </w:r>
            <w:r>
              <w:rPr>
                <w:rFonts w:hint="eastAsia"/>
                <w:lang w:val="en-US" w:eastAsia="zh-CN"/>
              </w:rPr>
              <w:t>3</w:t>
            </w:r>
            <w:r>
              <w:rPr>
                <w:rFonts w:hint="eastAsia"/>
              </w:rPr>
              <w:t>分）：项目生产或销售能力不满足本项目要求，管理制度、配送服务方案基本满足要求、描述简单，基本保证配送服务的，对问题食材或货物发生紧急事件处理无预案或预案内容较差、基本不可行的；</w:t>
            </w:r>
          </w:p>
          <w:p w14:paraId="50D34D51">
            <w:pPr>
              <w:rPr>
                <w:rFonts w:hint="eastAsia"/>
              </w:rPr>
            </w:pPr>
            <w:r>
              <w:rPr>
                <w:rFonts w:hint="eastAsia"/>
              </w:rPr>
              <w:t>二档（</w:t>
            </w:r>
            <w:r>
              <w:rPr>
                <w:rFonts w:hint="eastAsia"/>
                <w:lang w:val="en-US" w:eastAsia="zh-CN"/>
              </w:rPr>
              <w:t>6</w:t>
            </w:r>
            <w:r>
              <w:rPr>
                <w:rFonts w:hint="eastAsia"/>
              </w:rPr>
              <w:t>分）：项目生产或销售能力不满足本项目要求，项目配送供货时间安排合理，管理制度、配送服务方案基本满足要求、描述较简单，具体实施步骤和要求描述较简单，能保证配送服务，对问题食材或货物发生紧急事件处理预案内容简单（结合监狱需求实际，针对项目实施中各种可能发生的突发情况，有1套简单的应急预案），基本可行的；</w:t>
            </w:r>
          </w:p>
          <w:p w14:paraId="56C10B2F">
            <w:pPr>
              <w:rPr>
                <w:rFonts w:hint="eastAsia"/>
              </w:rPr>
            </w:pPr>
            <w:r>
              <w:rPr>
                <w:rFonts w:hint="eastAsia"/>
              </w:rPr>
              <w:t>三档（</w:t>
            </w:r>
            <w:r>
              <w:rPr>
                <w:rFonts w:hint="eastAsia"/>
                <w:lang w:val="en-US" w:eastAsia="zh-CN"/>
              </w:rPr>
              <w:t>9</w:t>
            </w:r>
            <w:r>
              <w:rPr>
                <w:rFonts w:hint="eastAsia"/>
              </w:rPr>
              <w:t>分）：项目生产或销售能力满足本项目要求，项目配送体系、供货时间安排较合理，有较完善的管理制度、配送服务方案，描述较详细，具体实施步骤和要求描述较详细，在保证配送服务业务外有机动人员用于对紧急事件处理，对配送及应急处理响应较快，对问题食材或货物发生紧急事件处理预案内容的较具体（结合监狱需求实际，针对项目实施中各种可能发生的突发情况，有1套详细的应急预案），有一定针对性的；</w:t>
            </w:r>
          </w:p>
          <w:p w14:paraId="66D5B02A">
            <w:pPr>
              <w:rPr>
                <w:rFonts w:hint="eastAsia"/>
              </w:rPr>
            </w:pPr>
            <w:r>
              <w:rPr>
                <w:rFonts w:hint="eastAsia"/>
              </w:rPr>
              <w:t>四档（</w:t>
            </w:r>
            <w:r>
              <w:rPr>
                <w:rFonts w:hint="eastAsia"/>
                <w:lang w:val="en-US" w:eastAsia="zh-CN"/>
              </w:rPr>
              <w:t>12</w:t>
            </w:r>
            <w:r>
              <w:rPr>
                <w:rFonts w:hint="eastAsia"/>
              </w:rPr>
              <w:t>分）：项目生产或销售能力满足本项目的要求，配送工作体系健全完善，配送供货时间安排合理，有较完善的管理制度、配送服务方案，描述详细，具体实施步骤和要求描述详细，在保证配送服务业务外有机动人员用于对紧急事件处理，对配送及应急处理响应快，对问题食材或货物发生紧急事件处理预案内容的具体（结合监狱需求实际，针对项目实施中各种可能发生的突发情况，有2套详细的应急预案，预案泛泛而谈，内容不应被认定为详细），人员配备较齐，方案针对性较强的；</w:t>
            </w:r>
          </w:p>
          <w:p w14:paraId="595D37CE">
            <w:r>
              <w:rPr>
                <w:rFonts w:hint="eastAsia"/>
              </w:rPr>
              <w:t>五档（</w:t>
            </w:r>
            <w:r>
              <w:rPr>
                <w:rFonts w:hint="eastAsia"/>
                <w:lang w:val="en-US" w:eastAsia="zh-CN"/>
              </w:rPr>
              <w:t>15</w:t>
            </w:r>
            <w:r>
              <w:rPr>
                <w:rFonts w:hint="eastAsia"/>
              </w:rPr>
              <w:t>分）：项目生产或销售能力满足本项目的要求，配送工作体系健全完善，配送供货时间安排合理，针对项目实际情况，能提供全面细致、可靠的管理制度、配送服务方案，描述详细，具体实施步骤和要求描述全面，可行性强，充分优于本项目需求，对问题食材或货物发生紧急事件处理预案内容的具体、全面（必须结合监狱需求实际，针对项目实施中各种可能发生的突发情况，有3套详细的应急方案。预案泛泛而谈，无具体、无量化、无考核、无闭环等措施，又不紧扣监狱工作实际的，内容不应被认定为是具体而全面），在保证配送服务业务外有机动人员用于对紧急事件处理，人员配备充裕，对配送及应急处理响应迅速，可行性高，方案针对性强，有重点，预案清晰且能根据具体情况做出全面细致方案且能保证采购食材或货物卫生安全等重要因素的。</w:t>
            </w:r>
          </w:p>
        </w:tc>
      </w:tr>
      <w:tr w14:paraId="4247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Merge w:val="continue"/>
            <w:vAlign w:val="center"/>
          </w:tcPr>
          <w:p w14:paraId="61D81B1C">
            <w:pPr>
              <w:jc w:val="center"/>
            </w:pPr>
          </w:p>
        </w:tc>
        <w:tc>
          <w:tcPr>
            <w:tcW w:w="616" w:type="pct"/>
            <w:vMerge w:val="continue"/>
            <w:vAlign w:val="center"/>
          </w:tcPr>
          <w:p w14:paraId="782B4EDA">
            <w:pPr>
              <w:jc w:val="center"/>
            </w:pPr>
          </w:p>
        </w:tc>
        <w:tc>
          <w:tcPr>
            <w:tcW w:w="679" w:type="pct"/>
            <w:tcMar>
              <w:left w:w="57" w:type="dxa"/>
              <w:right w:w="57" w:type="dxa"/>
            </w:tcMar>
            <w:vAlign w:val="center"/>
          </w:tcPr>
          <w:p w14:paraId="70EC1FED">
            <w:pPr>
              <w:jc w:val="center"/>
            </w:pPr>
            <w:r>
              <w:rPr>
                <w:rFonts w:hint="eastAsia"/>
              </w:rPr>
              <w:t>食材安全措施（满分</w:t>
            </w:r>
            <w:r>
              <w:rPr>
                <w:rFonts w:hint="eastAsia"/>
                <w:lang w:val="en-US" w:eastAsia="zh-CN"/>
              </w:rPr>
              <w:t>15</w:t>
            </w:r>
            <w:r>
              <w:rPr>
                <w:rFonts w:hint="eastAsia"/>
              </w:rPr>
              <w:t>分）</w:t>
            </w:r>
          </w:p>
          <w:p w14:paraId="7E4DFB75">
            <w:pPr>
              <w:jc w:val="center"/>
            </w:pPr>
          </w:p>
        </w:tc>
        <w:tc>
          <w:tcPr>
            <w:tcW w:w="3410" w:type="pct"/>
            <w:vAlign w:val="center"/>
          </w:tcPr>
          <w:p w14:paraId="0CF301FF">
            <w:pPr>
              <w:pStyle w:val="27"/>
              <w:rPr>
                <w:rFonts w:hint="eastAsia"/>
              </w:rPr>
            </w:pPr>
            <w:r>
              <w:rPr>
                <w:rFonts w:hint="eastAsia"/>
              </w:rPr>
              <w:t>由评标委员会成员根据</w:t>
            </w:r>
            <w:r>
              <w:rPr>
                <w:rFonts w:hint="eastAsia"/>
                <w:lang w:val="en-US" w:eastAsia="zh-CN"/>
              </w:rPr>
              <w:t>供应商</w:t>
            </w:r>
            <w:r>
              <w:rPr>
                <w:rFonts w:hint="eastAsia"/>
              </w:rPr>
              <w:t>进货采购渠道、食材控制管理措施、检验检疫措施、食材质量标准、追溯方式等情况</w:t>
            </w:r>
            <w:r>
              <w:rPr>
                <w:bCs/>
              </w:rPr>
              <w:t>进行独立评审评定其档次</w:t>
            </w:r>
            <w:r>
              <w:rPr>
                <w:rFonts w:hint="eastAsia"/>
              </w:rPr>
              <w:t>。未提供食材安全措施方案的不得分。</w:t>
            </w:r>
          </w:p>
          <w:p w14:paraId="338AF657">
            <w:pPr>
              <w:pStyle w:val="27"/>
              <w:rPr>
                <w:rFonts w:hint="eastAsia"/>
              </w:rPr>
            </w:pPr>
            <w:r>
              <w:rPr>
                <w:rFonts w:hint="eastAsia"/>
              </w:rPr>
              <w:t>一档（</w:t>
            </w:r>
            <w:r>
              <w:rPr>
                <w:rFonts w:hint="eastAsia"/>
                <w:lang w:val="en-US" w:eastAsia="zh-CN"/>
              </w:rPr>
              <w:t>3</w:t>
            </w:r>
            <w:r>
              <w:rPr>
                <w:rFonts w:hint="eastAsia"/>
              </w:rPr>
              <w:t>分）：对进货采购渠道、</w:t>
            </w:r>
            <w:r>
              <w:rPr>
                <w:rFonts w:hint="eastAsia"/>
                <w:lang w:eastAsia="zh-CN"/>
              </w:rPr>
              <w:t>食材</w:t>
            </w:r>
            <w:r>
              <w:rPr>
                <w:rFonts w:hint="eastAsia"/>
              </w:rPr>
              <w:t>控制管理措施、</w:t>
            </w:r>
            <w:r>
              <w:rPr>
                <w:rFonts w:hint="eastAsia"/>
                <w:lang w:eastAsia="zh-CN"/>
              </w:rPr>
              <w:t>食材</w:t>
            </w:r>
            <w:r>
              <w:rPr>
                <w:rFonts w:hint="eastAsia"/>
              </w:rPr>
              <w:t>质量标准、追溯方式这几个方面描述简单，且有2项以上的漏项，所描述内容不能满足采购需求，检验检疫不具有可实施性的措施；</w:t>
            </w:r>
          </w:p>
          <w:p w14:paraId="23043DB1">
            <w:pPr>
              <w:pStyle w:val="27"/>
              <w:rPr>
                <w:rFonts w:hint="eastAsia"/>
              </w:rPr>
            </w:pPr>
            <w:r>
              <w:rPr>
                <w:rFonts w:hint="eastAsia"/>
              </w:rPr>
              <w:t>二档（</w:t>
            </w:r>
            <w:r>
              <w:rPr>
                <w:rFonts w:hint="eastAsia"/>
                <w:lang w:val="en-US" w:eastAsia="zh-CN"/>
              </w:rPr>
              <w:t>6</w:t>
            </w:r>
            <w:r>
              <w:rPr>
                <w:rFonts w:hint="eastAsia"/>
              </w:rPr>
              <w:t>分）：对进货采购渠道、</w:t>
            </w:r>
            <w:r>
              <w:rPr>
                <w:rFonts w:hint="eastAsia"/>
                <w:lang w:eastAsia="zh-CN"/>
              </w:rPr>
              <w:t>食材</w:t>
            </w:r>
            <w:r>
              <w:rPr>
                <w:rFonts w:hint="eastAsia"/>
              </w:rPr>
              <w:t>控制管理措施、</w:t>
            </w:r>
            <w:r>
              <w:rPr>
                <w:rFonts w:hint="eastAsia"/>
                <w:lang w:eastAsia="zh-CN"/>
              </w:rPr>
              <w:t>食材</w:t>
            </w:r>
            <w:r>
              <w:rPr>
                <w:rFonts w:hint="eastAsia"/>
              </w:rPr>
              <w:t>质量标准、追溯方式这几个方面描述较清晰，但有1到2项的漏项，所描述内容不能满足采购需求，检验检疫措施不全面；</w:t>
            </w:r>
          </w:p>
          <w:p w14:paraId="330F85B9">
            <w:pPr>
              <w:pStyle w:val="27"/>
              <w:rPr>
                <w:rFonts w:hint="eastAsia"/>
              </w:rPr>
            </w:pPr>
            <w:r>
              <w:rPr>
                <w:rFonts w:hint="eastAsia"/>
              </w:rPr>
              <w:t>三档（</w:t>
            </w:r>
            <w:r>
              <w:rPr>
                <w:rFonts w:hint="eastAsia"/>
                <w:lang w:val="en-US" w:eastAsia="zh-CN"/>
              </w:rPr>
              <w:t>9</w:t>
            </w:r>
            <w:r>
              <w:rPr>
                <w:rFonts w:hint="eastAsia"/>
              </w:rPr>
              <w:t>分）：对进货采购渠道、</w:t>
            </w:r>
            <w:r>
              <w:rPr>
                <w:rFonts w:hint="eastAsia"/>
                <w:lang w:eastAsia="zh-CN"/>
              </w:rPr>
              <w:t>食材</w:t>
            </w:r>
            <w:r>
              <w:rPr>
                <w:rFonts w:hint="eastAsia"/>
              </w:rPr>
              <w:t>控制管理措施、</w:t>
            </w:r>
            <w:r>
              <w:rPr>
                <w:rFonts w:hint="eastAsia"/>
                <w:lang w:eastAsia="zh-CN"/>
              </w:rPr>
              <w:t>食材</w:t>
            </w:r>
            <w:r>
              <w:rPr>
                <w:rFonts w:hint="eastAsia"/>
              </w:rPr>
              <w:t>质量标准、追溯方式这几个方面描述较清晰、较详细，但有1到2项的漏项，所描述内容满足采购需求。检验检疫措施较全面，主动开展检验工作，有</w:t>
            </w:r>
            <w:r>
              <w:rPr>
                <w:rFonts w:hint="eastAsia"/>
                <w:lang w:eastAsia="zh-CN"/>
              </w:rPr>
              <w:t>市场监督管理部门</w:t>
            </w:r>
            <w:r>
              <w:rPr>
                <w:rFonts w:hint="eastAsia"/>
              </w:rPr>
              <w:t>或国家承认的检测机构检测报告；</w:t>
            </w:r>
          </w:p>
          <w:p w14:paraId="1E8A8BD2">
            <w:pPr>
              <w:pStyle w:val="27"/>
              <w:rPr>
                <w:rFonts w:hint="eastAsia"/>
              </w:rPr>
            </w:pPr>
            <w:r>
              <w:rPr>
                <w:rFonts w:hint="eastAsia"/>
              </w:rPr>
              <w:t>四档（</w:t>
            </w:r>
            <w:r>
              <w:rPr>
                <w:rFonts w:hint="eastAsia"/>
                <w:lang w:val="en-US" w:eastAsia="zh-CN"/>
              </w:rPr>
              <w:t>12</w:t>
            </w:r>
            <w:r>
              <w:rPr>
                <w:rFonts w:hint="eastAsia"/>
              </w:rPr>
              <w:t>分）：对进货采购渠道、</w:t>
            </w:r>
            <w:r>
              <w:rPr>
                <w:rFonts w:hint="eastAsia"/>
                <w:lang w:eastAsia="zh-CN"/>
              </w:rPr>
              <w:t>食材</w:t>
            </w:r>
            <w:r>
              <w:rPr>
                <w:rFonts w:hint="eastAsia"/>
              </w:rPr>
              <w:t>控制管理措施、</w:t>
            </w:r>
            <w:r>
              <w:rPr>
                <w:rFonts w:hint="eastAsia"/>
                <w:lang w:eastAsia="zh-CN"/>
              </w:rPr>
              <w:t>食材</w:t>
            </w:r>
            <w:r>
              <w:rPr>
                <w:rFonts w:hint="eastAsia"/>
              </w:rPr>
              <w:t>质量标准、追溯方式这几个方面描述清晰，详细，检验检疫措施详细、全面，能严格进行</w:t>
            </w:r>
            <w:r>
              <w:rPr>
                <w:rFonts w:hint="eastAsia"/>
                <w:lang w:eastAsia="zh-CN"/>
              </w:rPr>
              <w:t>食材</w:t>
            </w:r>
            <w:r>
              <w:rPr>
                <w:rFonts w:hint="eastAsia"/>
              </w:rPr>
              <w:t>质量把关，主动开展检验工作，每季度有</w:t>
            </w:r>
            <w:r>
              <w:rPr>
                <w:rFonts w:hint="eastAsia"/>
                <w:lang w:eastAsia="zh-CN"/>
              </w:rPr>
              <w:t>市场监督管理部门</w:t>
            </w:r>
            <w:r>
              <w:rPr>
                <w:rFonts w:hint="eastAsia"/>
              </w:rPr>
              <w:t>或国家承认的检测机构检测报告；</w:t>
            </w:r>
          </w:p>
          <w:p w14:paraId="3BAD452D">
            <w:pPr>
              <w:pStyle w:val="27"/>
            </w:pPr>
            <w:r>
              <w:rPr>
                <w:rFonts w:hint="eastAsia"/>
              </w:rPr>
              <w:t>五档（</w:t>
            </w:r>
            <w:r>
              <w:rPr>
                <w:rFonts w:hint="eastAsia"/>
                <w:lang w:val="en-US" w:eastAsia="zh-CN"/>
              </w:rPr>
              <w:t>15</w:t>
            </w:r>
            <w:r>
              <w:rPr>
                <w:rFonts w:hint="eastAsia"/>
              </w:rPr>
              <w:t>分）：对进货采购渠道、</w:t>
            </w:r>
            <w:r>
              <w:rPr>
                <w:rFonts w:hint="eastAsia"/>
                <w:lang w:eastAsia="zh-CN"/>
              </w:rPr>
              <w:t>食材</w:t>
            </w:r>
            <w:r>
              <w:rPr>
                <w:rFonts w:hint="eastAsia"/>
              </w:rPr>
              <w:t>控制管理措施、</w:t>
            </w:r>
            <w:r>
              <w:rPr>
                <w:rFonts w:hint="eastAsia"/>
                <w:lang w:eastAsia="zh-CN"/>
              </w:rPr>
              <w:t>食材</w:t>
            </w:r>
            <w:r>
              <w:rPr>
                <w:rFonts w:hint="eastAsia"/>
              </w:rPr>
              <w:t>质量标准、追溯方式这几个方面全部描述清晰，详细，检验检疫措施详细、全面，各项措施安排合理,可操作性强，能严格进行</w:t>
            </w:r>
            <w:r>
              <w:rPr>
                <w:rFonts w:hint="eastAsia"/>
                <w:lang w:eastAsia="zh-CN"/>
              </w:rPr>
              <w:t>食材</w:t>
            </w:r>
            <w:r>
              <w:rPr>
                <w:rFonts w:hint="eastAsia"/>
              </w:rPr>
              <w:t>质量把关，主动开展检验工作，每月有</w:t>
            </w:r>
            <w:r>
              <w:rPr>
                <w:rFonts w:hint="eastAsia"/>
                <w:lang w:eastAsia="zh-CN"/>
              </w:rPr>
              <w:t>市场监督管理部门</w:t>
            </w:r>
            <w:r>
              <w:rPr>
                <w:rFonts w:hint="eastAsia"/>
              </w:rPr>
              <w:t>或国家承认的检测机构检测报告。</w:t>
            </w:r>
          </w:p>
        </w:tc>
      </w:tr>
      <w:tr w14:paraId="1F28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Merge w:val="continue"/>
            <w:vAlign w:val="center"/>
          </w:tcPr>
          <w:p w14:paraId="6BB80543">
            <w:pPr>
              <w:jc w:val="center"/>
            </w:pPr>
          </w:p>
        </w:tc>
        <w:tc>
          <w:tcPr>
            <w:tcW w:w="616" w:type="pct"/>
            <w:vMerge w:val="continue"/>
            <w:vAlign w:val="center"/>
          </w:tcPr>
          <w:p w14:paraId="6FE33C9B">
            <w:pPr>
              <w:jc w:val="center"/>
            </w:pPr>
          </w:p>
        </w:tc>
        <w:tc>
          <w:tcPr>
            <w:tcW w:w="679" w:type="pct"/>
            <w:tcMar>
              <w:left w:w="57" w:type="dxa"/>
              <w:right w:w="57" w:type="dxa"/>
            </w:tcMar>
            <w:vAlign w:val="center"/>
          </w:tcPr>
          <w:p w14:paraId="19BDA2E4">
            <w:pPr>
              <w:jc w:val="center"/>
            </w:pPr>
            <w:r>
              <w:rPr>
                <w:rFonts w:hint="eastAsia"/>
              </w:rPr>
              <w:t>售后服务方案（满分10分）</w:t>
            </w:r>
          </w:p>
        </w:tc>
        <w:tc>
          <w:tcPr>
            <w:tcW w:w="3410" w:type="pct"/>
            <w:vAlign w:val="center"/>
          </w:tcPr>
          <w:p w14:paraId="4C6C021C">
            <w:pPr>
              <w:pStyle w:val="27"/>
              <w:rPr>
                <w:bCs/>
              </w:rPr>
            </w:pPr>
            <w:r>
              <w:rPr>
                <w:bCs/>
              </w:rPr>
              <w:t>由评标委员会成员根据</w:t>
            </w:r>
            <w:r>
              <w:rPr>
                <w:rFonts w:hint="eastAsia"/>
                <w:bCs/>
                <w:lang w:val="en-US" w:eastAsia="zh-CN"/>
              </w:rPr>
              <w:t>供应商</w:t>
            </w:r>
            <w:r>
              <w:rPr>
                <w:bCs/>
              </w:rPr>
              <w:t>对售后服务要求的响应程度及提供的服务承诺方案、售后服务措施（包括：承诺如何确保按期、按质、按量供货；出现问题时如何采取相应的措施；如何保障后期服务）等情况进行独立评审评定其档次。未提供售后服务方案的不得分。</w:t>
            </w:r>
          </w:p>
          <w:p w14:paraId="7AE53ED6">
            <w:pPr>
              <w:pStyle w:val="27"/>
              <w:rPr>
                <w:bCs/>
              </w:rPr>
            </w:pPr>
            <w:r>
              <w:rPr>
                <w:bCs/>
              </w:rPr>
              <w:t>一档（2分）：承诺退换时间10</w:t>
            </w:r>
            <w:r>
              <w:rPr>
                <w:rFonts w:hint="eastAsia"/>
                <w:bCs/>
              </w:rPr>
              <w:t>-12</w:t>
            </w:r>
            <w:r>
              <w:rPr>
                <w:bCs/>
              </w:rPr>
              <w:t>小时</w:t>
            </w:r>
            <w:r>
              <w:rPr>
                <w:rFonts w:hint="eastAsia"/>
                <w:bCs/>
              </w:rPr>
              <w:t>（含12小时，不含10小时）</w:t>
            </w:r>
            <w:r>
              <w:rPr>
                <w:bCs/>
              </w:rPr>
              <w:t>，服务承诺、措施、后期服务承诺较简单。</w:t>
            </w:r>
            <w:r>
              <w:rPr>
                <w:rFonts w:hint="eastAsia"/>
                <w:bCs/>
              </w:rPr>
              <w:t>（超过12小时则按废标处理）</w:t>
            </w:r>
          </w:p>
          <w:p w14:paraId="23B1CA5A">
            <w:pPr>
              <w:pStyle w:val="27"/>
              <w:rPr>
                <w:bCs/>
              </w:rPr>
            </w:pPr>
            <w:r>
              <w:rPr>
                <w:bCs/>
              </w:rPr>
              <w:t>二档（4分）：承诺退换时间8—10小时</w:t>
            </w:r>
            <w:r>
              <w:rPr>
                <w:rFonts w:hint="eastAsia"/>
                <w:bCs/>
              </w:rPr>
              <w:t xml:space="preserve"> (含10小时，不含8小时)</w:t>
            </w:r>
            <w:r>
              <w:rPr>
                <w:bCs/>
              </w:rPr>
              <w:t>，服务承诺、措施、后期服务承诺</w:t>
            </w:r>
            <w:r>
              <w:rPr>
                <w:rFonts w:hint="eastAsia"/>
                <w:bCs/>
              </w:rPr>
              <w:t>基本满足</w:t>
            </w:r>
            <w:r>
              <w:rPr>
                <w:bCs/>
              </w:rPr>
              <w:t>项目需求。</w:t>
            </w:r>
          </w:p>
          <w:p w14:paraId="3BC951D9">
            <w:pPr>
              <w:pStyle w:val="27"/>
              <w:rPr>
                <w:bCs/>
              </w:rPr>
            </w:pPr>
            <w:r>
              <w:rPr>
                <w:bCs/>
              </w:rPr>
              <w:t>三档（6分）：承诺退换时间6—8小时</w:t>
            </w:r>
            <w:r>
              <w:rPr>
                <w:rFonts w:hint="eastAsia"/>
                <w:bCs/>
              </w:rPr>
              <w:t>(含8小时，不含6小时)</w:t>
            </w:r>
            <w:r>
              <w:rPr>
                <w:bCs/>
              </w:rPr>
              <w:t>，服务承诺、措施可行，后期服务承诺</w:t>
            </w:r>
            <w:r>
              <w:rPr>
                <w:rFonts w:hint="eastAsia"/>
                <w:bCs/>
              </w:rPr>
              <w:t>能</w:t>
            </w:r>
            <w:r>
              <w:rPr>
                <w:bCs/>
              </w:rPr>
              <w:t>满足项目需求。</w:t>
            </w:r>
          </w:p>
          <w:p w14:paraId="07E62B71">
            <w:pPr>
              <w:pStyle w:val="27"/>
              <w:rPr>
                <w:bCs/>
              </w:rPr>
            </w:pPr>
            <w:r>
              <w:rPr>
                <w:bCs/>
              </w:rPr>
              <w:t>四档（8分）：对发生紧急事件问题处理预案内容较具体、全面，并承诺退换时间4—6小</w:t>
            </w:r>
            <w:r>
              <w:rPr>
                <w:rFonts w:hint="eastAsia"/>
                <w:bCs/>
              </w:rPr>
              <w:t>时(含6小时，含4小时)</w:t>
            </w:r>
            <w:r>
              <w:rPr>
                <w:bCs/>
              </w:rPr>
              <w:t>，有健全、详细的服务承诺、后期售后服务方式多样有效，措施得力，能满足项目需求。</w:t>
            </w:r>
          </w:p>
          <w:p w14:paraId="59016DE5">
            <w:pPr>
              <w:pStyle w:val="27"/>
              <w:rPr>
                <w:bCs/>
              </w:rPr>
            </w:pPr>
            <w:r>
              <w:rPr>
                <w:bCs/>
              </w:rPr>
              <w:t>五档（10分）：对发生紧急事件问题处理预案内容具体、全面，并承诺退换时间4小时内的，有健全、详细、高效的服务承诺、后期售后服务方式多样有效，措施得力，充分满足项目需求。</w:t>
            </w:r>
          </w:p>
        </w:tc>
      </w:tr>
      <w:tr w14:paraId="22FD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4E25A128">
            <w:pPr>
              <w:jc w:val="center"/>
            </w:pPr>
            <w:r>
              <w:rPr>
                <w:rFonts w:hint="eastAsia"/>
              </w:rPr>
              <w:t>3</w:t>
            </w:r>
          </w:p>
        </w:tc>
        <w:tc>
          <w:tcPr>
            <w:tcW w:w="616" w:type="pct"/>
            <w:vAlign w:val="center"/>
          </w:tcPr>
          <w:p w14:paraId="74050A5B">
            <w:pPr>
              <w:jc w:val="center"/>
            </w:pPr>
            <w:r>
              <w:rPr>
                <w:rFonts w:hint="eastAsia"/>
                <w:bCs/>
              </w:rPr>
              <w:t>商务分（</w:t>
            </w:r>
            <w:r>
              <w:rPr>
                <w:rFonts w:hint="eastAsia"/>
              </w:rPr>
              <w:t>满分30分</w:t>
            </w:r>
            <w:r>
              <w:rPr>
                <w:rFonts w:hint="eastAsia"/>
                <w:bCs/>
              </w:rPr>
              <w:t>）</w:t>
            </w:r>
          </w:p>
        </w:tc>
        <w:tc>
          <w:tcPr>
            <w:tcW w:w="679" w:type="pct"/>
            <w:tcMar>
              <w:left w:w="57" w:type="dxa"/>
              <w:right w:w="57" w:type="dxa"/>
            </w:tcMar>
            <w:vAlign w:val="center"/>
          </w:tcPr>
          <w:p w14:paraId="0A2B9EAB">
            <w:pPr>
              <w:jc w:val="center"/>
            </w:pPr>
            <w:r>
              <w:rPr>
                <w:rFonts w:hint="eastAsia"/>
              </w:rPr>
              <w:t>综合实力分（满分</w:t>
            </w:r>
            <w:r>
              <w:rPr>
                <w:rFonts w:hint="eastAsia"/>
                <w:lang w:val="en-US" w:eastAsia="zh-CN"/>
              </w:rPr>
              <w:t>30</w:t>
            </w:r>
            <w:r>
              <w:rPr>
                <w:rFonts w:hint="eastAsia"/>
              </w:rPr>
              <w:t>分）</w:t>
            </w:r>
          </w:p>
        </w:tc>
        <w:tc>
          <w:tcPr>
            <w:tcW w:w="3410" w:type="pct"/>
          </w:tcPr>
          <w:p w14:paraId="612A1927">
            <w:pPr>
              <w:rPr>
                <w:rFonts w:hint="default"/>
                <w:b/>
                <w:bCs/>
                <w:lang w:val="en-US" w:eastAsia="zh-CN"/>
              </w:rPr>
            </w:pPr>
            <w:r>
              <w:rPr>
                <w:rFonts w:hint="eastAsia"/>
                <w:b/>
                <w:bCs/>
                <w:lang w:val="en-US" w:eastAsia="zh-CN"/>
              </w:rPr>
              <w:t>以下适用分标1、分标2、分标3：</w:t>
            </w:r>
          </w:p>
          <w:p w14:paraId="76F1BCA7">
            <w:r>
              <w:rPr>
                <w:rFonts w:hint="eastAsia"/>
                <w:lang w:val="en-US" w:eastAsia="zh-CN"/>
              </w:rPr>
              <w:t>1.</w:t>
            </w:r>
            <w:r>
              <w:rPr>
                <w:rFonts w:hint="eastAsia"/>
              </w:rPr>
              <w:t>配送能力分（</w:t>
            </w:r>
            <w:r>
              <w:rPr>
                <w:rFonts w:hint="eastAsia"/>
                <w:lang w:val="en-US" w:eastAsia="zh-CN"/>
              </w:rPr>
              <w:t>满分8</w:t>
            </w:r>
            <w:r>
              <w:rPr>
                <w:rFonts w:hint="eastAsia"/>
              </w:rPr>
              <w:t>分）</w:t>
            </w:r>
          </w:p>
          <w:p w14:paraId="2CD0868D">
            <w:pPr>
              <w:rPr>
                <w:rFonts w:hint="eastAsia" w:eastAsia="宋体"/>
                <w:lang w:eastAsia="zh-CN"/>
              </w:rPr>
            </w:pPr>
            <w:r>
              <w:rPr>
                <w:rFonts w:hint="eastAsia"/>
                <w:lang w:val="en-US" w:eastAsia="zh-CN"/>
              </w:rPr>
              <w:t>供应商</w:t>
            </w:r>
            <w:r>
              <w:t>拟投入本项目的配送车辆分，要求是</w:t>
            </w:r>
            <w:r>
              <w:rPr>
                <w:rFonts w:hint="eastAsia"/>
                <w:lang w:val="en-US" w:eastAsia="zh-CN"/>
              </w:rPr>
              <w:t>供应商</w:t>
            </w:r>
            <w:r>
              <w:t>或其法定代表人名下登记的自有配送车辆</w:t>
            </w:r>
            <w:r>
              <w:rPr>
                <w:rFonts w:hint="eastAsia"/>
              </w:rPr>
              <w:t>或租赁车辆</w:t>
            </w:r>
            <w:r>
              <w:t>，每投入一辆冷链车得2分；</w:t>
            </w:r>
            <w:r>
              <w:rPr>
                <w:rFonts w:hint="eastAsia"/>
                <w:lang w:eastAsia="zh-CN"/>
              </w:rPr>
              <w:t>（</w:t>
            </w:r>
            <w:r>
              <w:rPr>
                <w:rFonts w:hint="eastAsia"/>
                <w:lang w:val="en-US" w:eastAsia="zh-CN"/>
              </w:rPr>
              <w:t>满分8分</w:t>
            </w:r>
            <w:r>
              <w:rPr>
                <w:rFonts w:hint="eastAsia"/>
                <w:lang w:eastAsia="zh-CN"/>
              </w:rPr>
              <w:t>）</w:t>
            </w:r>
          </w:p>
          <w:p w14:paraId="07FC6E12">
            <w:pPr>
              <w:rPr>
                <w:rFonts w:hint="default"/>
                <w:lang w:val="en-US"/>
              </w:rPr>
            </w:pPr>
            <w:r>
              <w:rPr>
                <w:rFonts w:hint="eastAsia"/>
                <w:lang w:val="en-US" w:eastAsia="zh-CN"/>
              </w:rPr>
              <w:t>注：</w:t>
            </w:r>
            <w:r>
              <w:t>提供车辆</w:t>
            </w:r>
            <w:r>
              <w:rPr>
                <w:rFonts w:hint="eastAsia"/>
              </w:rPr>
              <w:t>有效期内</w:t>
            </w:r>
            <w:r>
              <w:t>行驶证或机动车登记证</w:t>
            </w:r>
            <w:r>
              <w:rPr>
                <w:rFonts w:hint="eastAsia"/>
                <w:lang w:eastAsia="zh-CN"/>
              </w:rPr>
              <w:t>、</w:t>
            </w:r>
            <w:r>
              <w:rPr>
                <w:rFonts w:hint="eastAsia"/>
                <w:lang w:val="en-US" w:eastAsia="zh-CN"/>
              </w:rPr>
              <w:t>购车发票（车辆为自有时）或租赁证明（车辆为租赁时）扫描件，</w:t>
            </w:r>
            <w:r>
              <w:rPr>
                <w:rFonts w:hint="eastAsia"/>
              </w:rPr>
              <w:t>未按要求提供</w:t>
            </w:r>
            <w:r>
              <w:rPr>
                <w:rFonts w:hint="eastAsia"/>
                <w:lang w:val="en-US" w:eastAsia="zh-CN"/>
              </w:rPr>
              <w:t>的</w:t>
            </w:r>
            <w:r>
              <w:rPr>
                <w:rFonts w:hint="eastAsia"/>
              </w:rPr>
              <w:t>不得分</w:t>
            </w:r>
            <w:r>
              <w:rPr>
                <w:rFonts w:hint="eastAsia"/>
                <w:lang w:val="en-US" w:eastAsia="zh-CN"/>
              </w:rPr>
              <w:t>。</w:t>
            </w:r>
          </w:p>
          <w:p w14:paraId="2585AB13">
            <w:r>
              <w:rPr>
                <w:rFonts w:hint="eastAsia"/>
                <w:lang w:val="en-US" w:eastAsia="zh-CN"/>
              </w:rPr>
              <w:t>2.</w:t>
            </w:r>
            <w:r>
              <w:rPr>
                <w:rFonts w:hint="eastAsia"/>
              </w:rPr>
              <w:t>实施人员分（</w:t>
            </w:r>
            <w:r>
              <w:rPr>
                <w:rFonts w:hint="eastAsia"/>
                <w:lang w:val="en-US" w:eastAsia="zh-CN"/>
              </w:rPr>
              <w:t>满分6</w:t>
            </w:r>
            <w:r>
              <w:rPr>
                <w:rFonts w:hint="eastAsia"/>
              </w:rPr>
              <w:t>分）</w:t>
            </w:r>
          </w:p>
          <w:p w14:paraId="50B31763">
            <w:pPr>
              <w:rPr>
                <w:rFonts w:hint="eastAsia"/>
              </w:rPr>
            </w:pPr>
            <w:r>
              <w:rPr>
                <w:rFonts w:hint="eastAsia"/>
              </w:rPr>
              <w:t>拟投入本项目的项目实施人员</w:t>
            </w:r>
            <w:r>
              <w:rPr>
                <w:rFonts w:hint="eastAsia"/>
                <w:lang w:val="en-US" w:eastAsia="zh-CN"/>
              </w:rPr>
              <w:t>不低于2人</w:t>
            </w:r>
            <w:r>
              <w:rPr>
                <w:rFonts w:hint="eastAsia"/>
              </w:rPr>
              <w:t>，每增加1人加</w:t>
            </w:r>
            <w:r>
              <w:rPr>
                <w:rFonts w:hint="eastAsia"/>
                <w:lang w:val="en-US" w:eastAsia="zh-CN"/>
              </w:rPr>
              <w:t>2</w:t>
            </w:r>
            <w:r>
              <w:rPr>
                <w:rFonts w:hint="eastAsia"/>
              </w:rPr>
              <w:t>分，满分</w:t>
            </w:r>
            <w:r>
              <w:rPr>
                <w:rFonts w:hint="eastAsia"/>
                <w:lang w:val="en-US" w:eastAsia="zh-CN"/>
              </w:rPr>
              <w:t>6</w:t>
            </w:r>
            <w:r>
              <w:rPr>
                <w:rFonts w:hint="eastAsia"/>
              </w:rPr>
              <w:t>分。</w:t>
            </w:r>
          </w:p>
          <w:p w14:paraId="105B0E4D">
            <w:r>
              <w:rPr>
                <w:rFonts w:hint="eastAsia"/>
              </w:rPr>
              <w:t>注：投标文件提供实施人员的</w:t>
            </w:r>
            <w:r>
              <w:rPr>
                <w:rFonts w:hint="eastAsia"/>
                <w:lang w:val="en-US" w:eastAsia="zh-CN"/>
              </w:rPr>
              <w:t>劳动</w:t>
            </w:r>
            <w:r>
              <w:rPr>
                <w:rFonts w:hint="eastAsia"/>
              </w:rPr>
              <w:t>合同</w:t>
            </w:r>
            <w:r>
              <w:rPr>
                <w:rFonts w:hint="eastAsia"/>
                <w:lang w:val="en-US" w:eastAsia="zh-CN"/>
              </w:rPr>
              <w:t>或供应商为其缴纳的投标截止时间前6个月内任意一个月的社保证明</w:t>
            </w:r>
            <w:r>
              <w:rPr>
                <w:rFonts w:hint="eastAsia"/>
              </w:rPr>
              <w:t>、身份证、健康证</w:t>
            </w:r>
            <w:r>
              <w:rPr>
                <w:rFonts w:hint="eastAsia"/>
                <w:lang w:eastAsia="zh-CN"/>
              </w:rPr>
              <w:t>扫描件</w:t>
            </w:r>
            <w:r>
              <w:rPr>
                <w:rFonts w:hint="eastAsia"/>
              </w:rPr>
              <w:t>，未按要求提供</w:t>
            </w:r>
            <w:r>
              <w:rPr>
                <w:rFonts w:hint="eastAsia"/>
                <w:lang w:val="en-US" w:eastAsia="zh-CN"/>
              </w:rPr>
              <w:t>的</w:t>
            </w:r>
            <w:r>
              <w:rPr>
                <w:rFonts w:hint="eastAsia"/>
              </w:rPr>
              <w:t>不得分。</w:t>
            </w:r>
          </w:p>
          <w:p w14:paraId="593CD730">
            <w:pPr>
              <w:rPr>
                <w:rFonts w:hint="eastAsia"/>
                <w:lang w:eastAsia="zh-CN"/>
              </w:rPr>
            </w:pPr>
            <w:r>
              <w:rPr>
                <w:rFonts w:hint="eastAsia"/>
                <w:lang w:val="en-US" w:eastAsia="zh-CN"/>
              </w:rPr>
              <w:t>3.供应商</w:t>
            </w:r>
            <w:r>
              <w:rPr>
                <w:rFonts w:hint="eastAsia"/>
              </w:rPr>
              <w:t>具备对应分标采购需求的食品检验检测能力的，得</w:t>
            </w:r>
            <w:r>
              <w:rPr>
                <w:rFonts w:hint="eastAsia"/>
                <w:lang w:val="en-US" w:eastAsia="zh-CN"/>
              </w:rPr>
              <w:t>3</w:t>
            </w:r>
            <w:r>
              <w:rPr>
                <w:rFonts w:hint="eastAsia"/>
              </w:rPr>
              <w:t>分</w:t>
            </w:r>
            <w:r>
              <w:rPr>
                <w:rFonts w:hint="eastAsia"/>
                <w:lang w:eastAsia="zh-CN"/>
              </w:rPr>
              <w:t>。</w:t>
            </w:r>
          </w:p>
          <w:p w14:paraId="0FE59169">
            <w:r>
              <w:rPr>
                <w:rFonts w:hint="eastAsia"/>
                <w:lang w:val="en-US" w:eastAsia="zh-CN"/>
              </w:rPr>
              <w:t>注：</w:t>
            </w:r>
            <w:r>
              <w:rPr>
                <w:rFonts w:hint="eastAsia"/>
              </w:rPr>
              <w:t>提供购买检验检测设备发票</w:t>
            </w:r>
            <w:r>
              <w:rPr>
                <w:rFonts w:hint="eastAsia"/>
                <w:lang w:val="en-US" w:eastAsia="zh-CN"/>
              </w:rPr>
              <w:t>扫描件和</w:t>
            </w:r>
            <w:r>
              <w:rPr>
                <w:rFonts w:hint="eastAsia"/>
              </w:rPr>
              <w:t>检测技术人员相关的检测证书</w:t>
            </w:r>
            <w:r>
              <w:rPr>
                <w:rFonts w:hint="eastAsia"/>
                <w:lang w:val="en-US" w:eastAsia="zh-CN"/>
              </w:rPr>
              <w:t>扫描件，否则不得分</w:t>
            </w:r>
            <w:r>
              <w:rPr>
                <w:rFonts w:hint="eastAsia"/>
              </w:rPr>
              <w:t>。</w:t>
            </w:r>
          </w:p>
          <w:p w14:paraId="1F78236C">
            <w:pPr>
              <w:rPr>
                <w:rFonts w:hint="eastAsia"/>
                <w:lang w:eastAsia="zh-CN"/>
              </w:rPr>
            </w:pPr>
            <w:r>
              <w:rPr>
                <w:rFonts w:hint="eastAsia"/>
                <w:lang w:val="en-US" w:eastAsia="zh-CN"/>
              </w:rPr>
              <w:t>4.供应商</w:t>
            </w:r>
            <w:r>
              <w:rPr>
                <w:rFonts w:hint="eastAsia"/>
              </w:rPr>
              <w:t>所投分标产品</w:t>
            </w:r>
            <w:r>
              <w:rPr>
                <w:rFonts w:hint="eastAsia"/>
                <w:lang w:val="en-US" w:eastAsia="zh-CN"/>
              </w:rPr>
              <w:t>全部或部分为自己</w:t>
            </w:r>
            <w:r>
              <w:rPr>
                <w:rFonts w:hint="eastAsia"/>
              </w:rPr>
              <w:t>种植或养殖的或与种植、养殖基地有一年以上合作关系的得</w:t>
            </w:r>
            <w:r>
              <w:rPr>
                <w:rFonts w:hint="eastAsia"/>
                <w:lang w:val="en-US" w:eastAsia="zh-CN"/>
              </w:rPr>
              <w:t>3</w:t>
            </w:r>
            <w:r>
              <w:rPr>
                <w:rFonts w:hint="eastAsia"/>
              </w:rPr>
              <w:t>分</w:t>
            </w:r>
            <w:r>
              <w:rPr>
                <w:rFonts w:hint="eastAsia"/>
                <w:lang w:eastAsia="zh-CN"/>
              </w:rPr>
              <w:t>。</w:t>
            </w:r>
          </w:p>
          <w:p w14:paraId="1CBD8CD7">
            <w:r>
              <w:rPr>
                <w:rFonts w:hint="eastAsia"/>
                <w:lang w:val="en-US" w:eastAsia="zh-CN"/>
              </w:rPr>
              <w:t>注：</w:t>
            </w:r>
            <w:r>
              <w:rPr>
                <w:rFonts w:hint="eastAsia"/>
              </w:rPr>
              <w:t>提供相关证明材料</w:t>
            </w:r>
            <w:r>
              <w:rPr>
                <w:rFonts w:hint="eastAsia"/>
                <w:lang w:val="en-US" w:eastAsia="zh-CN"/>
              </w:rPr>
              <w:t>扫描件，否则不得分</w:t>
            </w:r>
            <w:r>
              <w:rPr>
                <w:rFonts w:hint="eastAsia"/>
              </w:rPr>
              <w:t>。</w:t>
            </w:r>
          </w:p>
          <w:p w14:paraId="252F7F93">
            <w:pPr>
              <w:rPr>
                <w:rFonts w:hint="eastAsia"/>
                <w:lang w:val="en-US" w:eastAsia="zh-CN"/>
              </w:rPr>
            </w:pPr>
            <w:r>
              <w:rPr>
                <w:rFonts w:hint="eastAsia"/>
                <w:lang w:val="en-US" w:eastAsia="zh-CN"/>
              </w:rPr>
              <w:t>5.业绩分（满分10分）</w:t>
            </w:r>
          </w:p>
          <w:p w14:paraId="7E1C57F5">
            <w:pPr>
              <w:rPr>
                <w:rFonts w:hint="eastAsia"/>
                <w:lang w:val="en-US" w:eastAsia="zh-CN"/>
              </w:rPr>
            </w:pPr>
            <w:r>
              <w:rPr>
                <w:rFonts w:hint="eastAsia"/>
                <w:lang w:val="en-US" w:eastAsia="zh-CN"/>
              </w:rPr>
              <w:t>供应商自2023年1月以来开展同类生活物资供应项目的业绩情况，每份业绩得2分，满分10分</w:t>
            </w:r>
          </w:p>
          <w:p w14:paraId="122CFF4F">
            <w:pPr>
              <w:rPr>
                <w:rFonts w:hint="eastAsia"/>
                <w:lang w:val="en-US" w:eastAsia="zh-CN"/>
              </w:rPr>
            </w:pPr>
            <w:r>
              <w:rPr>
                <w:rFonts w:hint="eastAsia"/>
                <w:lang w:val="en-US" w:eastAsia="zh-CN"/>
              </w:rPr>
              <w:t>注：提供采购合同复印件及在合同有效期内任意两个月销售发票扫描件，否则不得分。同类业绩定义：分标1猪肉等其他肉类，分标2鸡鸭肉类，分标3蔬菜类。</w:t>
            </w:r>
          </w:p>
          <w:p w14:paraId="06315C06">
            <w:pPr>
              <w:rPr>
                <w:rFonts w:hint="default"/>
                <w:b/>
                <w:bCs/>
                <w:lang w:val="en-US" w:eastAsia="zh-CN"/>
              </w:rPr>
            </w:pPr>
            <w:r>
              <w:rPr>
                <w:rFonts w:hint="eastAsia"/>
                <w:b/>
                <w:bCs/>
                <w:lang w:val="en-US" w:eastAsia="zh-CN"/>
              </w:rPr>
              <w:t>以下适用分标4、分标5：</w:t>
            </w:r>
          </w:p>
          <w:p w14:paraId="7D8B9A99">
            <w:r>
              <w:rPr>
                <w:rFonts w:hint="eastAsia"/>
                <w:lang w:val="en-US" w:eastAsia="zh-CN"/>
              </w:rPr>
              <w:t>1.</w:t>
            </w:r>
            <w:r>
              <w:rPr>
                <w:rFonts w:hint="eastAsia"/>
              </w:rPr>
              <w:t>配送能力分（</w:t>
            </w:r>
            <w:r>
              <w:rPr>
                <w:rFonts w:hint="eastAsia"/>
                <w:lang w:val="en-US" w:eastAsia="zh-CN"/>
              </w:rPr>
              <w:t>满分8</w:t>
            </w:r>
            <w:r>
              <w:rPr>
                <w:rFonts w:hint="eastAsia"/>
              </w:rPr>
              <w:t>分）</w:t>
            </w:r>
          </w:p>
          <w:p w14:paraId="380BAA20">
            <w:pPr>
              <w:rPr>
                <w:rFonts w:hint="eastAsia" w:eastAsia="宋体"/>
                <w:lang w:eastAsia="zh-CN"/>
              </w:rPr>
            </w:pPr>
            <w:r>
              <w:rPr>
                <w:rFonts w:hint="eastAsia"/>
                <w:lang w:val="en-US" w:eastAsia="zh-CN"/>
              </w:rPr>
              <w:t>供应商</w:t>
            </w:r>
            <w:r>
              <w:t>拟投入本项目的配送车辆分，要求是</w:t>
            </w:r>
            <w:r>
              <w:rPr>
                <w:rFonts w:hint="eastAsia"/>
                <w:lang w:val="en-US" w:eastAsia="zh-CN"/>
              </w:rPr>
              <w:t>供应商</w:t>
            </w:r>
            <w:r>
              <w:t>或其法定代表人名下登记的自有配送车辆</w:t>
            </w:r>
            <w:r>
              <w:rPr>
                <w:rFonts w:hint="eastAsia"/>
              </w:rPr>
              <w:t>或租赁车辆</w:t>
            </w:r>
            <w:r>
              <w:rPr>
                <w:rFonts w:hint="eastAsia"/>
                <w:lang w:eastAsia="zh-CN"/>
              </w:rPr>
              <w:t>（</w:t>
            </w:r>
            <w:r>
              <w:t>轿车或客车除外</w:t>
            </w:r>
            <w:r>
              <w:rPr>
                <w:rFonts w:hint="eastAsia"/>
                <w:lang w:eastAsia="zh-CN"/>
              </w:rPr>
              <w:t>）</w:t>
            </w:r>
            <w:r>
              <w:rPr>
                <w:rFonts w:hint="eastAsia"/>
              </w:rPr>
              <w:t>，</w:t>
            </w:r>
            <w:r>
              <w:t>每投入一辆</w:t>
            </w:r>
            <w:r>
              <w:rPr>
                <w:rFonts w:hint="eastAsia"/>
                <w:lang w:val="en-US" w:eastAsia="zh-CN"/>
              </w:rPr>
              <w:t>配送货车</w:t>
            </w:r>
            <w:r>
              <w:t>得2分；</w:t>
            </w:r>
            <w:r>
              <w:rPr>
                <w:rFonts w:hint="eastAsia"/>
                <w:lang w:eastAsia="zh-CN"/>
              </w:rPr>
              <w:t>（</w:t>
            </w:r>
            <w:r>
              <w:rPr>
                <w:rFonts w:hint="eastAsia"/>
                <w:lang w:val="en-US" w:eastAsia="zh-CN"/>
              </w:rPr>
              <w:t>满分8分</w:t>
            </w:r>
            <w:r>
              <w:rPr>
                <w:rFonts w:hint="eastAsia"/>
                <w:lang w:eastAsia="zh-CN"/>
              </w:rPr>
              <w:t>）</w:t>
            </w:r>
          </w:p>
          <w:p w14:paraId="13AC7DF4">
            <w:pPr>
              <w:rPr>
                <w:rFonts w:hint="default"/>
                <w:lang w:val="en-US"/>
              </w:rPr>
            </w:pPr>
            <w:r>
              <w:rPr>
                <w:rFonts w:hint="eastAsia"/>
                <w:lang w:val="en-US" w:eastAsia="zh-CN"/>
              </w:rPr>
              <w:t>注：</w:t>
            </w:r>
            <w:r>
              <w:t>提供车辆</w:t>
            </w:r>
            <w:r>
              <w:rPr>
                <w:rFonts w:hint="eastAsia"/>
              </w:rPr>
              <w:t>有效期内</w:t>
            </w:r>
            <w:r>
              <w:t>行驶证或机动车登记证</w:t>
            </w:r>
            <w:r>
              <w:rPr>
                <w:rFonts w:hint="eastAsia"/>
                <w:lang w:eastAsia="zh-CN"/>
              </w:rPr>
              <w:t>、</w:t>
            </w:r>
            <w:r>
              <w:rPr>
                <w:rFonts w:hint="eastAsia"/>
                <w:lang w:val="en-US" w:eastAsia="zh-CN"/>
              </w:rPr>
              <w:t>购车发票（车辆为自有时）或租赁证明（车辆为租赁时）扫描件，</w:t>
            </w:r>
            <w:r>
              <w:rPr>
                <w:rFonts w:hint="eastAsia"/>
              </w:rPr>
              <w:t>未按要求提供</w:t>
            </w:r>
            <w:r>
              <w:rPr>
                <w:rFonts w:hint="eastAsia"/>
                <w:lang w:val="en-US" w:eastAsia="zh-CN"/>
              </w:rPr>
              <w:t>的</w:t>
            </w:r>
            <w:r>
              <w:rPr>
                <w:rFonts w:hint="eastAsia"/>
              </w:rPr>
              <w:t>不得分</w:t>
            </w:r>
            <w:r>
              <w:rPr>
                <w:rFonts w:hint="eastAsia"/>
                <w:lang w:val="en-US" w:eastAsia="zh-CN"/>
              </w:rPr>
              <w:t>。</w:t>
            </w:r>
          </w:p>
          <w:p w14:paraId="1DD013A7">
            <w:r>
              <w:rPr>
                <w:rFonts w:hint="eastAsia"/>
                <w:lang w:val="en-US" w:eastAsia="zh-CN"/>
              </w:rPr>
              <w:t>2.</w:t>
            </w:r>
            <w:r>
              <w:rPr>
                <w:rFonts w:hint="eastAsia"/>
              </w:rPr>
              <w:t>实施人员分（</w:t>
            </w:r>
            <w:r>
              <w:rPr>
                <w:rFonts w:hint="eastAsia"/>
                <w:lang w:val="en-US" w:eastAsia="zh-CN"/>
              </w:rPr>
              <w:t>满分6</w:t>
            </w:r>
            <w:r>
              <w:rPr>
                <w:rFonts w:hint="eastAsia"/>
              </w:rPr>
              <w:t>分）</w:t>
            </w:r>
          </w:p>
          <w:p w14:paraId="0A1DE39C">
            <w:pPr>
              <w:rPr>
                <w:rFonts w:hint="eastAsia"/>
              </w:rPr>
            </w:pPr>
            <w:r>
              <w:rPr>
                <w:rFonts w:hint="eastAsia"/>
              </w:rPr>
              <w:t>拟投入本项目的项目实施人员</w:t>
            </w:r>
            <w:r>
              <w:rPr>
                <w:rFonts w:hint="eastAsia"/>
                <w:lang w:val="en-US" w:eastAsia="zh-CN"/>
              </w:rPr>
              <w:t>不低于2人</w:t>
            </w:r>
            <w:r>
              <w:rPr>
                <w:rFonts w:hint="eastAsia"/>
              </w:rPr>
              <w:t>，每增加1人加</w:t>
            </w:r>
            <w:r>
              <w:rPr>
                <w:rFonts w:hint="eastAsia"/>
                <w:lang w:val="en-US" w:eastAsia="zh-CN"/>
              </w:rPr>
              <w:t>2</w:t>
            </w:r>
            <w:r>
              <w:rPr>
                <w:rFonts w:hint="eastAsia"/>
              </w:rPr>
              <w:t>分，满分</w:t>
            </w:r>
            <w:r>
              <w:rPr>
                <w:rFonts w:hint="eastAsia"/>
                <w:lang w:val="en-US" w:eastAsia="zh-CN"/>
              </w:rPr>
              <w:t>6</w:t>
            </w:r>
            <w:r>
              <w:rPr>
                <w:rFonts w:hint="eastAsia"/>
              </w:rPr>
              <w:t>分。</w:t>
            </w:r>
          </w:p>
          <w:p w14:paraId="54963FB7">
            <w:r>
              <w:rPr>
                <w:rFonts w:hint="eastAsia"/>
              </w:rPr>
              <w:t>注：投标文件提供实施人员的</w:t>
            </w:r>
            <w:r>
              <w:rPr>
                <w:rFonts w:hint="eastAsia"/>
                <w:lang w:val="en-US" w:eastAsia="zh-CN"/>
              </w:rPr>
              <w:t>劳动</w:t>
            </w:r>
            <w:r>
              <w:rPr>
                <w:rFonts w:hint="eastAsia"/>
              </w:rPr>
              <w:t>合同</w:t>
            </w:r>
            <w:r>
              <w:rPr>
                <w:rFonts w:hint="eastAsia"/>
                <w:lang w:val="en-US" w:eastAsia="zh-CN"/>
              </w:rPr>
              <w:t>或供应商为其缴纳的投标截止时间前6个月内任意一个月的社保证明</w:t>
            </w:r>
            <w:r>
              <w:rPr>
                <w:rFonts w:hint="eastAsia"/>
              </w:rPr>
              <w:t>、身份证、健康证</w:t>
            </w:r>
            <w:r>
              <w:rPr>
                <w:rFonts w:hint="eastAsia"/>
                <w:lang w:eastAsia="zh-CN"/>
              </w:rPr>
              <w:t>扫描件</w:t>
            </w:r>
            <w:r>
              <w:rPr>
                <w:rFonts w:hint="eastAsia"/>
              </w:rPr>
              <w:t>，未按要求提供</w:t>
            </w:r>
            <w:r>
              <w:rPr>
                <w:rFonts w:hint="eastAsia"/>
                <w:lang w:val="en-US" w:eastAsia="zh-CN"/>
              </w:rPr>
              <w:t>的</w:t>
            </w:r>
            <w:r>
              <w:rPr>
                <w:rFonts w:hint="eastAsia"/>
              </w:rPr>
              <w:t>不得分。</w:t>
            </w:r>
          </w:p>
          <w:p w14:paraId="464797B5">
            <w:pPr>
              <w:rPr>
                <w:rFonts w:hint="eastAsia"/>
                <w:lang w:val="en-US" w:eastAsia="zh-CN"/>
              </w:rPr>
            </w:pPr>
            <w:r>
              <w:rPr>
                <w:rFonts w:hint="eastAsia"/>
                <w:lang w:val="en-US" w:eastAsia="zh-CN"/>
              </w:rPr>
              <w:t>3.业绩分（满分16分）</w:t>
            </w:r>
          </w:p>
          <w:p w14:paraId="7E62537D">
            <w:pPr>
              <w:rPr>
                <w:rFonts w:hint="eastAsia"/>
                <w:lang w:val="en-US" w:eastAsia="zh-CN"/>
              </w:rPr>
            </w:pPr>
            <w:r>
              <w:rPr>
                <w:rFonts w:hint="eastAsia"/>
                <w:lang w:val="en-US" w:eastAsia="zh-CN"/>
              </w:rPr>
              <w:t>供应商自2023年1月以来开展同类生活物资供应项目的业绩情况，每份业绩得2分，满分16分（提供采购合同复印件及在合同有效期内任意两个月销售发票扫描件，否则不得分。同类业绩定义：分标4其他类，分标5鲜湿米粉类）。</w:t>
            </w:r>
          </w:p>
        </w:tc>
      </w:tr>
      <w:tr w14:paraId="5FE4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4"/>
            <w:vAlign w:val="center"/>
          </w:tcPr>
          <w:p w14:paraId="775E0993">
            <w:pPr>
              <w:pStyle w:val="27"/>
            </w:pPr>
            <w:r>
              <w:rPr>
                <w:rFonts w:hint="eastAsia"/>
              </w:rPr>
              <w:t>总得分=1+2+3</w:t>
            </w:r>
          </w:p>
        </w:tc>
      </w:tr>
    </w:tbl>
    <w:p w14:paraId="797930B1">
      <w:pPr>
        <w:ind w:firstLine="422" w:firstLineChars="200"/>
        <w:rPr>
          <w:lang w:val="zh-CN"/>
        </w:rPr>
      </w:pPr>
      <w:r>
        <w:rPr>
          <w:rFonts w:hint="eastAsia" w:ascii="宋体" w:hAnsi="宋体" w:eastAsia="宋体" w:cs="Times New Roman"/>
          <w:b/>
          <w:bCs w:val="0"/>
          <w:szCs w:val="21"/>
          <w:highlight w:val="none"/>
          <w:lang w:val="en-US" w:eastAsia="zh-CN"/>
        </w:rPr>
        <w:t>本项目分为五个分标，供应商须以分标为单位进行</w:t>
      </w:r>
      <w:r>
        <w:rPr>
          <w:rFonts w:hint="eastAsia" w:cs="Times New Roman"/>
          <w:b/>
          <w:bCs w:val="0"/>
          <w:szCs w:val="21"/>
          <w:highlight w:val="none"/>
          <w:lang w:val="en-US" w:eastAsia="zh-CN"/>
        </w:rPr>
        <w:t>投</w:t>
      </w:r>
      <w:r>
        <w:rPr>
          <w:rFonts w:hint="eastAsia" w:ascii="宋体" w:hAnsi="宋体" w:eastAsia="宋体" w:cs="Times New Roman"/>
          <w:b/>
          <w:bCs w:val="0"/>
          <w:szCs w:val="21"/>
          <w:highlight w:val="none"/>
          <w:lang w:val="en-US" w:eastAsia="zh-CN"/>
        </w:rPr>
        <w:t>标，可选择任意分标或全部分标参与</w:t>
      </w:r>
      <w:r>
        <w:rPr>
          <w:rFonts w:hint="eastAsia" w:cs="Times New Roman"/>
          <w:b/>
          <w:bCs w:val="0"/>
          <w:szCs w:val="21"/>
          <w:highlight w:val="none"/>
          <w:lang w:val="en-US" w:eastAsia="zh-CN"/>
        </w:rPr>
        <w:t>投</w:t>
      </w:r>
      <w:r>
        <w:rPr>
          <w:rFonts w:hint="eastAsia" w:ascii="宋体" w:hAnsi="宋体" w:eastAsia="宋体" w:cs="Times New Roman"/>
          <w:b/>
          <w:bCs w:val="0"/>
          <w:szCs w:val="21"/>
          <w:highlight w:val="none"/>
          <w:lang w:val="en-US" w:eastAsia="zh-CN"/>
        </w:rPr>
        <w:t>标，</w:t>
      </w:r>
      <w:r>
        <w:rPr>
          <w:rFonts w:hint="eastAsia" w:cs="Times New Roman"/>
          <w:b/>
          <w:bCs w:val="0"/>
          <w:szCs w:val="21"/>
          <w:highlight w:val="none"/>
          <w:lang w:val="en-US" w:eastAsia="zh-CN"/>
        </w:rPr>
        <w:t>但</w:t>
      </w:r>
      <w:r>
        <w:rPr>
          <w:rFonts w:hint="eastAsia" w:ascii="宋体" w:hAnsi="宋体" w:eastAsia="宋体" w:cs="Times New Roman"/>
          <w:b/>
          <w:bCs w:val="0"/>
          <w:szCs w:val="21"/>
          <w:highlight w:val="none"/>
          <w:lang w:val="en-US" w:eastAsia="zh-CN"/>
        </w:rPr>
        <w:t>同一供应商最多允许</w:t>
      </w:r>
      <w:r>
        <w:rPr>
          <w:rFonts w:hint="eastAsia" w:cs="Times New Roman"/>
          <w:b/>
          <w:bCs w:val="0"/>
          <w:szCs w:val="21"/>
          <w:highlight w:val="none"/>
          <w:lang w:val="en-US" w:eastAsia="zh-CN"/>
        </w:rPr>
        <w:t>中标一</w:t>
      </w:r>
      <w:r>
        <w:rPr>
          <w:rFonts w:hint="eastAsia" w:ascii="宋体" w:hAnsi="宋体" w:eastAsia="宋体" w:cs="Times New Roman"/>
          <w:b/>
          <w:bCs w:val="0"/>
          <w:szCs w:val="21"/>
          <w:highlight w:val="none"/>
          <w:lang w:val="en-US" w:eastAsia="zh-CN"/>
        </w:rPr>
        <w:t>个分标</w:t>
      </w:r>
      <w:r>
        <w:rPr>
          <w:rFonts w:hint="eastAsia" w:ascii="宋体" w:hAnsi="宋体" w:eastAsia="宋体" w:cs="宋体"/>
          <w:b/>
          <w:bCs w:val="0"/>
          <w:szCs w:val="21"/>
          <w:lang w:val="zh-CN"/>
        </w:rPr>
        <w:t>。</w:t>
      </w:r>
      <w:r>
        <w:rPr>
          <w:rFonts w:hint="eastAsia" w:cs="宋体"/>
          <w:b/>
          <w:bCs w:val="0"/>
          <w:szCs w:val="21"/>
          <w:lang w:val="en-US" w:eastAsia="zh-CN"/>
        </w:rPr>
        <w:t>本项目</w:t>
      </w:r>
      <w:r>
        <w:rPr>
          <w:rFonts w:hint="eastAsia" w:ascii="宋体" w:hAnsi="宋体" w:eastAsia="宋体" w:cs="Times New Roman"/>
          <w:b/>
          <w:bCs w:val="0"/>
          <w:szCs w:val="21"/>
          <w:highlight w:val="none"/>
          <w:lang w:val="en-US" w:eastAsia="zh-CN"/>
        </w:rPr>
        <w:t>按</w:t>
      </w:r>
      <w:r>
        <w:rPr>
          <w:rFonts w:hint="eastAsia" w:cs="Times New Roman"/>
          <w:b/>
          <w:bCs w:val="0"/>
          <w:szCs w:val="21"/>
          <w:highlight w:val="none"/>
          <w:lang w:val="en-US" w:eastAsia="zh-CN"/>
        </w:rPr>
        <w:t>分标</w:t>
      </w:r>
      <w:r>
        <w:rPr>
          <w:rFonts w:hint="eastAsia" w:ascii="宋体" w:hAnsi="宋体" w:eastAsia="宋体" w:cs="Times New Roman"/>
          <w:b/>
          <w:bCs w:val="0"/>
          <w:szCs w:val="21"/>
          <w:highlight w:val="none"/>
          <w:lang w:val="en-US" w:eastAsia="zh-CN"/>
        </w:rPr>
        <w:t>1→</w:t>
      </w:r>
      <w:r>
        <w:rPr>
          <w:rFonts w:hint="eastAsia" w:cs="Times New Roman"/>
          <w:b/>
          <w:bCs w:val="0"/>
          <w:szCs w:val="21"/>
          <w:highlight w:val="none"/>
          <w:lang w:val="en-US" w:eastAsia="zh-CN"/>
        </w:rPr>
        <w:t>分标</w:t>
      </w:r>
      <w:r>
        <w:rPr>
          <w:rFonts w:hint="eastAsia" w:ascii="宋体" w:hAnsi="宋体" w:eastAsia="宋体" w:cs="Times New Roman"/>
          <w:b/>
          <w:bCs w:val="0"/>
          <w:szCs w:val="21"/>
          <w:highlight w:val="none"/>
          <w:lang w:val="en-US" w:eastAsia="zh-CN"/>
        </w:rPr>
        <w:t>2→</w:t>
      </w:r>
      <w:r>
        <w:rPr>
          <w:rFonts w:hint="eastAsia" w:cs="Times New Roman"/>
          <w:b/>
          <w:bCs w:val="0"/>
          <w:szCs w:val="21"/>
          <w:highlight w:val="none"/>
          <w:lang w:val="en-US" w:eastAsia="zh-CN"/>
        </w:rPr>
        <w:t>分标</w:t>
      </w:r>
      <w:r>
        <w:rPr>
          <w:rFonts w:hint="eastAsia" w:ascii="宋体" w:hAnsi="宋体" w:eastAsia="宋体" w:cs="Times New Roman"/>
          <w:b/>
          <w:bCs w:val="0"/>
          <w:szCs w:val="21"/>
          <w:highlight w:val="none"/>
          <w:lang w:val="en-US" w:eastAsia="zh-CN"/>
        </w:rPr>
        <w:t>3→</w:t>
      </w:r>
      <w:r>
        <w:rPr>
          <w:rFonts w:hint="eastAsia" w:cs="Times New Roman"/>
          <w:b/>
          <w:bCs w:val="0"/>
          <w:szCs w:val="21"/>
          <w:highlight w:val="none"/>
          <w:lang w:val="en-US" w:eastAsia="zh-CN"/>
        </w:rPr>
        <w:t>分标</w:t>
      </w:r>
      <w:r>
        <w:rPr>
          <w:rFonts w:hint="eastAsia" w:ascii="宋体" w:hAnsi="宋体" w:eastAsia="宋体" w:cs="Times New Roman"/>
          <w:b/>
          <w:bCs w:val="0"/>
          <w:szCs w:val="21"/>
          <w:highlight w:val="none"/>
          <w:lang w:val="en-US" w:eastAsia="zh-CN"/>
        </w:rPr>
        <w:t>4→</w:t>
      </w:r>
      <w:r>
        <w:rPr>
          <w:rFonts w:hint="eastAsia" w:cs="Times New Roman"/>
          <w:b/>
          <w:bCs w:val="0"/>
          <w:szCs w:val="21"/>
          <w:highlight w:val="none"/>
          <w:lang w:val="en-US" w:eastAsia="zh-CN"/>
        </w:rPr>
        <w:t>分标</w:t>
      </w:r>
      <w:r>
        <w:rPr>
          <w:rFonts w:hint="eastAsia" w:ascii="宋体" w:hAnsi="宋体" w:eastAsia="宋体" w:cs="Times New Roman"/>
          <w:b/>
          <w:bCs w:val="0"/>
          <w:szCs w:val="21"/>
          <w:highlight w:val="none"/>
          <w:lang w:val="en-US" w:eastAsia="zh-CN"/>
        </w:rPr>
        <w:t>5顺序进行评审，并按综合得分由高到低排序</w:t>
      </w:r>
      <w:r>
        <w:rPr>
          <w:rFonts w:hint="eastAsia" w:cs="Times New Roman"/>
          <w:b/>
          <w:bCs w:val="0"/>
          <w:szCs w:val="21"/>
          <w:highlight w:val="none"/>
          <w:lang w:val="en-US" w:eastAsia="zh-CN"/>
        </w:rPr>
        <w:t>推荐中标</w:t>
      </w:r>
      <w:r>
        <w:rPr>
          <w:rFonts w:hint="eastAsia" w:ascii="宋体" w:hAnsi="宋体" w:eastAsia="宋体" w:cs="Times New Roman"/>
          <w:b/>
          <w:bCs w:val="0"/>
          <w:szCs w:val="21"/>
          <w:highlight w:val="none"/>
          <w:lang w:val="en-US" w:eastAsia="zh-CN"/>
        </w:rPr>
        <w:t>候选人。若某供应商已经按顺序被列为前面任意</w:t>
      </w:r>
      <w:r>
        <w:rPr>
          <w:rFonts w:hint="eastAsia" w:cs="Times New Roman"/>
          <w:b/>
          <w:bCs w:val="0"/>
          <w:szCs w:val="21"/>
          <w:highlight w:val="none"/>
          <w:lang w:val="en-US" w:eastAsia="zh-CN"/>
        </w:rPr>
        <w:t>一</w:t>
      </w:r>
      <w:r>
        <w:rPr>
          <w:rFonts w:hint="eastAsia" w:ascii="宋体" w:hAnsi="宋体" w:eastAsia="宋体" w:cs="Times New Roman"/>
          <w:b/>
          <w:bCs w:val="0"/>
          <w:szCs w:val="21"/>
          <w:highlight w:val="none"/>
          <w:lang w:val="en-US" w:eastAsia="zh-CN"/>
        </w:rPr>
        <w:t>个分标的第一</w:t>
      </w:r>
      <w:r>
        <w:rPr>
          <w:rFonts w:hint="eastAsia" w:cs="Times New Roman"/>
          <w:b/>
          <w:bCs w:val="0"/>
          <w:szCs w:val="21"/>
          <w:highlight w:val="none"/>
          <w:lang w:val="en-US" w:eastAsia="zh-CN"/>
        </w:rPr>
        <w:t>中标</w:t>
      </w:r>
      <w:r>
        <w:rPr>
          <w:rFonts w:hint="eastAsia" w:ascii="宋体" w:hAnsi="宋体" w:eastAsia="宋体" w:cs="Times New Roman"/>
          <w:b/>
          <w:bCs w:val="0"/>
          <w:szCs w:val="21"/>
          <w:highlight w:val="none"/>
          <w:lang w:val="en-US" w:eastAsia="zh-CN"/>
        </w:rPr>
        <w:t>候选人，仍可参与其他标段评审但不参与推荐</w:t>
      </w:r>
      <w:r>
        <w:rPr>
          <w:rFonts w:hint="eastAsia" w:cs="Times New Roman"/>
          <w:b/>
          <w:bCs w:val="0"/>
          <w:szCs w:val="21"/>
          <w:highlight w:val="none"/>
          <w:lang w:val="en-US" w:eastAsia="zh-CN"/>
        </w:rPr>
        <w:t>中标</w:t>
      </w:r>
      <w:r>
        <w:rPr>
          <w:rFonts w:hint="eastAsia" w:ascii="宋体" w:hAnsi="宋体" w:eastAsia="宋体" w:cs="Times New Roman"/>
          <w:b/>
          <w:bCs w:val="0"/>
          <w:szCs w:val="21"/>
          <w:highlight w:val="none"/>
          <w:lang w:val="en-US" w:eastAsia="zh-CN"/>
        </w:rPr>
        <w:t>候选人的排序。按分标顺序推荐</w:t>
      </w:r>
      <w:r>
        <w:rPr>
          <w:rFonts w:hint="eastAsia" w:cs="Times New Roman"/>
          <w:b/>
          <w:bCs w:val="0"/>
          <w:szCs w:val="21"/>
          <w:highlight w:val="none"/>
          <w:lang w:val="en-US" w:eastAsia="zh-CN"/>
        </w:rPr>
        <w:t>中标</w:t>
      </w:r>
      <w:r>
        <w:rPr>
          <w:rFonts w:hint="eastAsia" w:ascii="宋体" w:hAnsi="宋体" w:eastAsia="宋体" w:cs="Times New Roman"/>
          <w:b/>
          <w:bCs w:val="0"/>
          <w:szCs w:val="21"/>
          <w:highlight w:val="none"/>
          <w:lang w:val="en-US" w:eastAsia="zh-CN"/>
        </w:rPr>
        <w:t>候选人后，后续分标若进入详评的供应商均在前</w:t>
      </w:r>
      <w:r>
        <w:rPr>
          <w:rFonts w:hint="eastAsia" w:cs="Times New Roman"/>
          <w:b/>
          <w:bCs w:val="0"/>
          <w:szCs w:val="21"/>
          <w:highlight w:val="none"/>
          <w:lang w:val="en-US" w:eastAsia="zh-CN"/>
        </w:rPr>
        <w:t>面</w:t>
      </w:r>
      <w:r>
        <w:rPr>
          <w:rFonts w:hint="eastAsia" w:ascii="宋体" w:hAnsi="宋体" w:eastAsia="宋体" w:cs="Times New Roman"/>
          <w:b/>
          <w:bCs w:val="0"/>
          <w:szCs w:val="21"/>
          <w:highlight w:val="none"/>
          <w:lang w:val="en-US" w:eastAsia="zh-CN"/>
        </w:rPr>
        <w:t>分标中被推荐为第一</w:t>
      </w:r>
      <w:r>
        <w:rPr>
          <w:rFonts w:hint="eastAsia" w:cs="Times New Roman"/>
          <w:b/>
          <w:bCs w:val="0"/>
          <w:szCs w:val="21"/>
          <w:highlight w:val="none"/>
          <w:lang w:val="en-US" w:eastAsia="zh-CN"/>
        </w:rPr>
        <w:t>中标</w:t>
      </w:r>
      <w:r>
        <w:rPr>
          <w:rFonts w:hint="eastAsia" w:ascii="宋体" w:hAnsi="宋体" w:eastAsia="宋体" w:cs="Times New Roman"/>
          <w:b/>
          <w:bCs w:val="0"/>
          <w:szCs w:val="21"/>
          <w:highlight w:val="none"/>
          <w:lang w:val="en-US" w:eastAsia="zh-CN"/>
        </w:rPr>
        <w:t>候选人的，则该分标废标。</w:t>
      </w:r>
    </w:p>
    <w:bookmarkEnd w:id="82"/>
    <w:bookmarkEnd w:id="83"/>
    <w:bookmarkEnd w:id="92"/>
    <w:p w14:paraId="7BABB390">
      <w:bookmarkStart w:id="93" w:name="_Hlk80957087"/>
      <w:bookmarkStart w:id="94" w:name="_Hlk60651046"/>
      <w:bookmarkStart w:id="95" w:name="_Hlk65851690"/>
    </w:p>
    <w:bookmarkEnd w:id="88"/>
    <w:bookmarkEnd w:id="93"/>
    <w:bookmarkEnd w:id="94"/>
    <w:bookmarkEnd w:id="95"/>
    <w:p w14:paraId="4C29BE59">
      <w:bookmarkStart w:id="96" w:name="_Toc31444"/>
      <w:r>
        <w:br w:type="page"/>
      </w:r>
    </w:p>
    <w:p w14:paraId="448F649F">
      <w:pPr>
        <w:pStyle w:val="27"/>
        <w:snapToGrid w:val="0"/>
        <w:spacing w:before="120" w:after="120"/>
        <w:jc w:val="center"/>
        <w:outlineLvl w:val="0"/>
        <w:rPr>
          <w:b/>
          <w:bCs/>
          <w:sz w:val="32"/>
          <w:szCs w:val="32"/>
        </w:rPr>
      </w:pPr>
      <w:r>
        <w:rPr>
          <w:b/>
          <w:bCs/>
          <w:sz w:val="32"/>
          <w:szCs w:val="32"/>
        </w:rPr>
        <w:t>第五章  合同主要条款格式</w:t>
      </w:r>
      <w:bookmarkEnd w:id="96"/>
    </w:p>
    <w:p w14:paraId="1ABCBCC7">
      <w:pPr>
        <w:pStyle w:val="27"/>
        <w:jc w:val="center"/>
      </w:pPr>
      <w:r>
        <w:rPr>
          <w:rFonts w:hint="eastAsia"/>
        </w:rPr>
        <w:t>说明：以下合同书签订双方可根据项目的具体要求进行修订，但修订的合同条款不得与招标文件和中标人投标文件有实质性偏离。合同条款如有修订必须以补充协议形式另行签订。</w:t>
      </w:r>
    </w:p>
    <w:p w14:paraId="1772E668"/>
    <w:p w14:paraId="524E98B5"/>
    <w:p w14:paraId="302B14EF">
      <w:pPr>
        <w:jc w:val="center"/>
        <w:rPr>
          <w:b/>
          <w:bCs/>
          <w:sz w:val="32"/>
          <w:szCs w:val="32"/>
        </w:rPr>
      </w:pPr>
      <w:r>
        <w:rPr>
          <w:rFonts w:hint="eastAsia"/>
          <w:b/>
          <w:bCs/>
          <w:sz w:val="32"/>
          <w:szCs w:val="32"/>
        </w:rPr>
        <w:t>《广西壮族自治区政府采购合同》</w:t>
      </w:r>
    </w:p>
    <w:p w14:paraId="14FFA8A7"/>
    <w:p w14:paraId="18641A6F">
      <w:pPr>
        <w:jc w:val="center"/>
        <w:rPr>
          <w:u w:val="single"/>
        </w:rPr>
      </w:pPr>
      <w:r>
        <w:rPr>
          <w:rFonts w:hint="eastAsia"/>
        </w:rPr>
        <w:t>合同编号：</w:t>
      </w:r>
    </w:p>
    <w:p w14:paraId="45D9757B"/>
    <w:p w14:paraId="07DC2813">
      <w:r>
        <w:rPr>
          <w:rFonts w:hint="eastAsia"/>
        </w:rPr>
        <w:t xml:space="preserve">采购单位（甲方）                            </w:t>
      </w:r>
      <w:r>
        <w:rPr>
          <w:rFonts w:hint="eastAsia"/>
          <w:spacing w:val="-20"/>
        </w:rPr>
        <w:t>采 购 计 划 号</w:t>
      </w:r>
      <w:r>
        <w:rPr>
          <w:rFonts w:hint="eastAsia"/>
        </w:rPr>
        <w:t xml:space="preserve">                     </w:t>
      </w:r>
    </w:p>
    <w:p w14:paraId="32C8D69C">
      <w:r>
        <w:rPr>
          <w:rFonts w:hint="eastAsia"/>
        </w:rPr>
        <w:t xml:space="preserve">供 应 商（乙方）                            </w:t>
      </w:r>
      <w:r>
        <w:rPr>
          <w:rFonts w:hint="eastAsia"/>
          <w:spacing w:val="-20"/>
        </w:rPr>
        <w:t>招  标  编  号</w:t>
      </w:r>
      <w:r>
        <w:rPr>
          <w:rFonts w:hint="eastAsia"/>
        </w:rPr>
        <w:t xml:space="preserve">                     </w:t>
      </w:r>
    </w:p>
    <w:p w14:paraId="03FAD8F8">
      <w:r>
        <w:rPr>
          <w:rFonts w:hint="eastAsia"/>
        </w:rPr>
        <w:t xml:space="preserve">签  订  地  点                              签 订 时 间                    </w:t>
      </w:r>
    </w:p>
    <w:p w14:paraId="468FE167"/>
    <w:p w14:paraId="4DE78651">
      <w:pPr>
        <w:ind w:firstLine="420" w:firstLineChars="200"/>
      </w:pPr>
      <w:r>
        <w:rPr>
          <w:rFonts w:hint="eastAsia"/>
        </w:rPr>
        <w:t>根据《中华人民共和国政府采购法》、《中华人民共和国政府采购法实施条例》，及《中华人民共和国民法典》等法律、法规规定，按照采购文件规定条款和乙方投标文件及其承诺，甲乙双方签订本合同。</w:t>
      </w:r>
    </w:p>
    <w:p w14:paraId="2CEF40E6">
      <w:pPr>
        <w:ind w:firstLine="422" w:firstLineChars="200"/>
        <w:rPr>
          <w:b/>
          <w:bCs/>
        </w:rPr>
      </w:pPr>
      <w:r>
        <w:rPr>
          <w:rFonts w:hint="eastAsia"/>
          <w:b/>
          <w:bCs/>
        </w:rPr>
        <w:t>第一条  合同标的</w:t>
      </w:r>
    </w:p>
    <w:p w14:paraId="725C3D29">
      <w:pPr>
        <w:ind w:firstLine="420" w:firstLineChars="200"/>
      </w:pPr>
      <w:r>
        <w:rPr>
          <w:rFonts w:hint="eastAsia"/>
        </w:rPr>
        <w:t>1.供货一览表</w:t>
      </w:r>
    </w:p>
    <w:tbl>
      <w:tblPr>
        <w:tblStyle w:val="52"/>
        <w:tblW w:w="48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1082"/>
        <w:gridCol w:w="1764"/>
        <w:gridCol w:w="1123"/>
        <w:gridCol w:w="873"/>
        <w:gridCol w:w="1632"/>
        <w:gridCol w:w="967"/>
        <w:gridCol w:w="885"/>
      </w:tblGrid>
      <w:tr w14:paraId="4297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410" w:type="pct"/>
            <w:vAlign w:val="center"/>
          </w:tcPr>
          <w:p w14:paraId="2ED937F5">
            <w:pPr>
              <w:jc w:val="center"/>
            </w:pPr>
            <w:r>
              <w:t>序号</w:t>
            </w:r>
          </w:p>
        </w:tc>
        <w:tc>
          <w:tcPr>
            <w:tcW w:w="596" w:type="pct"/>
            <w:vAlign w:val="center"/>
          </w:tcPr>
          <w:p w14:paraId="58709807">
            <w:pPr>
              <w:jc w:val="center"/>
            </w:pPr>
            <w:r>
              <w:t>标的名称</w:t>
            </w:r>
          </w:p>
        </w:tc>
        <w:tc>
          <w:tcPr>
            <w:tcW w:w="972" w:type="pct"/>
            <w:vAlign w:val="center"/>
          </w:tcPr>
          <w:p w14:paraId="69810AFE">
            <w:pPr>
              <w:jc w:val="center"/>
            </w:pPr>
            <w:r>
              <w:rPr>
                <w:rFonts w:hint="eastAsia"/>
              </w:rPr>
              <w:t>需求及质量要求</w:t>
            </w:r>
          </w:p>
        </w:tc>
        <w:tc>
          <w:tcPr>
            <w:tcW w:w="619" w:type="pct"/>
            <w:vAlign w:val="center"/>
          </w:tcPr>
          <w:p w14:paraId="216E5D76">
            <w:pPr>
              <w:jc w:val="center"/>
            </w:pPr>
            <w:r>
              <w:t>数量</w:t>
            </w:r>
          </w:p>
        </w:tc>
        <w:tc>
          <w:tcPr>
            <w:tcW w:w="481" w:type="pct"/>
            <w:vAlign w:val="center"/>
          </w:tcPr>
          <w:p w14:paraId="1704B4BC">
            <w:pPr>
              <w:jc w:val="center"/>
            </w:pPr>
            <w:r>
              <w:rPr>
                <w:rFonts w:hint="eastAsia"/>
              </w:rPr>
              <w:t>单位</w:t>
            </w:r>
          </w:p>
        </w:tc>
        <w:tc>
          <w:tcPr>
            <w:tcW w:w="899" w:type="pct"/>
            <w:vAlign w:val="center"/>
          </w:tcPr>
          <w:p w14:paraId="1EAE5CFF">
            <w:pPr>
              <w:jc w:val="center"/>
            </w:pPr>
            <w:r>
              <w:rPr>
                <w:rFonts w:hint="eastAsia"/>
              </w:rPr>
              <w:t>基准</w:t>
            </w:r>
            <w:r>
              <w:t>单价（元）</w:t>
            </w:r>
          </w:p>
        </w:tc>
        <w:tc>
          <w:tcPr>
            <w:tcW w:w="533" w:type="pct"/>
            <w:vAlign w:val="center"/>
          </w:tcPr>
          <w:p w14:paraId="749F8153">
            <w:pPr>
              <w:jc w:val="center"/>
            </w:pPr>
            <w:r>
              <w:rPr>
                <w:rFonts w:hint="eastAsia"/>
                <w:lang w:val="en-US" w:eastAsia="zh-CN" w:bidi="ar"/>
              </w:rPr>
              <w:t>中标</w:t>
            </w:r>
            <w:r>
              <w:t>折扣系数</w:t>
            </w:r>
          </w:p>
        </w:tc>
        <w:tc>
          <w:tcPr>
            <w:tcW w:w="487" w:type="pct"/>
            <w:vAlign w:val="center"/>
          </w:tcPr>
          <w:p w14:paraId="3F5A781D">
            <w:pPr>
              <w:jc w:val="center"/>
            </w:pPr>
            <w:r>
              <w:rPr>
                <w:rFonts w:hint="eastAsia"/>
              </w:rPr>
              <w:t>结算单价</w:t>
            </w:r>
          </w:p>
        </w:tc>
      </w:tr>
      <w:tr w14:paraId="581B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jc w:val="center"/>
        </w:trPr>
        <w:tc>
          <w:tcPr>
            <w:tcW w:w="410" w:type="pct"/>
            <w:vAlign w:val="center"/>
          </w:tcPr>
          <w:p w14:paraId="6FC78797">
            <w:pPr>
              <w:jc w:val="center"/>
            </w:pPr>
            <w:r>
              <w:rPr>
                <w:rFonts w:hint="eastAsia"/>
              </w:rPr>
              <w:t>1</w:t>
            </w:r>
          </w:p>
        </w:tc>
        <w:tc>
          <w:tcPr>
            <w:tcW w:w="596" w:type="pct"/>
            <w:vAlign w:val="center"/>
          </w:tcPr>
          <w:p w14:paraId="2929D1B4">
            <w:pPr>
              <w:jc w:val="center"/>
            </w:pPr>
          </w:p>
        </w:tc>
        <w:tc>
          <w:tcPr>
            <w:tcW w:w="972" w:type="pct"/>
            <w:vAlign w:val="center"/>
          </w:tcPr>
          <w:p w14:paraId="017AF5E5">
            <w:pPr>
              <w:jc w:val="center"/>
            </w:pPr>
          </w:p>
        </w:tc>
        <w:tc>
          <w:tcPr>
            <w:tcW w:w="619" w:type="pct"/>
            <w:vAlign w:val="center"/>
          </w:tcPr>
          <w:p w14:paraId="51FC25DB">
            <w:pPr>
              <w:jc w:val="center"/>
            </w:pPr>
            <w:r>
              <w:rPr>
                <w:rFonts w:hint="eastAsia"/>
              </w:rPr>
              <w:t>按需供货</w:t>
            </w:r>
          </w:p>
        </w:tc>
        <w:tc>
          <w:tcPr>
            <w:tcW w:w="481" w:type="pct"/>
            <w:vAlign w:val="center"/>
          </w:tcPr>
          <w:p w14:paraId="40E1E2E8">
            <w:pPr>
              <w:jc w:val="center"/>
            </w:pPr>
          </w:p>
        </w:tc>
        <w:tc>
          <w:tcPr>
            <w:tcW w:w="899" w:type="pct"/>
            <w:vAlign w:val="center"/>
          </w:tcPr>
          <w:p w14:paraId="13AFBADA">
            <w:pPr>
              <w:jc w:val="center"/>
            </w:pPr>
          </w:p>
        </w:tc>
        <w:tc>
          <w:tcPr>
            <w:tcW w:w="533" w:type="pct"/>
            <w:vMerge w:val="restart"/>
            <w:vAlign w:val="center"/>
          </w:tcPr>
          <w:p w14:paraId="77BAB153">
            <w:pPr>
              <w:jc w:val="center"/>
            </w:pPr>
          </w:p>
        </w:tc>
        <w:tc>
          <w:tcPr>
            <w:tcW w:w="487" w:type="pct"/>
            <w:vAlign w:val="center"/>
          </w:tcPr>
          <w:p w14:paraId="48B9DDEE">
            <w:pPr>
              <w:jc w:val="center"/>
            </w:pPr>
          </w:p>
        </w:tc>
      </w:tr>
      <w:tr w14:paraId="3EB3A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jc w:val="center"/>
        </w:trPr>
        <w:tc>
          <w:tcPr>
            <w:tcW w:w="410" w:type="pct"/>
            <w:vAlign w:val="center"/>
          </w:tcPr>
          <w:p w14:paraId="542FAA15">
            <w:pPr>
              <w:jc w:val="center"/>
            </w:pPr>
            <w:r>
              <w:rPr>
                <w:rFonts w:hint="eastAsia"/>
              </w:rPr>
              <w:t>2</w:t>
            </w:r>
          </w:p>
        </w:tc>
        <w:tc>
          <w:tcPr>
            <w:tcW w:w="596" w:type="pct"/>
            <w:vAlign w:val="center"/>
          </w:tcPr>
          <w:p w14:paraId="59549138">
            <w:pPr>
              <w:jc w:val="center"/>
            </w:pPr>
          </w:p>
        </w:tc>
        <w:tc>
          <w:tcPr>
            <w:tcW w:w="972" w:type="pct"/>
            <w:vAlign w:val="center"/>
          </w:tcPr>
          <w:p w14:paraId="1365F5A2">
            <w:pPr>
              <w:jc w:val="center"/>
            </w:pPr>
          </w:p>
        </w:tc>
        <w:tc>
          <w:tcPr>
            <w:tcW w:w="619" w:type="pct"/>
            <w:vAlign w:val="center"/>
          </w:tcPr>
          <w:p w14:paraId="2BA201AF">
            <w:pPr>
              <w:jc w:val="center"/>
            </w:pPr>
            <w:r>
              <w:rPr>
                <w:rFonts w:hint="eastAsia"/>
              </w:rPr>
              <w:t>按需供货</w:t>
            </w:r>
          </w:p>
        </w:tc>
        <w:tc>
          <w:tcPr>
            <w:tcW w:w="481" w:type="pct"/>
            <w:vAlign w:val="center"/>
          </w:tcPr>
          <w:p w14:paraId="7FE08A2F">
            <w:pPr>
              <w:jc w:val="center"/>
            </w:pPr>
          </w:p>
        </w:tc>
        <w:tc>
          <w:tcPr>
            <w:tcW w:w="899" w:type="pct"/>
            <w:vAlign w:val="center"/>
          </w:tcPr>
          <w:p w14:paraId="5B392E0A">
            <w:pPr>
              <w:jc w:val="center"/>
            </w:pPr>
          </w:p>
        </w:tc>
        <w:tc>
          <w:tcPr>
            <w:tcW w:w="533" w:type="pct"/>
            <w:vMerge w:val="continue"/>
            <w:vAlign w:val="center"/>
          </w:tcPr>
          <w:p w14:paraId="53C91063">
            <w:pPr>
              <w:jc w:val="center"/>
            </w:pPr>
          </w:p>
        </w:tc>
        <w:tc>
          <w:tcPr>
            <w:tcW w:w="487" w:type="pct"/>
            <w:vAlign w:val="center"/>
          </w:tcPr>
          <w:p w14:paraId="78F81E32">
            <w:pPr>
              <w:jc w:val="center"/>
            </w:pPr>
          </w:p>
        </w:tc>
      </w:tr>
      <w:tr w14:paraId="5B2C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jc w:val="center"/>
        </w:trPr>
        <w:tc>
          <w:tcPr>
            <w:tcW w:w="410" w:type="pct"/>
            <w:vAlign w:val="center"/>
          </w:tcPr>
          <w:p w14:paraId="002C79E0">
            <w:pPr>
              <w:jc w:val="center"/>
            </w:pPr>
            <w:r>
              <w:rPr>
                <w:rFonts w:hint="eastAsia"/>
              </w:rPr>
              <w:t>3</w:t>
            </w:r>
          </w:p>
        </w:tc>
        <w:tc>
          <w:tcPr>
            <w:tcW w:w="596" w:type="pct"/>
            <w:vAlign w:val="center"/>
          </w:tcPr>
          <w:p w14:paraId="4AB82234">
            <w:pPr>
              <w:jc w:val="center"/>
            </w:pPr>
          </w:p>
        </w:tc>
        <w:tc>
          <w:tcPr>
            <w:tcW w:w="972" w:type="pct"/>
            <w:vAlign w:val="center"/>
          </w:tcPr>
          <w:p w14:paraId="04A98938">
            <w:pPr>
              <w:jc w:val="center"/>
            </w:pPr>
          </w:p>
        </w:tc>
        <w:tc>
          <w:tcPr>
            <w:tcW w:w="619" w:type="pct"/>
            <w:vAlign w:val="center"/>
          </w:tcPr>
          <w:p w14:paraId="6F283E08">
            <w:pPr>
              <w:jc w:val="center"/>
            </w:pPr>
            <w:r>
              <w:rPr>
                <w:rFonts w:hint="eastAsia"/>
              </w:rPr>
              <w:t>按需供货</w:t>
            </w:r>
          </w:p>
        </w:tc>
        <w:tc>
          <w:tcPr>
            <w:tcW w:w="481" w:type="pct"/>
            <w:vAlign w:val="center"/>
          </w:tcPr>
          <w:p w14:paraId="75E28844">
            <w:pPr>
              <w:jc w:val="center"/>
            </w:pPr>
          </w:p>
        </w:tc>
        <w:tc>
          <w:tcPr>
            <w:tcW w:w="899" w:type="pct"/>
            <w:vAlign w:val="center"/>
          </w:tcPr>
          <w:p w14:paraId="75AA0D2E">
            <w:pPr>
              <w:jc w:val="center"/>
            </w:pPr>
          </w:p>
        </w:tc>
        <w:tc>
          <w:tcPr>
            <w:tcW w:w="533" w:type="pct"/>
            <w:vMerge w:val="continue"/>
            <w:vAlign w:val="center"/>
          </w:tcPr>
          <w:p w14:paraId="1A4694E2">
            <w:pPr>
              <w:jc w:val="center"/>
            </w:pPr>
          </w:p>
        </w:tc>
        <w:tc>
          <w:tcPr>
            <w:tcW w:w="487" w:type="pct"/>
            <w:vAlign w:val="center"/>
          </w:tcPr>
          <w:p w14:paraId="0C7DC516">
            <w:pPr>
              <w:jc w:val="center"/>
            </w:pPr>
          </w:p>
        </w:tc>
      </w:tr>
      <w:tr w14:paraId="22B0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jc w:val="center"/>
        </w:trPr>
        <w:tc>
          <w:tcPr>
            <w:tcW w:w="410" w:type="pct"/>
            <w:vAlign w:val="center"/>
          </w:tcPr>
          <w:p w14:paraId="21B9C175">
            <w:pPr>
              <w:jc w:val="center"/>
            </w:pPr>
            <w:r>
              <w:t>……</w:t>
            </w:r>
          </w:p>
        </w:tc>
        <w:tc>
          <w:tcPr>
            <w:tcW w:w="596" w:type="pct"/>
            <w:vAlign w:val="center"/>
          </w:tcPr>
          <w:p w14:paraId="3DA564F0">
            <w:pPr>
              <w:jc w:val="center"/>
            </w:pPr>
            <w:r>
              <w:t>……</w:t>
            </w:r>
          </w:p>
        </w:tc>
        <w:tc>
          <w:tcPr>
            <w:tcW w:w="972" w:type="pct"/>
            <w:vAlign w:val="center"/>
          </w:tcPr>
          <w:p w14:paraId="5CF23DC9">
            <w:pPr>
              <w:jc w:val="center"/>
            </w:pPr>
            <w:r>
              <w:t>……</w:t>
            </w:r>
          </w:p>
        </w:tc>
        <w:tc>
          <w:tcPr>
            <w:tcW w:w="619" w:type="pct"/>
            <w:vAlign w:val="center"/>
          </w:tcPr>
          <w:p w14:paraId="336B819F">
            <w:pPr>
              <w:jc w:val="center"/>
            </w:pPr>
            <w:r>
              <w:t>……</w:t>
            </w:r>
          </w:p>
        </w:tc>
        <w:tc>
          <w:tcPr>
            <w:tcW w:w="481" w:type="pct"/>
            <w:vAlign w:val="center"/>
          </w:tcPr>
          <w:p w14:paraId="5BE1C6A4">
            <w:pPr>
              <w:jc w:val="center"/>
            </w:pPr>
            <w:r>
              <w:t>……</w:t>
            </w:r>
          </w:p>
        </w:tc>
        <w:tc>
          <w:tcPr>
            <w:tcW w:w="899" w:type="pct"/>
            <w:vAlign w:val="center"/>
          </w:tcPr>
          <w:p w14:paraId="53C5F47B">
            <w:pPr>
              <w:jc w:val="center"/>
            </w:pPr>
            <w:r>
              <w:t>……</w:t>
            </w:r>
          </w:p>
        </w:tc>
        <w:tc>
          <w:tcPr>
            <w:tcW w:w="533" w:type="pct"/>
            <w:vMerge w:val="continue"/>
            <w:vAlign w:val="center"/>
          </w:tcPr>
          <w:p w14:paraId="4ACBD76C">
            <w:pPr>
              <w:jc w:val="center"/>
            </w:pPr>
          </w:p>
        </w:tc>
        <w:tc>
          <w:tcPr>
            <w:tcW w:w="487" w:type="pct"/>
            <w:vAlign w:val="center"/>
          </w:tcPr>
          <w:p w14:paraId="535D98CC">
            <w:pPr>
              <w:jc w:val="center"/>
            </w:pPr>
          </w:p>
        </w:tc>
      </w:tr>
    </w:tbl>
    <w:p w14:paraId="1ED2E83C">
      <w:pPr>
        <w:ind w:firstLine="420" w:firstLineChars="200"/>
      </w:pPr>
      <w:r>
        <w:rPr>
          <w:rFonts w:hint="eastAsia"/>
        </w:rPr>
        <w:t>2.合同合计金额包含货物采购及服务需求要求所需的一切费用总和，除另有约定外，中标价不因任何因素而调整：</w:t>
      </w:r>
      <w:r>
        <w:rPr>
          <w:rFonts w:hint="eastAsia"/>
          <w:lang w:bidi="ar"/>
        </w:rPr>
        <w:t>包括货物及服务采购、检验检测、包装、</w:t>
      </w:r>
      <w:r>
        <w:rPr>
          <w:rFonts w:hint="eastAsia"/>
          <w:lang w:val="en-US" w:eastAsia="zh-CN" w:bidi="ar"/>
        </w:rPr>
        <w:t>配送、</w:t>
      </w:r>
      <w:r>
        <w:rPr>
          <w:rFonts w:hint="eastAsia"/>
          <w:lang w:bidi="ar"/>
        </w:rPr>
        <w:t>运输、</w:t>
      </w:r>
      <w:r>
        <w:rPr>
          <w:rFonts w:hint="eastAsia"/>
          <w:lang w:val="en-US" w:eastAsia="zh-CN" w:bidi="ar"/>
        </w:rPr>
        <w:t>装卸、</w:t>
      </w:r>
      <w:r>
        <w:rPr>
          <w:rFonts w:hint="eastAsia"/>
          <w:lang w:bidi="ar"/>
        </w:rPr>
        <w:t>仓储、</w:t>
      </w:r>
      <w:r>
        <w:rPr>
          <w:rFonts w:hint="eastAsia"/>
          <w:lang w:val="en-US" w:eastAsia="zh-CN" w:bidi="ar"/>
        </w:rPr>
        <w:t>退换货、损耗、保险、</w:t>
      </w:r>
      <w:r>
        <w:rPr>
          <w:rFonts w:hint="eastAsia"/>
          <w:lang w:bidi="ar"/>
        </w:rPr>
        <w:t>人工</w:t>
      </w:r>
      <w:r>
        <w:rPr>
          <w:rFonts w:hint="eastAsia"/>
          <w:lang w:eastAsia="zh-CN" w:bidi="ar"/>
        </w:rPr>
        <w:t>、</w:t>
      </w:r>
      <w:r>
        <w:rPr>
          <w:rFonts w:hint="eastAsia"/>
          <w:lang w:bidi="ar"/>
        </w:rPr>
        <w:t>售后服务、税金</w:t>
      </w:r>
      <w:r>
        <w:rPr>
          <w:rFonts w:hint="eastAsia"/>
          <w:lang w:val="en-US" w:eastAsia="zh-CN" w:bidi="ar"/>
        </w:rPr>
        <w:t>等合同实施过程中的应预见和不可预见费用等所有</w:t>
      </w:r>
      <w:r>
        <w:rPr>
          <w:rFonts w:hint="eastAsia"/>
          <w:lang w:bidi="ar"/>
        </w:rPr>
        <w:t>费用总和。</w:t>
      </w:r>
    </w:p>
    <w:p w14:paraId="5DC4CD2A">
      <w:pPr>
        <w:ind w:firstLine="422" w:firstLineChars="200"/>
        <w:rPr>
          <w:b/>
          <w:bCs/>
        </w:rPr>
      </w:pPr>
      <w:r>
        <w:rPr>
          <w:rFonts w:hint="eastAsia"/>
          <w:b/>
          <w:bCs/>
        </w:rPr>
        <w:t>第二条  产品质量</w:t>
      </w:r>
    </w:p>
    <w:p w14:paraId="3E25D82E">
      <w:pPr>
        <w:ind w:firstLine="420" w:firstLineChars="200"/>
      </w:pPr>
      <w:r>
        <w:rPr>
          <w:rFonts w:hint="eastAsia"/>
        </w:rPr>
        <w:t>乙方所提供的货物、规格、数量、质量要求等必须符合采购文件并与投标文件承诺相一致，实际采购数量以甲方实际需求为准。</w:t>
      </w:r>
    </w:p>
    <w:p w14:paraId="511801FB">
      <w:pPr>
        <w:ind w:firstLine="422" w:firstLineChars="200"/>
        <w:rPr>
          <w:b/>
          <w:bCs/>
        </w:rPr>
      </w:pPr>
      <w:r>
        <w:rPr>
          <w:rFonts w:hint="eastAsia"/>
          <w:b/>
          <w:bCs/>
        </w:rPr>
        <w:t>第三条  权利保证</w:t>
      </w:r>
    </w:p>
    <w:p w14:paraId="07A195CC">
      <w:pPr>
        <w:ind w:firstLine="420" w:firstLineChars="200"/>
      </w:pPr>
      <w:r>
        <w:rPr>
          <w:rFonts w:hint="eastAsia"/>
        </w:rPr>
        <w:t>1.乙方应保证所提供货物在使用时不会侵犯任何第三方的专利权、商标权或其他权利。</w:t>
      </w:r>
    </w:p>
    <w:p w14:paraId="701F9672">
      <w:pPr>
        <w:ind w:firstLine="420" w:firstLineChars="200"/>
      </w:pPr>
      <w:r>
        <w:rPr>
          <w:rFonts w:hint="eastAsia"/>
        </w:rPr>
        <w:t>2.乙方应在每批次货物供应时向甲方提供质量监督管理部门出具货物/产品质量合格证明、产品质量检测报告或检疫报告等质量安全检验证明材料，并确保供应货物的质量符合甲方要求。</w:t>
      </w:r>
    </w:p>
    <w:p w14:paraId="2376ABD9">
      <w:pPr>
        <w:ind w:firstLine="420" w:firstLineChars="200"/>
      </w:pPr>
      <w:r>
        <w:rPr>
          <w:rFonts w:hint="eastAsia"/>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7C45E337">
      <w:pPr>
        <w:ind w:firstLine="420" w:firstLineChars="200"/>
      </w:pPr>
      <w:r>
        <w:rPr>
          <w:rFonts w:hint="eastAsia"/>
        </w:rPr>
        <w:t>4.乙方保证所交付的货物的所有权完全属于乙方且无任何抵押、质押、查封等产权瑕疵。</w:t>
      </w:r>
    </w:p>
    <w:p w14:paraId="1F82DF48">
      <w:pPr>
        <w:ind w:firstLine="422" w:firstLineChars="200"/>
        <w:rPr>
          <w:b/>
          <w:bCs/>
        </w:rPr>
      </w:pPr>
      <w:r>
        <w:rPr>
          <w:rFonts w:hint="eastAsia"/>
          <w:b/>
          <w:bCs/>
        </w:rPr>
        <w:t>第四条  货物包装及运输</w:t>
      </w:r>
    </w:p>
    <w:p w14:paraId="6C2C02DA">
      <w:pPr>
        <w:ind w:firstLine="420" w:firstLineChars="200"/>
      </w:pPr>
      <w:r>
        <w:rPr>
          <w:rFonts w:hint="eastAsia"/>
        </w:rPr>
        <w:t>1.乙方提供的货物均应按符合采购文件要求的包装材料、包装标准、包装方式进行包装，包装应满足运输距离、防潮、防震、防腐和防破损装卸等要求包装，以保证货物符合食品卫生要求并安全运达甲方指定地点。每一包装单元内应附详细的装箱单和质量合格证等质量安全检验证明材料。</w:t>
      </w:r>
    </w:p>
    <w:p w14:paraId="3E17EADD">
      <w:pPr>
        <w:ind w:firstLine="420" w:firstLineChars="200"/>
      </w:pPr>
      <w:r>
        <w:rPr>
          <w:rFonts w:hint="eastAsia"/>
        </w:rPr>
        <w:t>2.货物的运输方式：生鲜食材应采用冷链车，结合严格的人员管控、温度监控、安防检查，确保食材在运输过程中符合食品安全标准，同时满足监狱的特殊监管要求。</w:t>
      </w:r>
    </w:p>
    <w:p w14:paraId="2C519BDB">
      <w:pPr>
        <w:ind w:firstLine="420" w:firstLineChars="200"/>
      </w:pPr>
      <w:r>
        <w:rPr>
          <w:rFonts w:hint="eastAsia"/>
        </w:rPr>
        <w:t>3.乙方负责货物运输，货物运输合理损耗及计算方法：</w:t>
      </w:r>
      <w:r>
        <w:rPr>
          <w:rFonts w:hint="eastAsia"/>
          <w:u w:val="single"/>
        </w:rPr>
        <w:t>不接受损耗</w:t>
      </w:r>
      <w:r>
        <w:rPr>
          <w:rFonts w:hint="eastAsia"/>
        </w:rPr>
        <w:t>。</w:t>
      </w:r>
    </w:p>
    <w:p w14:paraId="77256AD3">
      <w:pPr>
        <w:ind w:firstLine="420" w:firstLineChars="200"/>
      </w:pPr>
      <w:r>
        <w:rPr>
          <w:rFonts w:hint="eastAsia"/>
        </w:rPr>
        <w:t>4.货物在交付甲方并验收合格前发生的风险均由乙方负责。</w:t>
      </w:r>
    </w:p>
    <w:p w14:paraId="4C4A3DF1">
      <w:pPr>
        <w:ind w:firstLine="420" w:firstLineChars="200"/>
      </w:pPr>
      <w:r>
        <w:rPr>
          <w:rFonts w:hint="eastAsia"/>
        </w:rPr>
        <w:t>5.货物在规定的交付期限内由乙方送达甲方指定的地点并办理移交手续。</w:t>
      </w:r>
    </w:p>
    <w:p w14:paraId="7D603420">
      <w:pPr>
        <w:ind w:firstLine="422" w:firstLineChars="200"/>
        <w:rPr>
          <w:b/>
          <w:bCs/>
        </w:rPr>
      </w:pPr>
      <w:r>
        <w:rPr>
          <w:rFonts w:hint="eastAsia"/>
          <w:b/>
          <w:bCs/>
        </w:rPr>
        <w:t>第五条  货物的交付及验收</w:t>
      </w:r>
    </w:p>
    <w:p w14:paraId="575153F2">
      <w:pPr>
        <w:ind w:firstLine="420" w:firstLineChars="200"/>
      </w:pPr>
      <w:r>
        <w:rPr>
          <w:rFonts w:hint="eastAsia"/>
        </w:rPr>
        <w:t>1.交货时间及供货要求：分批次供货，按甲方采购计划规定的时间全年无休供货。产品运输由乙方负责，运输及装卸车费用由乙方承担。</w:t>
      </w:r>
    </w:p>
    <w:p w14:paraId="1E13A0DA">
      <w:pPr>
        <w:ind w:firstLine="420" w:firstLineChars="200"/>
      </w:pPr>
      <w:r>
        <w:rPr>
          <w:rFonts w:hint="eastAsia"/>
        </w:rPr>
        <w:t>地点：甲方指定地点。</w:t>
      </w:r>
    </w:p>
    <w:p w14:paraId="77D56853">
      <w:pPr>
        <w:ind w:firstLine="420" w:firstLineChars="200"/>
      </w:pPr>
      <w:r>
        <w:rPr>
          <w:rFonts w:hint="eastAsia"/>
        </w:rPr>
        <w:t>2.乙方提供不符合招标文件和本合同规定的货物，甲方有权拒绝接受。</w:t>
      </w:r>
    </w:p>
    <w:p w14:paraId="3A5C07D4">
      <w:pPr>
        <w:ind w:firstLine="420" w:firstLineChars="200"/>
      </w:pPr>
      <w:r>
        <w:rPr>
          <w:rFonts w:hint="eastAsia"/>
        </w:rPr>
        <w:t>3.甲方应当按招标文件的规定和乙方投标文件的承诺进行验收，逾期不验收的，乙方可视同验收合格。验收合格后由甲乙双方签署货物验收单并加盖甲方公章，甲乙双方各执一份。</w:t>
      </w:r>
    </w:p>
    <w:p w14:paraId="6D5A0840">
      <w:pPr>
        <w:ind w:firstLine="420" w:firstLineChars="200"/>
      </w:pPr>
      <w:r>
        <w:rPr>
          <w:rFonts w:hint="eastAsia"/>
        </w:rPr>
        <w:t>4.甲方对验收有异议的，在验收后3个日内以书面形式向乙方提出，乙方应自收到甲方书面异议后3日内及时予以解决。</w:t>
      </w:r>
    </w:p>
    <w:p w14:paraId="0B8CCBDA">
      <w:pPr>
        <w:ind w:firstLine="420" w:firstLineChars="200"/>
      </w:pPr>
      <w:r>
        <w:rPr>
          <w:rFonts w:hint="eastAsia"/>
        </w:rPr>
        <w:t>5.</w:t>
      </w:r>
      <w:r>
        <w:rPr>
          <w:rFonts w:hint="eastAsia" w:ascii="宋体" w:hAnsi="宋体" w:eastAsia="宋体" w:cs="宋体"/>
          <w:lang w:val="en-US" w:eastAsia="zh-CN" w:bidi="ar"/>
        </w:rPr>
        <w:t>乙方</w:t>
      </w:r>
      <w:r>
        <w:rPr>
          <w:rFonts w:hint="eastAsia" w:ascii="宋体" w:hAnsi="宋体" w:eastAsia="宋体" w:cs="宋体"/>
          <w:lang w:bidi="ar"/>
        </w:rPr>
        <w:t>必须提供相关供货清单（包括货物名称、数量、单价、金额等</w:t>
      </w:r>
      <w:r>
        <w:rPr>
          <w:rFonts w:hint="eastAsia" w:ascii="宋体" w:hAnsi="宋体" w:eastAsia="宋体" w:cs="宋体"/>
          <w:lang w:val="en-US" w:eastAsia="zh-CN" w:bidi="ar"/>
        </w:rPr>
        <w:t>信息</w:t>
      </w:r>
      <w:r>
        <w:rPr>
          <w:rFonts w:hint="eastAsia" w:ascii="宋体" w:hAnsi="宋体" w:eastAsia="宋体" w:cs="宋体"/>
          <w:lang w:bidi="ar"/>
        </w:rPr>
        <w:t>），以便</w:t>
      </w:r>
      <w:r>
        <w:rPr>
          <w:rFonts w:hint="eastAsia" w:ascii="宋体" w:hAnsi="宋体" w:eastAsia="宋体" w:cs="宋体"/>
          <w:lang w:val="en-US" w:eastAsia="zh-CN" w:bidi="ar"/>
        </w:rPr>
        <w:t>甲方</w:t>
      </w:r>
      <w:r>
        <w:rPr>
          <w:rFonts w:hint="eastAsia" w:ascii="宋体" w:hAnsi="宋体" w:eastAsia="宋体" w:cs="宋体"/>
          <w:lang w:bidi="ar"/>
        </w:rPr>
        <w:t>月底结算货款。</w:t>
      </w:r>
      <w:r>
        <w:rPr>
          <w:rFonts w:hint="eastAsia" w:ascii="宋体" w:hAnsi="宋体" w:eastAsia="宋体" w:cs="宋体"/>
          <w:lang w:val="en-US" w:eastAsia="zh-CN" w:bidi="ar"/>
        </w:rPr>
        <w:t>乙方</w:t>
      </w:r>
      <w:r>
        <w:rPr>
          <w:rFonts w:hint="eastAsia" w:ascii="宋体" w:hAnsi="宋体" w:eastAsia="宋体" w:cs="宋体"/>
          <w:lang w:bidi="ar"/>
        </w:rPr>
        <w:t>供货不符合要求的，</w:t>
      </w:r>
      <w:r>
        <w:rPr>
          <w:rFonts w:hint="eastAsia" w:ascii="宋体" w:hAnsi="宋体" w:eastAsia="宋体" w:cs="宋体"/>
          <w:lang w:val="en-US" w:eastAsia="zh-CN" w:bidi="ar"/>
        </w:rPr>
        <w:t>甲方</w:t>
      </w:r>
      <w:r>
        <w:rPr>
          <w:rFonts w:hint="eastAsia" w:ascii="宋体" w:hAnsi="宋体" w:eastAsia="宋体" w:cs="宋体"/>
          <w:lang w:bidi="ar"/>
        </w:rPr>
        <w:t>有权立即退货</w:t>
      </w:r>
      <w:r>
        <w:rPr>
          <w:rFonts w:hint="eastAsia" w:ascii="宋体" w:hAnsi="宋体" w:eastAsia="宋体" w:cs="宋体"/>
          <w:lang w:eastAsia="zh-CN" w:bidi="ar"/>
        </w:rPr>
        <w:t>，</w:t>
      </w:r>
      <w:r>
        <w:rPr>
          <w:rFonts w:hint="eastAsia" w:ascii="宋体" w:hAnsi="宋体" w:eastAsia="宋体" w:cs="宋体"/>
          <w:lang w:val="en-US" w:eastAsia="zh-CN" w:bidi="ar"/>
        </w:rPr>
        <w:t>乙方</w:t>
      </w:r>
      <w:r>
        <w:rPr>
          <w:rFonts w:hint="eastAsia" w:ascii="宋体" w:hAnsi="宋体" w:eastAsia="宋体" w:cs="宋体"/>
          <w:lang w:bidi="ar"/>
        </w:rPr>
        <w:t>应按</w:t>
      </w:r>
      <w:r>
        <w:rPr>
          <w:rFonts w:hint="eastAsia" w:ascii="宋体" w:hAnsi="宋体" w:eastAsia="宋体" w:cs="宋体"/>
          <w:lang w:val="en-US" w:eastAsia="zh-CN" w:bidi="ar"/>
        </w:rPr>
        <w:t>甲方</w:t>
      </w:r>
      <w:r>
        <w:rPr>
          <w:rFonts w:hint="eastAsia" w:ascii="宋体" w:hAnsi="宋体" w:eastAsia="宋体" w:cs="宋体"/>
          <w:lang w:bidi="ar"/>
        </w:rPr>
        <w:t>的要求</w:t>
      </w:r>
      <w:r>
        <w:rPr>
          <w:rFonts w:hint="eastAsia" w:ascii="宋体" w:hAnsi="宋体" w:eastAsia="宋体" w:cs="宋体"/>
          <w:lang w:val="en-US" w:eastAsia="zh-CN" w:bidi="ar"/>
        </w:rPr>
        <w:t>于</w:t>
      </w:r>
      <w:r>
        <w:rPr>
          <w:rFonts w:hint="eastAsia" w:ascii="宋体" w:hAnsi="宋体" w:eastAsia="宋体" w:cs="宋体"/>
          <w:lang w:bidi="ar"/>
        </w:rPr>
        <w:t>12小时内</w:t>
      </w:r>
      <w:r>
        <w:rPr>
          <w:rFonts w:hint="eastAsia" w:ascii="宋体" w:hAnsi="宋体" w:eastAsia="宋体" w:cs="宋体"/>
          <w:lang w:val="en-US" w:eastAsia="zh-CN" w:bidi="ar"/>
        </w:rPr>
        <w:t>更换</w:t>
      </w:r>
      <w:r>
        <w:rPr>
          <w:rFonts w:hint="eastAsia" w:ascii="宋体" w:hAnsi="宋体" w:eastAsia="宋体" w:cs="宋体"/>
          <w:lang w:bidi="ar"/>
        </w:rPr>
        <w:t>，具体</w:t>
      </w:r>
      <w:r>
        <w:rPr>
          <w:rFonts w:hint="eastAsia" w:ascii="宋体" w:hAnsi="宋体" w:eastAsia="宋体" w:cs="宋体"/>
          <w:lang w:val="en-US" w:eastAsia="zh-CN" w:bidi="ar"/>
        </w:rPr>
        <w:t>更换</w:t>
      </w:r>
      <w:r>
        <w:rPr>
          <w:rFonts w:hint="eastAsia" w:ascii="宋体" w:hAnsi="宋体" w:eastAsia="宋体" w:cs="宋体"/>
          <w:lang w:bidi="ar"/>
        </w:rPr>
        <w:t>时间以</w:t>
      </w:r>
      <w:r>
        <w:rPr>
          <w:rFonts w:hint="eastAsia" w:ascii="宋体" w:hAnsi="宋体" w:eastAsia="宋体" w:cs="宋体"/>
          <w:lang w:val="en-US" w:eastAsia="zh-CN" w:bidi="ar"/>
        </w:rPr>
        <w:t>双方</w:t>
      </w:r>
      <w:r>
        <w:rPr>
          <w:rFonts w:hint="eastAsia" w:ascii="宋体" w:hAnsi="宋体" w:eastAsia="宋体" w:cs="宋体"/>
          <w:lang w:bidi="ar"/>
        </w:rPr>
        <w:t>约定为准。</w:t>
      </w:r>
    </w:p>
    <w:p w14:paraId="28DF91B3">
      <w:pPr>
        <w:ind w:firstLine="420" w:firstLineChars="200"/>
      </w:pPr>
      <w:r>
        <w:rPr>
          <w:rFonts w:hint="eastAsia"/>
        </w:rPr>
        <w:t>6.乙方</w:t>
      </w:r>
      <w:r>
        <w:rPr>
          <w:rFonts w:hint="eastAsia"/>
          <w:lang w:eastAsia="zh-CN"/>
        </w:rPr>
        <w:t>必须安排至少2名固定配送人员及固定配送车辆长期送货，</w:t>
      </w:r>
      <w:r>
        <w:rPr>
          <w:rFonts w:hint="eastAsia"/>
          <w:lang w:eastAsia="zh-CN" w:bidi="ar"/>
        </w:rPr>
        <w:t>配送人员无犯罪记录，在办理好进入监区相关手续时提供无犯罪证明且后不得随意变动</w:t>
      </w:r>
      <w:r>
        <w:rPr>
          <w:rFonts w:hint="eastAsia"/>
          <w:lang w:eastAsia="zh-CN"/>
        </w:rPr>
        <w:t>，如临时由非固定人员或固定车辆送货，须提前取得</w:t>
      </w:r>
      <w:r>
        <w:rPr>
          <w:rFonts w:hint="eastAsia"/>
          <w:lang w:val="en-US" w:eastAsia="zh-CN"/>
        </w:rPr>
        <w:t>甲方</w:t>
      </w:r>
      <w:r>
        <w:rPr>
          <w:rFonts w:hint="eastAsia"/>
          <w:lang w:eastAsia="zh-CN"/>
        </w:rPr>
        <w:t>同意</w:t>
      </w:r>
      <w:r>
        <w:rPr>
          <w:rFonts w:hint="eastAsia"/>
        </w:rPr>
        <w:t>。</w:t>
      </w:r>
    </w:p>
    <w:p w14:paraId="4D4CD6FE">
      <w:pPr>
        <w:ind w:firstLine="420" w:firstLineChars="200"/>
      </w:pPr>
      <w:r>
        <w:rPr>
          <w:rFonts w:hint="eastAsia"/>
        </w:rPr>
        <w:t>7.</w:t>
      </w:r>
      <w:r>
        <w:rPr>
          <w:rFonts w:hint="eastAsia"/>
          <w:lang w:bidi="ar"/>
        </w:rPr>
        <w:t>交货验收必须由</w:t>
      </w:r>
      <w:r>
        <w:rPr>
          <w:rFonts w:hint="eastAsia"/>
          <w:lang w:val="en-US" w:eastAsia="zh-CN" w:bidi="ar"/>
        </w:rPr>
        <w:t>甲乙双方</w:t>
      </w:r>
      <w:r>
        <w:rPr>
          <w:rFonts w:hint="eastAsia"/>
          <w:lang w:bidi="ar"/>
        </w:rPr>
        <w:t>共同进行，</w:t>
      </w:r>
      <w:r>
        <w:rPr>
          <w:rFonts w:hint="eastAsia"/>
          <w:lang w:val="en-US" w:eastAsia="zh-CN" w:bidi="ar"/>
        </w:rPr>
        <w:t>甲方</w:t>
      </w:r>
      <w:r>
        <w:rPr>
          <w:rFonts w:hint="eastAsia"/>
          <w:lang w:bidi="ar"/>
        </w:rPr>
        <w:t>如认为有需要的，可委托相关检验部门对产品进行抽检，自检或检验部门抽检不合格的不给予验收，影响</w:t>
      </w:r>
      <w:r>
        <w:rPr>
          <w:rFonts w:hint="eastAsia"/>
          <w:lang w:val="en-US" w:eastAsia="zh-CN" w:bidi="ar"/>
        </w:rPr>
        <w:t>甲方</w:t>
      </w:r>
      <w:r>
        <w:rPr>
          <w:rFonts w:hint="eastAsia"/>
          <w:lang w:eastAsia="zh-CN" w:bidi="ar"/>
        </w:rPr>
        <w:t>工作的正常运转</w:t>
      </w:r>
      <w:r>
        <w:rPr>
          <w:rFonts w:hint="eastAsia"/>
          <w:lang w:bidi="ar"/>
        </w:rPr>
        <w:t>的将追究</w:t>
      </w:r>
      <w:r>
        <w:rPr>
          <w:rFonts w:hint="eastAsia"/>
          <w:lang w:val="en-US" w:eastAsia="zh-CN" w:bidi="ar"/>
        </w:rPr>
        <w:t>乙方</w:t>
      </w:r>
      <w:r>
        <w:rPr>
          <w:rFonts w:hint="eastAsia"/>
          <w:lang w:bidi="ar"/>
        </w:rPr>
        <w:t>相关责任，抽检所产生的费用全部由</w:t>
      </w:r>
      <w:r>
        <w:rPr>
          <w:rFonts w:hint="eastAsia"/>
          <w:lang w:val="en-US" w:eastAsia="zh-CN" w:bidi="ar"/>
        </w:rPr>
        <w:t>乙方承担</w:t>
      </w:r>
      <w:r>
        <w:rPr>
          <w:rFonts w:hint="eastAsia"/>
          <w:lang w:bidi="ar"/>
        </w:rPr>
        <w:t>。</w:t>
      </w:r>
    </w:p>
    <w:p w14:paraId="6FAE05F0">
      <w:pPr>
        <w:ind w:firstLine="420" w:firstLineChars="200"/>
      </w:pPr>
      <w:r>
        <w:rPr>
          <w:rFonts w:hint="eastAsia"/>
        </w:rPr>
        <w:t>8.验收工作的一般程序为：</w:t>
      </w:r>
      <w:r>
        <w:rPr>
          <w:rFonts w:hint="eastAsia"/>
          <w:lang w:val="en-US" w:eastAsia="zh-CN" w:bidi="ar"/>
        </w:rPr>
        <w:t>甲方</w:t>
      </w:r>
      <w:r>
        <w:rPr>
          <w:rFonts w:hint="eastAsia"/>
          <w:lang w:bidi="ar"/>
        </w:rPr>
        <w:t>应当在到货后根据货物采购清单的具体要求，对所购名称进行清点、外观检查进行实测，并逐项记录。</w:t>
      </w:r>
      <w:r>
        <w:rPr>
          <w:rFonts w:hint="eastAsia"/>
          <w:lang w:eastAsia="zh-CN" w:bidi="ar"/>
        </w:rPr>
        <w:t>经验收合格后双方签字确认</w:t>
      </w:r>
      <w:r>
        <w:rPr>
          <w:rFonts w:hint="eastAsia"/>
          <w:lang w:bidi="ar"/>
        </w:rPr>
        <w:t>。对未能通过验收的，一律退货、更换直至验收合格。</w:t>
      </w:r>
    </w:p>
    <w:p w14:paraId="07B56119">
      <w:pPr>
        <w:ind w:firstLine="422" w:firstLineChars="200"/>
        <w:rPr>
          <w:b/>
          <w:bCs/>
        </w:rPr>
      </w:pPr>
      <w:r>
        <w:rPr>
          <w:rFonts w:hint="eastAsia"/>
          <w:b/>
          <w:bCs/>
        </w:rPr>
        <w:t>第六条　付款</w:t>
      </w:r>
    </w:p>
    <w:p w14:paraId="01287D73">
      <w:pPr>
        <w:ind w:firstLine="420" w:firstLineChars="200"/>
      </w:pPr>
      <w:r>
        <w:rPr>
          <w:rFonts w:hint="eastAsia"/>
        </w:rPr>
        <w:t>1.当采购数量与实际使用数量不一致时，乙方应根据实际使用量供货，合同的最终结算金额按实际使用量</w:t>
      </w:r>
      <w:r>
        <w:rPr>
          <w:rFonts w:hint="eastAsia"/>
          <w:lang w:val="en-US" w:eastAsia="zh-CN"/>
        </w:rPr>
        <w:t>×基准单价×</w:t>
      </w:r>
      <w:r>
        <w:rPr>
          <w:rFonts w:hint="eastAsia"/>
          <w:lang w:val="en-US" w:eastAsia="zh-CN" w:bidi="ar"/>
        </w:rPr>
        <w:t>中标</w:t>
      </w:r>
      <w:r>
        <w:t>折扣系数</w:t>
      </w:r>
      <w:r>
        <w:rPr>
          <w:rFonts w:hint="eastAsia"/>
        </w:rPr>
        <w:t>进行计算。</w:t>
      </w:r>
    </w:p>
    <w:p w14:paraId="1DC0D0CC">
      <w:pPr>
        <w:ind w:firstLine="420" w:firstLineChars="200"/>
      </w:pPr>
      <w:r>
        <w:rPr>
          <w:rFonts w:hint="eastAsia"/>
        </w:rPr>
        <w:t>2.资金性质：</w:t>
      </w:r>
      <w:r>
        <w:rPr>
          <w:rFonts w:hint="eastAsia"/>
          <w:u w:val="single"/>
        </w:rPr>
        <w:t>财政资金</w:t>
      </w:r>
      <w:r>
        <w:rPr>
          <w:rFonts w:hint="eastAsia"/>
        </w:rPr>
        <w:t>。</w:t>
      </w:r>
    </w:p>
    <w:p w14:paraId="382CF491">
      <w:pPr>
        <w:ind w:firstLine="420" w:firstLineChars="200"/>
      </w:pPr>
      <w:r>
        <w:rPr>
          <w:rFonts w:hint="eastAsia"/>
        </w:rPr>
        <w:t>3.付款方式：按月结算，甲方在收到乙方上月全额发票后</w:t>
      </w:r>
      <w:r>
        <w:rPr>
          <w:rFonts w:hint="eastAsia"/>
          <w:lang w:val="en-US" w:eastAsia="zh-CN"/>
        </w:rPr>
        <w:t>15</w:t>
      </w:r>
      <w:r>
        <w:rPr>
          <w:rFonts w:hint="eastAsia"/>
        </w:rPr>
        <w:t>个工作日内向乙方一次付清上月货物的全部货款。</w:t>
      </w:r>
    </w:p>
    <w:p w14:paraId="6E92D523">
      <w:pPr>
        <w:ind w:firstLine="420" w:firstLineChars="200"/>
      </w:pPr>
      <w:r>
        <w:rPr>
          <w:rFonts w:hint="eastAsia"/>
        </w:rPr>
        <w:t>4.乙方申请付款时须提供符合要求的发票给甲方，否则甲方有权不付款，且不承担逾期付款的违约责任。乙方应当确保发票真实无误且合法有效，如发现存在虚假发票或违规发票的，乙方须赔偿甲方发票票面金额一倍的违约金，由此产生的一切损失均由乙方承担。</w:t>
      </w:r>
    </w:p>
    <w:p w14:paraId="784AD688">
      <w:pPr>
        <w:ind w:firstLine="422" w:firstLineChars="200"/>
        <w:rPr>
          <w:b/>
          <w:bCs/>
        </w:rPr>
      </w:pPr>
      <w:r>
        <w:rPr>
          <w:rFonts w:hint="eastAsia"/>
          <w:b/>
          <w:bCs/>
        </w:rPr>
        <w:t>第七条  履约保证金</w:t>
      </w:r>
    </w:p>
    <w:p w14:paraId="01689CD5">
      <w:pPr>
        <w:ind w:firstLine="420" w:firstLineChars="200"/>
      </w:pPr>
      <w:r>
        <w:rPr>
          <w:rFonts w:hint="eastAsia"/>
        </w:rPr>
        <w:t>1.中标金额的</w:t>
      </w:r>
      <w:r>
        <w:rPr>
          <w:rFonts w:hint="eastAsia"/>
          <w:u w:val="single"/>
        </w:rPr>
        <w:t xml:space="preserve"> 2  </w:t>
      </w:r>
      <w:r>
        <w:rPr>
          <w:rFonts w:hint="eastAsia"/>
        </w:rPr>
        <w:t>%，具体金额：</w:t>
      </w:r>
      <w:r>
        <w:rPr>
          <w:rFonts w:hint="eastAsia"/>
          <w:u w:val="single"/>
        </w:rPr>
        <w:t xml:space="preserve">      </w:t>
      </w:r>
      <w:r>
        <w:rPr>
          <w:rFonts w:hint="eastAsia"/>
        </w:rPr>
        <w:t>，在合同签订之前交到甲方指定账户，履约保证金在服务期限结束且最后一批货物质保期结束后，如无质量问题，由乙方向甲方提供《政府采购项目履约保证金退付意见书》及《广西壮族自治区政府采购项目合同验收书》，甲方在收到合格材料后10个工作日内退还（不计利息）。涉及违约的违约金和损失赔偿从履约保证金中扣减。</w:t>
      </w:r>
    </w:p>
    <w:p w14:paraId="228D5C04">
      <w:pPr>
        <w:ind w:firstLine="420" w:firstLineChars="200"/>
      </w:pPr>
      <w:r>
        <w:rPr>
          <w:rFonts w:hint="eastAsia"/>
        </w:rPr>
        <w:t>2.履约保证金指定账户：</w:t>
      </w:r>
    </w:p>
    <w:p w14:paraId="5F14B736">
      <w:pPr>
        <w:ind w:firstLine="420" w:firstLineChars="200"/>
        <w:rPr>
          <w:rFonts w:hint="eastAsia" w:eastAsia="宋体"/>
          <w:lang w:eastAsia="zh-CN"/>
        </w:rPr>
      </w:pPr>
      <w:r>
        <w:rPr>
          <w:rFonts w:hint="eastAsia"/>
        </w:rPr>
        <w:t>开户名称：</w:t>
      </w:r>
    </w:p>
    <w:p w14:paraId="5939385C">
      <w:pPr>
        <w:ind w:firstLine="420" w:firstLineChars="200"/>
      </w:pPr>
      <w:r>
        <w:rPr>
          <w:rFonts w:hint="eastAsia"/>
        </w:rPr>
        <w:t xml:space="preserve">开户银行： </w:t>
      </w:r>
    </w:p>
    <w:p w14:paraId="13A2A3FD">
      <w:pPr>
        <w:ind w:firstLine="420" w:firstLineChars="200"/>
      </w:pPr>
      <w:r>
        <w:rPr>
          <w:rFonts w:hint="eastAsia"/>
        </w:rPr>
        <w:t>银行账号：</w:t>
      </w:r>
    </w:p>
    <w:p w14:paraId="6045D81C">
      <w:pPr>
        <w:ind w:firstLine="422" w:firstLineChars="200"/>
        <w:rPr>
          <w:b/>
          <w:bCs/>
        </w:rPr>
      </w:pPr>
      <w:r>
        <w:rPr>
          <w:rFonts w:hint="eastAsia"/>
          <w:b/>
          <w:bCs/>
        </w:rPr>
        <w:t>第八条  价格调整</w:t>
      </w:r>
    </w:p>
    <w:p w14:paraId="0F1516A6">
      <w:pPr>
        <w:ind w:firstLine="420" w:firstLineChars="200"/>
      </w:pPr>
      <w:r>
        <w:rPr>
          <w:rFonts w:hint="eastAsia"/>
        </w:rPr>
        <w:t>1.</w:t>
      </w:r>
      <w:r>
        <w:rPr>
          <w:rFonts w:hint="eastAsia"/>
          <w:lang w:val="en-US" w:eastAsia="zh-CN" w:bidi="ar"/>
        </w:rPr>
        <w:t>结算单价</w:t>
      </w:r>
      <w:r>
        <w:rPr>
          <w:rFonts w:hint="eastAsia"/>
          <w:lang w:bidi="ar"/>
        </w:rPr>
        <w:t>=基准单价×</w:t>
      </w:r>
      <w:r>
        <w:rPr>
          <w:rFonts w:hint="eastAsia"/>
          <w:lang w:val="en-US" w:eastAsia="zh-CN" w:bidi="ar"/>
        </w:rPr>
        <w:t>中标</w:t>
      </w:r>
      <w:r>
        <w:rPr>
          <w:rFonts w:hint="eastAsia"/>
          <w:lang w:bidi="ar"/>
        </w:rPr>
        <w:t>折扣系数，签订合同当月，</w:t>
      </w:r>
      <w:r>
        <w:rPr>
          <w:rFonts w:hint="eastAsia"/>
          <w:lang w:val="en-US" w:eastAsia="zh-CN" w:bidi="ar"/>
        </w:rPr>
        <w:t>甲乙双方</w:t>
      </w:r>
      <w:r>
        <w:rPr>
          <w:rFonts w:hint="eastAsia"/>
          <w:lang w:bidi="ar"/>
        </w:rPr>
        <w:t>共同选择贵港市至少三家大型商场、市场、超市展开市场调查，选取调查的三个市场主体中货物的平均价作为基准单价。合同执行前三个月价格不变，合同执行三个月后，如果某品类物资当月市场价格在合同基准价格基础上上下浮动率≥10%时，可以进行价格调整。价格调整由</w:t>
      </w:r>
      <w:r>
        <w:rPr>
          <w:rFonts w:hint="eastAsia"/>
          <w:lang w:val="en-US" w:eastAsia="zh-CN" w:bidi="ar"/>
        </w:rPr>
        <w:t>乙方</w:t>
      </w:r>
      <w:r>
        <w:rPr>
          <w:rFonts w:hint="eastAsia"/>
          <w:lang w:bidi="ar"/>
        </w:rPr>
        <w:t>或</w:t>
      </w:r>
      <w:r>
        <w:rPr>
          <w:rFonts w:hint="eastAsia"/>
          <w:lang w:val="en-US" w:eastAsia="zh-CN" w:bidi="ar"/>
        </w:rPr>
        <w:t>甲方</w:t>
      </w:r>
      <w:r>
        <w:rPr>
          <w:rFonts w:hint="eastAsia"/>
          <w:lang w:bidi="ar"/>
        </w:rPr>
        <w:t>提出基准单价调整申请，由</w:t>
      </w:r>
      <w:r>
        <w:rPr>
          <w:rFonts w:hint="eastAsia"/>
          <w:lang w:val="en-US" w:eastAsia="zh-CN" w:bidi="ar"/>
        </w:rPr>
        <w:t>甲方</w:t>
      </w:r>
      <w:r>
        <w:rPr>
          <w:rFonts w:hint="eastAsia"/>
          <w:lang w:bidi="ar"/>
        </w:rPr>
        <w:t>面向市场主体选择贵港市3家</w:t>
      </w:r>
      <w:r>
        <w:rPr>
          <w:rFonts w:hint="eastAsia"/>
          <w:lang w:eastAsia="zh-CN" w:bidi="ar"/>
        </w:rPr>
        <w:t>（</w:t>
      </w:r>
      <w:r>
        <w:rPr>
          <w:rFonts w:hint="eastAsia"/>
          <w:lang w:val="en-US" w:eastAsia="zh-CN" w:bidi="ar"/>
        </w:rPr>
        <w:t>含</w:t>
      </w:r>
      <w:r>
        <w:rPr>
          <w:rFonts w:hint="eastAsia"/>
          <w:lang w:eastAsia="zh-CN" w:bidi="ar"/>
        </w:rPr>
        <w:t>）</w:t>
      </w:r>
      <w:r>
        <w:rPr>
          <w:rFonts w:hint="eastAsia"/>
          <w:lang w:bidi="ar"/>
        </w:rPr>
        <w:t>以上大型商场或者市场开展市场价格调查，选取调查的市场或者超市的平均</w:t>
      </w:r>
      <w:r>
        <w:rPr>
          <w:rFonts w:hint="eastAsia"/>
          <w:lang w:val="en-US" w:eastAsia="zh-CN" w:bidi="ar"/>
        </w:rPr>
        <w:t>价</w:t>
      </w:r>
      <w:r>
        <w:rPr>
          <w:rFonts w:hint="eastAsia"/>
          <w:lang w:bidi="ar"/>
        </w:rPr>
        <w:t>作为调查价格，调查结果符合调价规则的，经双方确认同意后方可调整价格。基准单价调整后，</w:t>
      </w:r>
      <w:r>
        <w:rPr>
          <w:rFonts w:hint="eastAsia"/>
          <w:lang w:val="en-US" w:eastAsia="zh-CN" w:bidi="ar"/>
        </w:rPr>
        <w:t>结算单价</w:t>
      </w:r>
      <w:r>
        <w:rPr>
          <w:rFonts w:hint="eastAsia"/>
          <w:lang w:bidi="ar"/>
        </w:rPr>
        <w:t>为变动后的基准单价×</w:t>
      </w:r>
      <w:r>
        <w:rPr>
          <w:rFonts w:hint="eastAsia"/>
          <w:lang w:val="en-US" w:eastAsia="zh-CN" w:bidi="ar"/>
        </w:rPr>
        <w:t>中标</w:t>
      </w:r>
      <w:r>
        <w:rPr>
          <w:rFonts w:hint="eastAsia"/>
          <w:lang w:bidi="ar"/>
        </w:rPr>
        <w:t>折扣系数。</w:t>
      </w:r>
    </w:p>
    <w:p w14:paraId="29EFBCCC">
      <w:pPr>
        <w:ind w:firstLine="420" w:firstLineChars="200"/>
      </w:pPr>
      <w:r>
        <w:rPr>
          <w:rFonts w:hint="eastAsia"/>
        </w:rPr>
        <w:t>2.甲方向乙方采购招标采购需求目录中没有的的货物时，双方另行协商确定价格。</w:t>
      </w:r>
    </w:p>
    <w:p w14:paraId="19E33B42">
      <w:pPr>
        <w:ind w:firstLine="422" w:firstLineChars="200"/>
        <w:rPr>
          <w:b/>
          <w:bCs/>
        </w:rPr>
      </w:pPr>
      <w:r>
        <w:rPr>
          <w:rFonts w:hint="eastAsia"/>
          <w:b/>
          <w:bCs/>
        </w:rPr>
        <w:t>第九条  税费</w:t>
      </w:r>
    </w:p>
    <w:p w14:paraId="47ADFD10">
      <w:pPr>
        <w:ind w:firstLine="420" w:firstLineChars="200"/>
      </w:pPr>
      <w:r>
        <w:rPr>
          <w:rFonts w:hint="eastAsia"/>
        </w:rPr>
        <w:t>本合同执行中相关的一切税费均由乙方负担。</w:t>
      </w:r>
    </w:p>
    <w:p w14:paraId="3C7F21D2">
      <w:pPr>
        <w:ind w:firstLine="422" w:firstLineChars="200"/>
        <w:rPr>
          <w:b/>
          <w:bCs/>
        </w:rPr>
      </w:pPr>
      <w:r>
        <w:rPr>
          <w:rFonts w:hint="eastAsia"/>
          <w:b/>
          <w:bCs/>
        </w:rPr>
        <w:t>第十条  售后服务要求</w:t>
      </w:r>
    </w:p>
    <w:p w14:paraId="67A3B4F3">
      <w:pPr>
        <w:ind w:firstLine="420" w:firstLineChars="200"/>
        <w:rPr>
          <w:rFonts w:hint="eastAsia"/>
        </w:rPr>
      </w:pPr>
      <w:r>
        <w:rPr>
          <w:rFonts w:hint="eastAsia"/>
        </w:rPr>
        <w:t>1.属于国家规定“三包”范围</w:t>
      </w:r>
      <w:r>
        <w:rPr>
          <w:rFonts w:hint="eastAsia"/>
          <w:lang w:val="en-US" w:eastAsia="zh-CN"/>
        </w:rPr>
        <w:t>乙方</w:t>
      </w:r>
      <w:r>
        <w:rPr>
          <w:rFonts w:hint="eastAsia"/>
        </w:rPr>
        <w:t>执行“三包”；</w:t>
      </w:r>
    </w:p>
    <w:p w14:paraId="2D26489E">
      <w:pPr>
        <w:ind w:firstLine="420" w:firstLineChars="200"/>
        <w:rPr>
          <w:rFonts w:hint="eastAsia"/>
        </w:rPr>
      </w:pPr>
      <w:r>
        <w:rPr>
          <w:rFonts w:hint="eastAsia"/>
        </w:rPr>
        <w:t>2.</w:t>
      </w:r>
      <w:r>
        <w:rPr>
          <w:rFonts w:hint="eastAsia"/>
          <w:lang w:val="en-US" w:eastAsia="zh-CN"/>
        </w:rPr>
        <w:t>乙方</w:t>
      </w:r>
      <w:r>
        <w:rPr>
          <w:rFonts w:hint="eastAsia"/>
        </w:rPr>
        <w:t>负责送货上门并承担相关费用；</w:t>
      </w:r>
    </w:p>
    <w:p w14:paraId="61D416C0">
      <w:pPr>
        <w:ind w:firstLine="420" w:firstLineChars="200"/>
      </w:pPr>
      <w:r>
        <w:rPr>
          <w:rFonts w:hint="eastAsia"/>
        </w:rPr>
        <w:t>3.保质保量，如在质保期内发现质量问题，</w:t>
      </w:r>
      <w:r>
        <w:rPr>
          <w:rFonts w:hint="eastAsia"/>
          <w:lang w:val="en-US" w:eastAsia="zh-CN"/>
        </w:rPr>
        <w:t>乙方</w:t>
      </w:r>
      <w:r>
        <w:rPr>
          <w:rFonts w:hint="eastAsia"/>
        </w:rPr>
        <w:t>必须在接到</w:t>
      </w:r>
      <w:r>
        <w:rPr>
          <w:rFonts w:hint="eastAsia"/>
          <w:lang w:val="en-US" w:eastAsia="zh-CN"/>
        </w:rPr>
        <w:t>甲方</w:t>
      </w:r>
      <w:r>
        <w:rPr>
          <w:rFonts w:hint="eastAsia"/>
        </w:rPr>
        <w:t>通知后1小时内到达现场处理，如确实属于质量问题的，须在12小时内更换质量不合格的食品并承担相关费用。</w:t>
      </w:r>
    </w:p>
    <w:p w14:paraId="30142880">
      <w:pPr>
        <w:ind w:firstLine="422" w:firstLineChars="200"/>
        <w:rPr>
          <w:b/>
          <w:bCs/>
        </w:rPr>
      </w:pPr>
      <w:r>
        <w:rPr>
          <w:rFonts w:hint="eastAsia"/>
          <w:b/>
          <w:bCs/>
        </w:rPr>
        <w:t>第十一条　违约责任</w:t>
      </w:r>
    </w:p>
    <w:p w14:paraId="55865E38">
      <w:pPr>
        <w:ind w:firstLine="420" w:firstLineChars="200"/>
      </w:pPr>
      <w:r>
        <w:rPr>
          <w:rFonts w:hint="eastAsia"/>
        </w:rPr>
        <w:t>1.乙方违约的，应承担相应的违约责任，且应承担甲方为维权所支出的所有费用，包括但不限于案件受理费、保全费、保全保险费、律师费等。</w:t>
      </w:r>
    </w:p>
    <w:p w14:paraId="24045C56">
      <w:pPr>
        <w:ind w:firstLine="420" w:firstLineChars="200"/>
      </w:pPr>
      <w:r>
        <w:rPr>
          <w:rFonts w:hint="eastAsia"/>
        </w:rPr>
        <w:t>2.甲方未按规定时间转结算货款的，每超一天，按逾期货款每日万分之三支付相应利息。</w:t>
      </w:r>
    </w:p>
    <w:p w14:paraId="3ED5617D">
      <w:pPr>
        <w:ind w:firstLine="420" w:firstLineChars="200"/>
        <w:rPr>
          <w:rFonts w:hint="eastAsia"/>
        </w:rPr>
      </w:pPr>
      <w:r>
        <w:rPr>
          <w:rFonts w:hint="eastAsia"/>
          <w:lang w:val="en-US" w:eastAsia="zh-CN"/>
        </w:rPr>
        <w:t>3.如甲方因不可抗力原因、上级要求需要变更或提前终止合同的，甲方提前一个月告知乙方，乙方须无条件配合，并且甲方不负变更或提前终止合同的违约责任。</w:t>
      </w:r>
    </w:p>
    <w:p w14:paraId="5DB53C2F">
      <w:pPr>
        <w:ind w:firstLine="420" w:firstLineChars="200"/>
      </w:pPr>
      <w:r>
        <w:rPr>
          <w:rFonts w:hint="eastAsia"/>
          <w:lang w:val="en-US" w:eastAsia="zh-CN"/>
        </w:rPr>
        <w:t>4</w:t>
      </w:r>
      <w:r>
        <w:rPr>
          <w:rFonts w:hint="eastAsia"/>
        </w:rPr>
        <w:t>.因天灾或不可抗力力无法履行合同的，甲方乙方均无责任。</w:t>
      </w:r>
    </w:p>
    <w:p w14:paraId="0BA47D16">
      <w:pPr>
        <w:ind w:firstLine="420" w:firstLineChars="200"/>
      </w:pPr>
      <w:r>
        <w:rPr>
          <w:rFonts w:hint="eastAsia"/>
          <w:lang w:val="en-US" w:eastAsia="zh-CN"/>
        </w:rPr>
        <w:t>5</w:t>
      </w:r>
      <w:r>
        <w:rPr>
          <w:rFonts w:hint="eastAsia"/>
        </w:rPr>
        <w:t>.其它违约行为按违约货款额 5% 收取违约金并赔偿经济损失。乙方累计发生3次违约行为或乙方因重大过错给甲方造成损失的的，甲方有权解除合同，履约保证金不予退还，且乙方应赔偿甲方损失。甲方因合同解除需重新组织采购的，在甲方确定新的供应商前，甲方有权向第三方临时采购货物，期间采购货物所增加的费用（高于原中标单价的）由乙方承担。</w:t>
      </w:r>
    </w:p>
    <w:p w14:paraId="6C4B9D69">
      <w:pPr>
        <w:ind w:firstLine="422" w:firstLineChars="200"/>
        <w:rPr>
          <w:b/>
          <w:bCs/>
        </w:rPr>
      </w:pPr>
      <w:r>
        <w:rPr>
          <w:rFonts w:hint="eastAsia"/>
          <w:b/>
          <w:bCs/>
        </w:rPr>
        <w:t>第十二条  不可抗力事件处理</w:t>
      </w:r>
    </w:p>
    <w:p w14:paraId="5614B8DE">
      <w:pPr>
        <w:ind w:firstLine="420" w:firstLineChars="200"/>
      </w:pPr>
      <w:r>
        <w:rPr>
          <w:rFonts w:hint="eastAsia"/>
        </w:rPr>
        <w:t>1.在合同有效期内，任何一方因不可抗力事件导致不能履行合同，则合同履行期可延长，其延长期与不可抗力影响期相同。</w:t>
      </w:r>
    </w:p>
    <w:p w14:paraId="1D1423CB">
      <w:pPr>
        <w:ind w:firstLine="420" w:firstLineChars="200"/>
      </w:pPr>
      <w:r>
        <w:rPr>
          <w:rFonts w:hint="eastAsia"/>
        </w:rPr>
        <w:t>2.不可抗力事件发生后，应立即通知对方，并寄送有关权威机构出具的证明。</w:t>
      </w:r>
    </w:p>
    <w:p w14:paraId="5955AB0F">
      <w:pPr>
        <w:ind w:firstLine="420" w:firstLineChars="200"/>
      </w:pPr>
      <w:r>
        <w:rPr>
          <w:rFonts w:hint="eastAsia"/>
        </w:rPr>
        <w:t>3.不可抗力事件延续一百二十天以上，双方应通过友好协商，确定是否继续履行合同。</w:t>
      </w:r>
    </w:p>
    <w:p w14:paraId="6D676F17">
      <w:pPr>
        <w:ind w:firstLine="422" w:firstLineChars="200"/>
        <w:rPr>
          <w:b/>
          <w:bCs/>
        </w:rPr>
      </w:pPr>
      <w:r>
        <w:rPr>
          <w:rFonts w:hint="eastAsia"/>
          <w:b/>
          <w:bCs/>
        </w:rPr>
        <w:t>第十三条  合同争议解决</w:t>
      </w:r>
    </w:p>
    <w:p w14:paraId="6FE25FDB">
      <w:pPr>
        <w:ind w:firstLine="420" w:firstLineChars="200"/>
      </w:pPr>
      <w:r>
        <w:rPr>
          <w:rFonts w:hint="eastAsia"/>
        </w:rPr>
        <w:t>因履行本合同引起的或与本合同有关的争议，甲乙双方应首先通过友好协商解决，如果协商不能解决，可向甲方所在地人民法院提起诉讼。</w:t>
      </w:r>
    </w:p>
    <w:p w14:paraId="3F03AFBA">
      <w:pPr>
        <w:ind w:firstLine="422" w:firstLineChars="200"/>
        <w:rPr>
          <w:b/>
          <w:bCs/>
        </w:rPr>
      </w:pPr>
      <w:r>
        <w:rPr>
          <w:rFonts w:hint="eastAsia"/>
          <w:b/>
          <w:bCs/>
        </w:rPr>
        <w:t>第十四条  合同的变更、终止与转让</w:t>
      </w:r>
    </w:p>
    <w:p w14:paraId="053E835F">
      <w:pPr>
        <w:ind w:firstLine="420" w:firstLineChars="200"/>
      </w:pPr>
      <w:r>
        <w:rPr>
          <w:rFonts w:hint="eastAsia"/>
        </w:rPr>
        <w:t>1.本合同一经签订，非因法定情形或招标文件规定、合同约定情形，甲乙双方不得擅自变更、中止或终止。</w:t>
      </w:r>
    </w:p>
    <w:p w14:paraId="314639C4">
      <w:pPr>
        <w:ind w:firstLine="420" w:firstLineChars="200"/>
      </w:pPr>
      <w:r>
        <w:rPr>
          <w:rFonts w:hint="eastAsia"/>
        </w:rPr>
        <w:t>2.未经甲方书面同意，乙方不得擅自转让（无进口资格的乙方委托进口货物除外）其应履行的合同义务。</w:t>
      </w:r>
    </w:p>
    <w:p w14:paraId="74B26673">
      <w:pPr>
        <w:ind w:firstLine="422" w:firstLineChars="200"/>
        <w:rPr>
          <w:b/>
          <w:bCs/>
        </w:rPr>
      </w:pPr>
      <w:r>
        <w:rPr>
          <w:rFonts w:hint="eastAsia"/>
          <w:b/>
          <w:bCs/>
        </w:rPr>
        <w:t>第十五条  通知与送达</w:t>
      </w:r>
    </w:p>
    <w:p w14:paraId="0F4DB8D8">
      <w:pPr>
        <w:ind w:firstLine="420" w:firstLineChars="200"/>
      </w:pPr>
      <w:r>
        <w:rPr>
          <w:rFonts w:hint="eastAsia"/>
        </w:rPr>
        <w:t>1.本协议项下对合同一方对另外一方的任何通知或请求，应当发送至接收方在合同中约定的地址、联系人和通信终端。一方当事人变更名称、地址、联系人或通信终端等信息的，应当在变更后3日内及时书面通知对方当事人，对方当事人实际收到变更通知前的送达仍为有效送达，电子送达与书面送达具有同等法律效力。</w:t>
      </w:r>
    </w:p>
    <w:p w14:paraId="36CA4465">
      <w:pPr>
        <w:ind w:firstLine="420" w:firstLineChars="200"/>
      </w:pPr>
      <w:r>
        <w:rPr>
          <w:rFonts w:hint="eastAsia"/>
        </w:rPr>
        <w:t>2.任何一方当事人向对/他方所发出的通知或请求送达时间：</w:t>
      </w:r>
    </w:p>
    <w:p w14:paraId="303209E7">
      <w:pPr>
        <w:ind w:firstLine="420" w:firstLineChars="200"/>
      </w:pPr>
      <w:r>
        <w:rPr>
          <w:rFonts w:hint="eastAsia"/>
        </w:rPr>
        <w:t>（1）如果是传真，则在发送当日视为送达；</w:t>
      </w:r>
    </w:p>
    <w:p w14:paraId="6E53A5E3">
      <w:pPr>
        <w:ind w:firstLine="420" w:firstLineChars="200"/>
      </w:pPr>
      <w:r>
        <w:rPr>
          <w:rFonts w:hint="eastAsia"/>
        </w:rPr>
        <w:t>（2）如果是短信/微信/电子邮件，自电子文件内容在发送方正确填写地址且未被系统退回的情况下，进入对方数据电文接收系统当日视为送达。</w:t>
      </w:r>
    </w:p>
    <w:p w14:paraId="383E7870">
      <w:pPr>
        <w:ind w:firstLine="420" w:firstLineChars="200"/>
      </w:pPr>
      <w:r>
        <w:rPr>
          <w:rFonts w:hint="eastAsia"/>
        </w:rPr>
        <w:t>（3）如果是信函，在挂号信交邮后第三日视为送达；</w:t>
      </w:r>
    </w:p>
    <w:p w14:paraId="0C24AFA8">
      <w:pPr>
        <w:ind w:firstLine="420" w:firstLineChars="200"/>
      </w:pPr>
      <w:r>
        <w:rPr>
          <w:rFonts w:hint="eastAsia"/>
        </w:rPr>
        <w:t>（4）如果是派人专程送达，则在收件人签收之日视为收到；</w:t>
      </w:r>
    </w:p>
    <w:p w14:paraId="114357EA">
      <w:pPr>
        <w:ind w:firstLine="420" w:firstLineChars="200"/>
      </w:pPr>
      <w:r>
        <w:rPr>
          <w:rFonts w:hint="eastAsia"/>
        </w:rPr>
        <w:t>（5）如果同时使用几种通知方式的，以其中较快到达接收方者为准。</w:t>
      </w:r>
    </w:p>
    <w:p w14:paraId="60FDDFE8">
      <w:pPr>
        <w:ind w:firstLine="420" w:firstLineChars="200"/>
      </w:pPr>
      <w:r>
        <w:rPr>
          <w:rFonts w:hint="eastAsia"/>
        </w:rPr>
        <w:t>（6）若送达日为非工作日，则视为在下一工作日送达。</w:t>
      </w:r>
    </w:p>
    <w:p w14:paraId="73C15DEB">
      <w:pPr>
        <w:ind w:firstLine="420" w:firstLineChars="200"/>
      </w:pPr>
      <w:r>
        <w:rPr>
          <w:rFonts w:hint="eastAsia"/>
        </w:rPr>
        <w:t>3.本合同约定的地址、联系人及电子通信终端等信息亦为双方工作联系往来、法律文书及争议解决时人民法院和/或仲裁机构的法律文书送达地址。人民法院和/或仲裁机构的诉讼文书（含裁判文书）向任何合同任何一方当事人的上述地址和/或工商登记公示地址（居民身份证登记地址）送达的，视为有效送达。当事人对电子通信终端的联系送达适用于争议解决时的送达。</w:t>
      </w:r>
    </w:p>
    <w:p w14:paraId="2B1A52A4">
      <w:pPr>
        <w:ind w:firstLine="420" w:firstLineChars="200"/>
      </w:pPr>
      <w:r>
        <w:rPr>
          <w:rFonts w:hint="eastAsia"/>
        </w:rPr>
        <w:t>4.合同送达条款与争议解决条款均为独立条款，不受合同整体或其他条款的效力的影响。</w:t>
      </w:r>
    </w:p>
    <w:p w14:paraId="4F2C3BCC">
      <w:pPr>
        <w:ind w:firstLine="422" w:firstLineChars="200"/>
        <w:rPr>
          <w:b/>
          <w:bCs/>
        </w:rPr>
      </w:pPr>
      <w:r>
        <w:rPr>
          <w:rFonts w:hint="eastAsia"/>
          <w:b/>
          <w:bCs/>
        </w:rPr>
        <w:t>第十六条  合同组成及相互关系</w:t>
      </w:r>
    </w:p>
    <w:p w14:paraId="2ACEB28B">
      <w:pPr>
        <w:ind w:firstLine="420" w:firstLineChars="200"/>
      </w:pPr>
      <w:r>
        <w:rPr>
          <w:rFonts w:hint="eastAsia"/>
        </w:rPr>
        <w:t xml:space="preserve">1.本合同的采购文件（含招标答疑）、符合招标要求的投标文件、中标通知书、本合同履行过程中双方签章确认的协议或其他文件均为本合同的组成部分，若合同组成文件之间发生矛盾的，以下排列顺序为合同组成文件之间的优先解释顺序： </w:t>
      </w:r>
    </w:p>
    <w:p w14:paraId="7253457A">
      <w:pPr>
        <w:ind w:firstLine="420" w:firstLineChars="200"/>
      </w:pPr>
      <w:r>
        <w:rPr>
          <w:rFonts w:hint="eastAsia"/>
        </w:rPr>
        <w:t>（1）本合同及其附件；</w:t>
      </w:r>
    </w:p>
    <w:p w14:paraId="69D17070">
      <w:pPr>
        <w:ind w:firstLine="420" w:firstLineChars="200"/>
      </w:pPr>
      <w:r>
        <w:rPr>
          <w:rFonts w:hint="eastAsia"/>
        </w:rPr>
        <w:t>（2）中标通知书；</w:t>
      </w:r>
    </w:p>
    <w:p w14:paraId="7C1DC488">
      <w:pPr>
        <w:ind w:firstLine="420" w:firstLineChars="200"/>
      </w:pPr>
      <w:r>
        <w:rPr>
          <w:rFonts w:hint="eastAsia"/>
        </w:rPr>
        <w:t>（3）符合招标要求的投标文件；</w:t>
      </w:r>
    </w:p>
    <w:p w14:paraId="54CA9805">
      <w:pPr>
        <w:ind w:firstLine="420" w:firstLineChars="200"/>
      </w:pPr>
      <w:r>
        <w:rPr>
          <w:rFonts w:hint="eastAsia"/>
        </w:rPr>
        <w:t>（4）采购文件(招标答疑)；</w:t>
      </w:r>
    </w:p>
    <w:p w14:paraId="54FD0943">
      <w:pPr>
        <w:ind w:firstLine="420" w:firstLineChars="200"/>
      </w:pPr>
      <w:r>
        <w:rPr>
          <w:rFonts w:hint="eastAsia"/>
        </w:rPr>
        <w:t>（5）标准、规范及有关技术文件；</w:t>
      </w:r>
    </w:p>
    <w:p w14:paraId="28229B65">
      <w:pPr>
        <w:ind w:firstLine="420" w:firstLineChars="200"/>
      </w:pPr>
      <w:r>
        <w:rPr>
          <w:rFonts w:hint="eastAsia"/>
        </w:rPr>
        <w:t>（6）其他合同文件。</w:t>
      </w:r>
    </w:p>
    <w:p w14:paraId="143A9F91">
      <w:pPr>
        <w:ind w:firstLine="420" w:firstLineChars="200"/>
      </w:pPr>
      <w:r>
        <w:rPr>
          <w:rFonts w:hint="eastAsia"/>
        </w:rPr>
        <w:t>2.本合同履行过程中双方签章确认的协议或其他文件均为本合同的组成部分。</w:t>
      </w:r>
    </w:p>
    <w:p w14:paraId="15F388A3">
      <w:pPr>
        <w:ind w:firstLine="420" w:firstLineChars="200"/>
      </w:pPr>
      <w:r>
        <w:rPr>
          <w:rFonts w:hint="eastAsia"/>
        </w:rPr>
        <w:t>3.前述文件应认为是互为补充和解释的，如有互相矛盾之处，以前述文件所列顺序作为其优先解释的顺序，但如果某一文件对甲方权利维护更有利或对乙方有更高、更严格要求的以该文件内容为准。</w:t>
      </w:r>
    </w:p>
    <w:p w14:paraId="76AFFF24">
      <w:pPr>
        <w:ind w:firstLine="420" w:firstLineChars="200"/>
      </w:pPr>
      <w:r>
        <w:rPr>
          <w:rFonts w:hint="eastAsia"/>
        </w:rPr>
        <w:t>4.前述各项文件包括双方就该合同组成文件所作出的补充和修改，属于同一项文件的，应以最新签署的为准。前述文件应认为是互为补充和解释的，如有互相矛盾之处，以前述文件所列顺序作为其优先解释的顺序，但如果某一文件对甲方权利维护更有利或对乙方有更高、更严格要求的以该文件内容为准。</w:t>
      </w:r>
    </w:p>
    <w:p w14:paraId="3E7DECC3">
      <w:pPr>
        <w:ind w:firstLine="420" w:firstLineChars="200"/>
      </w:pPr>
      <w:r>
        <w:rPr>
          <w:rFonts w:hint="eastAsia"/>
        </w:rPr>
        <w:t>5.前述各项文件包括双方就该合同组成文件所作出的补充和修改，属于同一项文件的，应以最新签署的为准。</w:t>
      </w:r>
    </w:p>
    <w:p w14:paraId="09D513EA">
      <w:pPr>
        <w:ind w:firstLine="422" w:firstLineChars="200"/>
        <w:rPr>
          <w:b/>
          <w:bCs/>
        </w:rPr>
      </w:pPr>
      <w:r>
        <w:rPr>
          <w:rFonts w:hint="eastAsia"/>
          <w:b/>
          <w:bCs/>
        </w:rPr>
        <w:t>第十七条　合同生效及其它</w:t>
      </w:r>
    </w:p>
    <w:p w14:paraId="2BDC8110">
      <w:pPr>
        <w:ind w:firstLine="420" w:firstLineChars="200"/>
      </w:pPr>
      <w:r>
        <w:rPr>
          <w:rFonts w:hint="eastAsia"/>
        </w:rPr>
        <w:t>1.合同经双方法定代表人或授权代表签字并加盖单位公章后生效。本合同一式五份，具有同等法律效力。采购代理机构各一份，甲方三份，乙方一份。</w:t>
      </w:r>
    </w:p>
    <w:p w14:paraId="6D7E21B5">
      <w:pPr>
        <w:ind w:firstLine="420" w:firstLineChars="200"/>
      </w:pPr>
      <w:r>
        <w:rPr>
          <w:rFonts w:hint="eastAsia"/>
        </w:rPr>
        <w:t>2.合同执行中涉及采购资金和采购内容修改或补充的，须经财政部门审批，并签书面补充协议报财政部门备案，方可作为主合同不可分割的一部分。</w:t>
      </w:r>
    </w:p>
    <w:p w14:paraId="1134768A">
      <w:pPr>
        <w:ind w:firstLine="420" w:firstLineChars="200"/>
      </w:pPr>
      <w:r>
        <w:rPr>
          <w:rFonts w:hint="eastAsia"/>
        </w:rPr>
        <w:t>3.本合同未尽事宜，遵照《中华人民共和国民法典》有关条文执行。</w:t>
      </w:r>
    </w:p>
    <w:tbl>
      <w:tblPr>
        <w:tblStyle w:val="5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4673"/>
      </w:tblGrid>
      <w:tr w14:paraId="2598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2500" w:type="pct"/>
            <w:vAlign w:val="center"/>
          </w:tcPr>
          <w:p w14:paraId="62CBF904">
            <w:r>
              <w:rPr>
                <w:rFonts w:hint="eastAsia"/>
              </w:rPr>
              <w:t xml:space="preserve">甲方（章）           </w:t>
            </w:r>
          </w:p>
          <w:p w14:paraId="0EE94DE1"/>
          <w:p w14:paraId="52BEEFF4"/>
          <w:p w14:paraId="19803043">
            <w:r>
              <w:rPr>
                <w:rFonts w:hint="eastAsia"/>
              </w:rPr>
              <w:t>年   月   日</w:t>
            </w:r>
          </w:p>
        </w:tc>
        <w:tc>
          <w:tcPr>
            <w:tcW w:w="2500" w:type="pct"/>
            <w:vAlign w:val="center"/>
          </w:tcPr>
          <w:p w14:paraId="780CAFA8">
            <w:r>
              <w:rPr>
                <w:rFonts w:hint="eastAsia"/>
              </w:rPr>
              <w:t xml:space="preserve">乙方（章）   </w:t>
            </w:r>
          </w:p>
          <w:p w14:paraId="462623D2"/>
          <w:p w14:paraId="7782E25D"/>
          <w:p w14:paraId="2FE72114">
            <w:r>
              <w:rPr>
                <w:rFonts w:hint="eastAsia"/>
              </w:rPr>
              <w:t xml:space="preserve"> 年   月   日</w:t>
            </w:r>
          </w:p>
        </w:tc>
      </w:tr>
      <w:tr w14:paraId="7A86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500" w:type="pct"/>
            <w:vAlign w:val="center"/>
          </w:tcPr>
          <w:p w14:paraId="5D48DD73">
            <w:r>
              <w:rPr>
                <w:rFonts w:hint="eastAsia"/>
              </w:rPr>
              <w:t>单位地址：</w:t>
            </w:r>
          </w:p>
        </w:tc>
        <w:tc>
          <w:tcPr>
            <w:tcW w:w="2500" w:type="pct"/>
            <w:vAlign w:val="center"/>
          </w:tcPr>
          <w:p w14:paraId="27EE7D40">
            <w:r>
              <w:rPr>
                <w:rFonts w:hint="eastAsia"/>
              </w:rPr>
              <w:t xml:space="preserve">单位地址： </w:t>
            </w:r>
          </w:p>
        </w:tc>
      </w:tr>
      <w:tr w14:paraId="6BC6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2500" w:type="pct"/>
            <w:vAlign w:val="center"/>
          </w:tcPr>
          <w:p w14:paraId="51AD7FF9">
            <w:r>
              <w:rPr>
                <w:rFonts w:hint="eastAsia"/>
              </w:rPr>
              <w:t>法定代表人：</w:t>
            </w:r>
          </w:p>
        </w:tc>
        <w:tc>
          <w:tcPr>
            <w:tcW w:w="2500" w:type="pct"/>
            <w:vAlign w:val="center"/>
          </w:tcPr>
          <w:p w14:paraId="3CCB2D11">
            <w:r>
              <w:rPr>
                <w:rFonts w:hint="eastAsia"/>
              </w:rPr>
              <w:t>法定代表人：</w:t>
            </w:r>
          </w:p>
        </w:tc>
      </w:tr>
      <w:tr w14:paraId="08CD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2500" w:type="pct"/>
            <w:vAlign w:val="center"/>
          </w:tcPr>
          <w:p w14:paraId="7669ECAD">
            <w:r>
              <w:rPr>
                <w:rFonts w:hint="eastAsia"/>
              </w:rPr>
              <w:t>委托代理人：</w:t>
            </w:r>
          </w:p>
        </w:tc>
        <w:tc>
          <w:tcPr>
            <w:tcW w:w="2500" w:type="pct"/>
            <w:vAlign w:val="center"/>
          </w:tcPr>
          <w:p w14:paraId="59EF64C1">
            <w:r>
              <w:rPr>
                <w:rFonts w:hint="eastAsia"/>
              </w:rPr>
              <w:t>委托代理人</w:t>
            </w:r>
          </w:p>
        </w:tc>
      </w:tr>
      <w:tr w14:paraId="1455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500" w:type="pct"/>
            <w:vAlign w:val="center"/>
          </w:tcPr>
          <w:p w14:paraId="1CCD15D9">
            <w:r>
              <w:rPr>
                <w:rFonts w:hint="eastAsia"/>
              </w:rPr>
              <w:t>电话：</w:t>
            </w:r>
          </w:p>
        </w:tc>
        <w:tc>
          <w:tcPr>
            <w:tcW w:w="2500" w:type="pct"/>
            <w:vAlign w:val="center"/>
          </w:tcPr>
          <w:p w14:paraId="5395A4D8">
            <w:r>
              <w:rPr>
                <w:rFonts w:hint="eastAsia"/>
              </w:rPr>
              <w:t>电话：</w:t>
            </w:r>
          </w:p>
        </w:tc>
      </w:tr>
      <w:tr w14:paraId="6CF6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500" w:type="pct"/>
            <w:vAlign w:val="center"/>
          </w:tcPr>
          <w:p w14:paraId="75480215">
            <w:r>
              <w:rPr>
                <w:rFonts w:hint="eastAsia"/>
              </w:rPr>
              <w:t>电子邮箱：</w:t>
            </w:r>
          </w:p>
        </w:tc>
        <w:tc>
          <w:tcPr>
            <w:tcW w:w="2500" w:type="pct"/>
            <w:vAlign w:val="center"/>
          </w:tcPr>
          <w:p w14:paraId="18F33F09">
            <w:r>
              <w:rPr>
                <w:rFonts w:hint="eastAsia"/>
              </w:rPr>
              <w:t>电子邮箱：</w:t>
            </w:r>
          </w:p>
        </w:tc>
      </w:tr>
      <w:tr w14:paraId="39E6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500" w:type="pct"/>
            <w:vAlign w:val="center"/>
          </w:tcPr>
          <w:p w14:paraId="26B5F283">
            <w:r>
              <w:rPr>
                <w:rFonts w:hint="eastAsia"/>
              </w:rPr>
              <w:t>开户银行：</w:t>
            </w:r>
            <w:r>
              <w:t xml:space="preserve"> </w:t>
            </w:r>
          </w:p>
        </w:tc>
        <w:tc>
          <w:tcPr>
            <w:tcW w:w="2500" w:type="pct"/>
            <w:vAlign w:val="center"/>
          </w:tcPr>
          <w:p w14:paraId="4861BBB7">
            <w:r>
              <w:rPr>
                <w:rFonts w:hint="eastAsia"/>
              </w:rPr>
              <w:t xml:space="preserve">开户银行： </w:t>
            </w:r>
          </w:p>
        </w:tc>
      </w:tr>
      <w:tr w14:paraId="4C1B9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500" w:type="pct"/>
            <w:vAlign w:val="center"/>
          </w:tcPr>
          <w:p w14:paraId="69D36A41">
            <w:r>
              <w:rPr>
                <w:rFonts w:hint="eastAsia"/>
              </w:rPr>
              <w:t>账号：</w:t>
            </w:r>
          </w:p>
        </w:tc>
        <w:tc>
          <w:tcPr>
            <w:tcW w:w="2500" w:type="pct"/>
            <w:vAlign w:val="center"/>
          </w:tcPr>
          <w:p w14:paraId="62B153EF">
            <w:r>
              <w:rPr>
                <w:rFonts w:hint="eastAsia"/>
              </w:rPr>
              <w:t>账号：</w:t>
            </w:r>
          </w:p>
        </w:tc>
      </w:tr>
      <w:tr w14:paraId="3CB8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500" w:type="pct"/>
            <w:vAlign w:val="center"/>
          </w:tcPr>
          <w:p w14:paraId="65310903">
            <w:r>
              <w:rPr>
                <w:rFonts w:hint="eastAsia"/>
              </w:rPr>
              <w:t>纳税人识别号或统一社会信用代码：</w:t>
            </w:r>
          </w:p>
          <w:p w14:paraId="093DB8D5"/>
        </w:tc>
        <w:tc>
          <w:tcPr>
            <w:tcW w:w="2500" w:type="pct"/>
            <w:vAlign w:val="center"/>
          </w:tcPr>
          <w:p w14:paraId="34A44288">
            <w:r>
              <w:rPr>
                <w:rFonts w:hint="eastAsia"/>
              </w:rPr>
              <w:t>纳税人识别号或统一社会信用代码：</w:t>
            </w:r>
          </w:p>
          <w:p w14:paraId="31D11569"/>
        </w:tc>
      </w:tr>
      <w:tr w14:paraId="6E48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500" w:type="pct"/>
            <w:vAlign w:val="center"/>
          </w:tcPr>
          <w:p w14:paraId="05BD1A81">
            <w:r>
              <w:rPr>
                <w:rFonts w:hint="eastAsia"/>
              </w:rPr>
              <w:t>邮政编码：</w:t>
            </w:r>
          </w:p>
        </w:tc>
        <w:tc>
          <w:tcPr>
            <w:tcW w:w="2500" w:type="pct"/>
            <w:vAlign w:val="center"/>
          </w:tcPr>
          <w:p w14:paraId="3C5EEDAC">
            <w:r>
              <w:rPr>
                <w:rFonts w:hint="eastAsia"/>
              </w:rPr>
              <w:t>邮政编码：</w:t>
            </w:r>
          </w:p>
        </w:tc>
      </w:tr>
    </w:tbl>
    <w:p w14:paraId="0DBA541E">
      <w:pPr>
        <w:pStyle w:val="27"/>
      </w:pPr>
    </w:p>
    <w:p w14:paraId="2405F721">
      <w:r>
        <w:br w:type="page"/>
      </w:r>
    </w:p>
    <w:p w14:paraId="11375588">
      <w:pPr>
        <w:rPr>
          <w:b/>
          <w:bCs/>
        </w:rPr>
      </w:pPr>
      <w:r>
        <w:rPr>
          <w:b/>
          <w:bCs/>
        </w:rPr>
        <w:t>合同附件1</w:t>
      </w:r>
    </w:p>
    <w:p w14:paraId="0E08404E">
      <w:pPr>
        <w:jc w:val="center"/>
        <w:rPr>
          <w:b/>
          <w:bCs/>
        </w:rPr>
      </w:pPr>
      <w:r>
        <w:rPr>
          <w:b/>
          <w:bCs/>
        </w:rPr>
        <w:t>政府采购项目履约保证金退付意见书</w:t>
      </w:r>
    </w:p>
    <w:p w14:paraId="05342AFF"/>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45EE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008" w:type="dxa"/>
            <w:vMerge w:val="restart"/>
            <w:vAlign w:val="center"/>
          </w:tcPr>
          <w:p w14:paraId="41933971">
            <w:pPr>
              <w:jc w:val="center"/>
            </w:pPr>
            <w:r>
              <w:t>供</w:t>
            </w:r>
          </w:p>
          <w:p w14:paraId="6A6AED5C">
            <w:pPr>
              <w:jc w:val="center"/>
            </w:pPr>
            <w:r>
              <w:t>应</w:t>
            </w:r>
          </w:p>
          <w:p w14:paraId="075D0E14">
            <w:pPr>
              <w:jc w:val="center"/>
            </w:pPr>
            <w:r>
              <w:t>商</w:t>
            </w:r>
          </w:p>
          <w:p w14:paraId="1CF3F052">
            <w:pPr>
              <w:jc w:val="center"/>
            </w:pPr>
            <w:r>
              <w:t>申</w:t>
            </w:r>
          </w:p>
          <w:p w14:paraId="2FBCDBC2">
            <w:pPr>
              <w:jc w:val="center"/>
            </w:pPr>
            <w:r>
              <w:t>请</w:t>
            </w:r>
          </w:p>
        </w:tc>
        <w:tc>
          <w:tcPr>
            <w:tcW w:w="8640" w:type="dxa"/>
            <w:vAlign w:val="center"/>
          </w:tcPr>
          <w:p w14:paraId="125C252A">
            <w:r>
              <w:t>项目编号：</w:t>
            </w:r>
          </w:p>
        </w:tc>
      </w:tr>
      <w:tr w14:paraId="2AA6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008" w:type="dxa"/>
            <w:vMerge w:val="continue"/>
            <w:vAlign w:val="center"/>
          </w:tcPr>
          <w:p w14:paraId="33904F68">
            <w:pPr>
              <w:jc w:val="center"/>
            </w:pPr>
          </w:p>
        </w:tc>
        <w:tc>
          <w:tcPr>
            <w:tcW w:w="8640" w:type="dxa"/>
            <w:vAlign w:val="center"/>
          </w:tcPr>
          <w:p w14:paraId="01E12D9C">
            <w:r>
              <w:t>项目名称：</w:t>
            </w:r>
          </w:p>
        </w:tc>
      </w:tr>
      <w:tr w14:paraId="4DAB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vMerge w:val="continue"/>
          </w:tcPr>
          <w:p w14:paraId="133A5FA6">
            <w:pPr>
              <w:jc w:val="center"/>
            </w:pPr>
          </w:p>
        </w:tc>
        <w:tc>
          <w:tcPr>
            <w:tcW w:w="8640" w:type="dxa"/>
            <w:vAlign w:val="center"/>
          </w:tcPr>
          <w:p w14:paraId="657F31E2">
            <w:r>
              <w:t xml:space="preserve">  </w:t>
            </w:r>
          </w:p>
          <w:p w14:paraId="5F987211">
            <w:pPr>
              <w:ind w:firstLine="420" w:firstLineChars="200"/>
            </w:pPr>
            <w:r>
              <w:t>该项目已于</w:t>
            </w:r>
            <w:r>
              <w:rPr>
                <w:u w:val="single"/>
              </w:rPr>
              <w:t xml:space="preserve">       </w:t>
            </w:r>
            <w:r>
              <w:t>年</w:t>
            </w:r>
            <w:r>
              <w:rPr>
                <w:u w:val="single"/>
              </w:rPr>
              <w:t xml:space="preserve">     </w:t>
            </w:r>
            <w:r>
              <w:t>月</w:t>
            </w:r>
            <w:r>
              <w:rPr>
                <w:u w:val="single"/>
              </w:rPr>
              <w:t xml:space="preserve">     </w:t>
            </w:r>
            <w:r>
              <w:t>日验收并交付使用。根据合同规定，该项目的履约保证金期限于</w:t>
            </w:r>
            <w:r>
              <w:rPr>
                <w:u w:val="single"/>
              </w:rPr>
              <w:t xml:space="preserve">         </w:t>
            </w:r>
            <w:r>
              <w:t>年</w:t>
            </w:r>
            <w:r>
              <w:rPr>
                <w:u w:val="single"/>
              </w:rPr>
              <w:t xml:space="preserve">      </w:t>
            </w:r>
            <w:r>
              <w:t>月</w:t>
            </w:r>
            <w:r>
              <w:rPr>
                <w:u w:val="single"/>
              </w:rPr>
              <w:t xml:space="preserve">       </w:t>
            </w:r>
            <w:r>
              <w:t>日已满，请将履约保证金</w:t>
            </w:r>
          </w:p>
          <w:p w14:paraId="59D2D31E">
            <w:r>
              <w:rPr>
                <w:u w:val="single"/>
              </w:rPr>
              <w:t xml:space="preserve">                                  </w:t>
            </w:r>
            <w:r>
              <w:t>（大写）¥</w:t>
            </w:r>
            <w:r>
              <w:rPr>
                <w:u w:val="single"/>
              </w:rPr>
              <w:t xml:space="preserve">          </w:t>
            </w:r>
            <w:r>
              <w:t>（小写）退付到达以下账户。</w:t>
            </w:r>
          </w:p>
          <w:p w14:paraId="452806A7">
            <w:pPr>
              <w:ind w:firstLine="420" w:firstLineChars="200"/>
            </w:pPr>
            <w:r>
              <w:t>单位名称：</w:t>
            </w:r>
          </w:p>
          <w:p w14:paraId="0C297436">
            <w:pPr>
              <w:ind w:firstLine="420" w:firstLineChars="200"/>
            </w:pPr>
            <w:r>
              <w:t>开户银行：</w:t>
            </w:r>
          </w:p>
          <w:p w14:paraId="11C86D62">
            <w:pPr>
              <w:ind w:firstLine="420" w:firstLineChars="200"/>
            </w:pPr>
            <w:r>
              <w:t>账   号：</w:t>
            </w:r>
          </w:p>
          <w:p w14:paraId="069DDE35">
            <w:r>
              <w:t>联系人及电话：</w:t>
            </w:r>
          </w:p>
          <w:p w14:paraId="460FA576"/>
          <w:p w14:paraId="14C1E9FB">
            <w:r>
              <w:t xml:space="preserve">                                     供应商</w:t>
            </w:r>
            <w:r>
              <w:rPr>
                <w:rFonts w:hint="eastAsia"/>
              </w:rPr>
              <w:t>公</w:t>
            </w:r>
            <w:r>
              <w:t>章：</w:t>
            </w:r>
          </w:p>
          <w:p w14:paraId="5A79EFF4">
            <w:r>
              <w:t xml:space="preserve">                           年    月     日</w:t>
            </w:r>
          </w:p>
        </w:tc>
      </w:tr>
      <w:tr w14:paraId="68F4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4E09184E">
            <w:pPr>
              <w:jc w:val="center"/>
            </w:pPr>
            <w:r>
              <w:t>采</w:t>
            </w:r>
          </w:p>
          <w:p w14:paraId="4AF6A818">
            <w:pPr>
              <w:jc w:val="center"/>
            </w:pPr>
            <w:r>
              <w:t>购</w:t>
            </w:r>
          </w:p>
          <w:p w14:paraId="7CE7B706">
            <w:pPr>
              <w:jc w:val="center"/>
            </w:pPr>
            <w:r>
              <w:t>单</w:t>
            </w:r>
          </w:p>
          <w:p w14:paraId="60CD12CF">
            <w:pPr>
              <w:jc w:val="center"/>
            </w:pPr>
            <w:r>
              <w:t>位</w:t>
            </w:r>
          </w:p>
          <w:p w14:paraId="71A7A3B1">
            <w:pPr>
              <w:jc w:val="center"/>
            </w:pPr>
            <w:r>
              <w:t>意</w:t>
            </w:r>
          </w:p>
          <w:p w14:paraId="2D5594DF">
            <w:pPr>
              <w:jc w:val="center"/>
            </w:pPr>
            <w:r>
              <w:t>见</w:t>
            </w:r>
          </w:p>
        </w:tc>
        <w:tc>
          <w:tcPr>
            <w:tcW w:w="8640" w:type="dxa"/>
            <w:vAlign w:val="center"/>
          </w:tcPr>
          <w:p w14:paraId="0FB90E31"/>
          <w:p w14:paraId="5DD52B96">
            <w:r>
              <w:t>退付意见：是否同意退付履约保证金及退付金额：</w:t>
            </w:r>
          </w:p>
          <w:p w14:paraId="0CAC0168"/>
          <w:p w14:paraId="40A24D77"/>
          <w:p w14:paraId="25BC8DA0">
            <w:r>
              <w:t>联系人及电话：                                 采购单位</w:t>
            </w:r>
            <w:r>
              <w:rPr>
                <w:rFonts w:hint="eastAsia"/>
              </w:rPr>
              <w:t>公</w:t>
            </w:r>
            <w:r>
              <w:t>章</w:t>
            </w:r>
          </w:p>
          <w:p w14:paraId="7965EAEF">
            <w:r>
              <w:t xml:space="preserve">                                        年    月     日</w:t>
            </w:r>
          </w:p>
        </w:tc>
      </w:tr>
      <w:tr w14:paraId="45C8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716C8C44">
            <w:pPr>
              <w:jc w:val="center"/>
            </w:pPr>
            <w:r>
              <w:t>财</w:t>
            </w:r>
          </w:p>
          <w:p w14:paraId="66FA6543">
            <w:pPr>
              <w:jc w:val="center"/>
            </w:pPr>
            <w:r>
              <w:t>务</w:t>
            </w:r>
          </w:p>
          <w:p w14:paraId="006209F1">
            <w:pPr>
              <w:jc w:val="center"/>
            </w:pPr>
            <w:r>
              <w:t>部</w:t>
            </w:r>
          </w:p>
          <w:p w14:paraId="21BABC17">
            <w:pPr>
              <w:jc w:val="center"/>
            </w:pPr>
            <w:r>
              <w:t>门</w:t>
            </w:r>
          </w:p>
          <w:p w14:paraId="3462B60B">
            <w:pPr>
              <w:jc w:val="center"/>
            </w:pPr>
            <w:r>
              <w:t>意</w:t>
            </w:r>
          </w:p>
          <w:p w14:paraId="7E6B7BD3">
            <w:pPr>
              <w:jc w:val="center"/>
            </w:pPr>
            <w:r>
              <w:t>见</w:t>
            </w:r>
          </w:p>
        </w:tc>
        <w:tc>
          <w:tcPr>
            <w:tcW w:w="8640" w:type="dxa"/>
            <w:vAlign w:val="center"/>
          </w:tcPr>
          <w:p w14:paraId="79FC87FE">
            <w:r>
              <w:t>此表于</w:t>
            </w:r>
            <w:r>
              <w:rPr>
                <w:u w:val="single"/>
              </w:rPr>
              <w:t xml:space="preserve">     </w:t>
            </w:r>
            <w:r>
              <w:t>年</w:t>
            </w:r>
            <w:r>
              <w:rPr>
                <w:u w:val="single"/>
              </w:rPr>
              <w:t xml:space="preserve">    </w:t>
            </w:r>
            <w:r>
              <w:t xml:space="preserve"> 月 </w:t>
            </w:r>
            <w:r>
              <w:rPr>
                <w:u w:val="single"/>
              </w:rPr>
              <w:t xml:space="preserve">   </w:t>
            </w:r>
            <w:r>
              <w:t xml:space="preserve"> 日收到。</w:t>
            </w:r>
          </w:p>
          <w:p w14:paraId="7DBE267D">
            <w:r>
              <w:t>会计审核：</w:t>
            </w:r>
          </w:p>
          <w:p w14:paraId="00B34929">
            <w:r>
              <w:t>财务负责人审核：</w:t>
            </w:r>
          </w:p>
          <w:p w14:paraId="74CB3AB5">
            <w:r>
              <w:t>单位负责人签字：</w:t>
            </w:r>
          </w:p>
          <w:p w14:paraId="74814416">
            <w:r>
              <w:t>出纳办理转账日期：</w:t>
            </w:r>
          </w:p>
        </w:tc>
      </w:tr>
    </w:tbl>
    <w:p w14:paraId="07F2E17F">
      <w:pPr>
        <w:pStyle w:val="2"/>
      </w:pPr>
      <w:r>
        <w:rPr>
          <w:b/>
          <w:bCs/>
          <w:sz w:val="21"/>
        </w:rPr>
        <w:t>注：供应商凭经采购单位审批的退付意见书到相关财务部办理履约保证金退付事宜。</w:t>
      </w:r>
    </w:p>
    <w:p w14:paraId="4DA8D139">
      <w:r>
        <w:br w:type="page"/>
      </w:r>
    </w:p>
    <w:p w14:paraId="4536E346">
      <w:pPr>
        <w:rPr>
          <w:b/>
          <w:bCs/>
        </w:rPr>
      </w:pPr>
      <w:r>
        <w:rPr>
          <w:b/>
          <w:bCs/>
        </w:rPr>
        <w:t>合同附件2</w:t>
      </w:r>
    </w:p>
    <w:p w14:paraId="0981E1A3">
      <w:bookmarkStart w:id="97" w:name="_Hlk80978015"/>
    </w:p>
    <w:p w14:paraId="62FA05DB">
      <w:pPr>
        <w:jc w:val="center"/>
        <w:rPr>
          <w:b/>
          <w:bCs/>
        </w:rPr>
      </w:pPr>
      <w:bookmarkStart w:id="98" w:name="_Hlk77607667"/>
      <w:r>
        <w:rPr>
          <w:b/>
          <w:bCs/>
        </w:rPr>
        <w:t>履约</w:t>
      </w:r>
      <w:r>
        <w:rPr>
          <w:rFonts w:hint="eastAsia"/>
          <w:b/>
          <w:bCs/>
        </w:rPr>
        <w:t>验收方案</w:t>
      </w:r>
    </w:p>
    <w:p w14:paraId="7EE7CB2E"/>
    <w:p w14:paraId="486834E8">
      <w:pPr>
        <w:pStyle w:val="27"/>
        <w:jc w:val="center"/>
        <w:rPr>
          <w:rFonts w:ascii="Times New Roman" w:hAnsi="Times New Roman" w:cs="Times New Roman"/>
          <w:b/>
          <w:bCs/>
        </w:rPr>
      </w:pPr>
      <w:bookmarkStart w:id="99" w:name="_Hlk77607077"/>
      <w:r>
        <w:rPr>
          <w:rFonts w:hint="eastAsia"/>
          <w:b/>
          <w:bCs/>
        </w:rPr>
        <w:t>【备注：本方案除无法确定的内容外，所有选项必须选择，所有空格必须填写内容】</w:t>
      </w:r>
    </w:p>
    <w:bookmarkEnd w:id="99"/>
    <w:p w14:paraId="751FD316">
      <w:pPr>
        <w:pStyle w:val="210"/>
        <w:ind w:firstLine="560"/>
      </w:pPr>
    </w:p>
    <w:p w14:paraId="0D47025D">
      <w:pPr>
        <w:ind w:firstLine="422" w:firstLineChars="200"/>
        <w:rPr>
          <w:b/>
          <w:bCs/>
        </w:rPr>
      </w:pPr>
      <w:r>
        <w:rPr>
          <w:rFonts w:hint="eastAsia"/>
          <w:b/>
          <w:bCs/>
        </w:rPr>
        <w:t>1.履约验收工作参加人员</w:t>
      </w:r>
    </w:p>
    <w:p w14:paraId="74E22CB8">
      <w:pPr>
        <w:ind w:firstLine="422" w:firstLineChars="200"/>
        <w:rPr>
          <w:b/>
          <w:bCs/>
        </w:rPr>
      </w:pPr>
      <w:r>
        <w:rPr>
          <w:rFonts w:hint="eastAsia"/>
          <w:b/>
          <w:bCs/>
        </w:rPr>
        <w:t>1.1履约验收主体单位</w:t>
      </w:r>
    </w:p>
    <w:p w14:paraId="58BCD7E3">
      <w:pPr>
        <w:ind w:firstLine="420" w:firstLineChars="200"/>
      </w:pPr>
      <w:r>
        <w:rPr>
          <w:rFonts w:hint="eastAsia"/>
        </w:rPr>
        <w:t>采购人或采购人委托的机构（如委托第三方机构签订，应注明收费方式）</w:t>
      </w:r>
    </w:p>
    <w:p w14:paraId="4DA573E9">
      <w:pPr>
        <w:ind w:firstLine="422" w:firstLineChars="200"/>
        <w:rPr>
          <w:b/>
          <w:bCs/>
        </w:rPr>
      </w:pPr>
      <w:r>
        <w:rPr>
          <w:rFonts w:hint="eastAsia"/>
          <w:b/>
          <w:bCs/>
        </w:rPr>
        <w:t>1.2履约验收参加人员</w:t>
      </w:r>
    </w:p>
    <w:p w14:paraId="07A4756E">
      <w:pPr>
        <w:ind w:firstLine="420" w:firstLineChars="200"/>
      </w:pPr>
      <w:r>
        <w:rPr>
          <w:rFonts w:hint="eastAsia"/>
        </w:rPr>
        <w:t>采购人代表、委托机构代表、成交供应商代表及采购人邀请的其他人员</w:t>
      </w:r>
    </w:p>
    <w:p w14:paraId="7207803E">
      <w:pPr>
        <w:ind w:firstLine="422" w:firstLineChars="200"/>
        <w:rPr>
          <w:b/>
          <w:bCs/>
        </w:rPr>
      </w:pPr>
      <w:r>
        <w:rPr>
          <w:rFonts w:hint="eastAsia"/>
          <w:b/>
          <w:bCs/>
        </w:rPr>
        <w:t>2.履约验收时间</w:t>
      </w:r>
    </w:p>
    <w:p w14:paraId="5E6ED415">
      <w:pPr>
        <w:ind w:firstLine="420" w:firstLineChars="200"/>
      </w:pPr>
      <w:r>
        <w:rPr>
          <w:rFonts w:hint="eastAsia"/>
        </w:rPr>
        <w:t>20XX年XX月XX日</w:t>
      </w:r>
    </w:p>
    <w:p w14:paraId="1EE4D73D">
      <w:pPr>
        <w:ind w:firstLine="422" w:firstLineChars="200"/>
        <w:rPr>
          <w:b/>
          <w:bCs/>
        </w:rPr>
      </w:pPr>
      <w:r>
        <w:rPr>
          <w:rFonts w:hint="eastAsia"/>
          <w:b/>
          <w:bCs/>
        </w:rPr>
        <w:t>3.履约验收地点</w:t>
      </w:r>
    </w:p>
    <w:p w14:paraId="6B1EDCCF">
      <w:pPr>
        <w:ind w:firstLine="420" w:firstLineChars="200"/>
      </w:pPr>
      <w:r>
        <w:rPr>
          <w:rFonts w:hint="eastAsia"/>
        </w:rPr>
        <w:t>XX市XX区XX路XX号</w:t>
      </w:r>
    </w:p>
    <w:p w14:paraId="792DF90B">
      <w:pPr>
        <w:ind w:firstLine="422" w:firstLineChars="200"/>
        <w:rPr>
          <w:b/>
          <w:bCs/>
        </w:rPr>
      </w:pPr>
      <w:r>
        <w:rPr>
          <w:rFonts w:hint="eastAsia"/>
          <w:b/>
          <w:bCs/>
        </w:rPr>
        <w:t>4.履约验收方式</w:t>
      </w:r>
    </w:p>
    <w:p w14:paraId="68D40B2F">
      <w:pPr>
        <w:ind w:firstLine="420" w:firstLineChars="200"/>
      </w:pPr>
      <w:r>
        <w:rPr>
          <w:rFonts w:hint="eastAsia"/>
        </w:rPr>
        <w:t>采购人自行验收</w:t>
      </w:r>
    </w:p>
    <w:p w14:paraId="4EC10344">
      <w:pPr>
        <w:ind w:firstLine="422" w:firstLineChars="200"/>
        <w:rPr>
          <w:b/>
          <w:bCs/>
        </w:rPr>
      </w:pPr>
      <w:r>
        <w:rPr>
          <w:rFonts w:hint="eastAsia"/>
          <w:b/>
          <w:bCs/>
        </w:rPr>
        <w:t>5.履约验收程序</w:t>
      </w:r>
    </w:p>
    <w:p w14:paraId="4913F538">
      <w:pPr>
        <w:ind w:firstLine="422" w:firstLineChars="200"/>
        <w:rPr>
          <w:b/>
          <w:bCs/>
        </w:rPr>
      </w:pPr>
      <w:r>
        <w:rPr>
          <w:rFonts w:hint="eastAsia"/>
          <w:b/>
          <w:bCs/>
        </w:rPr>
        <w:t>5.1成立验收小组</w:t>
      </w:r>
    </w:p>
    <w:p w14:paraId="23A62C76">
      <w:pPr>
        <w:ind w:firstLine="422" w:firstLineChars="200"/>
        <w:rPr>
          <w:b/>
          <w:bCs/>
        </w:rPr>
      </w:pPr>
      <w:r>
        <w:rPr>
          <w:rFonts w:hint="eastAsia"/>
          <w:b/>
          <w:bCs/>
        </w:rPr>
        <w:t>5.2量化验收标准</w:t>
      </w:r>
    </w:p>
    <w:p w14:paraId="52BA2E70">
      <w:pPr>
        <w:ind w:firstLine="422" w:firstLineChars="200"/>
        <w:rPr>
          <w:b/>
          <w:bCs/>
        </w:rPr>
      </w:pPr>
      <w:r>
        <w:rPr>
          <w:rFonts w:hint="eastAsia"/>
          <w:b/>
          <w:bCs/>
        </w:rPr>
        <w:t>5.3组织验收</w:t>
      </w:r>
    </w:p>
    <w:p w14:paraId="3D430B16">
      <w:pPr>
        <w:ind w:firstLine="422" w:firstLineChars="200"/>
        <w:rPr>
          <w:b/>
          <w:bCs/>
        </w:rPr>
      </w:pPr>
      <w:r>
        <w:rPr>
          <w:rFonts w:hint="eastAsia"/>
          <w:b/>
          <w:bCs/>
        </w:rPr>
        <w:t>5.4出具验收报告</w:t>
      </w:r>
    </w:p>
    <w:p w14:paraId="427C8CF7">
      <w:pPr>
        <w:ind w:firstLine="422" w:firstLineChars="200"/>
        <w:rPr>
          <w:b/>
          <w:bCs/>
        </w:rPr>
      </w:pPr>
      <w:r>
        <w:rPr>
          <w:rFonts w:hint="eastAsia"/>
          <w:b/>
          <w:bCs/>
        </w:rPr>
        <w:t>5.5验收结果公告</w:t>
      </w:r>
    </w:p>
    <w:p w14:paraId="14F8EC1D">
      <w:pPr>
        <w:ind w:firstLine="422" w:firstLineChars="200"/>
        <w:rPr>
          <w:b/>
          <w:bCs/>
        </w:rPr>
      </w:pPr>
      <w:r>
        <w:rPr>
          <w:rFonts w:hint="eastAsia"/>
          <w:b/>
          <w:bCs/>
        </w:rPr>
        <w:t>5.6验收资料归档</w:t>
      </w:r>
    </w:p>
    <w:p w14:paraId="606A475F">
      <w:pPr>
        <w:ind w:firstLine="420" w:firstLineChars="200"/>
      </w:pPr>
      <w:r>
        <w:rPr>
          <w:rFonts w:hint="eastAsia"/>
        </w:rPr>
        <w:t>采购合同项目完成验收后，采购人整理好验收原始记录、验收书等资料后妥善保管，不得变造、隐匿或者销毁，验收资料保存期为采购结束之日起至少保存15年。</w:t>
      </w:r>
    </w:p>
    <w:p w14:paraId="50C2208B">
      <w:pPr>
        <w:ind w:firstLine="422" w:firstLineChars="200"/>
        <w:rPr>
          <w:b/>
          <w:bCs/>
        </w:rPr>
      </w:pPr>
      <w:r>
        <w:rPr>
          <w:rFonts w:hint="eastAsia"/>
          <w:b/>
          <w:bCs/>
        </w:rPr>
        <w:t>6.履约验收内容</w:t>
      </w:r>
    </w:p>
    <w:p w14:paraId="29D5DF79">
      <w:pPr>
        <w:ind w:firstLine="422" w:firstLineChars="200"/>
        <w:rPr>
          <w:b/>
          <w:bCs/>
        </w:rPr>
      </w:pPr>
      <w:r>
        <w:rPr>
          <w:rFonts w:hint="eastAsia"/>
          <w:b/>
          <w:bCs/>
        </w:rPr>
        <w:t>6.1商务验收内容</w:t>
      </w:r>
    </w:p>
    <w:p w14:paraId="5B3DA977">
      <w:pPr>
        <w:ind w:firstLine="420" w:firstLineChars="200"/>
      </w:pPr>
      <w:r>
        <w:rPr>
          <w:rFonts w:hint="eastAsia"/>
        </w:rPr>
        <w:t>对采购标的交付的情况、财务和服务要求，包括交付（实施）的时间（期限）和地点（范围），付款条件（进度和方式），包装和运输，售后服务，保险等进行验收。</w:t>
      </w:r>
    </w:p>
    <w:p w14:paraId="4A3D8709">
      <w:pPr>
        <w:ind w:firstLine="422" w:firstLineChars="200"/>
        <w:rPr>
          <w:b/>
          <w:bCs/>
        </w:rPr>
      </w:pPr>
      <w:r>
        <w:rPr>
          <w:rFonts w:hint="eastAsia"/>
          <w:b/>
          <w:bCs/>
        </w:rPr>
        <w:t>6.2技术验收内容</w:t>
      </w:r>
    </w:p>
    <w:p w14:paraId="6388C5F3">
      <w:pPr>
        <w:ind w:firstLine="420" w:firstLineChars="200"/>
      </w:pPr>
      <w:r>
        <w:rPr>
          <w:rFonts w:hint="eastAsia"/>
        </w:rPr>
        <w:t>对采购标的的功能和质量要求，包括性能、材料、结构、外观、安全，或者服务内容和标准等进行验收。</w:t>
      </w:r>
    </w:p>
    <w:p w14:paraId="6E11D3D3">
      <w:pPr>
        <w:ind w:firstLine="422" w:firstLineChars="200"/>
        <w:rPr>
          <w:b/>
          <w:bCs/>
        </w:rPr>
      </w:pPr>
      <w:r>
        <w:rPr>
          <w:rFonts w:hint="eastAsia"/>
          <w:b/>
          <w:bCs/>
        </w:rPr>
        <w:t>7.履约验收标准</w:t>
      </w:r>
    </w:p>
    <w:p w14:paraId="4F3822AA">
      <w:pPr>
        <w:ind w:firstLine="420" w:firstLineChars="200"/>
      </w:pPr>
      <w:r>
        <w:rPr>
          <w:rFonts w:hint="eastAsia"/>
        </w:rPr>
        <w:t>货物（服务）类验收标准：</w:t>
      </w:r>
    </w:p>
    <w:p w14:paraId="142A2E90">
      <w:pPr>
        <w:ind w:firstLine="420" w:firstLineChars="200"/>
      </w:pPr>
      <w:r>
        <w:rPr>
          <w:rFonts w:hint="eastAsia"/>
        </w:rPr>
        <w:t>（1）中标（成交）供应商应提供完备的技术或服务资料、装箱单和合格证等，并派遣专业人员进行现场安装调试。验收合格条件如下：</w:t>
      </w:r>
    </w:p>
    <w:p w14:paraId="712FC1AC">
      <w:pPr>
        <w:ind w:firstLine="420" w:firstLineChars="200"/>
      </w:pPr>
      <w:r>
        <w:rPr>
          <w:rFonts w:hint="eastAsia"/>
        </w:rPr>
        <w:t>货物或服务技术参数与响应文件中响应表或证明材料一致，性能或指标达到规定的标准。否则，以实际货物或服务技术参数与响应文件响应表参数或证明材料比较，按如下情况处理：</w:t>
      </w:r>
    </w:p>
    <w:p w14:paraId="1A92AD89">
      <w:pPr>
        <w:ind w:firstLine="420" w:firstLineChars="200"/>
      </w:pPr>
      <w:r>
        <w:rPr>
          <w:rFonts w:hint="eastAsia"/>
        </w:rPr>
        <w:t>①供应商响应文件响应表或证明材料中满足或优于的技术参数，在验收时实际不满足技术参数要求的，视为供货商违约，采购人有权终止合同拒收货物，并追究供应商责任，同时报财政部门备案。</w:t>
      </w:r>
    </w:p>
    <w:p w14:paraId="34EB68B9">
      <w:pPr>
        <w:ind w:firstLine="420" w:firstLineChars="200"/>
      </w:pPr>
      <w:r>
        <w:rPr>
          <w:rFonts w:hint="eastAsia"/>
        </w:rPr>
        <w:t>②供应商响应文件响应表或证明材料中优于的技术参数，在验收时实际仅满足并未优于技术参数要求的，视为供货商违约，采购人有权终止合同拒收货物，并追究供应商责任，同时报财政部门备案。</w:t>
      </w:r>
    </w:p>
    <w:p w14:paraId="5F91389D">
      <w:pPr>
        <w:ind w:firstLine="420" w:firstLineChars="200"/>
      </w:pPr>
      <w:r>
        <w:rPr>
          <w:rFonts w:hint="eastAsia"/>
        </w:rPr>
        <w:t xml:space="preserve">③供应商响应文件响应表或证明材料中不满足的技术参数，在验收时实际满足技术参数的要求，以满足技术参数的要求验收。 </w:t>
      </w:r>
    </w:p>
    <w:p w14:paraId="20ED4366">
      <w:pPr>
        <w:ind w:firstLine="420" w:firstLineChars="200"/>
      </w:pPr>
      <w:r>
        <w:rPr>
          <w:rFonts w:hint="eastAsia"/>
        </w:rPr>
        <w:t>④供应商响应文件响应表或证明材料中满足的技术参数，在验收时实际优于技术参数的要求，以满足技术参数的要求验收。</w:t>
      </w:r>
    </w:p>
    <w:p w14:paraId="4F814DBC">
      <w:pPr>
        <w:ind w:firstLine="420" w:firstLineChars="200"/>
      </w:pPr>
      <w:r>
        <w:rPr>
          <w:rFonts w:hint="eastAsia"/>
        </w:rPr>
        <w:t>⑤供应商响应文件响应表或证明材料中优于的技术参数，在验收时实际也优于技术参数的要求，但没有达到响应表或证明材料中优于的程度，由采购人与供应商协商按是否满足要求验收。</w:t>
      </w:r>
    </w:p>
    <w:p w14:paraId="08FC174B">
      <w:pPr>
        <w:ind w:firstLine="420" w:firstLineChars="200"/>
      </w:pPr>
      <w:r>
        <w:rPr>
          <w:rFonts w:hint="eastAsia"/>
        </w:rPr>
        <w:t>⑥实际货物与响应货物型号不一致的，验收时不论实际是优于还是满足技术参数的要求，采购人均有权终止合同拒收货物。如影响货物或服务的使用、质量、档次及采购人需求的，还可视为供货商违约，追究供应商责任，同时报财政部门备案。</w:t>
      </w:r>
    </w:p>
    <w:p w14:paraId="4CA8DDB0">
      <w:pPr>
        <w:ind w:firstLine="420" w:firstLineChars="200"/>
      </w:pPr>
      <w:r>
        <w:rPr>
          <w:rFonts w:hint="eastAsia"/>
        </w:rPr>
        <w:t>（2）技术资料、装箱单、合格证等资料齐全。</w:t>
      </w:r>
    </w:p>
    <w:p w14:paraId="1B520626">
      <w:pPr>
        <w:ind w:firstLine="420" w:firstLineChars="200"/>
      </w:pPr>
      <w:r>
        <w:rPr>
          <w:rFonts w:hint="eastAsia"/>
        </w:rPr>
        <w:t>（3）在测试或试运行期间所出现的问题得到解决，并运行或工作正常。</w:t>
      </w:r>
    </w:p>
    <w:p w14:paraId="50394EDE">
      <w:pPr>
        <w:ind w:firstLine="420" w:firstLineChars="200"/>
      </w:pPr>
      <w:r>
        <w:rPr>
          <w:rFonts w:hint="eastAsia"/>
        </w:rPr>
        <w:t>（4）在规定时间内完成交货及验收，并经采购人确认。</w:t>
      </w:r>
    </w:p>
    <w:p w14:paraId="14BE8DEB">
      <w:pPr>
        <w:ind w:firstLine="420" w:firstLineChars="200"/>
      </w:pPr>
      <w:r>
        <w:rPr>
          <w:rFonts w:hint="eastAsia"/>
        </w:rPr>
        <w:t>（5）货物或服务在安装调试并试运行符合要求后，才作为最终验收。</w:t>
      </w:r>
    </w:p>
    <w:p w14:paraId="2FF9B9A9">
      <w:pPr>
        <w:ind w:firstLine="420" w:firstLineChars="200"/>
      </w:pPr>
      <w:r>
        <w:rPr>
          <w:rFonts w:hint="eastAsia"/>
        </w:rPr>
        <w:t>（6）成交供应商提供的货物或服务未达到招标文件规定要求，且对采购人造成损失的，由成交供应商承担一切责任，并赔偿所造成的损失。</w:t>
      </w:r>
    </w:p>
    <w:p w14:paraId="0FAAB1A5">
      <w:pPr>
        <w:ind w:firstLine="420" w:firstLineChars="200"/>
      </w:pPr>
      <w:r>
        <w:rPr>
          <w:rFonts w:hint="eastAsia"/>
        </w:rPr>
        <w:t>（7）采购人需要制造商对成交供应商交付的产品或服务（包括质量、参数等）进行确认的，制造商应予以配合并出具书面意见，相关配合事项由成交供应商与制造商协调。</w:t>
      </w:r>
    </w:p>
    <w:p w14:paraId="716E0895">
      <w:pPr>
        <w:ind w:firstLine="420" w:firstLineChars="200"/>
      </w:pPr>
      <w:r>
        <w:rPr>
          <w:rFonts w:hint="eastAsia"/>
        </w:rPr>
        <w:t>（8）产品包装材料归采购人所有。</w:t>
      </w:r>
    </w:p>
    <w:p w14:paraId="40EF1777">
      <w:pPr>
        <w:ind w:firstLine="420" w:firstLineChars="200"/>
      </w:pPr>
      <w:r>
        <w:rPr>
          <w:rFonts w:hint="eastAsia"/>
        </w:rPr>
        <w:t>（9）政府采购合同约定的其他要求及投标文件响应的其他标准。</w:t>
      </w:r>
    </w:p>
    <w:p w14:paraId="2F44D432">
      <w:pPr>
        <w:ind w:firstLine="420" w:firstLineChars="200"/>
      </w:pPr>
      <w:r>
        <w:rPr>
          <w:rFonts w:hint="eastAsia"/>
        </w:rPr>
        <w:t>工程类验收标准：</w:t>
      </w:r>
    </w:p>
    <w:p w14:paraId="0FBEE09F">
      <w:pPr>
        <w:ind w:firstLine="420" w:firstLineChars="200"/>
      </w:pPr>
      <w:r>
        <w:rPr>
          <w:rFonts w:hint="eastAsia"/>
        </w:rPr>
        <w:t>符合行业管理部门规定的标准及规范，达到工程项目设计的要求并通过项目最终竣工验收。</w:t>
      </w:r>
    </w:p>
    <w:p w14:paraId="2432EF33">
      <w:pPr>
        <w:ind w:firstLine="422" w:firstLineChars="200"/>
        <w:rPr>
          <w:b/>
          <w:bCs/>
        </w:rPr>
      </w:pPr>
      <w:r>
        <w:rPr>
          <w:rFonts w:hint="eastAsia"/>
          <w:b/>
          <w:bCs/>
        </w:rPr>
        <w:t>8.履约验收其他事项</w:t>
      </w:r>
    </w:p>
    <w:p w14:paraId="202AFC69">
      <w:r>
        <w:rPr>
          <w:rFonts w:hint="eastAsia"/>
        </w:rPr>
        <w:br w:type="page"/>
      </w:r>
    </w:p>
    <w:bookmarkEnd w:id="97"/>
    <w:bookmarkEnd w:id="98"/>
    <w:p w14:paraId="693AC871">
      <w:pPr>
        <w:jc w:val="center"/>
        <w:rPr>
          <w:b/>
          <w:bCs/>
        </w:rPr>
      </w:pPr>
      <w:r>
        <w:rPr>
          <w:b/>
          <w:bCs/>
        </w:rPr>
        <w:t>广西壮族自治区政府采购项目合同验收书</w:t>
      </w:r>
    </w:p>
    <w:p w14:paraId="069BC167"/>
    <w:p w14:paraId="649F6C60">
      <w:pPr>
        <w:ind w:firstLine="420" w:firstLineChars="200"/>
      </w:pPr>
      <w:r>
        <w:rPr>
          <w:rFonts w:hint="eastAsia"/>
        </w:rPr>
        <w:t>根据政府采购项目</w:t>
      </w:r>
      <w:r>
        <w:rPr>
          <w:rFonts w:hint="eastAsia"/>
          <w:u w:val="single"/>
        </w:rPr>
        <w:t>（采购合同编号：GXZC20XX-XX-XXXXX-GXZX）</w:t>
      </w:r>
      <w:r>
        <w:rPr>
          <w:rFonts w:hint="eastAsia"/>
        </w:rPr>
        <w:t>的约定，我单位对</w:t>
      </w:r>
      <w:r>
        <w:rPr>
          <w:rFonts w:hint="eastAsia"/>
          <w:u w:val="single"/>
        </w:rPr>
        <w:t>（</w:t>
      </w:r>
      <w:r>
        <w:rPr>
          <w:rFonts w:hint="eastAsia"/>
          <w:u w:val="single"/>
          <w:lang w:eastAsia="zh-CN"/>
        </w:rPr>
        <w:t>贵港监狱罪犯生活物资采购项目</w:t>
      </w:r>
      <w:r>
        <w:rPr>
          <w:rFonts w:hint="eastAsia"/>
          <w:u w:val="single"/>
        </w:rPr>
        <w:t>）</w:t>
      </w:r>
      <w:r>
        <w:rPr>
          <w:rFonts w:hint="eastAsia"/>
        </w:rPr>
        <w:t>政府采购项目中标（或成交）</w:t>
      </w:r>
      <w:r>
        <w:rPr>
          <w:rFonts w:hint="eastAsia"/>
          <w:u w:val="single"/>
        </w:rPr>
        <w:t>供应商XX公司</w:t>
      </w:r>
      <w:r>
        <w:rPr>
          <w:rFonts w:hint="eastAsia"/>
        </w:rPr>
        <w:t>（填写供应商名称）提供的货物（或工程、服务）进行了验收，验收情况如下：</w:t>
      </w:r>
    </w:p>
    <w:tbl>
      <w:tblPr>
        <w:tblStyle w:val="52"/>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6E984A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vAlign w:val="center"/>
          </w:tcPr>
          <w:p w14:paraId="45FA2CA4">
            <w:pPr>
              <w:jc w:val="center"/>
            </w:pPr>
            <w:r>
              <w:t>验收方式：</w:t>
            </w:r>
          </w:p>
        </w:tc>
        <w:tc>
          <w:tcPr>
            <w:tcW w:w="7123" w:type="dxa"/>
            <w:gridSpan w:val="5"/>
            <w:tcBorders>
              <w:top w:val="single" w:color="auto" w:sz="8" w:space="0"/>
              <w:left w:val="single" w:color="auto" w:sz="8" w:space="0"/>
              <w:bottom w:val="single" w:color="auto" w:sz="8" w:space="0"/>
              <w:right w:val="single" w:color="auto" w:sz="8" w:space="0"/>
            </w:tcBorders>
            <w:vAlign w:val="center"/>
          </w:tcPr>
          <w:p w14:paraId="751C022F">
            <w:pPr>
              <w:jc w:val="center"/>
            </w:pPr>
            <w:r>
              <w:rPr>
                <w:rFonts w:hint="eastAsia" w:cs="Arial"/>
              </w:rPr>
              <w:t>□</w:t>
            </w:r>
            <w:r>
              <w:t>自行验收        </w:t>
            </w:r>
            <w:r>
              <w:rPr>
                <w:rFonts w:cs="Arial"/>
              </w:rPr>
              <w:sym w:font="Wingdings 2" w:char="00A3"/>
            </w:r>
            <w:r>
              <w:t>委托验收</w:t>
            </w:r>
          </w:p>
        </w:tc>
      </w:tr>
      <w:tr w14:paraId="2B2E90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79EC3857">
            <w:pPr>
              <w:jc w:val="center"/>
            </w:pPr>
            <w:r>
              <w:t>序号</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03F3F76E">
            <w:pPr>
              <w:jc w:val="center"/>
            </w:pPr>
            <w:r>
              <w:t>名  称</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59C84D67">
            <w:pPr>
              <w:jc w:val="center"/>
            </w:pPr>
            <w:r>
              <w:t>货物型号规格、标准及配置等（或服务内容、标准）</w:t>
            </w:r>
          </w:p>
        </w:tc>
        <w:tc>
          <w:tcPr>
            <w:tcW w:w="850" w:type="dxa"/>
            <w:tcBorders>
              <w:top w:val="single" w:color="auto" w:sz="8" w:space="0"/>
              <w:left w:val="single" w:color="auto" w:sz="8" w:space="0"/>
              <w:bottom w:val="single" w:color="auto" w:sz="8" w:space="0"/>
              <w:right w:val="single" w:color="auto" w:sz="8" w:space="0"/>
            </w:tcBorders>
            <w:vAlign w:val="center"/>
          </w:tcPr>
          <w:p w14:paraId="14EA7D77">
            <w:pPr>
              <w:jc w:val="center"/>
            </w:pPr>
            <w:r>
              <w:t>数量</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1C9E8F6C">
            <w:pPr>
              <w:jc w:val="center"/>
            </w:pPr>
            <w:r>
              <w:t>金  额</w:t>
            </w:r>
          </w:p>
        </w:tc>
      </w:tr>
      <w:tr w14:paraId="7DCC10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3C7B5BAB">
            <w:pPr>
              <w:jc w:val="center"/>
            </w:pPr>
            <w:r>
              <w:rPr>
                <w:rFonts w:hint="eastAsia"/>
              </w:rPr>
              <w:t>1</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224FE47F">
            <w:pPr>
              <w:jc w:val="center"/>
            </w:pP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39EB334C">
            <w:pPr>
              <w:pStyle w:val="212"/>
              <w:jc w:val="center"/>
            </w:pPr>
          </w:p>
        </w:tc>
        <w:tc>
          <w:tcPr>
            <w:tcW w:w="850" w:type="dxa"/>
            <w:tcBorders>
              <w:top w:val="single" w:color="auto" w:sz="8" w:space="0"/>
              <w:left w:val="single" w:color="auto" w:sz="8" w:space="0"/>
              <w:bottom w:val="single" w:color="auto" w:sz="8" w:space="0"/>
              <w:right w:val="single" w:color="auto" w:sz="8" w:space="0"/>
            </w:tcBorders>
            <w:vAlign w:val="center"/>
          </w:tcPr>
          <w:p w14:paraId="43430454">
            <w:pPr>
              <w:jc w:val="center"/>
            </w:pP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4C575064">
            <w:pPr>
              <w:pStyle w:val="212"/>
              <w:jc w:val="center"/>
            </w:pPr>
          </w:p>
        </w:tc>
      </w:tr>
      <w:tr w14:paraId="44FC24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vAlign w:val="center"/>
          </w:tcPr>
          <w:p w14:paraId="05024A4D">
            <w:pPr>
              <w:pStyle w:val="212"/>
              <w:jc w:val="center"/>
            </w:pPr>
            <w:r>
              <w:rPr>
                <w:rFonts w:hint="eastAsia"/>
              </w:rPr>
              <w:t>合 计</w:t>
            </w:r>
          </w:p>
        </w:tc>
        <w:tc>
          <w:tcPr>
            <w:tcW w:w="850" w:type="dxa"/>
            <w:tcBorders>
              <w:top w:val="single" w:color="auto" w:sz="8" w:space="0"/>
              <w:left w:val="single" w:color="auto" w:sz="8" w:space="0"/>
              <w:bottom w:val="single" w:color="auto" w:sz="8" w:space="0"/>
              <w:right w:val="single" w:color="auto" w:sz="8" w:space="0"/>
            </w:tcBorders>
            <w:vAlign w:val="center"/>
          </w:tcPr>
          <w:p w14:paraId="7393D015">
            <w:pPr>
              <w:jc w:val="center"/>
            </w:pP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57CB034B">
            <w:pPr>
              <w:pStyle w:val="212"/>
              <w:jc w:val="center"/>
            </w:pPr>
          </w:p>
        </w:tc>
      </w:tr>
      <w:tr w14:paraId="50390B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vAlign w:val="center"/>
          </w:tcPr>
          <w:p w14:paraId="325D8958">
            <w:r>
              <w:t>合计大写金额：</w:t>
            </w:r>
            <w:r>
              <w:rPr>
                <w:rFonts w:hint="eastAsia"/>
              </w:rPr>
              <w:t>人民币元整</w:t>
            </w:r>
          </w:p>
        </w:tc>
      </w:tr>
      <w:tr w14:paraId="3421D6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vAlign w:val="center"/>
          </w:tcPr>
          <w:p w14:paraId="682DCE34">
            <w:pPr>
              <w:jc w:val="center"/>
            </w:pPr>
            <w:r>
              <w:rPr>
                <w:rFonts w:hint="eastAsia"/>
              </w:rPr>
              <w:t>实际供货日期</w:t>
            </w:r>
          </w:p>
        </w:tc>
        <w:tc>
          <w:tcPr>
            <w:tcW w:w="3240" w:type="dxa"/>
            <w:gridSpan w:val="2"/>
            <w:tcBorders>
              <w:top w:val="single" w:color="auto" w:sz="8" w:space="0"/>
              <w:left w:val="single" w:color="auto" w:sz="8" w:space="0"/>
              <w:bottom w:val="single" w:color="auto" w:sz="8" w:space="0"/>
              <w:right w:val="single" w:color="auto" w:sz="8" w:space="0"/>
            </w:tcBorders>
            <w:vAlign w:val="center"/>
          </w:tcPr>
          <w:p w14:paraId="467BC0AC">
            <w:pPr>
              <w:jc w:val="center"/>
            </w:pPr>
            <w:r>
              <w:rPr>
                <w:rFonts w:hint="eastAsia"/>
              </w:rPr>
              <w:t>20  年  月  日</w:t>
            </w:r>
          </w:p>
        </w:tc>
        <w:tc>
          <w:tcPr>
            <w:tcW w:w="2700" w:type="dxa"/>
            <w:gridSpan w:val="3"/>
            <w:tcBorders>
              <w:top w:val="single" w:color="auto" w:sz="8" w:space="0"/>
              <w:left w:val="single" w:color="auto" w:sz="8" w:space="0"/>
              <w:bottom w:val="single" w:color="auto" w:sz="8" w:space="0"/>
              <w:right w:val="single" w:color="auto" w:sz="8" w:space="0"/>
            </w:tcBorders>
            <w:vAlign w:val="center"/>
          </w:tcPr>
          <w:p w14:paraId="45639A23">
            <w:pPr>
              <w:jc w:val="center"/>
            </w:pPr>
            <w:r>
              <w:rPr>
                <w:rFonts w:hint="eastAsia"/>
              </w:rPr>
              <w:t>合同交货验收日期</w:t>
            </w:r>
          </w:p>
        </w:tc>
        <w:tc>
          <w:tcPr>
            <w:tcW w:w="2160" w:type="dxa"/>
            <w:tcBorders>
              <w:top w:val="single" w:color="auto" w:sz="8" w:space="0"/>
              <w:left w:val="single" w:color="auto" w:sz="8" w:space="0"/>
              <w:bottom w:val="single" w:color="auto" w:sz="8" w:space="0"/>
              <w:right w:val="single" w:color="auto" w:sz="8" w:space="0"/>
            </w:tcBorders>
            <w:vAlign w:val="center"/>
          </w:tcPr>
          <w:p w14:paraId="12751636">
            <w:pPr>
              <w:jc w:val="center"/>
            </w:pPr>
            <w:r>
              <w:rPr>
                <w:rFonts w:hint="eastAsia"/>
              </w:rPr>
              <w:t>20  年  月  日</w:t>
            </w:r>
          </w:p>
        </w:tc>
      </w:tr>
      <w:tr w14:paraId="12BF1C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CE617D">
            <w:pPr>
              <w:jc w:val="center"/>
            </w:pPr>
            <w:r>
              <w:rPr>
                <w:rFonts w:hint="eastAsia"/>
              </w:rPr>
              <w:t>验收具体内容</w:t>
            </w:r>
          </w:p>
        </w:tc>
        <w:tc>
          <w:tcPr>
            <w:tcW w:w="8100" w:type="dxa"/>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9322C2">
            <w:r>
              <w:rPr>
                <w:rFonts w:hint="eastAsia"/>
              </w:rPr>
              <w:t>1.中标人所供货的1套设备的技术性能能满足采购合同约定的技术标准。</w:t>
            </w:r>
          </w:p>
          <w:p w14:paraId="7837B135">
            <w:r>
              <w:rPr>
                <w:rFonts w:hint="eastAsia"/>
              </w:rPr>
              <w:t>2.中标人对设备的安装调试符合合同约定或服务规范的要求。</w:t>
            </w:r>
          </w:p>
          <w:p w14:paraId="04C34F12">
            <w:r>
              <w:rPr>
                <w:rFonts w:hint="eastAsia"/>
              </w:rPr>
              <w:t>3.中标人提供的质量保证证明材料齐全。</w:t>
            </w:r>
          </w:p>
          <w:p w14:paraId="5A4723AB">
            <w:r>
              <w:rPr>
                <w:rFonts w:hint="eastAsia"/>
              </w:rPr>
              <w:t>验收过程材料详见验收书附件《验收书附表——商务（服务）验收》以及《验收书附表——技术验收、安全验收》。</w:t>
            </w:r>
          </w:p>
        </w:tc>
      </w:tr>
      <w:tr w14:paraId="660A9B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E2A68B9">
            <w:pPr>
              <w:jc w:val="center"/>
            </w:pPr>
            <w:r>
              <w:rPr>
                <w:rFonts w:hint="eastAsia"/>
              </w:rPr>
              <w:t>验收小组意见</w:t>
            </w:r>
          </w:p>
        </w:tc>
        <w:tc>
          <w:tcPr>
            <w:tcW w:w="8100" w:type="dxa"/>
            <w:gridSpan w:val="6"/>
            <w:tcBorders>
              <w:top w:val="single" w:color="auto" w:sz="8" w:space="0"/>
              <w:left w:val="single" w:color="auto" w:sz="8" w:space="0"/>
              <w:bottom w:val="single" w:color="auto" w:sz="4" w:space="0"/>
              <w:right w:val="single" w:color="auto" w:sz="8" w:space="0"/>
            </w:tcBorders>
            <w:vAlign w:val="center"/>
          </w:tcPr>
          <w:p w14:paraId="69B84B01">
            <w:r>
              <w:rPr>
                <w:rFonts w:hint="eastAsia"/>
              </w:rPr>
              <w:t>验收结论性意见：同意（不同意）通过项目验收</w:t>
            </w:r>
          </w:p>
        </w:tc>
      </w:tr>
      <w:tr w14:paraId="6BC4EA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vAlign w:val="center"/>
          </w:tcPr>
          <w:p w14:paraId="19F7F3F8"/>
        </w:tc>
        <w:tc>
          <w:tcPr>
            <w:tcW w:w="8100" w:type="dxa"/>
            <w:gridSpan w:val="6"/>
            <w:tcBorders>
              <w:top w:val="single" w:color="auto" w:sz="4" w:space="0"/>
              <w:left w:val="single" w:color="auto" w:sz="8" w:space="0"/>
              <w:bottom w:val="single" w:color="auto" w:sz="8" w:space="0"/>
              <w:right w:val="single" w:color="auto" w:sz="8" w:space="0"/>
            </w:tcBorders>
            <w:vAlign w:val="center"/>
          </w:tcPr>
          <w:p w14:paraId="64BFD904">
            <w:pPr>
              <w:pStyle w:val="212"/>
              <w:ind w:firstLine="0" w:firstLineChars="0"/>
              <w:rPr>
                <w:rFonts w:ascii="宋体" w:hAnsi="宋体" w:eastAsia="宋体" w:cs="宋体"/>
              </w:rPr>
            </w:pPr>
            <w:r>
              <w:rPr>
                <w:rFonts w:hint="eastAsia" w:ascii="宋体" w:hAnsi="宋体" w:eastAsia="宋体" w:cs="宋体"/>
              </w:rPr>
              <w:t>有异议的意见和说明理由：</w:t>
            </w:r>
          </w:p>
          <w:p w14:paraId="3FEB421A">
            <w:pPr>
              <w:pStyle w:val="212"/>
              <w:ind w:firstLine="6090" w:firstLineChars="2900"/>
              <w:rPr>
                <w:rFonts w:ascii="宋体" w:hAnsi="宋体" w:eastAsia="宋体" w:cs="宋体"/>
              </w:rPr>
            </w:pPr>
            <w:r>
              <w:rPr>
                <w:rFonts w:hint="eastAsia" w:ascii="宋体" w:hAnsi="宋体" w:eastAsia="宋体" w:cs="宋体"/>
              </w:rPr>
              <w:t>签字：</w:t>
            </w:r>
          </w:p>
        </w:tc>
      </w:tr>
      <w:tr w14:paraId="08A121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91"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C0E1C2">
            <w:r>
              <w:t>验收小组成员签字：</w:t>
            </w:r>
          </w:p>
          <w:p w14:paraId="257B3A52"/>
        </w:tc>
      </w:tr>
      <w:tr w14:paraId="74A18B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70"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2020BA6">
            <w:r>
              <w:t>监督人员或其他相关人员签字：</w:t>
            </w:r>
          </w:p>
          <w:p w14:paraId="511938BB">
            <w:r>
              <w:t>或受邀机构的意见（盖章）：</w:t>
            </w:r>
          </w:p>
        </w:tc>
      </w:tr>
      <w:tr w14:paraId="6A307C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14:paraId="11C6ABDD">
            <w:r>
              <w:t>中标或者成交供应商负责人签字或盖章：</w:t>
            </w:r>
          </w:p>
          <w:p w14:paraId="031D9254">
            <w:r>
              <w:t>联系电话：     </w:t>
            </w:r>
            <w:r>
              <w:rPr>
                <w:rFonts w:hint="eastAsia"/>
              </w:rPr>
              <w:t xml:space="preserve">   </w:t>
            </w:r>
            <w:r>
              <w:t>  年</w:t>
            </w:r>
            <w:r>
              <w:rPr>
                <w:rFonts w:hint="eastAsia"/>
              </w:rPr>
              <w:t xml:space="preserve">  </w:t>
            </w:r>
            <w:r>
              <w:t> 月 </w:t>
            </w:r>
            <w:r>
              <w:rPr>
                <w:rFonts w:hint="eastAsia"/>
              </w:rPr>
              <w:t xml:space="preserve">  </w:t>
            </w:r>
            <w:r>
              <w:t>日</w:t>
            </w:r>
          </w:p>
          <w:p w14:paraId="2D83F64E"/>
          <w:p w14:paraId="046364E9">
            <w:r>
              <w:rPr>
                <w:rFonts w:hint="eastAsia"/>
              </w:rPr>
              <w:t>采购人</w:t>
            </w:r>
            <w:r>
              <w:t>签字或盖章：</w:t>
            </w:r>
          </w:p>
          <w:p w14:paraId="5970C286">
            <w:r>
              <w:t xml:space="preserve">联系电话：      </w:t>
            </w:r>
            <w:r>
              <w:rPr>
                <w:rFonts w:hint="eastAsia"/>
              </w:rPr>
              <w:t xml:space="preserve"> </w:t>
            </w:r>
            <w:r>
              <w:t>  年</w:t>
            </w:r>
            <w:r>
              <w:rPr>
                <w:rFonts w:hint="eastAsia"/>
              </w:rPr>
              <w:t xml:space="preserve">  </w:t>
            </w:r>
            <w:r>
              <w:t> 月 </w:t>
            </w:r>
            <w:r>
              <w:rPr>
                <w:rFonts w:hint="eastAsia"/>
              </w:rPr>
              <w:t xml:space="preserve">  </w:t>
            </w:r>
            <w:r>
              <w:t>日</w:t>
            </w:r>
          </w:p>
        </w:tc>
        <w:tc>
          <w:tcPr>
            <w:tcW w:w="4860" w:type="dxa"/>
            <w:gridSpan w:val="4"/>
            <w:tcBorders>
              <w:top w:val="single" w:color="auto" w:sz="8" w:space="0"/>
              <w:left w:val="nil"/>
              <w:bottom w:val="single" w:color="auto" w:sz="8" w:space="0"/>
              <w:right w:val="single" w:color="auto" w:sz="8" w:space="0"/>
            </w:tcBorders>
            <w:vAlign w:val="center"/>
          </w:tcPr>
          <w:p w14:paraId="70310757">
            <w:r>
              <w:t> 受托机构的意见（盖章）：</w:t>
            </w:r>
          </w:p>
          <w:p w14:paraId="6A14EA61">
            <w:r>
              <w:t xml:space="preserve">联系电话：                 </w:t>
            </w:r>
            <w:r>
              <w:rPr>
                <w:rFonts w:hint="eastAsia"/>
              </w:rPr>
              <w:t xml:space="preserve">    </w:t>
            </w:r>
            <w:r>
              <w:t>年   月   日</w:t>
            </w:r>
          </w:p>
          <w:p w14:paraId="1426A8F4"/>
          <w:p w14:paraId="662798E3"/>
          <w:p w14:paraId="302904A7"/>
        </w:tc>
      </w:tr>
    </w:tbl>
    <w:p w14:paraId="5B87C971">
      <w:r>
        <w:t>备注：本报告单一式4份（采购单位1份、供应商1份、采购监督部门备案1份、采购代理机构1份）</w:t>
      </w:r>
      <w:r>
        <w:br w:type="page"/>
      </w:r>
    </w:p>
    <w:p w14:paraId="4E95AE91">
      <w:pPr>
        <w:pStyle w:val="27"/>
        <w:snapToGrid w:val="0"/>
        <w:spacing w:before="120" w:after="120"/>
        <w:jc w:val="center"/>
        <w:outlineLvl w:val="0"/>
        <w:rPr>
          <w:b/>
          <w:bCs/>
          <w:sz w:val="32"/>
          <w:szCs w:val="32"/>
        </w:rPr>
      </w:pPr>
      <w:bookmarkStart w:id="100" w:name="_Toc31525"/>
      <w:r>
        <w:rPr>
          <w:b/>
          <w:bCs/>
          <w:sz w:val="32"/>
          <w:szCs w:val="32"/>
        </w:rPr>
        <w:t>第六章  投标文件格式</w:t>
      </w:r>
      <w:bookmarkEnd w:id="100"/>
    </w:p>
    <w:p w14:paraId="5400A9D0"/>
    <w:p w14:paraId="66E131B0"/>
    <w:bookmarkEnd w:id="0"/>
    <w:bookmarkEnd w:id="1"/>
    <w:p w14:paraId="1A404033">
      <w:pPr>
        <w:jc w:val="center"/>
        <w:rPr>
          <w:b/>
          <w:bCs/>
        </w:rPr>
      </w:pPr>
      <w:bookmarkStart w:id="101" w:name="_Hlk19114175"/>
      <w:r>
        <w:rPr>
          <w:b/>
          <w:bCs/>
        </w:rPr>
        <w:t>注：有签字、盖章要求的应按要求</w:t>
      </w:r>
      <w:bookmarkStart w:id="102" w:name="_Hlk89032274"/>
      <w:r>
        <w:rPr>
          <w:b/>
          <w:bCs/>
        </w:rPr>
        <w:t>签字（签章）、盖章（签章）</w:t>
      </w:r>
      <w:bookmarkEnd w:id="102"/>
      <w:r>
        <w:rPr>
          <w:b/>
          <w:bCs/>
        </w:rPr>
        <w:t>。</w:t>
      </w:r>
    </w:p>
    <w:bookmarkEnd w:id="101"/>
    <w:p w14:paraId="0A073C20"/>
    <w:p w14:paraId="2FBBD4BC">
      <w:r>
        <w:br w:type="page"/>
      </w:r>
    </w:p>
    <w:p w14:paraId="32FA0AAB">
      <w:pPr>
        <w:outlineLvl w:val="1"/>
      </w:pPr>
      <w:r>
        <w:rPr>
          <w:rFonts w:hint="eastAsia"/>
        </w:rPr>
        <w:t>一、</w:t>
      </w:r>
      <w:r>
        <w:t>投标文件封面参考格式：</w:t>
      </w:r>
    </w:p>
    <w:p w14:paraId="782A8F78"/>
    <w:p w14:paraId="081FA4E2"/>
    <w:p w14:paraId="16873D5C"/>
    <w:p w14:paraId="3289BC17">
      <w:pPr>
        <w:jc w:val="center"/>
        <w:rPr>
          <w:b/>
          <w:bCs/>
          <w:sz w:val="32"/>
          <w:szCs w:val="32"/>
        </w:rPr>
      </w:pPr>
      <w:r>
        <w:rPr>
          <w:b/>
          <w:bCs/>
          <w:sz w:val="32"/>
          <w:szCs w:val="32"/>
        </w:rPr>
        <w:t>电子投标文件</w:t>
      </w:r>
    </w:p>
    <w:p w14:paraId="0A882DBD">
      <w:pPr>
        <w:jc w:val="center"/>
        <w:rPr>
          <w:b/>
          <w:bCs/>
          <w:sz w:val="32"/>
          <w:szCs w:val="32"/>
        </w:rPr>
      </w:pPr>
    </w:p>
    <w:p w14:paraId="57804250">
      <w:pPr>
        <w:jc w:val="center"/>
        <w:rPr>
          <w:b/>
          <w:bCs/>
          <w:sz w:val="32"/>
          <w:szCs w:val="32"/>
        </w:rPr>
      </w:pPr>
    </w:p>
    <w:p w14:paraId="4CE7C8B3">
      <w:pPr>
        <w:jc w:val="center"/>
        <w:rPr>
          <w:b/>
          <w:bCs/>
          <w:sz w:val="32"/>
          <w:szCs w:val="32"/>
        </w:rPr>
      </w:pPr>
      <w:r>
        <w:rPr>
          <w:b/>
          <w:bCs/>
          <w:sz w:val="32"/>
          <w:szCs w:val="32"/>
        </w:rPr>
        <w:t>资格证明文件</w:t>
      </w:r>
    </w:p>
    <w:p w14:paraId="6FB8202D"/>
    <w:p w14:paraId="1AE414B8"/>
    <w:p w14:paraId="0CA7A2FE"/>
    <w:p w14:paraId="332C5445">
      <w:pPr>
        <w:ind w:firstLine="480" w:firstLineChars="200"/>
        <w:rPr>
          <w:sz w:val="24"/>
          <w:szCs w:val="24"/>
        </w:rPr>
      </w:pPr>
      <w:r>
        <w:rPr>
          <w:sz w:val="24"/>
          <w:szCs w:val="24"/>
        </w:rPr>
        <w:t>项目名称：</w:t>
      </w:r>
    </w:p>
    <w:p w14:paraId="7327C8E6">
      <w:pPr>
        <w:ind w:firstLine="480" w:firstLineChars="200"/>
        <w:rPr>
          <w:sz w:val="24"/>
          <w:szCs w:val="24"/>
        </w:rPr>
      </w:pPr>
      <w:r>
        <w:rPr>
          <w:sz w:val="24"/>
          <w:szCs w:val="24"/>
        </w:rPr>
        <w:t>项目编号：</w:t>
      </w:r>
    </w:p>
    <w:p w14:paraId="7A21AFFC">
      <w:pPr>
        <w:ind w:firstLine="480" w:firstLineChars="200"/>
        <w:rPr>
          <w:sz w:val="24"/>
          <w:szCs w:val="24"/>
        </w:rPr>
      </w:pPr>
      <w:r>
        <w:rPr>
          <w:sz w:val="24"/>
          <w:szCs w:val="24"/>
        </w:rPr>
        <w:t>分标号：（若无留空或写“/”）</w:t>
      </w:r>
    </w:p>
    <w:p w14:paraId="48215E51">
      <w:pPr>
        <w:ind w:firstLine="480" w:firstLineChars="200"/>
        <w:rPr>
          <w:sz w:val="24"/>
          <w:szCs w:val="24"/>
        </w:rPr>
      </w:pPr>
      <w:r>
        <w:rPr>
          <w:sz w:val="24"/>
          <w:szCs w:val="24"/>
        </w:rPr>
        <w:t>供应商名称：</w:t>
      </w:r>
    </w:p>
    <w:p w14:paraId="600DD512">
      <w:pPr>
        <w:ind w:firstLine="480" w:firstLineChars="200"/>
        <w:rPr>
          <w:sz w:val="24"/>
          <w:szCs w:val="24"/>
        </w:rPr>
      </w:pPr>
      <w:r>
        <w:rPr>
          <w:sz w:val="24"/>
          <w:szCs w:val="24"/>
        </w:rPr>
        <w:t>供应商地址：</w:t>
      </w:r>
    </w:p>
    <w:p w14:paraId="12EF322C">
      <w:pPr>
        <w:pStyle w:val="8"/>
        <w:ind w:firstLine="480" w:firstLineChars="200"/>
        <w:rPr>
          <w:sz w:val="24"/>
          <w:szCs w:val="24"/>
        </w:rPr>
      </w:pPr>
    </w:p>
    <w:p w14:paraId="18304DED">
      <w:pPr>
        <w:ind w:firstLine="480" w:firstLineChars="200"/>
        <w:rPr>
          <w:sz w:val="24"/>
          <w:szCs w:val="24"/>
        </w:rPr>
      </w:pPr>
      <w:r>
        <w:rPr>
          <w:sz w:val="24"/>
          <w:szCs w:val="24"/>
        </w:rPr>
        <w:t>年月日</w:t>
      </w:r>
    </w:p>
    <w:p w14:paraId="7CDA6E44">
      <w:bookmarkStart w:id="103" w:name="_Toc254970698"/>
      <w:bookmarkStart w:id="104" w:name="_Toc254970557"/>
      <w:r>
        <w:br w:type="page"/>
      </w:r>
      <w:bookmarkEnd w:id="103"/>
      <w:bookmarkEnd w:id="104"/>
    </w:p>
    <w:p w14:paraId="3E5C3DAC">
      <w:pPr>
        <w:jc w:val="center"/>
        <w:rPr>
          <w:b/>
          <w:bCs/>
          <w:sz w:val="28"/>
          <w:szCs w:val="28"/>
        </w:rPr>
      </w:pPr>
      <w:r>
        <w:rPr>
          <w:b/>
          <w:bCs/>
          <w:sz w:val="28"/>
          <w:szCs w:val="28"/>
        </w:rPr>
        <w:t>目录</w:t>
      </w:r>
    </w:p>
    <w:p w14:paraId="5BCD5C7F">
      <w:pPr>
        <w:jc w:val="center"/>
        <w:rPr>
          <w:b/>
          <w:bCs/>
          <w:sz w:val="28"/>
          <w:szCs w:val="28"/>
        </w:rPr>
      </w:pPr>
      <w:r>
        <w:rPr>
          <w:b/>
          <w:bCs/>
          <w:sz w:val="28"/>
          <w:szCs w:val="28"/>
        </w:rPr>
        <w:t>（应有页码）</w:t>
      </w:r>
    </w:p>
    <w:p w14:paraId="3302E746">
      <w:r>
        <w:br w:type="page"/>
      </w:r>
    </w:p>
    <w:p w14:paraId="4AC5F98C">
      <w:pPr>
        <w:rPr>
          <w:b/>
          <w:bCs/>
        </w:rPr>
      </w:pPr>
      <w:bookmarkStart w:id="105" w:name="_Hlk19114217"/>
      <w:r>
        <w:rPr>
          <w:b/>
          <w:bCs/>
        </w:rPr>
        <w:t>1．投标声明书格式：</w:t>
      </w:r>
    </w:p>
    <w:p w14:paraId="4528E573"/>
    <w:p w14:paraId="5B04442D">
      <w:pPr>
        <w:jc w:val="center"/>
        <w:rPr>
          <w:b/>
          <w:bCs/>
          <w:sz w:val="32"/>
          <w:szCs w:val="32"/>
        </w:rPr>
      </w:pPr>
      <w:r>
        <w:rPr>
          <w:b/>
          <w:bCs/>
          <w:sz w:val="32"/>
          <w:szCs w:val="32"/>
        </w:rPr>
        <w:t>投标声明书</w:t>
      </w:r>
    </w:p>
    <w:p w14:paraId="7491AEB0"/>
    <w:p w14:paraId="01665AF2">
      <w:r>
        <w:rPr>
          <w:rFonts w:hint="eastAsia"/>
        </w:rPr>
        <w:t>致：</w:t>
      </w:r>
      <w:r>
        <w:rPr>
          <w:rFonts w:hint="eastAsia"/>
          <w:u w:val="single"/>
        </w:rPr>
        <w:t>（采购人名称）</w:t>
      </w:r>
    </w:p>
    <w:p w14:paraId="691FC31A">
      <w:pPr>
        <w:ind w:firstLine="420" w:firstLineChars="200"/>
      </w:pPr>
      <w:r>
        <w:rPr>
          <w:rFonts w:hint="eastAsia"/>
          <w:i/>
          <w:iCs/>
          <w:u w:val="single"/>
        </w:rPr>
        <w:t>（供应商名称）</w:t>
      </w:r>
      <w:r>
        <w:rPr>
          <w:rFonts w:hint="eastAsia"/>
        </w:rPr>
        <w:t>系中华人民共和国合法企业，</w:t>
      </w:r>
      <w:r>
        <w:rPr>
          <w:rFonts w:hint="eastAsia"/>
          <w:i/>
          <w:iCs/>
          <w:u w:val="single"/>
        </w:rPr>
        <w:t>（经营地址）</w:t>
      </w:r>
      <w:r>
        <w:rPr>
          <w:rFonts w:hint="eastAsia"/>
        </w:rPr>
        <w:t>。</w:t>
      </w:r>
    </w:p>
    <w:p w14:paraId="257148CF">
      <w:pPr>
        <w:ind w:firstLine="420" w:firstLineChars="200"/>
      </w:pPr>
      <w:r>
        <w:rPr>
          <w:rFonts w:hint="eastAsia"/>
        </w:rPr>
        <w:t>我</w:t>
      </w:r>
      <w:r>
        <w:rPr>
          <w:rFonts w:hint="eastAsia"/>
          <w:i/>
          <w:iCs/>
          <w:u w:val="single"/>
        </w:rPr>
        <w:t>（姓名）</w:t>
      </w:r>
      <w:r>
        <w:rPr>
          <w:rFonts w:hint="eastAsia"/>
        </w:rPr>
        <w:t>系</w:t>
      </w:r>
      <w:r>
        <w:rPr>
          <w:rFonts w:hint="eastAsia"/>
          <w:i/>
          <w:iCs/>
          <w:u w:val="single"/>
        </w:rPr>
        <w:t>（供应商名称）</w:t>
      </w:r>
      <w:r>
        <w:rPr>
          <w:rFonts w:hint="eastAsia"/>
        </w:rPr>
        <w:t>的法定代表人，我方愿意参加贵方组织的</w:t>
      </w:r>
      <w:r>
        <w:rPr>
          <w:rFonts w:hint="eastAsia"/>
          <w:i/>
          <w:iCs/>
          <w:u w:val="single"/>
        </w:rPr>
        <w:t>（项目名称）</w:t>
      </w:r>
      <w:r>
        <w:rPr>
          <w:rFonts w:hint="eastAsia"/>
        </w:rPr>
        <w:t>项目的投标，为便于贵方公正、择优地确定中标人及其投标产品和服务，我方就本次投标有关事项郑重声明如下：</w:t>
      </w:r>
    </w:p>
    <w:p w14:paraId="7CB13B62">
      <w:pPr>
        <w:ind w:firstLine="420" w:firstLineChars="200"/>
      </w:pPr>
      <w:r>
        <w:rPr>
          <w:rFonts w:hint="eastAsia"/>
        </w:rPr>
        <w:t>（1）我方向贵方提交的所有投标文件、资料都是准确的和真实的。</w:t>
      </w:r>
    </w:p>
    <w:p w14:paraId="5DB1416C">
      <w:pPr>
        <w:ind w:firstLine="420" w:firstLineChars="200"/>
      </w:pPr>
      <w:r>
        <w:rPr>
          <w:rFonts w:hint="eastAsia"/>
        </w:rPr>
        <w:t>（2）我方不是采购人的附属机构；也不是为本项目提供整体设计、规范编制或者项目管理、监理、检测等服务的供应商或其附属机构。</w:t>
      </w:r>
    </w:p>
    <w:p w14:paraId="74B5E757">
      <w:pPr>
        <w:ind w:firstLine="420" w:firstLineChars="200"/>
      </w:pPr>
      <w:r>
        <w:rPr>
          <w:rFonts w:hint="eastAsia"/>
        </w:rPr>
        <w:t>（3）我方承诺在参加本政府采购项目活动前，没有被纳入政府部门或银行认定的失信名单，我方具有良好的商业信誉。</w:t>
      </w:r>
    </w:p>
    <w:p w14:paraId="7800AD15">
      <w:pPr>
        <w:ind w:firstLine="420" w:firstLineChars="200"/>
      </w:pPr>
      <w:r>
        <w:rPr>
          <w:rFonts w:hint="eastAsia"/>
        </w:rPr>
        <w:t>（4）我方及本人承诺在参加本政府采购项目活动前三年内，在经营活动中没有重大违法记录及不良信用记录。重大违法记录是指供供应商因违法经营受到刑事处罚或者责令停产停业、吊销许可证或者执照、较大数额罚款等行政处罚。如我方提供的声明不实，则自愿承担《政府采购法》有关提供虚假材料的规定给予的处罚。</w:t>
      </w:r>
    </w:p>
    <w:p w14:paraId="089D09FE">
      <w:pPr>
        <w:ind w:firstLine="420" w:firstLineChars="200"/>
      </w:pPr>
      <w:r>
        <w:rPr>
          <w:rFonts w:hint="eastAsia"/>
        </w:rPr>
        <w:t>（5）我方承诺具有履行本项目合同所必需的设备和专业技术能力。</w:t>
      </w:r>
    </w:p>
    <w:p w14:paraId="291521B5">
      <w:pPr>
        <w:ind w:firstLine="420" w:firstLineChars="200"/>
      </w:pPr>
      <w:r>
        <w:rPr>
          <w:rFonts w:hint="eastAsia"/>
        </w:rPr>
        <w:t>（6）我方承诺未被列入失信被执行人、重大税收违法失信主体、政府采购严重违法失信行为记录名单，如我方提供的声明不实，则接受本次投标作为否决投标的处理，并根据财库〔2016〕125号《财政部关于在政府采购活动中查询及使用信用记录有关问题的通知》规定接受失信联合惩戒。</w:t>
      </w:r>
    </w:p>
    <w:p w14:paraId="4B28D0EA">
      <w:pPr>
        <w:ind w:firstLine="420" w:firstLineChars="200"/>
      </w:pPr>
      <w:r>
        <w:rPr>
          <w:rFonts w:hint="eastAsia"/>
        </w:rPr>
        <w:t>（7）我方承诺中标后按规定缴纳代理服务费。如未按时缴纳，贵方可不退还我方提交的投标保证金，并从中扣除代理服务费。</w:t>
      </w:r>
    </w:p>
    <w:p w14:paraId="062F31A3">
      <w:pPr>
        <w:ind w:firstLine="420" w:firstLineChars="200"/>
      </w:pPr>
      <w:r>
        <w:rPr>
          <w:rFonts w:hint="eastAsia"/>
        </w:rPr>
        <w:t>我方对以上声明负全部法律责任。如有虚假或隐瞒，我方愿意承担一切后果，并不再寻求任何旨在减轻或免除法律责任的辩解。</w:t>
      </w:r>
    </w:p>
    <w:bookmarkEnd w:id="105"/>
    <w:p w14:paraId="442C7110"/>
    <w:p w14:paraId="325EA540"/>
    <w:p w14:paraId="5BD3D33C">
      <w:pPr>
        <w:jc w:val="center"/>
      </w:pPr>
      <w:bookmarkStart w:id="106" w:name="_Hlk88990289"/>
      <w:r>
        <w:t>供应商名称（电子签章）</w:t>
      </w:r>
      <w:bookmarkEnd w:id="106"/>
      <w:r>
        <w:t>：</w:t>
      </w:r>
    </w:p>
    <w:p w14:paraId="14AC0701">
      <w:pPr>
        <w:jc w:val="center"/>
      </w:pPr>
      <w:r>
        <w:t>年月日</w:t>
      </w:r>
    </w:p>
    <w:p w14:paraId="0871D9EC">
      <w:r>
        <w:rPr>
          <w:rFonts w:ascii="Arial" w:hAnsi="Arial" w:cs="Arial"/>
        </w:rPr>
        <w:br w:type="page"/>
      </w:r>
      <w:r>
        <w:rPr>
          <w:rFonts w:hint="eastAsia"/>
        </w:rPr>
        <w:t>2．法人或者其他组织的营业执照等证明文件、自然人的身份证明。即供应商是企业则提供营业执照（副本）</w:t>
      </w:r>
      <w:r>
        <w:rPr>
          <w:rFonts w:hint="eastAsia"/>
          <w:lang w:eastAsia="zh-CN"/>
        </w:rPr>
        <w:t>扫描件</w:t>
      </w:r>
      <w:r>
        <w:rPr>
          <w:rFonts w:hint="eastAsia"/>
        </w:rPr>
        <w:t>；供应商是事业单位，则提供事业单位法人证书（副本）</w:t>
      </w:r>
      <w:r>
        <w:rPr>
          <w:rFonts w:hint="eastAsia"/>
          <w:lang w:eastAsia="zh-CN"/>
        </w:rPr>
        <w:t>扫描件</w:t>
      </w:r>
      <w:r>
        <w:rPr>
          <w:rFonts w:hint="eastAsia"/>
        </w:rPr>
        <w:t>；供应商是非企业专业服务机构的，则提供执业许可证等证明文件</w:t>
      </w:r>
      <w:r>
        <w:rPr>
          <w:rFonts w:hint="eastAsia"/>
          <w:lang w:eastAsia="zh-CN"/>
        </w:rPr>
        <w:t>扫描件</w:t>
      </w:r>
      <w:r>
        <w:rPr>
          <w:rFonts w:hint="eastAsia"/>
        </w:rPr>
        <w:t>；供应商是个体工商户，则提供个体工商户营业执照</w:t>
      </w:r>
      <w:r>
        <w:rPr>
          <w:rFonts w:hint="eastAsia"/>
          <w:lang w:eastAsia="zh-CN"/>
        </w:rPr>
        <w:t>扫描件</w:t>
      </w:r>
      <w:r>
        <w:rPr>
          <w:rFonts w:hint="eastAsia"/>
        </w:rPr>
        <w:t>；供应商是自然人，则提供有效的自然人身份证明</w:t>
      </w:r>
      <w:r>
        <w:rPr>
          <w:rFonts w:hint="eastAsia"/>
          <w:lang w:eastAsia="zh-CN"/>
        </w:rPr>
        <w:t>扫描件</w:t>
      </w:r>
      <w:r>
        <w:rPr>
          <w:rFonts w:hint="eastAsia"/>
        </w:rPr>
        <w:t>；如供应商不是以上所列的法人、组织、自然人的，则提供国家规定的相关证明材料。（加盖供应商电子签章）。</w:t>
      </w:r>
    </w:p>
    <w:p w14:paraId="3B78820B"/>
    <w:p w14:paraId="54EEC1A3">
      <w:bookmarkStart w:id="107" w:name="_Hlk19114230"/>
      <w:r>
        <w:rPr>
          <w:rFonts w:hint="eastAsia"/>
        </w:rPr>
        <w:t>3．202</w:t>
      </w:r>
      <w:r>
        <w:rPr>
          <w:rFonts w:hint="eastAsia"/>
          <w:lang w:val="en-US" w:eastAsia="zh-CN"/>
        </w:rPr>
        <w:t>4</w:t>
      </w:r>
      <w:r>
        <w:rPr>
          <w:rFonts w:hint="eastAsia"/>
        </w:rPr>
        <w:t>年</w:t>
      </w:r>
      <w:r>
        <w:rPr>
          <w:rFonts w:hint="eastAsia"/>
          <w:lang w:val="en-US" w:eastAsia="zh-CN"/>
        </w:rPr>
        <w:t>度或2025年度</w:t>
      </w:r>
      <w:r>
        <w:rPr>
          <w:rFonts w:hint="eastAsia"/>
        </w:rPr>
        <w:t>财务状况报告（表）</w:t>
      </w:r>
      <w:r>
        <w:rPr>
          <w:rFonts w:hint="eastAsia"/>
          <w:lang w:eastAsia="zh-CN"/>
        </w:rPr>
        <w:t>扫描件</w:t>
      </w:r>
      <w:r>
        <w:rPr>
          <w:rFonts w:hint="eastAsia"/>
        </w:rPr>
        <w:t>或银行出具的资信证明</w:t>
      </w:r>
      <w:r>
        <w:rPr>
          <w:rFonts w:hint="eastAsia"/>
          <w:lang w:eastAsia="zh-CN"/>
        </w:rPr>
        <w:t>扫描件</w:t>
      </w:r>
      <w:r>
        <w:rPr>
          <w:rFonts w:hint="eastAsia"/>
        </w:rPr>
        <w:t>。对于从取得营业执照时间起到开标时间为止不足1年的供应商，只需提交开标时间前一个月的财务状况报告（表）</w:t>
      </w:r>
      <w:r>
        <w:rPr>
          <w:rFonts w:hint="eastAsia"/>
          <w:lang w:eastAsia="zh-CN"/>
        </w:rPr>
        <w:t>扫描件</w:t>
      </w:r>
      <w:r>
        <w:rPr>
          <w:rFonts w:hint="eastAsia"/>
        </w:rPr>
        <w:t>。（按“评审方法及评审标准” “资格审查表”规定提供）。（加盖供应商电子签章）。</w:t>
      </w:r>
    </w:p>
    <w:p w14:paraId="60864370"/>
    <w:bookmarkEnd w:id="107"/>
    <w:p w14:paraId="368682C8">
      <w:r>
        <w:rPr>
          <w:rFonts w:hint="eastAsia"/>
        </w:rPr>
        <w:t>4．投标截止时间前6个月内，供应商任意1个月依法缴纳税费证明和社会保险缴纳证明材料。供应商成立不足1个月的，无须提供缴纳税费证明及社保缴费证明。依法免税或不需要缴纳社会保障资金的供应商，须提供相应文件证明其依法免税或不需要缴纳社会保障资金。（按“评审方法及评审标准” “资格审查表”规定提供）（加盖供应商电子签章）。</w:t>
      </w:r>
    </w:p>
    <w:p w14:paraId="288E42A5"/>
    <w:p w14:paraId="16239528"/>
    <w:p w14:paraId="63AD325B">
      <w:bookmarkStart w:id="108" w:name="_Hlk19114283"/>
      <w:r>
        <w:rPr>
          <w:rFonts w:hint="eastAsia"/>
        </w:rPr>
        <w:t>5．具备法律、行政法规规定的其他要求的证明材料（按“评审方法及评审标准” “资格审查表”规定提供）。</w:t>
      </w:r>
      <w:bookmarkStart w:id="109" w:name="_Hlk48144477"/>
      <w:r>
        <w:rPr>
          <w:rFonts w:hint="eastAsia"/>
          <w:b/>
          <w:bCs/>
        </w:rPr>
        <w:t>（如招标文件有要求时提供）</w:t>
      </w:r>
      <w:bookmarkEnd w:id="109"/>
    </w:p>
    <w:p w14:paraId="0DF2FFCA"/>
    <w:p w14:paraId="6C45C113">
      <w:r>
        <w:rPr>
          <w:rFonts w:hint="eastAsia"/>
        </w:rPr>
        <w:t>6．满足供应商特定资格条件的其他证明材料加盖供应商电子签章（按“评审方法及评审标准” “资格审查表”“</w:t>
      </w:r>
      <w:r>
        <w:rPr>
          <w:rFonts w:hint="eastAsia"/>
          <w:lang w:val="zh-CN"/>
        </w:rPr>
        <w:t>供应商应符合的</w:t>
      </w:r>
      <w:r>
        <w:rPr>
          <w:rFonts w:hint="eastAsia"/>
        </w:rPr>
        <w:t>特定资格条件”规定提供）。</w:t>
      </w:r>
      <w:r>
        <w:rPr>
          <w:rFonts w:hint="eastAsia"/>
          <w:b/>
          <w:bCs/>
        </w:rPr>
        <w:t>（如招标文件有要求时提供）</w:t>
      </w:r>
    </w:p>
    <w:p w14:paraId="71D3657F">
      <w:pPr>
        <w:sectPr>
          <w:headerReference r:id="rId13" w:type="first"/>
          <w:headerReference r:id="rId12" w:type="default"/>
          <w:pgSz w:w="11906" w:h="16838"/>
          <w:pgMar w:top="1418" w:right="1133" w:bottom="1246" w:left="1418" w:header="851" w:footer="992" w:gutter="0"/>
          <w:pgBorders>
            <w:top w:val="none" w:sz="0" w:space="0"/>
            <w:left w:val="none" w:sz="0" w:space="0"/>
            <w:bottom w:val="none" w:sz="0" w:space="0"/>
            <w:right w:val="none" w:sz="0" w:space="0"/>
          </w:pgBorders>
          <w:cols w:space="720" w:num="1"/>
          <w:docGrid w:linePitch="312" w:charSpace="0"/>
        </w:sectPr>
      </w:pPr>
    </w:p>
    <w:p w14:paraId="68652B32">
      <w:r>
        <w:rPr>
          <w:rFonts w:hint="eastAsia"/>
        </w:rPr>
        <w:t>7．符合政府采购政策要求的证明材料。</w:t>
      </w:r>
    </w:p>
    <w:p w14:paraId="0BE67281">
      <w:r>
        <w:rPr>
          <w:rFonts w:hint="eastAsia"/>
        </w:rPr>
        <w:t>7.1符合中小企业政府采购政策证明材料。</w:t>
      </w:r>
    </w:p>
    <w:p w14:paraId="70A441CF"/>
    <w:p w14:paraId="034B882C">
      <w:pPr>
        <w:jc w:val="center"/>
        <w:rPr>
          <w:b/>
          <w:bCs/>
          <w:sz w:val="28"/>
          <w:szCs w:val="28"/>
        </w:rPr>
      </w:pPr>
      <w:r>
        <w:rPr>
          <w:b/>
          <w:bCs/>
          <w:sz w:val="28"/>
          <w:szCs w:val="28"/>
        </w:rPr>
        <w:t>中小企业声明函（</w:t>
      </w:r>
      <w:r>
        <w:rPr>
          <w:rFonts w:hint="eastAsia"/>
          <w:b/>
          <w:bCs/>
          <w:sz w:val="28"/>
          <w:szCs w:val="28"/>
        </w:rPr>
        <w:t>货物</w:t>
      </w:r>
      <w:r>
        <w:rPr>
          <w:b/>
          <w:bCs/>
          <w:sz w:val="28"/>
          <w:szCs w:val="28"/>
        </w:rPr>
        <w:t>）</w:t>
      </w:r>
    </w:p>
    <w:p w14:paraId="575A2928">
      <w:pPr>
        <w:spacing w:line="360" w:lineRule="auto"/>
        <w:ind w:firstLine="420"/>
        <w:rPr>
          <w:bCs/>
          <w:szCs w:val="21"/>
        </w:rPr>
      </w:pPr>
      <w:r>
        <w:rPr>
          <w:rFonts w:hint="eastAsia"/>
          <w:bCs/>
          <w:szCs w:val="21"/>
        </w:rPr>
        <w:t>本公司（联合体）郑重声明，根据《政府采购促进中小企业发展管理办法》（财库﹝2020﹞46 号）的规定，本公司（联合体）参加</w:t>
      </w:r>
      <w:r>
        <w:rPr>
          <w:rFonts w:hint="eastAsia"/>
          <w:bCs/>
          <w:szCs w:val="21"/>
          <w:u w:val="single"/>
        </w:rPr>
        <w:t>（单位名称）</w:t>
      </w:r>
      <w:r>
        <w:rPr>
          <w:rFonts w:hint="eastAsia"/>
          <w:bCs/>
          <w:szCs w:val="21"/>
        </w:rPr>
        <w:t>的</w:t>
      </w:r>
      <w:r>
        <w:rPr>
          <w:rFonts w:hint="eastAsia"/>
          <w:bCs/>
          <w:szCs w:val="21"/>
          <w:u w:val="single"/>
        </w:rPr>
        <w:t>（项目名称）</w:t>
      </w:r>
      <w:r>
        <w:rPr>
          <w:rFonts w:hint="eastAsia"/>
          <w:bCs/>
          <w:szCs w:val="21"/>
        </w:rPr>
        <w:t>采购活动，提供的货物全部由符合政策要求的中小企业制造。相关企业（含联合体中的中小企业、签订分包意向协议的中小企业） 的具体情况如下：</w:t>
      </w:r>
    </w:p>
    <w:p w14:paraId="3B6662B5">
      <w:pPr>
        <w:spacing w:line="360" w:lineRule="auto"/>
        <w:ind w:firstLine="420"/>
        <w:rPr>
          <w:bCs/>
          <w:szCs w:val="21"/>
        </w:rPr>
      </w:pPr>
      <w:r>
        <w:rPr>
          <w:bCs/>
          <w:szCs w:val="21"/>
        </w:rPr>
        <w:t>1.</w:t>
      </w:r>
      <w:r>
        <w:rPr>
          <w:rFonts w:hint="eastAsia"/>
          <w:bCs/>
          <w:szCs w:val="21"/>
          <w:u w:val="single"/>
        </w:rPr>
        <w:t>（标的名称）</w:t>
      </w:r>
      <w:r>
        <w:rPr>
          <w:rFonts w:hint="eastAsia"/>
          <w:bCs/>
          <w:szCs w:val="21"/>
        </w:rPr>
        <w:t>，属于</w:t>
      </w:r>
      <w:r>
        <w:rPr>
          <w:rFonts w:hint="eastAsia"/>
          <w:bCs/>
          <w:szCs w:val="21"/>
          <w:u w:val="single"/>
        </w:rPr>
        <w:t>（招标文件中明确的所属行业）</w:t>
      </w:r>
      <w:r>
        <w:rPr>
          <w:rFonts w:hint="eastAsia"/>
          <w:bCs/>
          <w:szCs w:val="21"/>
        </w:rPr>
        <w:t>行业；制造商为</w:t>
      </w:r>
      <w:r>
        <w:rPr>
          <w:rFonts w:hint="eastAsia"/>
          <w:bCs/>
          <w:szCs w:val="21"/>
          <w:u w:val="single"/>
        </w:rPr>
        <w:t>（企业名称）</w:t>
      </w:r>
      <w:r>
        <w:rPr>
          <w:rFonts w:hint="eastAsia"/>
          <w:bCs/>
          <w:szCs w:val="21"/>
        </w:rPr>
        <w:t>，从业人员人，营业收入为万元，资产总额为万元，属于</w:t>
      </w:r>
      <w:r>
        <w:rPr>
          <w:rFonts w:hint="eastAsia"/>
          <w:bCs/>
          <w:szCs w:val="21"/>
          <w:u w:val="single"/>
        </w:rPr>
        <w:t>（中型企业、小型企业、微型企业）</w:t>
      </w:r>
      <w:r>
        <w:rPr>
          <w:rFonts w:hint="eastAsia"/>
          <w:bCs/>
          <w:szCs w:val="21"/>
        </w:rPr>
        <w:t>；</w:t>
      </w:r>
    </w:p>
    <w:p w14:paraId="72E172AC">
      <w:pPr>
        <w:spacing w:line="360" w:lineRule="auto"/>
        <w:ind w:firstLine="420"/>
        <w:rPr>
          <w:bCs/>
          <w:szCs w:val="21"/>
        </w:rPr>
      </w:pPr>
      <w:r>
        <w:rPr>
          <w:bCs/>
          <w:szCs w:val="21"/>
        </w:rPr>
        <w:t>2.</w:t>
      </w:r>
      <w:r>
        <w:rPr>
          <w:rFonts w:hint="eastAsia"/>
          <w:bCs/>
          <w:szCs w:val="21"/>
          <w:u w:val="single"/>
        </w:rPr>
        <w:t>（标的名称）</w:t>
      </w:r>
      <w:r>
        <w:rPr>
          <w:rFonts w:hint="eastAsia"/>
          <w:bCs/>
          <w:szCs w:val="21"/>
        </w:rPr>
        <w:t>，属于</w:t>
      </w:r>
      <w:r>
        <w:rPr>
          <w:rFonts w:hint="eastAsia"/>
          <w:bCs/>
          <w:szCs w:val="21"/>
          <w:u w:val="single"/>
        </w:rPr>
        <w:t>（招标文件中明确的所属行业）</w:t>
      </w:r>
      <w:r>
        <w:rPr>
          <w:rFonts w:hint="eastAsia"/>
          <w:bCs/>
          <w:szCs w:val="21"/>
        </w:rPr>
        <w:t>行业；制造商为</w:t>
      </w:r>
      <w:r>
        <w:rPr>
          <w:rFonts w:hint="eastAsia"/>
          <w:bCs/>
          <w:szCs w:val="21"/>
          <w:u w:val="single"/>
        </w:rPr>
        <w:t>（企业名称）</w:t>
      </w:r>
      <w:r>
        <w:rPr>
          <w:rFonts w:hint="eastAsia"/>
          <w:bCs/>
          <w:szCs w:val="21"/>
        </w:rPr>
        <w:t>，从业人员人，营业收入为万元，资产总额为万元，属于</w:t>
      </w:r>
      <w:r>
        <w:rPr>
          <w:rFonts w:hint="eastAsia"/>
          <w:bCs/>
          <w:szCs w:val="21"/>
          <w:u w:val="single"/>
        </w:rPr>
        <w:t>（中型企业、小型企业、微型企业）</w:t>
      </w:r>
      <w:r>
        <w:rPr>
          <w:rFonts w:hint="eastAsia"/>
          <w:bCs/>
          <w:szCs w:val="21"/>
        </w:rPr>
        <w:t>；</w:t>
      </w:r>
    </w:p>
    <w:p w14:paraId="268EB17C">
      <w:pPr>
        <w:spacing w:line="360" w:lineRule="auto"/>
        <w:ind w:firstLine="420"/>
        <w:rPr>
          <w:bCs/>
          <w:szCs w:val="21"/>
        </w:rPr>
      </w:pPr>
      <w:r>
        <w:rPr>
          <w:rFonts w:hint="eastAsia"/>
          <w:bCs/>
          <w:szCs w:val="21"/>
        </w:rPr>
        <w:t>……</w:t>
      </w:r>
    </w:p>
    <w:p w14:paraId="099DA19E">
      <w:pPr>
        <w:spacing w:line="360" w:lineRule="auto"/>
        <w:ind w:firstLine="420"/>
        <w:rPr>
          <w:bCs/>
          <w:szCs w:val="21"/>
        </w:rPr>
      </w:pPr>
      <w:r>
        <w:rPr>
          <w:rFonts w:hint="eastAsia"/>
          <w:bCs/>
          <w:szCs w:val="21"/>
        </w:rPr>
        <w:t>以上企业，不属于大企业的分支机构，不存在控股股东为大企业的情形，也不存在与大企业的负责人为同一人的情形。</w:t>
      </w:r>
    </w:p>
    <w:p w14:paraId="4B05E8FD">
      <w:pPr>
        <w:ind w:firstLine="420" w:firstLineChars="200"/>
      </w:pPr>
      <w:r>
        <w:rPr>
          <w:rFonts w:hint="eastAsia"/>
          <w:bCs/>
          <w:szCs w:val="21"/>
        </w:rPr>
        <w:t>本企业对上述声明内容的真实性负责。如有虚假，将依法承担相应责任。</w:t>
      </w:r>
    </w:p>
    <w:p w14:paraId="37840455"/>
    <w:p w14:paraId="2333F940">
      <w:pPr>
        <w:jc w:val="center"/>
      </w:pPr>
      <w:r>
        <w:rPr>
          <w:rFonts w:hint="eastAsia"/>
        </w:rPr>
        <w:t>企业名称（电子签章）：</w:t>
      </w:r>
    </w:p>
    <w:p w14:paraId="4D440729">
      <w:pPr>
        <w:jc w:val="center"/>
      </w:pPr>
      <w:r>
        <w:rPr>
          <w:rFonts w:hint="eastAsia"/>
        </w:rPr>
        <w:t>日期：</w:t>
      </w:r>
    </w:p>
    <w:p w14:paraId="5B08ED49"/>
    <w:p w14:paraId="0CD84759">
      <w:pPr>
        <w:ind w:firstLine="420" w:firstLineChars="200"/>
      </w:pPr>
    </w:p>
    <w:p w14:paraId="07AE305C">
      <w:pPr>
        <w:ind w:firstLine="420" w:firstLineChars="200"/>
      </w:pPr>
      <w:r>
        <w:rPr>
          <w:rFonts w:hint="eastAsia"/>
        </w:rPr>
        <w:t>注：（1）如供应商为联合体或分包的，声明函中“项目名称”应填写联合体中中小企业承担的具体内容或者中小企业具体分包内容。</w:t>
      </w:r>
    </w:p>
    <w:p w14:paraId="7B50A590">
      <w:pPr>
        <w:ind w:firstLine="420" w:firstLineChars="200"/>
      </w:pPr>
      <w:r>
        <w:rPr>
          <w:rFonts w:hint="eastAsia"/>
        </w:rPr>
        <w:t>（2）请根据真实情况出具《中小企业声明函》。依法享受中小企业优惠政策的，采购人或采购代理机构在公告成交结果时，同时公告其《中小企业声明函》，接受社会监督。</w:t>
      </w:r>
    </w:p>
    <w:p w14:paraId="7CD9BBC2">
      <w:pPr>
        <w:ind w:firstLine="420" w:firstLineChars="200"/>
      </w:pPr>
      <w:r>
        <w:rPr>
          <w:rFonts w:hint="eastAsia"/>
        </w:rPr>
        <w:t>（3）从业人员、营业收入、资产总额填报上一年度数据，无上一年度数据的新成立企业参照国务院批准的中小企业划分标准，根据企业自身情况如实判断。</w:t>
      </w:r>
    </w:p>
    <w:p w14:paraId="05923800"/>
    <w:p w14:paraId="424B3C3E"/>
    <w:p w14:paraId="12979E33">
      <w:r>
        <w:rPr>
          <w:rFonts w:hint="eastAsia"/>
        </w:rPr>
        <w:t>7.2监狱企业须提供最新一期《XX省监狱企业产品目录》或其他监狱企业证明材料。（非监狱企业无需提供）</w:t>
      </w:r>
    </w:p>
    <w:p w14:paraId="67E9CB0C"/>
    <w:p w14:paraId="5CD19BA0">
      <w:r>
        <w:rPr>
          <w:rFonts w:hint="eastAsia"/>
        </w:rPr>
        <w:br w:type="page"/>
      </w:r>
    </w:p>
    <w:p w14:paraId="20EB83D5">
      <w:r>
        <w:rPr>
          <w:rFonts w:hint="eastAsia"/>
        </w:rPr>
        <w:t>7.3残疾人福利性单位须提供《残疾人福利性单位声明函》，格式如下。（非残疾人福利性单位无需提供）</w:t>
      </w:r>
    </w:p>
    <w:p w14:paraId="5CE83827"/>
    <w:p w14:paraId="2E1A1226">
      <w:pPr>
        <w:jc w:val="center"/>
        <w:rPr>
          <w:b/>
          <w:bCs/>
          <w:sz w:val="28"/>
          <w:szCs w:val="28"/>
        </w:rPr>
      </w:pPr>
      <w:r>
        <w:rPr>
          <w:b/>
          <w:bCs/>
          <w:sz w:val="28"/>
          <w:szCs w:val="28"/>
        </w:rPr>
        <w:t>残疾人福利性单位声明函</w:t>
      </w:r>
    </w:p>
    <w:p w14:paraId="0C3341F5">
      <w:pPr>
        <w:ind w:firstLine="420" w:firstLineChars="200"/>
      </w:pPr>
      <w:r>
        <w:rPr>
          <w:rFonts w:hint="eastAsia"/>
        </w:rPr>
        <w:t>本单位郑重声明，根据《财政部 民政部 中国残疾人联合会关于促进残疾人就业政府采购政策的通知》（财库〔2017〕141号）的规定，本单位为符合条件的残疾人福利性单位，且本单位参加</w:t>
      </w:r>
      <w:r>
        <w:rPr>
          <w:rFonts w:hint="eastAsia"/>
          <w:u w:val="single"/>
        </w:rPr>
        <w:t xml:space="preserve">    </w:t>
      </w:r>
      <w:r>
        <w:rPr>
          <w:rFonts w:hint="eastAsia"/>
        </w:rPr>
        <w:t>单位的</w:t>
      </w:r>
      <w:r>
        <w:rPr>
          <w:rFonts w:hint="eastAsia"/>
          <w:u w:val="single"/>
        </w:rPr>
        <w:t xml:space="preserve">          </w:t>
      </w:r>
      <w:r>
        <w:rPr>
          <w:rFonts w:hint="eastAsia"/>
        </w:rPr>
        <w:t>项目采购活动提供本单位制造的货物（由本单位承担工程/提供服务），或者提供其他残疾人福利性单位制造的货物（不包括使用非残疾人福利性单位注册商标的货物）。</w:t>
      </w:r>
    </w:p>
    <w:p w14:paraId="695B5915">
      <w:pPr>
        <w:ind w:firstLine="420" w:firstLineChars="200"/>
      </w:pPr>
      <w:r>
        <w:rPr>
          <w:rFonts w:hint="eastAsia"/>
        </w:rPr>
        <w:t>本单位对上述声明的真实性负责。如有虚假，将依法承担相应责任。</w:t>
      </w:r>
    </w:p>
    <w:p w14:paraId="7A5152A5">
      <w:r>
        <w:rPr>
          <w:rFonts w:hint="eastAsia"/>
        </w:rPr>
        <w:t xml:space="preserve">                                              </w:t>
      </w:r>
    </w:p>
    <w:p w14:paraId="373FA228">
      <w:pPr>
        <w:jc w:val="center"/>
      </w:pPr>
      <w:r>
        <w:rPr>
          <w:rFonts w:hint="eastAsia"/>
        </w:rPr>
        <w:t>单位名称（电子签章）：</w:t>
      </w:r>
    </w:p>
    <w:p w14:paraId="2340D0C6">
      <w:pPr>
        <w:jc w:val="center"/>
      </w:pPr>
      <w:r>
        <w:rPr>
          <w:rFonts w:hint="eastAsia"/>
        </w:rPr>
        <w:t>日  期：</w:t>
      </w:r>
    </w:p>
    <w:p w14:paraId="473B24D0"/>
    <w:p w14:paraId="729E3BEB"/>
    <w:p w14:paraId="24380F58"/>
    <w:p w14:paraId="3F8241A8"/>
    <w:p w14:paraId="2E15DBDC"/>
    <w:p w14:paraId="5F914AFC">
      <w:r>
        <w:rPr>
          <w:rFonts w:hint="eastAsia"/>
        </w:rPr>
        <w:t>7.4如本项目允许分包，非中小企业供应商应提供分包意向协议书，分包意向协议书格式自拟。</w:t>
      </w:r>
    </w:p>
    <w:p w14:paraId="39AE345A">
      <w:r>
        <w:rPr>
          <w:rFonts w:hint="eastAsia"/>
        </w:rPr>
        <w:t>如预留份额专门面向中小企业采购时，应明确比例分包意向协议书应明确约定分包给中小企业合同金额的比例达到30%以上，且中小企业合同金额中预留给小微企业的比例不低于60% 。例1：预算金额为300万元，预留90万元或以上分包给中小企业，其中有54万元或以上是小微企业承担，36万或以上为中型企业承担。例2：预算金额为300万元，预留90万或以上分包给小微企业。</w:t>
      </w:r>
    </w:p>
    <w:p w14:paraId="783001C9"/>
    <w:p w14:paraId="6E3B4ABC"/>
    <w:p w14:paraId="184BC754">
      <w:r>
        <w:rPr>
          <w:rFonts w:hint="eastAsia"/>
        </w:rPr>
        <w:t>7.5如本项目接受联合体，供应商应提交联合体协议书。联合体协议书格式如下：</w:t>
      </w:r>
    </w:p>
    <w:p w14:paraId="4A187E73">
      <w:pPr>
        <w:rPr>
          <w:rFonts w:ascii="Arial" w:hAnsi="Arial" w:cs="Arial"/>
        </w:rPr>
      </w:pPr>
      <w:r>
        <w:rPr>
          <w:rFonts w:hint="eastAsia"/>
        </w:rPr>
        <w:t>如预留份额专门面向中小企业采购时，应明确比例联合体协议书中明确中小企业承担的金额比例达到30%以上，且中小企业承担金额中预留给小微企业的比例不低于60%。</w:t>
      </w:r>
      <w:r>
        <w:rPr>
          <w:rFonts w:ascii="Arial" w:hAnsi="Arial" w:cs="Arial"/>
        </w:rPr>
        <w:br w:type="page"/>
      </w:r>
    </w:p>
    <w:p w14:paraId="5C357C1E">
      <w:pPr>
        <w:pStyle w:val="8"/>
        <w:jc w:val="center"/>
        <w:rPr>
          <w:b/>
          <w:bCs/>
          <w:sz w:val="28"/>
          <w:szCs w:val="28"/>
        </w:rPr>
      </w:pPr>
      <w:r>
        <w:rPr>
          <w:b/>
          <w:bCs/>
          <w:sz w:val="28"/>
          <w:szCs w:val="28"/>
        </w:rPr>
        <w:t>联合体协议书</w:t>
      </w:r>
    </w:p>
    <w:p w14:paraId="27223B0B">
      <w:pPr>
        <w:pStyle w:val="8"/>
      </w:pPr>
    </w:p>
    <w:p w14:paraId="6C13F8EC">
      <w:pPr>
        <w:ind w:firstLine="420" w:firstLineChars="200"/>
      </w:pPr>
      <w:r>
        <w:rPr>
          <w:rFonts w:hint="eastAsia"/>
          <w:u w:val="single"/>
        </w:rPr>
        <w:t xml:space="preserve"> （所有成员单位名称）</w:t>
      </w:r>
      <w:r>
        <w:rPr>
          <w:rFonts w:hint="eastAsia"/>
        </w:rPr>
        <w:t>自愿组成</w:t>
      </w:r>
      <w:r>
        <w:rPr>
          <w:rFonts w:hint="eastAsia"/>
          <w:u w:val="single"/>
        </w:rPr>
        <w:t xml:space="preserve">        （联合体名称）</w:t>
      </w:r>
      <w:r>
        <w:rPr>
          <w:rFonts w:hint="eastAsia"/>
        </w:rPr>
        <w:t>联合体，共同参加</w:t>
      </w:r>
      <w:r>
        <w:rPr>
          <w:rFonts w:hint="eastAsia"/>
          <w:u w:val="single"/>
        </w:rPr>
        <w:t xml:space="preserve"> </w:t>
      </w:r>
      <w:r>
        <w:rPr>
          <w:rFonts w:hint="eastAsia"/>
          <w:u w:val="single"/>
        </w:rPr>
        <w:tab/>
      </w:r>
      <w:r>
        <w:rPr>
          <w:rFonts w:hint="eastAsia"/>
          <w:u w:val="single"/>
        </w:rPr>
        <w:t>（项目名称）</w:t>
      </w:r>
      <w:r>
        <w:rPr>
          <w:rFonts w:hint="eastAsia"/>
        </w:rPr>
        <w:t>采购招标项目投标。现就联合体投标事宜订立如下协议。</w:t>
      </w:r>
    </w:p>
    <w:p w14:paraId="3DAD796F">
      <w:pPr>
        <w:pStyle w:val="8"/>
        <w:ind w:firstLineChars="200"/>
      </w:pPr>
    </w:p>
    <w:p w14:paraId="734C63C1">
      <w:pPr>
        <w:ind w:firstLine="420" w:firstLineChars="200"/>
      </w:pPr>
      <w:r>
        <w:rPr>
          <w:rFonts w:hint="eastAsia"/>
        </w:rPr>
        <w:t>1.</w:t>
      </w:r>
      <w:r>
        <w:rPr>
          <w:rFonts w:hint="eastAsia"/>
          <w:u w:val="single"/>
        </w:rPr>
        <w:t xml:space="preserve">   </w:t>
      </w:r>
      <w:r>
        <w:rPr>
          <w:rFonts w:hint="eastAsia"/>
          <w:u w:val="single"/>
        </w:rPr>
        <w:tab/>
      </w:r>
      <w:r>
        <w:rPr>
          <w:rFonts w:hint="eastAsia"/>
          <w:u w:val="single"/>
        </w:rPr>
        <w:t>（某成员单位名称）</w:t>
      </w:r>
      <w:r>
        <w:rPr>
          <w:rFonts w:hint="eastAsia"/>
        </w:rPr>
        <w:t>为</w:t>
      </w:r>
      <w:r>
        <w:rPr>
          <w:rFonts w:hint="eastAsia"/>
          <w:u w:val="single"/>
        </w:rPr>
        <w:t xml:space="preserve"> </w:t>
      </w:r>
      <w:r>
        <w:rPr>
          <w:rFonts w:hint="eastAsia"/>
          <w:u w:val="single"/>
        </w:rPr>
        <w:tab/>
      </w:r>
      <w:r>
        <w:rPr>
          <w:rFonts w:hint="eastAsia"/>
          <w:u w:val="single"/>
        </w:rPr>
        <w:t>（联合体名称）</w:t>
      </w:r>
      <w:r>
        <w:rPr>
          <w:rFonts w:hint="eastAsia"/>
        </w:rPr>
        <w:t>牵头人。</w:t>
      </w:r>
    </w:p>
    <w:p w14:paraId="1AC27F21">
      <w:pPr>
        <w:ind w:firstLine="420" w:firstLineChars="200"/>
      </w:pPr>
      <w:r>
        <w:rPr>
          <w:rFonts w:hint="eastAsia"/>
        </w:rPr>
        <w:t>2.联合体各成员授权牵头人代表联合体参加投标活动，签署文件及对文件的盖章，提交和接收相关的资料、信息及指示，进行合同谈判活动，负责合同实施阶段的组织和协调工作，以及处理与本招标项 目有关的一切事宜。</w:t>
      </w:r>
    </w:p>
    <w:p w14:paraId="28EF5032">
      <w:pPr>
        <w:ind w:firstLine="420" w:firstLineChars="200"/>
      </w:pPr>
      <w:r>
        <w:rPr>
          <w:rFonts w:hint="eastAsia"/>
        </w:rPr>
        <w:t>3.联合体牵头人在本项目中签署和盖章的一切文件和处理的一切事宜，联合体各成员均予以承认。联合体各成员将严格按照招标文件、投标文件和合同的要求全面履行义务，并向采购人承担连带责任。</w:t>
      </w:r>
    </w:p>
    <w:p w14:paraId="63F973BB">
      <w:pPr>
        <w:ind w:firstLine="420" w:firstLineChars="200"/>
      </w:pPr>
      <w:r>
        <w:rPr>
          <w:rFonts w:hint="eastAsia"/>
        </w:rPr>
        <w:t>4.联合体各成员单位内部的职责分工如下：</w:t>
      </w:r>
      <w:r>
        <w:rPr>
          <w:rFonts w:hint="eastAsia"/>
          <w:u w:val="single"/>
        </w:rPr>
        <w:t xml:space="preserve">                   </w:t>
      </w:r>
      <w:r>
        <w:rPr>
          <w:rFonts w:hint="eastAsia"/>
          <w:u w:val="single"/>
        </w:rPr>
        <w:tab/>
      </w:r>
      <w:r>
        <w:rPr>
          <w:rFonts w:hint="eastAsia"/>
        </w:rPr>
        <w:t>。</w:t>
      </w:r>
    </w:p>
    <w:p w14:paraId="32A30C18">
      <w:pPr>
        <w:ind w:firstLine="420" w:firstLineChars="200"/>
      </w:pPr>
      <w:r>
        <w:rPr>
          <w:rFonts w:hint="eastAsia"/>
        </w:rPr>
        <w:t>5.联合体中为中小企业的成员名称：</w:t>
      </w:r>
      <w:r>
        <w:rPr>
          <w:rFonts w:hint="eastAsia"/>
          <w:u w:val="single"/>
        </w:rPr>
        <w:t xml:space="preserve">          </w:t>
      </w:r>
      <w:r>
        <w:rPr>
          <w:rFonts w:hint="eastAsia"/>
        </w:rPr>
        <w:t>。中小企业联合体成员承担的合同金额合计比例为：</w:t>
      </w:r>
      <w:r>
        <w:rPr>
          <w:rFonts w:hint="eastAsia"/>
          <w:u w:val="single"/>
        </w:rPr>
        <w:t xml:space="preserve">      </w:t>
      </w:r>
      <w:r>
        <w:rPr>
          <w:rFonts w:hint="eastAsia"/>
        </w:rPr>
        <w:t>，其中小微企业联合体成员承担的合同金额合计比例为：</w:t>
      </w:r>
      <w:r>
        <w:rPr>
          <w:rFonts w:hint="eastAsia"/>
          <w:u w:val="single"/>
        </w:rPr>
        <w:t xml:space="preserve">       </w:t>
      </w:r>
      <w:r>
        <w:rPr>
          <w:rFonts w:hint="eastAsia"/>
        </w:rPr>
        <w:t>。</w:t>
      </w:r>
    </w:p>
    <w:p w14:paraId="2DCB5175">
      <w:pPr>
        <w:ind w:firstLine="420" w:firstLineChars="200"/>
      </w:pPr>
      <w:r>
        <w:rPr>
          <w:rFonts w:hint="eastAsia"/>
        </w:rPr>
        <w:t>6.本协议书自所有成员单位法定代表人或者其委托代理人签字或者盖公章之日起生效，合同履行完毕后自动失效。</w:t>
      </w:r>
    </w:p>
    <w:p w14:paraId="7DC82E6E">
      <w:pPr>
        <w:ind w:firstLine="420" w:firstLineChars="200"/>
      </w:pPr>
      <w:r>
        <w:rPr>
          <w:rFonts w:hint="eastAsia"/>
        </w:rPr>
        <w:t>7.本协议书一式</w:t>
      </w:r>
      <w:r>
        <w:rPr>
          <w:rFonts w:hint="eastAsia"/>
          <w:u w:val="single"/>
        </w:rPr>
        <w:t xml:space="preserve"> </w:t>
      </w:r>
      <w:r>
        <w:rPr>
          <w:rFonts w:hint="eastAsia"/>
          <w:u w:val="single"/>
        </w:rPr>
        <w:tab/>
      </w:r>
      <w:r>
        <w:rPr>
          <w:rFonts w:hint="eastAsia"/>
        </w:rPr>
        <w:t>份，联合体成员和采购人各执一份。</w:t>
      </w:r>
    </w:p>
    <w:p w14:paraId="34A1A277">
      <w:pPr>
        <w:pStyle w:val="8"/>
        <w:ind w:firstLineChars="200"/>
      </w:pPr>
    </w:p>
    <w:p w14:paraId="4821C589">
      <w:pPr>
        <w:ind w:firstLine="420" w:firstLineChars="200"/>
      </w:pPr>
      <w:r>
        <w:rPr>
          <w:rFonts w:hint="eastAsia"/>
        </w:rPr>
        <w:t>注：本协议书由法定代表人签字的，应附法定代表人身份</w:t>
      </w:r>
    </w:p>
    <w:p w14:paraId="706F2130">
      <w:pPr>
        <w:ind w:firstLine="420" w:firstLineChars="200"/>
      </w:pPr>
      <w:r>
        <w:rPr>
          <w:rFonts w:hint="eastAsia"/>
        </w:rPr>
        <w:t>证明；由委托代理人签字的，应附授权委托书。</w:t>
      </w:r>
    </w:p>
    <w:p w14:paraId="4ED2471F">
      <w:pPr>
        <w:ind w:firstLine="420" w:firstLineChars="200"/>
      </w:pPr>
    </w:p>
    <w:p w14:paraId="7AEEAD8E">
      <w:pPr>
        <w:ind w:firstLine="420" w:firstLineChars="200"/>
      </w:pPr>
      <w:r>
        <w:rPr>
          <w:rFonts w:hint="eastAsia"/>
        </w:rPr>
        <w:t>联合体牵头人名称（盖公章或电子签章）：</w:t>
      </w:r>
    </w:p>
    <w:p w14:paraId="506D4B44">
      <w:pPr>
        <w:ind w:firstLine="420" w:firstLineChars="200"/>
      </w:pPr>
      <w:r>
        <w:rPr>
          <w:rFonts w:hint="eastAsia"/>
        </w:rPr>
        <w:t xml:space="preserve">法定代表人或者其委托代理人： </w:t>
      </w:r>
      <w:r>
        <w:rPr>
          <w:rFonts w:hint="eastAsia"/>
        </w:rPr>
        <w:tab/>
      </w:r>
      <w:r>
        <w:rPr>
          <w:rFonts w:hint="eastAsia"/>
        </w:rPr>
        <w:t>（签字或签章）</w:t>
      </w:r>
    </w:p>
    <w:p w14:paraId="31EF0448">
      <w:pPr>
        <w:ind w:firstLine="420" w:firstLineChars="200"/>
      </w:pPr>
      <w:r>
        <w:rPr>
          <w:rFonts w:hint="eastAsia"/>
        </w:rPr>
        <w:t>联合体成员名称（盖公章或电子签章）：</w:t>
      </w:r>
    </w:p>
    <w:p w14:paraId="556FC584">
      <w:pPr>
        <w:ind w:firstLine="420" w:firstLineChars="200"/>
      </w:pPr>
      <w:r>
        <w:rPr>
          <w:rFonts w:hint="eastAsia"/>
        </w:rPr>
        <w:t xml:space="preserve">法定代表人或者其委托代理人： </w:t>
      </w:r>
      <w:r>
        <w:rPr>
          <w:rFonts w:hint="eastAsia"/>
        </w:rPr>
        <w:tab/>
      </w:r>
      <w:r>
        <w:rPr>
          <w:rFonts w:hint="eastAsia"/>
        </w:rPr>
        <w:t>（签字或签章）</w:t>
      </w:r>
    </w:p>
    <w:p w14:paraId="79FDD2D8">
      <w:pPr>
        <w:ind w:firstLine="420" w:firstLineChars="200"/>
      </w:pPr>
      <w:r>
        <w:rPr>
          <w:rFonts w:hint="eastAsia"/>
        </w:rPr>
        <w:t>联合体成员名称（盖公章或电子签章）：</w:t>
      </w:r>
    </w:p>
    <w:p w14:paraId="71E32987">
      <w:pPr>
        <w:ind w:firstLine="420" w:firstLineChars="200"/>
      </w:pPr>
      <w:r>
        <w:rPr>
          <w:rFonts w:hint="eastAsia"/>
        </w:rPr>
        <w:t xml:space="preserve">法定代表人或者其委托代理人： </w:t>
      </w:r>
      <w:r>
        <w:rPr>
          <w:rFonts w:hint="eastAsia"/>
        </w:rPr>
        <w:tab/>
      </w:r>
      <w:r>
        <w:rPr>
          <w:rFonts w:hint="eastAsia"/>
        </w:rPr>
        <w:t>（签字或签章）</w:t>
      </w:r>
    </w:p>
    <w:p w14:paraId="3769E774">
      <w:pPr>
        <w:pStyle w:val="8"/>
      </w:pPr>
    </w:p>
    <w:p w14:paraId="06A8049E">
      <w:pPr>
        <w:pStyle w:val="8"/>
        <w:jc w:val="center"/>
      </w:pPr>
      <w:r>
        <w:t xml:space="preserve">年 </w:t>
      </w:r>
      <w:r>
        <w:tab/>
      </w:r>
      <w:r>
        <w:t xml:space="preserve">月 </w:t>
      </w:r>
      <w:r>
        <w:tab/>
      </w:r>
      <w:r>
        <w:t>日</w:t>
      </w:r>
    </w:p>
    <w:p w14:paraId="55413A92"/>
    <w:p w14:paraId="6006758F">
      <w:r>
        <w:br w:type="page"/>
      </w:r>
    </w:p>
    <w:p w14:paraId="2FF74A5C">
      <w:r>
        <w:rPr>
          <w:rFonts w:hint="eastAsia"/>
        </w:rPr>
        <w:t>8</w:t>
      </w:r>
      <w:r>
        <w:t>．</w:t>
      </w:r>
      <w:r>
        <w:rPr>
          <w:rFonts w:hint="eastAsia"/>
        </w:rPr>
        <w:t>直接控股股东、管理关系信息表</w:t>
      </w:r>
    </w:p>
    <w:p w14:paraId="0E625CB3">
      <w:r>
        <w:rPr>
          <w:rFonts w:hint="eastAsia"/>
        </w:rPr>
        <w:t>8</w:t>
      </w:r>
      <w:r>
        <w:t>.1</w:t>
      </w:r>
      <w:r>
        <w:rPr>
          <w:rFonts w:hint="eastAsia"/>
          <w:lang w:eastAsia="zh-CN"/>
        </w:rPr>
        <w:t>供应商</w:t>
      </w:r>
      <w:r>
        <w:t>直接控股股东信息表</w:t>
      </w:r>
    </w:p>
    <w:tbl>
      <w:tblPr>
        <w:tblStyle w:val="52"/>
        <w:tblW w:w="0" w:type="auto"/>
        <w:tblInd w:w="0" w:type="dxa"/>
        <w:tblLayout w:type="fixed"/>
        <w:tblCellMar>
          <w:top w:w="0" w:type="dxa"/>
          <w:left w:w="0" w:type="dxa"/>
          <w:bottom w:w="0" w:type="dxa"/>
          <w:right w:w="0" w:type="dxa"/>
        </w:tblCellMar>
      </w:tblPr>
      <w:tblGrid>
        <w:gridCol w:w="828"/>
        <w:gridCol w:w="2269"/>
        <w:gridCol w:w="1239"/>
        <w:gridCol w:w="3722"/>
        <w:gridCol w:w="1418"/>
      </w:tblGrid>
      <w:tr w14:paraId="72C5C4E6">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1F6698">
            <w:r>
              <w:t>序号</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0D4F3C">
            <w: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FE29820">
            <w:r>
              <w:t>出资比例</w:t>
            </w:r>
          </w:p>
        </w:tc>
        <w:tc>
          <w:tcPr>
            <w:tcW w:w="372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34440F">
            <w: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575D8E">
            <w:r>
              <w:t>备注</w:t>
            </w:r>
          </w:p>
        </w:tc>
      </w:tr>
      <w:tr w14:paraId="644AD09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D0704D">
            <w:r>
              <w:t>1</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D30549"/>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F3228F"/>
        </w:tc>
        <w:tc>
          <w:tcPr>
            <w:tcW w:w="372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4E4CB7"/>
        </w:tc>
        <w:tc>
          <w:tcPr>
            <w:tcW w:w="141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30F46C"/>
        </w:tc>
      </w:tr>
      <w:tr w14:paraId="6933E5B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5A9DB5">
            <w:r>
              <w:t>2</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E09691"/>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E8DD4D"/>
        </w:tc>
        <w:tc>
          <w:tcPr>
            <w:tcW w:w="372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153252"/>
        </w:tc>
        <w:tc>
          <w:tcPr>
            <w:tcW w:w="141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27B6A7"/>
        </w:tc>
      </w:tr>
      <w:tr w14:paraId="3289E9E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23F71F">
            <w:r>
              <w:t>3</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E9E3FD"/>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06B218"/>
        </w:tc>
        <w:tc>
          <w:tcPr>
            <w:tcW w:w="372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702B1AC"/>
        </w:tc>
        <w:tc>
          <w:tcPr>
            <w:tcW w:w="141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1805C0"/>
        </w:tc>
      </w:tr>
      <w:tr w14:paraId="0852ACA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BA4DA5">
            <w:r>
              <w:t>……</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344684"/>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55490F"/>
        </w:tc>
        <w:tc>
          <w:tcPr>
            <w:tcW w:w="372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EDABCD"/>
        </w:tc>
        <w:tc>
          <w:tcPr>
            <w:tcW w:w="141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0DAAD9"/>
        </w:tc>
      </w:tr>
    </w:tbl>
    <w:p w14:paraId="7C23E18D">
      <w:pPr>
        <w:ind w:firstLine="420" w:firstLineChars="200"/>
      </w:pPr>
      <w:r>
        <w:rPr>
          <w:rFonts w:hint="eastAsia"/>
        </w:rPr>
        <w:t>注：</w:t>
      </w:r>
    </w:p>
    <w:p w14:paraId="03A99CD8">
      <w:pPr>
        <w:ind w:firstLine="420" w:firstLineChars="200"/>
      </w:pPr>
      <w:r>
        <w:rPr>
          <w:rFonts w:hint="eastAsia"/>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BF26966">
      <w:pPr>
        <w:ind w:firstLine="420" w:firstLineChars="200"/>
      </w:pPr>
      <w:r>
        <w:rPr>
          <w:rFonts w:hint="eastAsia"/>
        </w:rPr>
        <w:t>2.本表所指的控股关系仅限于直接控股关系，不包括间接的控股关系。公司实际控制人与公司之间的关系不属于本表所指的直接控股关系。</w:t>
      </w:r>
    </w:p>
    <w:p w14:paraId="18415F95">
      <w:pPr>
        <w:ind w:firstLine="420" w:firstLineChars="200"/>
      </w:pPr>
      <w:r>
        <w:rPr>
          <w:rFonts w:hint="eastAsia"/>
        </w:rPr>
        <w:t>3.供应商不存在直接控股股东的，则填“无”。</w:t>
      </w:r>
    </w:p>
    <w:p w14:paraId="69E6732F"/>
    <w:p w14:paraId="1814628F"/>
    <w:p w14:paraId="08BEDD77"/>
    <w:p w14:paraId="058AB451">
      <w:pPr>
        <w:jc w:val="center"/>
      </w:pPr>
      <w:r>
        <w:t>供应商名称(电子签章)：</w:t>
      </w:r>
    </w:p>
    <w:p w14:paraId="53080EC8">
      <w:pPr>
        <w:jc w:val="center"/>
      </w:pPr>
      <w:r>
        <w:t>日期：年月日</w:t>
      </w:r>
    </w:p>
    <w:p w14:paraId="4D927E74">
      <w:r>
        <w:br w:type="page"/>
      </w:r>
    </w:p>
    <w:p w14:paraId="1C6A9A41">
      <w:r>
        <w:rPr>
          <w:rFonts w:hint="eastAsia"/>
        </w:rPr>
        <w:t>8</w:t>
      </w:r>
      <w:r>
        <w:t>.2</w:t>
      </w:r>
      <w:r>
        <w:rPr>
          <w:rFonts w:hint="eastAsia"/>
          <w:lang w:eastAsia="zh-CN"/>
        </w:rPr>
        <w:t>供应商</w:t>
      </w:r>
      <w:r>
        <w:t>直接管理关系信息表</w:t>
      </w:r>
    </w:p>
    <w:tbl>
      <w:tblPr>
        <w:tblStyle w:val="52"/>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1C82075D">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4902D1">
            <w:r>
              <w:t>序号</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C14C3B">
            <w: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DAA105">
            <w: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4357FB3">
            <w:r>
              <w:t>备注</w:t>
            </w:r>
          </w:p>
        </w:tc>
      </w:tr>
      <w:tr w14:paraId="4C52B68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F28006">
            <w:r>
              <w:t>1</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8CFEE8"/>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85E50E"/>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F303B0"/>
        </w:tc>
      </w:tr>
      <w:tr w14:paraId="3B781FC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D24ED5D">
            <w:r>
              <w:t>2</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27B58C"/>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F51D24"/>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FEF71B"/>
        </w:tc>
      </w:tr>
      <w:tr w14:paraId="02E66F6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DA15AA">
            <w:r>
              <w:t>3</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75E30CB"/>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2615F5"/>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F376BDC"/>
        </w:tc>
      </w:tr>
      <w:tr w14:paraId="4D9147E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E983E0">
            <w:r>
              <w:t>……</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976190"/>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AA15D2"/>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D4228B"/>
        </w:tc>
      </w:tr>
    </w:tbl>
    <w:p w14:paraId="4AD52E5E">
      <w:pPr>
        <w:ind w:firstLine="420" w:firstLineChars="200"/>
      </w:pPr>
      <w:r>
        <w:rPr>
          <w:rFonts w:hint="eastAsia"/>
        </w:rPr>
        <w:t>注：</w:t>
      </w:r>
    </w:p>
    <w:p w14:paraId="028DAEF7">
      <w:pPr>
        <w:ind w:firstLine="420" w:firstLineChars="200"/>
      </w:pPr>
      <w:r>
        <w:rPr>
          <w:rFonts w:hint="eastAsia"/>
        </w:rPr>
        <w:t>1.管理关系：是指不具有出资持股关系的其他单位之间存在的管理与被管理关系，如一些上下级关系的事业单位和团体组织。</w:t>
      </w:r>
    </w:p>
    <w:p w14:paraId="42AB10E1">
      <w:pPr>
        <w:ind w:firstLine="420" w:firstLineChars="200"/>
      </w:pPr>
      <w:r>
        <w:rPr>
          <w:rFonts w:hint="eastAsia"/>
        </w:rPr>
        <w:t>2.本表所指的管理关系仅限于直接管理关系，不包括间接的管理关系。</w:t>
      </w:r>
    </w:p>
    <w:p w14:paraId="3E5F765C">
      <w:pPr>
        <w:ind w:firstLine="420" w:firstLineChars="200"/>
      </w:pPr>
      <w:r>
        <w:rPr>
          <w:rFonts w:hint="eastAsia"/>
        </w:rPr>
        <w:t>3.供应商不存在直接管理关系的，则填“无”。</w:t>
      </w:r>
    </w:p>
    <w:p w14:paraId="03335871">
      <w:pPr>
        <w:pStyle w:val="218"/>
      </w:pPr>
    </w:p>
    <w:p w14:paraId="156ACA85"/>
    <w:p w14:paraId="46C65A48">
      <w:pPr>
        <w:jc w:val="center"/>
      </w:pPr>
      <w:r>
        <w:t>供应商名称(电子签章)：</w:t>
      </w:r>
    </w:p>
    <w:p w14:paraId="3358A724">
      <w:pPr>
        <w:jc w:val="center"/>
      </w:pPr>
      <w:r>
        <w:t>日期：年月日</w:t>
      </w:r>
    </w:p>
    <w:p w14:paraId="5FDA65EA"/>
    <w:p w14:paraId="2286DA1A"/>
    <w:p w14:paraId="6EA0329E"/>
    <w:p w14:paraId="3BA33E8F"/>
    <w:p w14:paraId="067466D2">
      <w:r>
        <w:t>9．供应商认为应当要提交的其他资格证明材料。</w:t>
      </w:r>
      <w:r>
        <w:rPr>
          <w:bCs/>
          <w:sz w:val="24"/>
        </w:rPr>
        <w:t xml:space="preserve"> </w:t>
      </w:r>
    </w:p>
    <w:p w14:paraId="46102668"/>
    <w:bookmarkEnd w:id="108"/>
    <w:p w14:paraId="06FEAE9A">
      <w:pPr>
        <w:pStyle w:val="8"/>
      </w:pPr>
      <w:r>
        <w:br w:type="page"/>
      </w:r>
      <w:bookmarkStart w:id="110" w:name="_Hlk60649396"/>
    </w:p>
    <w:bookmarkEnd w:id="110"/>
    <w:p w14:paraId="68F28B10">
      <w:pPr>
        <w:outlineLvl w:val="1"/>
      </w:pPr>
      <w:r>
        <w:rPr>
          <w:rFonts w:hint="eastAsia"/>
        </w:rPr>
        <w:t>二、</w:t>
      </w:r>
      <w:r>
        <w:t>投标文件封面参考格式：</w:t>
      </w:r>
    </w:p>
    <w:p w14:paraId="06F87048"/>
    <w:p w14:paraId="65E81F39"/>
    <w:p w14:paraId="078CCCB9"/>
    <w:p w14:paraId="0DABCF79">
      <w:pPr>
        <w:jc w:val="center"/>
        <w:rPr>
          <w:b/>
          <w:bCs/>
          <w:sz w:val="32"/>
          <w:szCs w:val="32"/>
        </w:rPr>
      </w:pPr>
      <w:r>
        <w:rPr>
          <w:b/>
          <w:bCs/>
          <w:sz w:val="32"/>
          <w:szCs w:val="32"/>
        </w:rPr>
        <w:t>电子投标文件</w:t>
      </w:r>
    </w:p>
    <w:p w14:paraId="214BE793">
      <w:pPr>
        <w:jc w:val="center"/>
        <w:rPr>
          <w:b/>
          <w:bCs/>
          <w:sz w:val="32"/>
          <w:szCs w:val="32"/>
        </w:rPr>
      </w:pPr>
    </w:p>
    <w:p w14:paraId="6FC00423">
      <w:pPr>
        <w:jc w:val="center"/>
        <w:rPr>
          <w:b/>
          <w:bCs/>
          <w:sz w:val="32"/>
          <w:szCs w:val="32"/>
        </w:rPr>
      </w:pPr>
    </w:p>
    <w:p w14:paraId="68DAF7FC">
      <w:pPr>
        <w:jc w:val="center"/>
        <w:rPr>
          <w:b/>
          <w:bCs/>
          <w:sz w:val="32"/>
          <w:szCs w:val="32"/>
        </w:rPr>
      </w:pPr>
      <w:r>
        <w:rPr>
          <w:b/>
          <w:bCs/>
          <w:sz w:val="32"/>
          <w:szCs w:val="32"/>
        </w:rPr>
        <w:t>商务技术文件</w:t>
      </w:r>
    </w:p>
    <w:p w14:paraId="2A716CCC"/>
    <w:p w14:paraId="0CE0FA1D"/>
    <w:p w14:paraId="217CA9C5"/>
    <w:p w14:paraId="6A56C30D">
      <w:pPr>
        <w:ind w:firstLine="480" w:firstLineChars="200"/>
        <w:rPr>
          <w:sz w:val="24"/>
          <w:szCs w:val="24"/>
        </w:rPr>
      </w:pPr>
      <w:r>
        <w:rPr>
          <w:sz w:val="24"/>
          <w:szCs w:val="24"/>
        </w:rPr>
        <w:t>项目名称：</w:t>
      </w:r>
    </w:p>
    <w:p w14:paraId="1369EEB4">
      <w:pPr>
        <w:ind w:firstLine="480" w:firstLineChars="200"/>
        <w:rPr>
          <w:sz w:val="24"/>
          <w:szCs w:val="24"/>
        </w:rPr>
      </w:pPr>
      <w:r>
        <w:rPr>
          <w:sz w:val="24"/>
          <w:szCs w:val="24"/>
        </w:rPr>
        <w:t>项目编号：</w:t>
      </w:r>
    </w:p>
    <w:p w14:paraId="6A2FAA93">
      <w:pPr>
        <w:ind w:firstLine="480" w:firstLineChars="200"/>
        <w:rPr>
          <w:sz w:val="24"/>
          <w:szCs w:val="24"/>
        </w:rPr>
      </w:pPr>
      <w:r>
        <w:rPr>
          <w:sz w:val="24"/>
          <w:szCs w:val="24"/>
        </w:rPr>
        <w:t>分标号：（若无留空或写“/”）</w:t>
      </w:r>
    </w:p>
    <w:p w14:paraId="2A1B95FB">
      <w:pPr>
        <w:ind w:firstLine="480" w:firstLineChars="200"/>
        <w:rPr>
          <w:sz w:val="24"/>
          <w:szCs w:val="24"/>
        </w:rPr>
      </w:pPr>
      <w:r>
        <w:rPr>
          <w:sz w:val="24"/>
          <w:szCs w:val="24"/>
        </w:rPr>
        <w:t>供应商名称：</w:t>
      </w:r>
    </w:p>
    <w:p w14:paraId="1E29C223">
      <w:pPr>
        <w:ind w:firstLine="480" w:firstLineChars="200"/>
        <w:rPr>
          <w:sz w:val="24"/>
          <w:szCs w:val="24"/>
        </w:rPr>
      </w:pPr>
      <w:r>
        <w:rPr>
          <w:sz w:val="24"/>
          <w:szCs w:val="24"/>
        </w:rPr>
        <w:t>供应商地址：</w:t>
      </w:r>
    </w:p>
    <w:p w14:paraId="3F5EB1B7">
      <w:pPr>
        <w:ind w:firstLine="480" w:firstLineChars="200"/>
        <w:rPr>
          <w:sz w:val="24"/>
          <w:szCs w:val="24"/>
        </w:rPr>
      </w:pPr>
    </w:p>
    <w:p w14:paraId="4BB38A7C">
      <w:pPr>
        <w:pStyle w:val="8"/>
        <w:ind w:firstLine="480" w:firstLineChars="200"/>
        <w:rPr>
          <w:sz w:val="24"/>
          <w:szCs w:val="24"/>
        </w:rPr>
      </w:pPr>
    </w:p>
    <w:p w14:paraId="344E91CD">
      <w:pPr>
        <w:ind w:firstLine="480" w:firstLineChars="200"/>
        <w:rPr>
          <w:sz w:val="24"/>
          <w:szCs w:val="24"/>
        </w:rPr>
      </w:pPr>
      <w:r>
        <w:rPr>
          <w:sz w:val="24"/>
          <w:szCs w:val="24"/>
        </w:rPr>
        <w:t>年月日</w:t>
      </w:r>
    </w:p>
    <w:p w14:paraId="147089DF">
      <w:r>
        <w:br w:type="page"/>
      </w:r>
    </w:p>
    <w:p w14:paraId="32AC44D3">
      <w:pPr>
        <w:jc w:val="center"/>
        <w:rPr>
          <w:b/>
          <w:bCs/>
          <w:sz w:val="28"/>
          <w:szCs w:val="28"/>
        </w:rPr>
      </w:pPr>
      <w:r>
        <w:rPr>
          <w:b/>
          <w:bCs/>
          <w:sz w:val="28"/>
          <w:szCs w:val="28"/>
        </w:rPr>
        <w:t>目录</w:t>
      </w:r>
    </w:p>
    <w:p w14:paraId="18BC2206">
      <w:pPr>
        <w:jc w:val="center"/>
        <w:rPr>
          <w:b/>
          <w:bCs/>
          <w:sz w:val="28"/>
          <w:szCs w:val="28"/>
        </w:rPr>
      </w:pPr>
      <w:r>
        <w:rPr>
          <w:b/>
          <w:bCs/>
          <w:sz w:val="28"/>
          <w:szCs w:val="28"/>
        </w:rPr>
        <w:t>（应有页码）</w:t>
      </w:r>
    </w:p>
    <w:p w14:paraId="7078051D">
      <w:pPr>
        <w:jc w:val="center"/>
        <w:rPr>
          <w:b/>
          <w:bCs/>
          <w:sz w:val="28"/>
          <w:szCs w:val="28"/>
        </w:rPr>
      </w:pPr>
      <w:r>
        <w:br w:type="page"/>
      </w:r>
      <w:r>
        <w:rPr>
          <w:b/>
          <w:bCs/>
          <w:sz w:val="28"/>
          <w:szCs w:val="28"/>
        </w:rPr>
        <w:t>第一部分商务文件</w:t>
      </w:r>
    </w:p>
    <w:p w14:paraId="5AE65942">
      <w:pPr>
        <w:jc w:val="center"/>
        <w:rPr>
          <w:b/>
          <w:bCs/>
          <w:sz w:val="24"/>
        </w:rPr>
      </w:pPr>
      <w:r>
        <w:rPr>
          <w:b/>
          <w:bCs/>
        </w:rPr>
        <w:t>（本商务文件供应商可自行编写，也可参照下述提纲编写）</w:t>
      </w:r>
    </w:p>
    <w:p w14:paraId="2165A555">
      <w:bookmarkStart w:id="111" w:name="_Toc462320613"/>
      <w:bookmarkStart w:id="112" w:name="_Toc455309222"/>
      <w:bookmarkStart w:id="113" w:name="_Toc462223472"/>
      <w:bookmarkStart w:id="114" w:name="_Hlk19114325"/>
    </w:p>
    <w:p w14:paraId="31D2914F"/>
    <w:p w14:paraId="47A2013E"/>
    <w:p w14:paraId="7F72CFF4">
      <w:pPr>
        <w:rPr>
          <w:b/>
          <w:bCs/>
        </w:rPr>
      </w:pPr>
      <w:r>
        <w:rPr>
          <w:b/>
          <w:bCs/>
        </w:rPr>
        <w:t>1．法定代表人身份证明（无授权代表时提供）：</w:t>
      </w:r>
    </w:p>
    <w:p w14:paraId="44E1E205"/>
    <w:p w14:paraId="1E97C2BA">
      <w:pPr>
        <w:jc w:val="center"/>
        <w:rPr>
          <w:b/>
          <w:bCs/>
          <w:sz w:val="28"/>
          <w:szCs w:val="28"/>
        </w:rPr>
      </w:pPr>
      <w:r>
        <w:rPr>
          <w:b/>
          <w:bCs/>
          <w:sz w:val="28"/>
          <w:szCs w:val="28"/>
        </w:rPr>
        <w:t>法定代表人身份证明</w:t>
      </w:r>
      <w:bookmarkEnd w:id="111"/>
      <w:bookmarkEnd w:id="112"/>
      <w:bookmarkEnd w:id="113"/>
    </w:p>
    <w:p w14:paraId="419B5449"/>
    <w:p w14:paraId="3A70828F">
      <w:pPr>
        <w:ind w:firstLine="420" w:firstLineChars="200"/>
      </w:pPr>
      <w:r>
        <w:t>供应商名称：</w:t>
      </w:r>
    </w:p>
    <w:p w14:paraId="0672EBEF">
      <w:pPr>
        <w:ind w:firstLine="420" w:firstLineChars="200"/>
      </w:pPr>
      <w:r>
        <w:t>单位性质：</w:t>
      </w:r>
    </w:p>
    <w:p w14:paraId="47D318EE">
      <w:pPr>
        <w:ind w:firstLine="420" w:firstLineChars="200"/>
      </w:pPr>
      <w:r>
        <w:t>地址：</w:t>
      </w:r>
    </w:p>
    <w:p w14:paraId="4D3F4639">
      <w:pPr>
        <w:ind w:firstLine="420" w:firstLineChars="200"/>
        <w:rPr>
          <w:u w:val="single"/>
        </w:rPr>
      </w:pPr>
      <w:r>
        <w:t>成立时间：</w:t>
      </w:r>
      <w:r>
        <w:rPr>
          <w:u w:val="single"/>
        </w:rPr>
        <w:t>年月日</w:t>
      </w:r>
    </w:p>
    <w:p w14:paraId="2FC39B42">
      <w:pPr>
        <w:ind w:firstLine="420" w:firstLineChars="200"/>
      </w:pPr>
      <w:r>
        <w:t>经营期限：</w:t>
      </w:r>
    </w:p>
    <w:p w14:paraId="6FE0AE91">
      <w:pPr>
        <w:ind w:firstLine="420" w:firstLineChars="200"/>
      </w:pPr>
      <w:r>
        <w:t>姓名：</w:t>
      </w:r>
      <w:r>
        <w:rPr>
          <w:rFonts w:hint="eastAsia"/>
        </w:rPr>
        <w:t xml:space="preserve">  </w:t>
      </w:r>
      <w:r>
        <w:t>；性别：</w:t>
      </w:r>
    </w:p>
    <w:p w14:paraId="4453E389">
      <w:pPr>
        <w:ind w:firstLine="420" w:firstLineChars="200"/>
      </w:pPr>
      <w:r>
        <w:t>年龄：</w:t>
      </w:r>
      <w:r>
        <w:rPr>
          <w:rFonts w:hint="eastAsia"/>
        </w:rPr>
        <w:t xml:space="preserve">  </w:t>
      </w:r>
      <w:r>
        <w:t>；职务：</w:t>
      </w:r>
      <w:r>
        <w:rPr>
          <w:rFonts w:hint="eastAsia"/>
        </w:rPr>
        <w:t xml:space="preserve">  </w:t>
      </w:r>
      <w:r>
        <w:t>；身份证：</w:t>
      </w:r>
    </w:p>
    <w:p w14:paraId="38234F1E">
      <w:pPr>
        <w:ind w:firstLine="420" w:firstLineChars="200"/>
      </w:pPr>
      <w:r>
        <w:t>系</w:t>
      </w:r>
      <w:r>
        <w:rPr>
          <w:u w:val="single"/>
        </w:rPr>
        <w:t>（供应商名称）</w:t>
      </w:r>
      <w:r>
        <w:t>的法定代表人。</w:t>
      </w:r>
    </w:p>
    <w:p w14:paraId="5771863A">
      <w:pPr>
        <w:ind w:firstLine="420" w:firstLineChars="200"/>
      </w:pPr>
    </w:p>
    <w:p w14:paraId="78BA3840">
      <w:pPr>
        <w:ind w:firstLine="420" w:firstLineChars="200"/>
      </w:pPr>
      <w:r>
        <w:t>特此证明。</w:t>
      </w:r>
    </w:p>
    <w:p w14:paraId="655B9503"/>
    <w:p w14:paraId="254E9D1A">
      <w:pPr>
        <w:jc w:val="center"/>
      </w:pPr>
      <w:r>
        <w:t>供应商名称(电子签章)：</w:t>
      </w:r>
    </w:p>
    <w:p w14:paraId="3427B3F2">
      <w:pPr>
        <w:jc w:val="center"/>
      </w:pPr>
      <w:r>
        <w:t>年月日</w:t>
      </w:r>
    </w:p>
    <w:p w14:paraId="63F3A010"/>
    <w:p w14:paraId="60958F10">
      <w:pPr>
        <w:rPr>
          <w:rFonts w:hint="eastAsia" w:eastAsia="宋体"/>
          <w:lang w:eastAsia="zh-CN"/>
        </w:rPr>
      </w:pPr>
      <w:r>
        <w:t>附件：法定代表人身份证</w:t>
      </w:r>
      <w:r>
        <w:rPr>
          <w:rFonts w:hint="eastAsia"/>
          <w:lang w:eastAsia="zh-CN"/>
        </w:rPr>
        <w:t>扫描件</w:t>
      </w:r>
    </w:p>
    <w:p w14:paraId="6758A679"/>
    <w:bookmarkEnd w:id="114"/>
    <w:p w14:paraId="650A2412">
      <w:pPr>
        <w:rPr>
          <w:b/>
          <w:bCs/>
        </w:rPr>
      </w:pPr>
      <w:r>
        <w:br w:type="page"/>
      </w:r>
      <w:r>
        <w:rPr>
          <w:rFonts w:hint="eastAsia"/>
          <w:b/>
          <w:bCs/>
        </w:rPr>
        <w:t>2</w:t>
      </w:r>
      <w:r>
        <w:rPr>
          <w:b/>
          <w:bCs/>
        </w:rPr>
        <w:t>．授权委托书（有授权代表时提供）：</w:t>
      </w:r>
    </w:p>
    <w:p w14:paraId="00835F8B"/>
    <w:p w14:paraId="3C5BE09C">
      <w:pPr>
        <w:jc w:val="center"/>
        <w:rPr>
          <w:b/>
          <w:bCs/>
          <w:sz w:val="28"/>
          <w:szCs w:val="28"/>
        </w:rPr>
      </w:pPr>
      <w:r>
        <w:rPr>
          <w:b/>
          <w:bCs/>
          <w:sz w:val="28"/>
          <w:szCs w:val="28"/>
        </w:rPr>
        <w:t>法定代表人授权委托书</w:t>
      </w:r>
    </w:p>
    <w:p w14:paraId="4E8FDBA7">
      <w:pPr>
        <w:rPr>
          <w:bCs/>
        </w:rPr>
      </w:pPr>
    </w:p>
    <w:p w14:paraId="6700B4B7">
      <w:pPr>
        <w:rPr>
          <w:b/>
          <w:bCs/>
        </w:rPr>
      </w:pPr>
      <w:r>
        <w:rPr>
          <w:bCs/>
        </w:rPr>
        <w:t>致：</w:t>
      </w:r>
      <w:r>
        <w:t>（采购人名称）：</w:t>
      </w:r>
    </w:p>
    <w:p w14:paraId="1335EA03">
      <w:pPr>
        <w:ind w:firstLine="420" w:firstLineChars="200"/>
      </w:pPr>
      <w:r>
        <w:t>我</w:t>
      </w:r>
      <w:r>
        <w:rPr>
          <w:rFonts w:hint="eastAsia"/>
          <w:u w:val="single"/>
        </w:rPr>
        <w:t xml:space="preserve">   </w:t>
      </w:r>
      <w:r>
        <w:rPr>
          <w:i/>
          <w:iCs/>
          <w:u w:val="single"/>
        </w:rPr>
        <w:t>（法定代表人姓名）</w:t>
      </w:r>
      <w:r>
        <w:rPr>
          <w:rFonts w:hint="eastAsia"/>
          <w:i/>
          <w:iCs/>
          <w:u w:val="single"/>
        </w:rPr>
        <w:t xml:space="preserve">    </w:t>
      </w:r>
      <w:r>
        <w:t>系</w:t>
      </w:r>
      <w:r>
        <w:rPr>
          <w:rFonts w:hint="eastAsia"/>
          <w:u w:val="single"/>
        </w:rPr>
        <w:t xml:space="preserve">   </w:t>
      </w:r>
      <w:r>
        <w:rPr>
          <w:i/>
          <w:iCs/>
          <w:u w:val="single"/>
        </w:rPr>
        <w:t>（供应商名称）</w:t>
      </w:r>
      <w:r>
        <w:rPr>
          <w:rFonts w:hint="eastAsia"/>
          <w:i/>
          <w:iCs/>
          <w:u w:val="single"/>
        </w:rPr>
        <w:t xml:space="preserve">     </w:t>
      </w:r>
      <w:r>
        <w:t xml:space="preserve">的法定代表人，现授权委托本单位在职职工 </w:t>
      </w:r>
      <w:r>
        <w:rPr>
          <w:u w:val="single"/>
        </w:rPr>
        <w:t xml:space="preserve"> </w:t>
      </w:r>
      <w:r>
        <w:rPr>
          <w:rFonts w:hint="eastAsia"/>
          <w:u w:val="single"/>
        </w:rPr>
        <w:t xml:space="preserve">        </w:t>
      </w:r>
      <w:r>
        <w:t>（姓名）以我方的名义参加</w:t>
      </w:r>
      <w:r>
        <w:rPr>
          <w:u w:val="single"/>
        </w:rPr>
        <w:t xml:space="preserve"> </w:t>
      </w:r>
      <w:r>
        <w:rPr>
          <w:i/>
          <w:iCs/>
          <w:u w:val="single"/>
        </w:rPr>
        <w:t>（项目名称）</w:t>
      </w:r>
      <w:r>
        <w:rPr>
          <w:u w:val="single"/>
        </w:rPr>
        <w:t xml:space="preserve"> </w:t>
      </w:r>
      <w:r>
        <w:t>项目的投标活动，并代表我方全权办理针对上述项目的投标、开标、评审、签约等具体事务和签署相关文件。</w:t>
      </w:r>
    </w:p>
    <w:p w14:paraId="31CD19FD">
      <w:pPr>
        <w:ind w:firstLine="420" w:firstLineChars="200"/>
      </w:pPr>
      <w:r>
        <w:t>我方对被授权人的签名事项负全部责任。</w:t>
      </w:r>
    </w:p>
    <w:p w14:paraId="4708C423">
      <w:pPr>
        <w:ind w:firstLine="420" w:firstLineChars="200"/>
      </w:pPr>
      <w:r>
        <w:t>在撤销授权的书面通知以前，本授权书一直有效。被授权人在授权书有效期内签署的所有文件不因授权的撤销而失效。</w:t>
      </w:r>
    </w:p>
    <w:p w14:paraId="00F88D64">
      <w:pPr>
        <w:ind w:firstLine="420" w:firstLineChars="200"/>
      </w:pPr>
      <w:r>
        <w:t>被授权人无转委托权，特此委托。</w:t>
      </w:r>
    </w:p>
    <w:p w14:paraId="43371D62">
      <w:pPr>
        <w:ind w:firstLine="420" w:firstLineChars="200"/>
        <w:rPr>
          <w:u w:val="single"/>
        </w:rPr>
      </w:pPr>
      <w:r>
        <w:t>被授权人签字或签章：</w:t>
      </w:r>
      <w:r>
        <w:rPr>
          <w:u w:val="single"/>
        </w:rPr>
        <w:t xml:space="preserve">          </w:t>
      </w:r>
      <w:r>
        <w:t xml:space="preserve">                     法定代表人签字或签章：</w:t>
      </w:r>
      <w:r>
        <w:rPr>
          <w:u w:val="single"/>
        </w:rPr>
        <w:t xml:space="preserve">          </w:t>
      </w:r>
    </w:p>
    <w:p w14:paraId="61265DB6">
      <w:pPr>
        <w:ind w:firstLine="420" w:firstLineChars="200"/>
      </w:pPr>
      <w:r>
        <w:t>职务：</w:t>
      </w:r>
      <w:r>
        <w:rPr>
          <w:u w:val="single"/>
        </w:rPr>
        <w:t xml:space="preserve">           </w:t>
      </w:r>
      <w:r>
        <w:t xml:space="preserve">                                  职务：</w:t>
      </w:r>
      <w:r>
        <w:rPr>
          <w:u w:val="single"/>
        </w:rPr>
        <w:t xml:space="preserve">           </w:t>
      </w:r>
    </w:p>
    <w:p w14:paraId="0ABD6E3F">
      <w:pPr>
        <w:ind w:firstLine="420" w:firstLineChars="200"/>
      </w:pPr>
      <w:r>
        <w:t xml:space="preserve">被授权人身份证号码：                               授权人身份证号码：                 </w:t>
      </w:r>
    </w:p>
    <w:p w14:paraId="0CE2250A">
      <w:pPr>
        <w:ind w:firstLine="420" w:firstLineChars="200"/>
      </w:pPr>
      <w:r>
        <w:t>被授权人邮箱：</w:t>
      </w:r>
      <w:r>
        <w:rPr>
          <w:u w:val="single"/>
        </w:rPr>
        <w:t xml:space="preserve">                        </w:t>
      </w:r>
      <w:r>
        <w:t xml:space="preserve">                                  </w:t>
      </w:r>
    </w:p>
    <w:p w14:paraId="0E489B75"/>
    <w:p w14:paraId="310153D6">
      <w:pPr>
        <w:jc w:val="center"/>
      </w:pPr>
      <w:r>
        <w:t>供应商名称(电子签章)：</w:t>
      </w:r>
    </w:p>
    <w:p w14:paraId="2196B95E">
      <w:pPr>
        <w:jc w:val="center"/>
      </w:pPr>
      <w:r>
        <w:t>年    月    日</w:t>
      </w:r>
    </w:p>
    <w:p w14:paraId="7E10C099"/>
    <w:p w14:paraId="531F4082"/>
    <w:p w14:paraId="43B60D79"/>
    <w:p w14:paraId="2D0C4FC4">
      <w:pPr>
        <w:rPr>
          <w:rFonts w:hint="eastAsia" w:eastAsia="宋体"/>
          <w:lang w:eastAsia="zh-CN"/>
        </w:rPr>
      </w:pPr>
      <w:r>
        <w:t>附件：法定代表人身份证</w:t>
      </w:r>
      <w:r>
        <w:rPr>
          <w:rFonts w:hint="eastAsia"/>
          <w:lang w:eastAsia="zh-CN"/>
        </w:rPr>
        <w:t>扫描件</w:t>
      </w:r>
      <w:r>
        <w:t>及授权代表身份证</w:t>
      </w:r>
      <w:r>
        <w:rPr>
          <w:rFonts w:hint="eastAsia"/>
          <w:lang w:eastAsia="zh-CN"/>
        </w:rPr>
        <w:t>扫描件</w:t>
      </w:r>
    </w:p>
    <w:p w14:paraId="07CBBBCE">
      <w:r>
        <w:rPr>
          <w:rFonts w:hint="eastAsia"/>
        </w:rPr>
        <w:br w:type="page"/>
      </w:r>
    </w:p>
    <w:p w14:paraId="110D8D26">
      <w:pPr>
        <w:rPr>
          <w:b/>
          <w:bCs/>
        </w:rPr>
      </w:pPr>
      <w:r>
        <w:rPr>
          <w:rFonts w:hint="eastAsia"/>
          <w:b/>
          <w:bCs/>
        </w:rPr>
        <w:t>3．对本项目第二章《采购需求》“商务要求”的响应表</w:t>
      </w:r>
    </w:p>
    <w:p w14:paraId="5DCA1EB3"/>
    <w:p w14:paraId="2CCAFD28">
      <w:r>
        <w:rPr>
          <w:rFonts w:hint="eastAsia"/>
        </w:rPr>
        <w:t>分标号：（若无留空或写“/”）</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557"/>
        <w:gridCol w:w="4443"/>
        <w:gridCol w:w="1082"/>
      </w:tblGrid>
      <w:tr w14:paraId="1E51D2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2C94A342">
            <w:pPr>
              <w:jc w:val="center"/>
              <w:rPr>
                <w:b/>
                <w:bCs/>
              </w:rPr>
            </w:pPr>
            <w:r>
              <w:rPr>
                <w:b/>
                <w:bCs/>
              </w:rPr>
              <w:t>序号</w:t>
            </w:r>
          </w:p>
        </w:tc>
        <w:tc>
          <w:tcPr>
            <w:tcW w:w="2557" w:type="dxa"/>
            <w:tcBorders>
              <w:top w:val="single" w:color="auto" w:sz="4" w:space="0"/>
              <w:left w:val="single" w:color="auto" w:sz="4" w:space="0"/>
              <w:bottom w:val="single" w:color="auto" w:sz="4" w:space="0"/>
              <w:right w:val="single" w:color="auto" w:sz="4" w:space="0"/>
            </w:tcBorders>
            <w:vAlign w:val="center"/>
          </w:tcPr>
          <w:p w14:paraId="7950EB27">
            <w:pPr>
              <w:jc w:val="center"/>
              <w:rPr>
                <w:b/>
                <w:bCs/>
              </w:rPr>
            </w:pPr>
            <w:r>
              <w:rPr>
                <w:b/>
                <w:bCs/>
              </w:rPr>
              <w:t>招标文件的商务要求</w:t>
            </w:r>
          </w:p>
        </w:tc>
        <w:tc>
          <w:tcPr>
            <w:tcW w:w="4443" w:type="dxa"/>
            <w:tcBorders>
              <w:top w:val="single" w:color="auto" w:sz="4" w:space="0"/>
              <w:left w:val="single" w:color="auto" w:sz="4" w:space="0"/>
              <w:bottom w:val="single" w:color="auto" w:sz="4" w:space="0"/>
              <w:right w:val="single" w:color="auto" w:sz="4" w:space="0"/>
            </w:tcBorders>
            <w:vAlign w:val="center"/>
          </w:tcPr>
          <w:p w14:paraId="4F1A1081">
            <w:pPr>
              <w:jc w:val="center"/>
              <w:rPr>
                <w:b/>
                <w:bCs/>
              </w:rPr>
            </w:pPr>
            <w:r>
              <w:rPr>
                <w:b/>
                <w:bCs/>
              </w:rPr>
              <w:t>投标文件响应内容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597DA712">
            <w:pPr>
              <w:jc w:val="center"/>
              <w:rPr>
                <w:b/>
                <w:bCs/>
              </w:rPr>
            </w:pPr>
            <w:r>
              <w:rPr>
                <w:b/>
                <w:bCs/>
              </w:rPr>
              <w:t>偏离说明</w:t>
            </w:r>
          </w:p>
        </w:tc>
      </w:tr>
      <w:tr w14:paraId="6190CB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6C7802CB">
            <w:pPr>
              <w:jc w:val="center"/>
            </w:pPr>
          </w:p>
        </w:tc>
        <w:tc>
          <w:tcPr>
            <w:tcW w:w="2557" w:type="dxa"/>
            <w:tcBorders>
              <w:top w:val="single" w:color="auto" w:sz="4" w:space="0"/>
              <w:left w:val="single" w:color="auto" w:sz="4" w:space="0"/>
              <w:bottom w:val="single" w:color="auto" w:sz="4" w:space="0"/>
              <w:right w:val="single" w:color="auto" w:sz="4" w:space="0"/>
            </w:tcBorders>
            <w:vAlign w:val="center"/>
          </w:tcPr>
          <w:p w14:paraId="73CCDA6E">
            <w:pPr>
              <w:jc w:val="center"/>
            </w:pPr>
          </w:p>
        </w:tc>
        <w:tc>
          <w:tcPr>
            <w:tcW w:w="4443" w:type="dxa"/>
            <w:tcBorders>
              <w:top w:val="single" w:color="auto" w:sz="4" w:space="0"/>
              <w:left w:val="single" w:color="auto" w:sz="4" w:space="0"/>
              <w:bottom w:val="single" w:color="auto" w:sz="4" w:space="0"/>
              <w:right w:val="single" w:color="auto" w:sz="4" w:space="0"/>
            </w:tcBorders>
            <w:vAlign w:val="center"/>
          </w:tcPr>
          <w:p w14:paraId="4E390E2F">
            <w:pPr>
              <w:jc w:val="center"/>
            </w:pPr>
          </w:p>
        </w:tc>
        <w:tc>
          <w:tcPr>
            <w:tcW w:w="1082" w:type="dxa"/>
            <w:tcBorders>
              <w:top w:val="single" w:color="auto" w:sz="4" w:space="0"/>
              <w:left w:val="single" w:color="auto" w:sz="4" w:space="0"/>
              <w:bottom w:val="single" w:color="auto" w:sz="4" w:space="0"/>
              <w:right w:val="single" w:color="auto" w:sz="4" w:space="0"/>
            </w:tcBorders>
            <w:vAlign w:val="center"/>
          </w:tcPr>
          <w:p w14:paraId="6B011FD1">
            <w:pPr>
              <w:jc w:val="center"/>
            </w:pPr>
          </w:p>
        </w:tc>
      </w:tr>
      <w:tr w14:paraId="23951E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299216BC">
            <w:pPr>
              <w:jc w:val="center"/>
            </w:pPr>
          </w:p>
        </w:tc>
        <w:tc>
          <w:tcPr>
            <w:tcW w:w="2557" w:type="dxa"/>
            <w:tcBorders>
              <w:top w:val="single" w:color="auto" w:sz="4" w:space="0"/>
              <w:left w:val="single" w:color="auto" w:sz="4" w:space="0"/>
              <w:bottom w:val="single" w:color="auto" w:sz="4" w:space="0"/>
              <w:right w:val="single" w:color="auto" w:sz="4" w:space="0"/>
            </w:tcBorders>
            <w:vAlign w:val="center"/>
          </w:tcPr>
          <w:p w14:paraId="58A1CB5C">
            <w:pPr>
              <w:jc w:val="center"/>
            </w:pPr>
          </w:p>
        </w:tc>
        <w:tc>
          <w:tcPr>
            <w:tcW w:w="4443" w:type="dxa"/>
            <w:tcBorders>
              <w:top w:val="single" w:color="auto" w:sz="4" w:space="0"/>
              <w:left w:val="single" w:color="auto" w:sz="4" w:space="0"/>
              <w:bottom w:val="single" w:color="auto" w:sz="4" w:space="0"/>
              <w:right w:val="single" w:color="auto" w:sz="4" w:space="0"/>
            </w:tcBorders>
            <w:vAlign w:val="center"/>
          </w:tcPr>
          <w:p w14:paraId="268F5372">
            <w:pPr>
              <w:jc w:val="center"/>
            </w:pPr>
          </w:p>
        </w:tc>
        <w:tc>
          <w:tcPr>
            <w:tcW w:w="1082" w:type="dxa"/>
            <w:tcBorders>
              <w:top w:val="single" w:color="auto" w:sz="4" w:space="0"/>
              <w:left w:val="single" w:color="auto" w:sz="4" w:space="0"/>
              <w:bottom w:val="single" w:color="auto" w:sz="4" w:space="0"/>
              <w:right w:val="single" w:color="auto" w:sz="4" w:space="0"/>
            </w:tcBorders>
            <w:vAlign w:val="center"/>
          </w:tcPr>
          <w:p w14:paraId="6209B997">
            <w:pPr>
              <w:jc w:val="center"/>
            </w:pPr>
          </w:p>
        </w:tc>
      </w:tr>
      <w:tr w14:paraId="5538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1FCD1612">
            <w:pPr>
              <w:jc w:val="center"/>
            </w:pPr>
          </w:p>
        </w:tc>
        <w:tc>
          <w:tcPr>
            <w:tcW w:w="2557" w:type="dxa"/>
            <w:tcBorders>
              <w:top w:val="single" w:color="auto" w:sz="4" w:space="0"/>
              <w:left w:val="single" w:color="auto" w:sz="4" w:space="0"/>
              <w:bottom w:val="single" w:color="auto" w:sz="4" w:space="0"/>
              <w:right w:val="single" w:color="auto" w:sz="4" w:space="0"/>
            </w:tcBorders>
            <w:vAlign w:val="center"/>
          </w:tcPr>
          <w:p w14:paraId="2C8C66AB">
            <w:pPr>
              <w:jc w:val="center"/>
            </w:pPr>
            <w:r>
              <w:t>……</w:t>
            </w:r>
          </w:p>
        </w:tc>
        <w:tc>
          <w:tcPr>
            <w:tcW w:w="4443" w:type="dxa"/>
            <w:tcBorders>
              <w:top w:val="single" w:color="auto" w:sz="4" w:space="0"/>
              <w:left w:val="single" w:color="auto" w:sz="4" w:space="0"/>
              <w:bottom w:val="single" w:color="auto" w:sz="4" w:space="0"/>
              <w:right w:val="single" w:color="auto" w:sz="4" w:space="0"/>
            </w:tcBorders>
            <w:vAlign w:val="center"/>
          </w:tcPr>
          <w:p w14:paraId="48D41D35">
            <w:pPr>
              <w:jc w:val="center"/>
            </w:pPr>
          </w:p>
        </w:tc>
        <w:tc>
          <w:tcPr>
            <w:tcW w:w="1082" w:type="dxa"/>
            <w:tcBorders>
              <w:top w:val="single" w:color="auto" w:sz="4" w:space="0"/>
              <w:left w:val="single" w:color="auto" w:sz="4" w:space="0"/>
              <w:bottom w:val="single" w:color="auto" w:sz="4" w:space="0"/>
              <w:right w:val="single" w:color="auto" w:sz="4" w:space="0"/>
            </w:tcBorders>
            <w:vAlign w:val="center"/>
          </w:tcPr>
          <w:p w14:paraId="56967270">
            <w:pPr>
              <w:jc w:val="center"/>
            </w:pPr>
          </w:p>
        </w:tc>
      </w:tr>
    </w:tbl>
    <w:p w14:paraId="2C3AFBF0">
      <w:bookmarkStart w:id="115" w:name="_Hlk48144603"/>
      <w:bookmarkStart w:id="116" w:name="_Hlk88990584"/>
    </w:p>
    <w:p w14:paraId="29DD2716">
      <w:pPr>
        <w:ind w:firstLine="420" w:firstLineChars="200"/>
      </w:pPr>
      <w:r>
        <w:rPr>
          <w:rFonts w:hint="eastAsia"/>
        </w:rPr>
        <w:t>注：</w:t>
      </w:r>
      <w:bookmarkStart w:id="117" w:name="_Hlk19049081"/>
      <w:r>
        <w:rPr>
          <w:rFonts w:hint="eastAsia"/>
        </w:rPr>
        <w:t>（1）本表应对招标文件第二章《采购需求》中所列商务要求进行响应，并根据响应情况在“偏离说明”栏填写正偏离或负偏离及原因，完全符合的填写“无偏离”。</w:t>
      </w:r>
    </w:p>
    <w:bookmarkEnd w:id="117"/>
    <w:p w14:paraId="7BB68654">
      <w:pPr>
        <w:ind w:firstLine="420" w:firstLineChars="200"/>
      </w:pPr>
      <w:r>
        <w:rPr>
          <w:rFonts w:hint="eastAsia"/>
        </w:rPr>
        <w:t>（</w:t>
      </w:r>
      <w:r>
        <w:rPr>
          <w:rFonts w:hint="eastAsia"/>
          <w:lang w:val="en-US" w:eastAsia="zh-CN"/>
        </w:rPr>
        <w:t>2</w:t>
      </w:r>
      <w:r>
        <w:rPr>
          <w:rFonts w:hint="eastAsia"/>
        </w:rPr>
        <w:t>）本表可扩展。</w:t>
      </w:r>
    </w:p>
    <w:bookmarkEnd w:id="115"/>
    <w:p w14:paraId="1BAD245F"/>
    <w:p w14:paraId="3C68D179">
      <w:pPr>
        <w:jc w:val="center"/>
        <w:rPr>
          <w:spacing w:val="20"/>
        </w:rPr>
      </w:pPr>
      <w:r>
        <w:t>供应商名称(电子签章)</w:t>
      </w:r>
      <w:r>
        <w:rPr>
          <w:spacing w:val="20"/>
        </w:rPr>
        <w:t>：</w:t>
      </w:r>
    </w:p>
    <w:p w14:paraId="2C6AB445">
      <w:pPr>
        <w:jc w:val="center"/>
        <w:rPr>
          <w:spacing w:val="20"/>
          <w:u w:val="single"/>
        </w:rPr>
      </w:pPr>
      <w:r>
        <w:rPr>
          <w:spacing w:val="20"/>
        </w:rPr>
        <w:t>日期：</w:t>
      </w:r>
    </w:p>
    <w:bookmarkEnd w:id="116"/>
    <w:p w14:paraId="7B3142D3"/>
    <w:p w14:paraId="4200369E">
      <w:pPr>
        <w:rPr>
          <w:b/>
          <w:bCs/>
        </w:rPr>
      </w:pPr>
      <w:r>
        <w:rPr>
          <w:rFonts w:hint="eastAsia"/>
          <w:b/>
          <w:bCs/>
        </w:rPr>
        <w:t>4．售后服务机构概况</w:t>
      </w:r>
    </w:p>
    <w:p w14:paraId="621A03F4">
      <w:pPr>
        <w:rPr>
          <w:b/>
          <w:bCs/>
        </w:rPr>
      </w:pPr>
      <w:r>
        <w:rPr>
          <w:rFonts w:hint="eastAsia"/>
          <w:b/>
          <w:bCs/>
        </w:rPr>
        <w:t>附表A：售后服务机构情况表（如有请提供，按此格式自制）</w:t>
      </w:r>
    </w:p>
    <w:p w14:paraId="78B2646C"/>
    <w:p w14:paraId="6C67031E">
      <w:r>
        <w:rPr>
          <w:rFonts w:hint="eastAsia"/>
        </w:rPr>
        <w:t>分标号：（若无留空或写“/”）</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719F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2CB46FA0">
            <w:pPr>
              <w:jc w:val="center"/>
              <w:rPr>
                <w:b/>
                <w:bCs/>
              </w:rPr>
            </w:pPr>
            <w:r>
              <w:rPr>
                <w:b/>
                <w:bCs/>
              </w:rPr>
              <w:t>序号</w:t>
            </w:r>
          </w:p>
        </w:tc>
        <w:tc>
          <w:tcPr>
            <w:tcW w:w="2340" w:type="dxa"/>
            <w:vAlign w:val="center"/>
          </w:tcPr>
          <w:p w14:paraId="601AD6F3">
            <w:pPr>
              <w:jc w:val="center"/>
              <w:rPr>
                <w:b/>
                <w:bCs/>
              </w:rPr>
            </w:pPr>
            <w:r>
              <w:rPr>
                <w:b/>
                <w:bCs/>
              </w:rPr>
              <w:t>机构名称</w:t>
            </w:r>
          </w:p>
        </w:tc>
        <w:tc>
          <w:tcPr>
            <w:tcW w:w="1095" w:type="dxa"/>
            <w:vAlign w:val="center"/>
          </w:tcPr>
          <w:p w14:paraId="3062B544">
            <w:pPr>
              <w:jc w:val="center"/>
              <w:rPr>
                <w:b/>
                <w:bCs/>
              </w:rPr>
            </w:pPr>
            <w:r>
              <w:rPr>
                <w:b/>
                <w:bCs/>
              </w:rPr>
              <w:t>机构性质</w:t>
            </w:r>
          </w:p>
        </w:tc>
        <w:tc>
          <w:tcPr>
            <w:tcW w:w="1245" w:type="dxa"/>
            <w:vAlign w:val="center"/>
          </w:tcPr>
          <w:p w14:paraId="5EE8ECE9">
            <w:pPr>
              <w:jc w:val="center"/>
              <w:rPr>
                <w:b/>
                <w:bCs/>
              </w:rPr>
            </w:pPr>
            <w:r>
              <w:rPr>
                <w:b/>
                <w:bCs/>
              </w:rPr>
              <w:t>注册地址</w:t>
            </w:r>
          </w:p>
        </w:tc>
        <w:tc>
          <w:tcPr>
            <w:tcW w:w="1980" w:type="dxa"/>
            <w:vAlign w:val="center"/>
          </w:tcPr>
          <w:p w14:paraId="30AF1014">
            <w:pPr>
              <w:jc w:val="center"/>
              <w:rPr>
                <w:b/>
                <w:bCs/>
              </w:rPr>
            </w:pPr>
            <w:r>
              <w:rPr>
                <w:b/>
                <w:bCs/>
              </w:rPr>
              <w:t>货物技术人员数量</w:t>
            </w:r>
          </w:p>
        </w:tc>
        <w:tc>
          <w:tcPr>
            <w:tcW w:w="1260" w:type="dxa"/>
            <w:vAlign w:val="center"/>
          </w:tcPr>
          <w:p w14:paraId="01D66450">
            <w:pPr>
              <w:jc w:val="center"/>
              <w:rPr>
                <w:b/>
                <w:bCs/>
              </w:rPr>
            </w:pPr>
            <w:r>
              <w:rPr>
                <w:b/>
                <w:bCs/>
              </w:rPr>
              <w:t>联系电话</w:t>
            </w:r>
          </w:p>
        </w:tc>
      </w:tr>
      <w:tr w14:paraId="3DD8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28" w:type="dxa"/>
            <w:vAlign w:val="center"/>
          </w:tcPr>
          <w:p w14:paraId="63958D58">
            <w:pPr>
              <w:jc w:val="center"/>
            </w:pPr>
          </w:p>
        </w:tc>
        <w:tc>
          <w:tcPr>
            <w:tcW w:w="2340" w:type="dxa"/>
            <w:vAlign w:val="center"/>
          </w:tcPr>
          <w:p w14:paraId="3EFAFB7D">
            <w:pPr>
              <w:jc w:val="center"/>
            </w:pPr>
          </w:p>
        </w:tc>
        <w:tc>
          <w:tcPr>
            <w:tcW w:w="1095" w:type="dxa"/>
            <w:vAlign w:val="center"/>
          </w:tcPr>
          <w:p w14:paraId="7F3F3B5B">
            <w:pPr>
              <w:jc w:val="center"/>
            </w:pPr>
          </w:p>
        </w:tc>
        <w:tc>
          <w:tcPr>
            <w:tcW w:w="1245" w:type="dxa"/>
            <w:vAlign w:val="center"/>
          </w:tcPr>
          <w:p w14:paraId="61F08BDF">
            <w:pPr>
              <w:jc w:val="center"/>
            </w:pPr>
          </w:p>
        </w:tc>
        <w:tc>
          <w:tcPr>
            <w:tcW w:w="1980" w:type="dxa"/>
            <w:vAlign w:val="center"/>
          </w:tcPr>
          <w:p w14:paraId="769F5F5B">
            <w:pPr>
              <w:jc w:val="center"/>
            </w:pPr>
          </w:p>
        </w:tc>
        <w:tc>
          <w:tcPr>
            <w:tcW w:w="1260" w:type="dxa"/>
            <w:vAlign w:val="center"/>
          </w:tcPr>
          <w:p w14:paraId="0AFF6402">
            <w:pPr>
              <w:jc w:val="center"/>
            </w:pPr>
          </w:p>
        </w:tc>
      </w:tr>
      <w:tr w14:paraId="590E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338580E7">
            <w:pPr>
              <w:jc w:val="center"/>
            </w:pPr>
          </w:p>
        </w:tc>
        <w:tc>
          <w:tcPr>
            <w:tcW w:w="2340" w:type="dxa"/>
            <w:vAlign w:val="center"/>
          </w:tcPr>
          <w:p w14:paraId="4AFDEF69">
            <w:pPr>
              <w:jc w:val="center"/>
            </w:pPr>
          </w:p>
        </w:tc>
        <w:tc>
          <w:tcPr>
            <w:tcW w:w="1095" w:type="dxa"/>
            <w:vAlign w:val="center"/>
          </w:tcPr>
          <w:p w14:paraId="1A22E98C">
            <w:pPr>
              <w:jc w:val="center"/>
            </w:pPr>
          </w:p>
        </w:tc>
        <w:tc>
          <w:tcPr>
            <w:tcW w:w="1245" w:type="dxa"/>
            <w:vAlign w:val="center"/>
          </w:tcPr>
          <w:p w14:paraId="74A5FE84">
            <w:pPr>
              <w:jc w:val="center"/>
            </w:pPr>
          </w:p>
        </w:tc>
        <w:tc>
          <w:tcPr>
            <w:tcW w:w="1980" w:type="dxa"/>
            <w:vAlign w:val="center"/>
          </w:tcPr>
          <w:p w14:paraId="6DF89B44">
            <w:pPr>
              <w:jc w:val="center"/>
            </w:pPr>
          </w:p>
        </w:tc>
        <w:tc>
          <w:tcPr>
            <w:tcW w:w="1260" w:type="dxa"/>
            <w:vAlign w:val="center"/>
          </w:tcPr>
          <w:p w14:paraId="56581F89">
            <w:pPr>
              <w:jc w:val="center"/>
            </w:pPr>
          </w:p>
        </w:tc>
      </w:tr>
      <w:tr w14:paraId="6017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20105B24">
            <w:pPr>
              <w:jc w:val="center"/>
            </w:pPr>
          </w:p>
        </w:tc>
        <w:tc>
          <w:tcPr>
            <w:tcW w:w="2340" w:type="dxa"/>
            <w:vAlign w:val="center"/>
          </w:tcPr>
          <w:p w14:paraId="04D41371">
            <w:pPr>
              <w:jc w:val="center"/>
            </w:pPr>
          </w:p>
        </w:tc>
        <w:tc>
          <w:tcPr>
            <w:tcW w:w="1095" w:type="dxa"/>
            <w:vAlign w:val="center"/>
          </w:tcPr>
          <w:p w14:paraId="0CA90E40">
            <w:pPr>
              <w:jc w:val="center"/>
            </w:pPr>
          </w:p>
        </w:tc>
        <w:tc>
          <w:tcPr>
            <w:tcW w:w="1245" w:type="dxa"/>
            <w:vAlign w:val="center"/>
          </w:tcPr>
          <w:p w14:paraId="6501FE4D">
            <w:pPr>
              <w:jc w:val="center"/>
            </w:pPr>
          </w:p>
        </w:tc>
        <w:tc>
          <w:tcPr>
            <w:tcW w:w="1980" w:type="dxa"/>
            <w:vAlign w:val="center"/>
          </w:tcPr>
          <w:p w14:paraId="79FC5956">
            <w:pPr>
              <w:jc w:val="center"/>
            </w:pPr>
          </w:p>
        </w:tc>
        <w:tc>
          <w:tcPr>
            <w:tcW w:w="1260" w:type="dxa"/>
            <w:vAlign w:val="center"/>
          </w:tcPr>
          <w:p w14:paraId="05441D1B">
            <w:pPr>
              <w:jc w:val="center"/>
            </w:pPr>
          </w:p>
        </w:tc>
      </w:tr>
    </w:tbl>
    <w:p w14:paraId="203FDA77">
      <w:pPr>
        <w:ind w:firstLine="420" w:firstLineChars="200"/>
      </w:pPr>
      <w:r>
        <w:rPr>
          <w:rFonts w:hint="eastAsia"/>
        </w:rPr>
        <w:t>注：关于项目涉及的所有售后服务机构均在本表注明，包括供应商本单位和符合条件的第三方货物机构；</w:t>
      </w:r>
    </w:p>
    <w:p w14:paraId="43EE90F7">
      <w:pPr>
        <w:rPr>
          <w:b/>
          <w:bCs/>
        </w:rPr>
      </w:pPr>
      <w:r>
        <w:rPr>
          <w:rFonts w:hint="eastAsia"/>
          <w:b/>
          <w:bCs/>
        </w:rPr>
        <w:t>附表B：售后服务人员情况表（如有请提供，按此格式自制）</w:t>
      </w:r>
    </w:p>
    <w:p w14:paraId="71E11757"/>
    <w:p w14:paraId="2EF5F263">
      <w:r>
        <w:rPr>
          <w:rFonts w:hint="eastAsia"/>
        </w:rPr>
        <w:t>分标号：（若无留空或写“/”）</w:t>
      </w:r>
    </w:p>
    <w:tbl>
      <w:tblPr>
        <w:tblStyle w:val="52"/>
        <w:tblW w:w="10002" w:type="dxa"/>
        <w:jc w:val="center"/>
        <w:tblLayout w:type="fixed"/>
        <w:tblCellMar>
          <w:top w:w="0" w:type="dxa"/>
          <w:left w:w="108" w:type="dxa"/>
          <w:bottom w:w="0" w:type="dxa"/>
          <w:right w:w="108" w:type="dxa"/>
        </w:tblCellMar>
      </w:tblPr>
      <w:tblGrid>
        <w:gridCol w:w="646"/>
        <w:gridCol w:w="746"/>
        <w:gridCol w:w="787"/>
        <w:gridCol w:w="685"/>
        <w:gridCol w:w="705"/>
        <w:gridCol w:w="1002"/>
        <w:gridCol w:w="1080"/>
        <w:gridCol w:w="1080"/>
        <w:gridCol w:w="1098"/>
        <w:gridCol w:w="1062"/>
        <w:gridCol w:w="1111"/>
      </w:tblGrid>
      <w:tr w14:paraId="0266D972">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442D8320">
            <w:pPr>
              <w:jc w:val="center"/>
            </w:pPr>
            <w:r>
              <w:t>序号</w:t>
            </w:r>
          </w:p>
        </w:tc>
        <w:tc>
          <w:tcPr>
            <w:tcW w:w="746" w:type="dxa"/>
            <w:tcBorders>
              <w:top w:val="single" w:color="auto" w:sz="6" w:space="0"/>
              <w:left w:val="single" w:color="auto" w:sz="4" w:space="0"/>
              <w:bottom w:val="single" w:color="auto" w:sz="6" w:space="0"/>
              <w:right w:val="single" w:color="auto" w:sz="6" w:space="0"/>
            </w:tcBorders>
            <w:vAlign w:val="center"/>
          </w:tcPr>
          <w:p w14:paraId="28772C60">
            <w:pPr>
              <w:jc w:val="center"/>
            </w:pPr>
            <w:r>
              <w:t>类别</w:t>
            </w:r>
          </w:p>
        </w:tc>
        <w:tc>
          <w:tcPr>
            <w:tcW w:w="787" w:type="dxa"/>
            <w:tcBorders>
              <w:top w:val="single" w:color="auto" w:sz="6" w:space="0"/>
              <w:left w:val="single" w:color="auto" w:sz="6" w:space="0"/>
              <w:bottom w:val="single" w:color="auto" w:sz="6" w:space="0"/>
              <w:right w:val="single" w:color="auto" w:sz="6" w:space="0"/>
            </w:tcBorders>
            <w:vAlign w:val="center"/>
          </w:tcPr>
          <w:p w14:paraId="1EC4B779">
            <w:pPr>
              <w:jc w:val="center"/>
            </w:pPr>
            <w:r>
              <w:t>姓名</w:t>
            </w:r>
          </w:p>
        </w:tc>
        <w:tc>
          <w:tcPr>
            <w:tcW w:w="685" w:type="dxa"/>
            <w:tcBorders>
              <w:top w:val="single" w:color="auto" w:sz="6" w:space="0"/>
              <w:left w:val="single" w:color="auto" w:sz="6" w:space="0"/>
              <w:bottom w:val="single" w:color="auto" w:sz="6" w:space="0"/>
              <w:right w:val="single" w:color="auto" w:sz="6" w:space="0"/>
            </w:tcBorders>
            <w:vAlign w:val="center"/>
          </w:tcPr>
          <w:p w14:paraId="2B54AF5A">
            <w:pPr>
              <w:jc w:val="center"/>
            </w:pPr>
            <w:r>
              <w:t>性别</w:t>
            </w:r>
          </w:p>
        </w:tc>
        <w:tc>
          <w:tcPr>
            <w:tcW w:w="705" w:type="dxa"/>
            <w:tcBorders>
              <w:top w:val="single" w:color="auto" w:sz="6" w:space="0"/>
              <w:left w:val="single" w:color="auto" w:sz="6" w:space="0"/>
              <w:bottom w:val="single" w:color="auto" w:sz="6" w:space="0"/>
              <w:right w:val="single" w:color="auto" w:sz="6" w:space="0"/>
            </w:tcBorders>
            <w:vAlign w:val="center"/>
          </w:tcPr>
          <w:p w14:paraId="73DC9C18">
            <w:pPr>
              <w:jc w:val="center"/>
            </w:pPr>
            <w:r>
              <w:t>年龄</w:t>
            </w:r>
          </w:p>
        </w:tc>
        <w:tc>
          <w:tcPr>
            <w:tcW w:w="1002" w:type="dxa"/>
            <w:tcBorders>
              <w:top w:val="single" w:color="auto" w:sz="6" w:space="0"/>
              <w:left w:val="single" w:color="auto" w:sz="6" w:space="0"/>
              <w:bottom w:val="single" w:color="auto" w:sz="6" w:space="0"/>
              <w:right w:val="single" w:color="auto" w:sz="6" w:space="0"/>
            </w:tcBorders>
            <w:vAlign w:val="center"/>
          </w:tcPr>
          <w:p w14:paraId="5CF56F0A">
            <w:pPr>
              <w:jc w:val="center"/>
            </w:pPr>
            <w:r>
              <w:t>学历</w:t>
            </w:r>
          </w:p>
        </w:tc>
        <w:tc>
          <w:tcPr>
            <w:tcW w:w="1080" w:type="dxa"/>
            <w:tcBorders>
              <w:top w:val="single" w:color="auto" w:sz="6" w:space="0"/>
              <w:left w:val="single" w:color="auto" w:sz="6" w:space="0"/>
              <w:bottom w:val="single" w:color="auto" w:sz="6" w:space="0"/>
              <w:right w:val="single" w:color="auto" w:sz="6" w:space="0"/>
            </w:tcBorders>
            <w:vAlign w:val="center"/>
          </w:tcPr>
          <w:p w14:paraId="1971F9E8">
            <w:pPr>
              <w:jc w:val="center"/>
            </w:pPr>
            <w: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6BCD889">
            <w:pPr>
              <w:jc w:val="center"/>
            </w:pPr>
            <w:r>
              <w:t>职称</w:t>
            </w:r>
          </w:p>
        </w:tc>
        <w:tc>
          <w:tcPr>
            <w:tcW w:w="1098" w:type="dxa"/>
            <w:tcBorders>
              <w:top w:val="single" w:color="auto" w:sz="6" w:space="0"/>
              <w:left w:val="single" w:color="auto" w:sz="6" w:space="0"/>
              <w:bottom w:val="single" w:color="auto" w:sz="6" w:space="0"/>
              <w:right w:val="single" w:color="auto" w:sz="6" w:space="0"/>
            </w:tcBorders>
            <w:vAlign w:val="center"/>
          </w:tcPr>
          <w:p w14:paraId="11ABC0FF">
            <w:pPr>
              <w:jc w:val="center"/>
            </w:pPr>
            <w:r>
              <w:t>本项目中的职责</w:t>
            </w:r>
          </w:p>
        </w:tc>
        <w:tc>
          <w:tcPr>
            <w:tcW w:w="1062" w:type="dxa"/>
            <w:tcBorders>
              <w:top w:val="single" w:color="auto" w:sz="6" w:space="0"/>
              <w:left w:val="single" w:color="auto" w:sz="6" w:space="0"/>
              <w:bottom w:val="single" w:color="auto" w:sz="6" w:space="0"/>
              <w:right w:val="single" w:color="auto" w:sz="6" w:space="0"/>
            </w:tcBorders>
            <w:vAlign w:val="center"/>
          </w:tcPr>
          <w:p w14:paraId="7FDD8329">
            <w:pPr>
              <w:jc w:val="center"/>
            </w:pPr>
            <w: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13BFE47F">
            <w:pPr>
              <w:jc w:val="center"/>
            </w:pPr>
            <w:r>
              <w:t>到达现场时间</w:t>
            </w:r>
          </w:p>
        </w:tc>
      </w:tr>
      <w:tr w14:paraId="51172502">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vAlign w:val="center"/>
          </w:tcPr>
          <w:p w14:paraId="47F13F62">
            <w:pPr>
              <w:jc w:val="center"/>
            </w:pPr>
          </w:p>
        </w:tc>
        <w:tc>
          <w:tcPr>
            <w:tcW w:w="746" w:type="dxa"/>
            <w:tcBorders>
              <w:top w:val="single" w:color="auto" w:sz="6" w:space="0"/>
              <w:left w:val="single" w:color="auto" w:sz="4" w:space="0"/>
              <w:bottom w:val="single" w:color="auto" w:sz="6" w:space="0"/>
              <w:right w:val="single" w:color="auto" w:sz="6" w:space="0"/>
            </w:tcBorders>
            <w:vAlign w:val="center"/>
          </w:tcPr>
          <w:p w14:paraId="642C7AF2">
            <w:pPr>
              <w:jc w:val="center"/>
            </w:pPr>
            <w:r>
              <w:t>总协调人</w:t>
            </w:r>
          </w:p>
        </w:tc>
        <w:tc>
          <w:tcPr>
            <w:tcW w:w="787" w:type="dxa"/>
            <w:tcBorders>
              <w:top w:val="single" w:color="auto" w:sz="6" w:space="0"/>
              <w:left w:val="single" w:color="auto" w:sz="6" w:space="0"/>
              <w:bottom w:val="single" w:color="auto" w:sz="6" w:space="0"/>
              <w:right w:val="single" w:color="auto" w:sz="6" w:space="0"/>
            </w:tcBorders>
            <w:vAlign w:val="center"/>
          </w:tcPr>
          <w:p w14:paraId="2518B987">
            <w:pPr>
              <w:jc w:val="center"/>
            </w:pPr>
          </w:p>
        </w:tc>
        <w:tc>
          <w:tcPr>
            <w:tcW w:w="685" w:type="dxa"/>
            <w:tcBorders>
              <w:top w:val="single" w:color="auto" w:sz="6" w:space="0"/>
              <w:left w:val="single" w:color="auto" w:sz="6" w:space="0"/>
              <w:bottom w:val="single" w:color="auto" w:sz="6" w:space="0"/>
              <w:right w:val="single" w:color="auto" w:sz="6" w:space="0"/>
            </w:tcBorders>
            <w:vAlign w:val="center"/>
          </w:tcPr>
          <w:p w14:paraId="0257DED7">
            <w:pPr>
              <w:jc w:val="center"/>
            </w:pPr>
          </w:p>
        </w:tc>
        <w:tc>
          <w:tcPr>
            <w:tcW w:w="705" w:type="dxa"/>
            <w:tcBorders>
              <w:top w:val="single" w:color="auto" w:sz="6" w:space="0"/>
              <w:left w:val="single" w:color="auto" w:sz="6" w:space="0"/>
              <w:bottom w:val="single" w:color="auto" w:sz="6" w:space="0"/>
              <w:right w:val="single" w:color="auto" w:sz="6" w:space="0"/>
            </w:tcBorders>
            <w:vAlign w:val="center"/>
          </w:tcPr>
          <w:p w14:paraId="61E94B71">
            <w:pPr>
              <w:jc w:val="center"/>
            </w:pPr>
          </w:p>
        </w:tc>
        <w:tc>
          <w:tcPr>
            <w:tcW w:w="1002" w:type="dxa"/>
            <w:tcBorders>
              <w:top w:val="single" w:color="auto" w:sz="6" w:space="0"/>
              <w:left w:val="single" w:color="auto" w:sz="6" w:space="0"/>
              <w:bottom w:val="single" w:color="auto" w:sz="6" w:space="0"/>
              <w:right w:val="single" w:color="auto" w:sz="6" w:space="0"/>
            </w:tcBorders>
            <w:vAlign w:val="center"/>
          </w:tcPr>
          <w:p w14:paraId="249C53FB">
            <w:pPr>
              <w:jc w:val="center"/>
            </w:pPr>
          </w:p>
        </w:tc>
        <w:tc>
          <w:tcPr>
            <w:tcW w:w="1080" w:type="dxa"/>
            <w:tcBorders>
              <w:top w:val="single" w:color="auto" w:sz="6" w:space="0"/>
              <w:left w:val="single" w:color="auto" w:sz="6" w:space="0"/>
              <w:bottom w:val="single" w:color="auto" w:sz="6" w:space="0"/>
              <w:right w:val="single" w:color="auto" w:sz="6" w:space="0"/>
            </w:tcBorders>
            <w:vAlign w:val="center"/>
          </w:tcPr>
          <w:p w14:paraId="7BC37625">
            <w:pPr>
              <w:jc w:val="center"/>
            </w:pPr>
          </w:p>
        </w:tc>
        <w:tc>
          <w:tcPr>
            <w:tcW w:w="1080" w:type="dxa"/>
            <w:tcBorders>
              <w:top w:val="single" w:color="auto" w:sz="6" w:space="0"/>
              <w:left w:val="single" w:color="auto" w:sz="6" w:space="0"/>
              <w:bottom w:val="single" w:color="auto" w:sz="6" w:space="0"/>
              <w:right w:val="single" w:color="auto" w:sz="6" w:space="0"/>
            </w:tcBorders>
            <w:vAlign w:val="center"/>
          </w:tcPr>
          <w:p w14:paraId="2C5D63B5">
            <w:pPr>
              <w:jc w:val="center"/>
            </w:pPr>
          </w:p>
        </w:tc>
        <w:tc>
          <w:tcPr>
            <w:tcW w:w="1098" w:type="dxa"/>
            <w:tcBorders>
              <w:top w:val="single" w:color="auto" w:sz="6" w:space="0"/>
              <w:left w:val="single" w:color="auto" w:sz="6" w:space="0"/>
              <w:bottom w:val="single" w:color="auto" w:sz="6" w:space="0"/>
              <w:right w:val="single" w:color="auto" w:sz="6" w:space="0"/>
            </w:tcBorders>
            <w:vAlign w:val="center"/>
          </w:tcPr>
          <w:p w14:paraId="566DC81D">
            <w:pPr>
              <w:jc w:val="center"/>
            </w:pPr>
          </w:p>
        </w:tc>
        <w:tc>
          <w:tcPr>
            <w:tcW w:w="1062" w:type="dxa"/>
            <w:tcBorders>
              <w:top w:val="single" w:color="auto" w:sz="6" w:space="0"/>
              <w:left w:val="single" w:color="auto" w:sz="6" w:space="0"/>
              <w:bottom w:val="single" w:color="auto" w:sz="6" w:space="0"/>
              <w:right w:val="single" w:color="auto" w:sz="6" w:space="0"/>
            </w:tcBorders>
            <w:vAlign w:val="center"/>
          </w:tcPr>
          <w:p w14:paraId="512C613A">
            <w:pPr>
              <w:jc w:val="center"/>
            </w:pPr>
          </w:p>
        </w:tc>
        <w:tc>
          <w:tcPr>
            <w:tcW w:w="1111" w:type="dxa"/>
            <w:tcBorders>
              <w:top w:val="single" w:color="auto" w:sz="6" w:space="0"/>
              <w:left w:val="single" w:color="auto" w:sz="6" w:space="0"/>
              <w:bottom w:val="single" w:color="auto" w:sz="6" w:space="0"/>
              <w:right w:val="single" w:color="auto" w:sz="6" w:space="0"/>
            </w:tcBorders>
            <w:vAlign w:val="center"/>
          </w:tcPr>
          <w:p w14:paraId="14933EE3">
            <w:pPr>
              <w:jc w:val="center"/>
            </w:pPr>
          </w:p>
        </w:tc>
      </w:tr>
      <w:tr w14:paraId="2628CE7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vAlign w:val="center"/>
          </w:tcPr>
          <w:p w14:paraId="2794BBB3">
            <w:pPr>
              <w:jc w:val="center"/>
            </w:pPr>
          </w:p>
        </w:tc>
        <w:tc>
          <w:tcPr>
            <w:tcW w:w="746" w:type="dxa"/>
            <w:tcBorders>
              <w:top w:val="single" w:color="auto" w:sz="6" w:space="0"/>
              <w:left w:val="single" w:color="auto" w:sz="4" w:space="0"/>
              <w:bottom w:val="single" w:color="auto" w:sz="6" w:space="0"/>
              <w:right w:val="single" w:color="auto" w:sz="6" w:space="0"/>
            </w:tcBorders>
            <w:vAlign w:val="center"/>
          </w:tcPr>
          <w:p w14:paraId="6F6F8E79">
            <w:pPr>
              <w:jc w:val="center"/>
            </w:pPr>
            <w:r>
              <w:t>售后人员</w:t>
            </w:r>
          </w:p>
        </w:tc>
        <w:tc>
          <w:tcPr>
            <w:tcW w:w="787" w:type="dxa"/>
            <w:tcBorders>
              <w:top w:val="single" w:color="auto" w:sz="6" w:space="0"/>
              <w:left w:val="single" w:color="auto" w:sz="6" w:space="0"/>
              <w:bottom w:val="single" w:color="auto" w:sz="6" w:space="0"/>
              <w:right w:val="single" w:color="auto" w:sz="6" w:space="0"/>
            </w:tcBorders>
            <w:vAlign w:val="center"/>
          </w:tcPr>
          <w:p w14:paraId="7BB456CE">
            <w:pPr>
              <w:jc w:val="center"/>
            </w:pPr>
          </w:p>
        </w:tc>
        <w:tc>
          <w:tcPr>
            <w:tcW w:w="685" w:type="dxa"/>
            <w:tcBorders>
              <w:top w:val="single" w:color="auto" w:sz="6" w:space="0"/>
              <w:left w:val="single" w:color="auto" w:sz="6" w:space="0"/>
              <w:bottom w:val="single" w:color="auto" w:sz="6" w:space="0"/>
              <w:right w:val="single" w:color="auto" w:sz="6" w:space="0"/>
            </w:tcBorders>
            <w:vAlign w:val="center"/>
          </w:tcPr>
          <w:p w14:paraId="302C33DA">
            <w:pPr>
              <w:jc w:val="center"/>
            </w:pPr>
          </w:p>
        </w:tc>
        <w:tc>
          <w:tcPr>
            <w:tcW w:w="705" w:type="dxa"/>
            <w:tcBorders>
              <w:top w:val="single" w:color="auto" w:sz="6" w:space="0"/>
              <w:left w:val="single" w:color="auto" w:sz="6" w:space="0"/>
              <w:bottom w:val="single" w:color="auto" w:sz="6" w:space="0"/>
              <w:right w:val="single" w:color="auto" w:sz="6" w:space="0"/>
            </w:tcBorders>
            <w:vAlign w:val="center"/>
          </w:tcPr>
          <w:p w14:paraId="292DF5AB">
            <w:pPr>
              <w:jc w:val="center"/>
            </w:pPr>
          </w:p>
        </w:tc>
        <w:tc>
          <w:tcPr>
            <w:tcW w:w="1002" w:type="dxa"/>
            <w:tcBorders>
              <w:top w:val="single" w:color="auto" w:sz="6" w:space="0"/>
              <w:left w:val="single" w:color="auto" w:sz="6" w:space="0"/>
              <w:bottom w:val="single" w:color="auto" w:sz="6" w:space="0"/>
              <w:right w:val="single" w:color="auto" w:sz="6" w:space="0"/>
            </w:tcBorders>
            <w:vAlign w:val="center"/>
          </w:tcPr>
          <w:p w14:paraId="4238BA8B">
            <w:pPr>
              <w:jc w:val="center"/>
            </w:pPr>
          </w:p>
        </w:tc>
        <w:tc>
          <w:tcPr>
            <w:tcW w:w="1080" w:type="dxa"/>
            <w:tcBorders>
              <w:top w:val="single" w:color="auto" w:sz="6" w:space="0"/>
              <w:left w:val="single" w:color="auto" w:sz="6" w:space="0"/>
              <w:bottom w:val="single" w:color="auto" w:sz="6" w:space="0"/>
              <w:right w:val="single" w:color="auto" w:sz="6" w:space="0"/>
            </w:tcBorders>
            <w:vAlign w:val="center"/>
          </w:tcPr>
          <w:p w14:paraId="243689D1">
            <w:pPr>
              <w:jc w:val="center"/>
            </w:pPr>
          </w:p>
        </w:tc>
        <w:tc>
          <w:tcPr>
            <w:tcW w:w="1080" w:type="dxa"/>
            <w:tcBorders>
              <w:top w:val="single" w:color="auto" w:sz="6" w:space="0"/>
              <w:left w:val="single" w:color="auto" w:sz="6" w:space="0"/>
              <w:bottom w:val="single" w:color="auto" w:sz="6" w:space="0"/>
              <w:right w:val="single" w:color="auto" w:sz="6" w:space="0"/>
            </w:tcBorders>
            <w:vAlign w:val="center"/>
          </w:tcPr>
          <w:p w14:paraId="439CC232">
            <w:pPr>
              <w:jc w:val="center"/>
            </w:pPr>
          </w:p>
        </w:tc>
        <w:tc>
          <w:tcPr>
            <w:tcW w:w="1098" w:type="dxa"/>
            <w:tcBorders>
              <w:top w:val="single" w:color="auto" w:sz="6" w:space="0"/>
              <w:left w:val="single" w:color="auto" w:sz="6" w:space="0"/>
              <w:bottom w:val="single" w:color="auto" w:sz="6" w:space="0"/>
              <w:right w:val="single" w:color="auto" w:sz="6" w:space="0"/>
            </w:tcBorders>
            <w:vAlign w:val="center"/>
          </w:tcPr>
          <w:p w14:paraId="7963A9A7">
            <w:pPr>
              <w:jc w:val="center"/>
            </w:pPr>
          </w:p>
        </w:tc>
        <w:tc>
          <w:tcPr>
            <w:tcW w:w="1062" w:type="dxa"/>
            <w:tcBorders>
              <w:top w:val="single" w:color="auto" w:sz="6" w:space="0"/>
              <w:left w:val="single" w:color="auto" w:sz="6" w:space="0"/>
              <w:bottom w:val="single" w:color="auto" w:sz="6" w:space="0"/>
              <w:right w:val="single" w:color="auto" w:sz="6" w:space="0"/>
            </w:tcBorders>
            <w:vAlign w:val="center"/>
          </w:tcPr>
          <w:p w14:paraId="1ACF0263">
            <w:pPr>
              <w:jc w:val="center"/>
            </w:pPr>
          </w:p>
        </w:tc>
        <w:tc>
          <w:tcPr>
            <w:tcW w:w="1111" w:type="dxa"/>
            <w:tcBorders>
              <w:top w:val="single" w:color="auto" w:sz="6" w:space="0"/>
              <w:left w:val="single" w:color="auto" w:sz="6" w:space="0"/>
              <w:bottom w:val="single" w:color="auto" w:sz="6" w:space="0"/>
              <w:right w:val="single" w:color="auto" w:sz="6" w:space="0"/>
            </w:tcBorders>
            <w:vAlign w:val="center"/>
          </w:tcPr>
          <w:p w14:paraId="14B33DFC">
            <w:pPr>
              <w:jc w:val="center"/>
            </w:pPr>
          </w:p>
        </w:tc>
      </w:tr>
      <w:tr w14:paraId="0BA9E496">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vAlign w:val="center"/>
          </w:tcPr>
          <w:p w14:paraId="49C394E0">
            <w:pPr>
              <w:jc w:val="center"/>
            </w:pPr>
          </w:p>
        </w:tc>
        <w:tc>
          <w:tcPr>
            <w:tcW w:w="746" w:type="dxa"/>
            <w:tcBorders>
              <w:top w:val="single" w:color="auto" w:sz="6" w:space="0"/>
              <w:left w:val="single" w:color="auto" w:sz="4" w:space="0"/>
              <w:bottom w:val="single" w:color="auto" w:sz="6" w:space="0"/>
              <w:right w:val="single" w:color="auto" w:sz="6" w:space="0"/>
            </w:tcBorders>
            <w:vAlign w:val="center"/>
          </w:tcPr>
          <w:p w14:paraId="4345A9E3">
            <w:pPr>
              <w:jc w:val="center"/>
            </w:pPr>
          </w:p>
        </w:tc>
        <w:tc>
          <w:tcPr>
            <w:tcW w:w="787" w:type="dxa"/>
            <w:tcBorders>
              <w:top w:val="single" w:color="auto" w:sz="6" w:space="0"/>
              <w:left w:val="single" w:color="auto" w:sz="6" w:space="0"/>
              <w:bottom w:val="single" w:color="auto" w:sz="6" w:space="0"/>
              <w:right w:val="single" w:color="auto" w:sz="6" w:space="0"/>
            </w:tcBorders>
            <w:vAlign w:val="center"/>
          </w:tcPr>
          <w:p w14:paraId="4D145A01">
            <w:pPr>
              <w:jc w:val="center"/>
            </w:pPr>
          </w:p>
        </w:tc>
        <w:tc>
          <w:tcPr>
            <w:tcW w:w="685" w:type="dxa"/>
            <w:tcBorders>
              <w:top w:val="single" w:color="auto" w:sz="6" w:space="0"/>
              <w:left w:val="single" w:color="auto" w:sz="6" w:space="0"/>
              <w:bottom w:val="single" w:color="auto" w:sz="6" w:space="0"/>
              <w:right w:val="single" w:color="auto" w:sz="6" w:space="0"/>
            </w:tcBorders>
            <w:vAlign w:val="center"/>
          </w:tcPr>
          <w:p w14:paraId="1299E662">
            <w:pPr>
              <w:jc w:val="center"/>
            </w:pPr>
          </w:p>
        </w:tc>
        <w:tc>
          <w:tcPr>
            <w:tcW w:w="705" w:type="dxa"/>
            <w:tcBorders>
              <w:top w:val="single" w:color="auto" w:sz="6" w:space="0"/>
              <w:left w:val="single" w:color="auto" w:sz="6" w:space="0"/>
              <w:bottom w:val="single" w:color="auto" w:sz="6" w:space="0"/>
              <w:right w:val="single" w:color="auto" w:sz="6" w:space="0"/>
            </w:tcBorders>
            <w:vAlign w:val="center"/>
          </w:tcPr>
          <w:p w14:paraId="120866C8">
            <w:pPr>
              <w:jc w:val="center"/>
            </w:pPr>
          </w:p>
        </w:tc>
        <w:tc>
          <w:tcPr>
            <w:tcW w:w="1002" w:type="dxa"/>
            <w:tcBorders>
              <w:top w:val="single" w:color="auto" w:sz="6" w:space="0"/>
              <w:left w:val="single" w:color="auto" w:sz="6" w:space="0"/>
              <w:bottom w:val="single" w:color="auto" w:sz="6" w:space="0"/>
              <w:right w:val="single" w:color="auto" w:sz="6" w:space="0"/>
            </w:tcBorders>
            <w:vAlign w:val="center"/>
          </w:tcPr>
          <w:p w14:paraId="536F2B16">
            <w:pPr>
              <w:jc w:val="center"/>
            </w:pPr>
          </w:p>
        </w:tc>
        <w:tc>
          <w:tcPr>
            <w:tcW w:w="1080" w:type="dxa"/>
            <w:tcBorders>
              <w:top w:val="single" w:color="auto" w:sz="6" w:space="0"/>
              <w:left w:val="single" w:color="auto" w:sz="6" w:space="0"/>
              <w:bottom w:val="single" w:color="auto" w:sz="6" w:space="0"/>
              <w:right w:val="single" w:color="auto" w:sz="6" w:space="0"/>
            </w:tcBorders>
            <w:vAlign w:val="center"/>
          </w:tcPr>
          <w:p w14:paraId="7672D99D">
            <w:pPr>
              <w:jc w:val="center"/>
            </w:pPr>
          </w:p>
        </w:tc>
        <w:tc>
          <w:tcPr>
            <w:tcW w:w="1080" w:type="dxa"/>
            <w:tcBorders>
              <w:top w:val="single" w:color="auto" w:sz="6" w:space="0"/>
              <w:left w:val="single" w:color="auto" w:sz="6" w:space="0"/>
              <w:bottom w:val="single" w:color="auto" w:sz="6" w:space="0"/>
              <w:right w:val="single" w:color="auto" w:sz="6" w:space="0"/>
            </w:tcBorders>
            <w:vAlign w:val="center"/>
          </w:tcPr>
          <w:p w14:paraId="0EFF1866">
            <w:pPr>
              <w:jc w:val="center"/>
            </w:pPr>
          </w:p>
        </w:tc>
        <w:tc>
          <w:tcPr>
            <w:tcW w:w="1098" w:type="dxa"/>
            <w:tcBorders>
              <w:top w:val="single" w:color="auto" w:sz="6" w:space="0"/>
              <w:left w:val="single" w:color="auto" w:sz="6" w:space="0"/>
              <w:bottom w:val="single" w:color="auto" w:sz="6" w:space="0"/>
              <w:right w:val="single" w:color="auto" w:sz="6" w:space="0"/>
            </w:tcBorders>
            <w:vAlign w:val="center"/>
          </w:tcPr>
          <w:p w14:paraId="218ADB05">
            <w:pPr>
              <w:jc w:val="center"/>
            </w:pPr>
          </w:p>
        </w:tc>
        <w:tc>
          <w:tcPr>
            <w:tcW w:w="1062" w:type="dxa"/>
            <w:tcBorders>
              <w:top w:val="single" w:color="auto" w:sz="6" w:space="0"/>
              <w:left w:val="single" w:color="auto" w:sz="6" w:space="0"/>
              <w:bottom w:val="single" w:color="auto" w:sz="6" w:space="0"/>
              <w:right w:val="single" w:color="auto" w:sz="6" w:space="0"/>
            </w:tcBorders>
            <w:vAlign w:val="center"/>
          </w:tcPr>
          <w:p w14:paraId="412EBE17">
            <w:pPr>
              <w:jc w:val="center"/>
            </w:pPr>
          </w:p>
        </w:tc>
        <w:tc>
          <w:tcPr>
            <w:tcW w:w="1111" w:type="dxa"/>
            <w:tcBorders>
              <w:top w:val="single" w:color="auto" w:sz="6" w:space="0"/>
              <w:left w:val="single" w:color="auto" w:sz="6" w:space="0"/>
              <w:bottom w:val="single" w:color="auto" w:sz="6" w:space="0"/>
              <w:right w:val="single" w:color="auto" w:sz="6" w:space="0"/>
            </w:tcBorders>
            <w:vAlign w:val="center"/>
          </w:tcPr>
          <w:p w14:paraId="71AE8220">
            <w:pPr>
              <w:jc w:val="center"/>
            </w:pPr>
          </w:p>
        </w:tc>
      </w:tr>
    </w:tbl>
    <w:p w14:paraId="234590DE"/>
    <w:p w14:paraId="52922830"/>
    <w:p w14:paraId="46E1DDD3">
      <w:pPr>
        <w:rPr>
          <w:b/>
          <w:bCs/>
        </w:rPr>
      </w:pPr>
      <w:r>
        <w:rPr>
          <w:rFonts w:hint="eastAsia"/>
          <w:b/>
          <w:bCs/>
        </w:rPr>
        <w:t>5．售后服务方案（如有，供应商自行编写）</w:t>
      </w:r>
    </w:p>
    <w:p w14:paraId="2549F76B"/>
    <w:p w14:paraId="6E423DAE"/>
    <w:p w14:paraId="1F4F35C3">
      <w:pPr>
        <w:rPr>
          <w:b/>
          <w:bCs/>
        </w:rPr>
      </w:pPr>
      <w:r>
        <w:rPr>
          <w:rFonts w:hint="eastAsia"/>
          <w:b/>
          <w:bCs/>
        </w:rPr>
        <w:t>6．近年供应商类似成功案例的业绩证明。</w:t>
      </w:r>
    </w:p>
    <w:p w14:paraId="51DA1558">
      <w:pPr>
        <w:jc w:val="center"/>
        <w:rPr>
          <w:b/>
          <w:bCs/>
          <w:sz w:val="28"/>
          <w:szCs w:val="28"/>
        </w:rPr>
      </w:pPr>
      <w:r>
        <w:rPr>
          <w:b/>
          <w:bCs/>
          <w:sz w:val="28"/>
          <w:szCs w:val="28"/>
        </w:rPr>
        <w:t>类似成功案例业绩一览表</w:t>
      </w:r>
    </w:p>
    <w:tbl>
      <w:tblPr>
        <w:tblStyle w:val="52"/>
        <w:tblW w:w="941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92"/>
        <w:gridCol w:w="2255"/>
        <w:gridCol w:w="903"/>
        <w:gridCol w:w="1146"/>
        <w:gridCol w:w="1510"/>
        <w:gridCol w:w="1609"/>
      </w:tblGrid>
      <w:tr w14:paraId="0364B5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5" w:hRule="atLeast"/>
          <w:jc w:val="center"/>
        </w:trPr>
        <w:tc>
          <w:tcPr>
            <w:tcW w:w="1992" w:type="dxa"/>
            <w:vMerge w:val="restart"/>
            <w:tcBorders>
              <w:top w:val="single" w:color="auto" w:sz="4" w:space="0"/>
              <w:left w:val="single" w:color="auto" w:sz="4" w:space="0"/>
              <w:bottom w:val="single" w:color="auto" w:sz="4" w:space="0"/>
              <w:right w:val="single" w:color="auto" w:sz="4" w:space="0"/>
            </w:tcBorders>
            <w:vAlign w:val="center"/>
          </w:tcPr>
          <w:p w14:paraId="0815024C">
            <w:pPr>
              <w:jc w:val="center"/>
            </w:pPr>
            <w:r>
              <w:t>采购单位名称</w:t>
            </w:r>
          </w:p>
        </w:tc>
        <w:tc>
          <w:tcPr>
            <w:tcW w:w="2255" w:type="dxa"/>
            <w:vMerge w:val="restart"/>
            <w:tcBorders>
              <w:top w:val="single" w:color="auto" w:sz="4" w:space="0"/>
              <w:left w:val="single" w:color="auto" w:sz="4" w:space="0"/>
              <w:bottom w:val="single" w:color="auto" w:sz="4" w:space="0"/>
              <w:right w:val="single" w:color="auto" w:sz="4" w:space="0"/>
            </w:tcBorders>
            <w:vAlign w:val="center"/>
          </w:tcPr>
          <w:p w14:paraId="74DB25B1">
            <w:pPr>
              <w:jc w:val="center"/>
            </w:pPr>
            <w:r>
              <w:t>产品或项目名称</w:t>
            </w:r>
          </w:p>
        </w:tc>
        <w:tc>
          <w:tcPr>
            <w:tcW w:w="903" w:type="dxa"/>
            <w:vMerge w:val="restart"/>
            <w:tcBorders>
              <w:top w:val="single" w:color="auto" w:sz="4" w:space="0"/>
              <w:left w:val="single" w:color="auto" w:sz="4" w:space="0"/>
              <w:bottom w:val="single" w:color="auto" w:sz="4" w:space="0"/>
              <w:right w:val="single" w:color="auto" w:sz="4" w:space="0"/>
            </w:tcBorders>
            <w:vAlign w:val="center"/>
          </w:tcPr>
          <w:p w14:paraId="4B1AA11B">
            <w:pPr>
              <w:jc w:val="center"/>
            </w:pPr>
            <w:r>
              <w:t>采购</w:t>
            </w:r>
          </w:p>
          <w:p w14:paraId="3869D84A">
            <w:pPr>
              <w:jc w:val="center"/>
            </w:pPr>
            <w:r>
              <w:t>数量</w:t>
            </w:r>
          </w:p>
        </w:tc>
        <w:tc>
          <w:tcPr>
            <w:tcW w:w="1146" w:type="dxa"/>
            <w:vMerge w:val="restart"/>
            <w:tcBorders>
              <w:top w:val="single" w:color="auto" w:sz="4" w:space="0"/>
              <w:left w:val="single" w:color="auto" w:sz="4" w:space="0"/>
              <w:bottom w:val="single" w:color="auto" w:sz="4" w:space="0"/>
              <w:right w:val="single" w:color="auto" w:sz="4" w:space="0"/>
            </w:tcBorders>
            <w:vAlign w:val="center"/>
          </w:tcPr>
          <w:p w14:paraId="1BCCC139">
            <w:pPr>
              <w:jc w:val="center"/>
            </w:pPr>
            <w:r>
              <w:t>单价（元）</w:t>
            </w:r>
          </w:p>
        </w:tc>
        <w:tc>
          <w:tcPr>
            <w:tcW w:w="1510" w:type="dxa"/>
            <w:vMerge w:val="restart"/>
            <w:tcBorders>
              <w:top w:val="single" w:color="auto" w:sz="4" w:space="0"/>
              <w:left w:val="single" w:color="auto" w:sz="4" w:space="0"/>
              <w:bottom w:val="single" w:color="auto" w:sz="4" w:space="0"/>
              <w:right w:val="single" w:color="auto" w:sz="4" w:space="0"/>
            </w:tcBorders>
            <w:vAlign w:val="center"/>
          </w:tcPr>
          <w:p w14:paraId="401C33AA">
            <w:pPr>
              <w:jc w:val="center"/>
            </w:pPr>
            <w:r>
              <w:t>合同总价（元）</w:t>
            </w:r>
          </w:p>
        </w:tc>
        <w:tc>
          <w:tcPr>
            <w:tcW w:w="1609" w:type="dxa"/>
            <w:vMerge w:val="restart"/>
            <w:tcBorders>
              <w:top w:val="single" w:color="auto" w:sz="4" w:space="0"/>
              <w:left w:val="single" w:color="auto" w:sz="4" w:space="0"/>
              <w:right w:val="single" w:color="auto" w:sz="4" w:space="0"/>
            </w:tcBorders>
            <w:vAlign w:val="center"/>
          </w:tcPr>
          <w:p w14:paraId="1FD992BF">
            <w:pPr>
              <w:jc w:val="center"/>
            </w:pPr>
            <w:r>
              <w:t>采购单位联系人及联系电话</w:t>
            </w:r>
          </w:p>
        </w:tc>
      </w:tr>
      <w:tr w14:paraId="5CAD03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jc w:val="center"/>
        </w:trPr>
        <w:tc>
          <w:tcPr>
            <w:tcW w:w="1992" w:type="dxa"/>
            <w:vMerge w:val="continue"/>
            <w:tcBorders>
              <w:top w:val="single" w:color="auto" w:sz="4" w:space="0"/>
              <w:left w:val="single" w:color="auto" w:sz="4" w:space="0"/>
              <w:bottom w:val="single" w:color="auto" w:sz="4" w:space="0"/>
              <w:right w:val="single" w:color="auto" w:sz="4" w:space="0"/>
            </w:tcBorders>
            <w:vAlign w:val="center"/>
          </w:tcPr>
          <w:p w14:paraId="67C6A57E">
            <w:pPr>
              <w:jc w:val="cente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14:paraId="5C8A3565">
            <w:pPr>
              <w:jc w:val="center"/>
            </w:pPr>
          </w:p>
        </w:tc>
        <w:tc>
          <w:tcPr>
            <w:tcW w:w="903" w:type="dxa"/>
            <w:vMerge w:val="continue"/>
            <w:tcBorders>
              <w:top w:val="single" w:color="auto" w:sz="4" w:space="0"/>
              <w:left w:val="single" w:color="auto" w:sz="4" w:space="0"/>
              <w:bottom w:val="single" w:color="auto" w:sz="4" w:space="0"/>
              <w:right w:val="single" w:color="auto" w:sz="4" w:space="0"/>
            </w:tcBorders>
            <w:vAlign w:val="center"/>
          </w:tcPr>
          <w:p w14:paraId="69A90CD7">
            <w:pPr>
              <w:jc w:val="center"/>
            </w:pPr>
          </w:p>
        </w:tc>
        <w:tc>
          <w:tcPr>
            <w:tcW w:w="1146" w:type="dxa"/>
            <w:vMerge w:val="continue"/>
            <w:tcBorders>
              <w:top w:val="single" w:color="auto" w:sz="4" w:space="0"/>
              <w:left w:val="single" w:color="auto" w:sz="4" w:space="0"/>
              <w:bottom w:val="single" w:color="auto" w:sz="4" w:space="0"/>
              <w:right w:val="single" w:color="auto" w:sz="4" w:space="0"/>
            </w:tcBorders>
            <w:vAlign w:val="center"/>
          </w:tcPr>
          <w:p w14:paraId="79D1C279">
            <w:pPr>
              <w:jc w:val="center"/>
            </w:pPr>
          </w:p>
        </w:tc>
        <w:tc>
          <w:tcPr>
            <w:tcW w:w="1510" w:type="dxa"/>
            <w:vMerge w:val="continue"/>
            <w:tcBorders>
              <w:top w:val="single" w:color="auto" w:sz="4" w:space="0"/>
              <w:left w:val="single" w:color="auto" w:sz="4" w:space="0"/>
              <w:bottom w:val="single" w:color="auto" w:sz="4" w:space="0"/>
              <w:right w:val="single" w:color="auto" w:sz="4" w:space="0"/>
            </w:tcBorders>
            <w:vAlign w:val="center"/>
          </w:tcPr>
          <w:p w14:paraId="0A20445B">
            <w:pPr>
              <w:jc w:val="center"/>
            </w:pPr>
          </w:p>
        </w:tc>
        <w:tc>
          <w:tcPr>
            <w:tcW w:w="1609" w:type="dxa"/>
            <w:vMerge w:val="continue"/>
            <w:tcBorders>
              <w:left w:val="single" w:color="auto" w:sz="4" w:space="0"/>
              <w:bottom w:val="single" w:color="auto" w:sz="4" w:space="0"/>
              <w:right w:val="single" w:color="auto" w:sz="4" w:space="0"/>
            </w:tcBorders>
            <w:vAlign w:val="center"/>
          </w:tcPr>
          <w:p w14:paraId="23874F2F">
            <w:pPr>
              <w:jc w:val="center"/>
            </w:pPr>
          </w:p>
        </w:tc>
      </w:tr>
      <w:tr w14:paraId="057B17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992" w:type="dxa"/>
            <w:tcBorders>
              <w:top w:val="single" w:color="auto" w:sz="4" w:space="0"/>
              <w:left w:val="single" w:color="auto" w:sz="4" w:space="0"/>
              <w:bottom w:val="single" w:color="auto" w:sz="4" w:space="0"/>
              <w:right w:val="single" w:color="auto" w:sz="4" w:space="0"/>
            </w:tcBorders>
            <w:vAlign w:val="center"/>
          </w:tcPr>
          <w:p w14:paraId="0042F38A">
            <w:pPr>
              <w:jc w:val="center"/>
            </w:pPr>
          </w:p>
        </w:tc>
        <w:tc>
          <w:tcPr>
            <w:tcW w:w="2255" w:type="dxa"/>
            <w:tcBorders>
              <w:top w:val="single" w:color="auto" w:sz="4" w:space="0"/>
              <w:left w:val="single" w:color="auto" w:sz="4" w:space="0"/>
              <w:bottom w:val="single" w:color="auto" w:sz="4" w:space="0"/>
              <w:right w:val="single" w:color="auto" w:sz="4" w:space="0"/>
            </w:tcBorders>
            <w:vAlign w:val="center"/>
          </w:tcPr>
          <w:p w14:paraId="55422C36">
            <w:pPr>
              <w:jc w:val="center"/>
            </w:pPr>
          </w:p>
        </w:tc>
        <w:tc>
          <w:tcPr>
            <w:tcW w:w="903" w:type="dxa"/>
            <w:tcBorders>
              <w:top w:val="single" w:color="auto" w:sz="4" w:space="0"/>
              <w:left w:val="single" w:color="auto" w:sz="4" w:space="0"/>
              <w:bottom w:val="single" w:color="auto" w:sz="4" w:space="0"/>
              <w:right w:val="single" w:color="auto" w:sz="4" w:space="0"/>
            </w:tcBorders>
            <w:vAlign w:val="center"/>
          </w:tcPr>
          <w:p w14:paraId="0A1B5352">
            <w:pPr>
              <w:jc w:val="center"/>
            </w:pPr>
          </w:p>
        </w:tc>
        <w:tc>
          <w:tcPr>
            <w:tcW w:w="1146" w:type="dxa"/>
            <w:tcBorders>
              <w:top w:val="single" w:color="auto" w:sz="4" w:space="0"/>
              <w:left w:val="single" w:color="auto" w:sz="4" w:space="0"/>
              <w:bottom w:val="single" w:color="auto" w:sz="4" w:space="0"/>
              <w:right w:val="single" w:color="auto" w:sz="4" w:space="0"/>
            </w:tcBorders>
            <w:vAlign w:val="center"/>
          </w:tcPr>
          <w:p w14:paraId="30EE3F1A">
            <w:pPr>
              <w:jc w:val="center"/>
            </w:pPr>
          </w:p>
        </w:tc>
        <w:tc>
          <w:tcPr>
            <w:tcW w:w="1510" w:type="dxa"/>
            <w:tcBorders>
              <w:top w:val="single" w:color="auto" w:sz="4" w:space="0"/>
              <w:left w:val="single" w:color="auto" w:sz="4" w:space="0"/>
              <w:bottom w:val="single" w:color="auto" w:sz="4" w:space="0"/>
              <w:right w:val="single" w:color="auto" w:sz="4" w:space="0"/>
            </w:tcBorders>
            <w:vAlign w:val="center"/>
          </w:tcPr>
          <w:p w14:paraId="43320E91">
            <w:pPr>
              <w:jc w:val="center"/>
            </w:pPr>
          </w:p>
        </w:tc>
        <w:tc>
          <w:tcPr>
            <w:tcW w:w="1609" w:type="dxa"/>
            <w:tcBorders>
              <w:top w:val="single" w:color="auto" w:sz="4" w:space="0"/>
              <w:left w:val="single" w:color="auto" w:sz="4" w:space="0"/>
              <w:bottom w:val="single" w:color="auto" w:sz="4" w:space="0"/>
              <w:right w:val="single" w:color="auto" w:sz="4" w:space="0"/>
            </w:tcBorders>
            <w:vAlign w:val="center"/>
          </w:tcPr>
          <w:p w14:paraId="346D15B8">
            <w:pPr>
              <w:jc w:val="center"/>
            </w:pPr>
          </w:p>
        </w:tc>
      </w:tr>
      <w:tr w14:paraId="553E40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8" w:hRule="atLeast"/>
          <w:jc w:val="center"/>
        </w:trPr>
        <w:tc>
          <w:tcPr>
            <w:tcW w:w="1992" w:type="dxa"/>
            <w:tcBorders>
              <w:top w:val="single" w:color="auto" w:sz="4" w:space="0"/>
              <w:left w:val="single" w:color="auto" w:sz="4" w:space="0"/>
              <w:bottom w:val="single" w:color="auto" w:sz="4" w:space="0"/>
              <w:right w:val="single" w:color="auto" w:sz="4" w:space="0"/>
            </w:tcBorders>
            <w:vAlign w:val="center"/>
          </w:tcPr>
          <w:p w14:paraId="5D3A6B28">
            <w:pPr>
              <w:jc w:val="center"/>
            </w:pPr>
          </w:p>
        </w:tc>
        <w:tc>
          <w:tcPr>
            <w:tcW w:w="2255" w:type="dxa"/>
            <w:tcBorders>
              <w:top w:val="single" w:color="auto" w:sz="4" w:space="0"/>
              <w:left w:val="single" w:color="auto" w:sz="4" w:space="0"/>
              <w:bottom w:val="single" w:color="auto" w:sz="4" w:space="0"/>
              <w:right w:val="single" w:color="auto" w:sz="4" w:space="0"/>
            </w:tcBorders>
            <w:vAlign w:val="center"/>
          </w:tcPr>
          <w:p w14:paraId="47692511">
            <w:pPr>
              <w:jc w:val="center"/>
            </w:pPr>
          </w:p>
        </w:tc>
        <w:tc>
          <w:tcPr>
            <w:tcW w:w="903" w:type="dxa"/>
            <w:tcBorders>
              <w:top w:val="single" w:color="auto" w:sz="4" w:space="0"/>
              <w:left w:val="single" w:color="auto" w:sz="4" w:space="0"/>
              <w:bottom w:val="single" w:color="auto" w:sz="4" w:space="0"/>
              <w:right w:val="single" w:color="auto" w:sz="4" w:space="0"/>
            </w:tcBorders>
            <w:vAlign w:val="center"/>
          </w:tcPr>
          <w:p w14:paraId="2970C0C7">
            <w:pPr>
              <w:jc w:val="center"/>
            </w:pPr>
          </w:p>
        </w:tc>
        <w:tc>
          <w:tcPr>
            <w:tcW w:w="1146" w:type="dxa"/>
            <w:tcBorders>
              <w:top w:val="single" w:color="auto" w:sz="4" w:space="0"/>
              <w:left w:val="single" w:color="auto" w:sz="4" w:space="0"/>
              <w:bottom w:val="single" w:color="auto" w:sz="4" w:space="0"/>
              <w:right w:val="single" w:color="auto" w:sz="4" w:space="0"/>
            </w:tcBorders>
            <w:vAlign w:val="center"/>
          </w:tcPr>
          <w:p w14:paraId="40D633B2">
            <w:pPr>
              <w:jc w:val="center"/>
            </w:pPr>
          </w:p>
        </w:tc>
        <w:tc>
          <w:tcPr>
            <w:tcW w:w="1510" w:type="dxa"/>
            <w:tcBorders>
              <w:top w:val="single" w:color="auto" w:sz="4" w:space="0"/>
              <w:left w:val="single" w:color="auto" w:sz="4" w:space="0"/>
              <w:bottom w:val="single" w:color="auto" w:sz="4" w:space="0"/>
              <w:right w:val="single" w:color="auto" w:sz="4" w:space="0"/>
            </w:tcBorders>
            <w:vAlign w:val="center"/>
          </w:tcPr>
          <w:p w14:paraId="568D4410">
            <w:pPr>
              <w:jc w:val="center"/>
            </w:pPr>
          </w:p>
        </w:tc>
        <w:tc>
          <w:tcPr>
            <w:tcW w:w="1609" w:type="dxa"/>
            <w:tcBorders>
              <w:top w:val="single" w:color="auto" w:sz="4" w:space="0"/>
              <w:left w:val="single" w:color="auto" w:sz="4" w:space="0"/>
              <w:bottom w:val="single" w:color="auto" w:sz="4" w:space="0"/>
              <w:right w:val="single" w:color="auto" w:sz="4" w:space="0"/>
            </w:tcBorders>
            <w:vAlign w:val="center"/>
          </w:tcPr>
          <w:p w14:paraId="755F53ED">
            <w:pPr>
              <w:jc w:val="center"/>
            </w:pPr>
          </w:p>
        </w:tc>
      </w:tr>
      <w:tr w14:paraId="7EE1B7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992" w:type="dxa"/>
            <w:tcBorders>
              <w:top w:val="single" w:color="auto" w:sz="4" w:space="0"/>
              <w:left w:val="single" w:color="auto" w:sz="4" w:space="0"/>
              <w:bottom w:val="single" w:color="auto" w:sz="4" w:space="0"/>
              <w:right w:val="single" w:color="auto" w:sz="4" w:space="0"/>
            </w:tcBorders>
            <w:vAlign w:val="center"/>
          </w:tcPr>
          <w:p w14:paraId="2667F6B1">
            <w:pPr>
              <w:jc w:val="center"/>
            </w:pPr>
          </w:p>
        </w:tc>
        <w:tc>
          <w:tcPr>
            <w:tcW w:w="2255" w:type="dxa"/>
            <w:tcBorders>
              <w:top w:val="single" w:color="auto" w:sz="4" w:space="0"/>
              <w:left w:val="single" w:color="auto" w:sz="4" w:space="0"/>
              <w:bottom w:val="single" w:color="auto" w:sz="4" w:space="0"/>
              <w:right w:val="single" w:color="auto" w:sz="4" w:space="0"/>
            </w:tcBorders>
            <w:vAlign w:val="center"/>
          </w:tcPr>
          <w:p w14:paraId="78824210">
            <w:pPr>
              <w:jc w:val="center"/>
            </w:pPr>
          </w:p>
        </w:tc>
        <w:tc>
          <w:tcPr>
            <w:tcW w:w="903" w:type="dxa"/>
            <w:tcBorders>
              <w:top w:val="single" w:color="auto" w:sz="4" w:space="0"/>
              <w:left w:val="single" w:color="auto" w:sz="4" w:space="0"/>
              <w:bottom w:val="single" w:color="auto" w:sz="4" w:space="0"/>
              <w:right w:val="single" w:color="auto" w:sz="4" w:space="0"/>
            </w:tcBorders>
            <w:vAlign w:val="center"/>
          </w:tcPr>
          <w:p w14:paraId="727D70F4">
            <w:pPr>
              <w:jc w:val="center"/>
            </w:pPr>
          </w:p>
        </w:tc>
        <w:tc>
          <w:tcPr>
            <w:tcW w:w="1146" w:type="dxa"/>
            <w:tcBorders>
              <w:top w:val="single" w:color="auto" w:sz="4" w:space="0"/>
              <w:left w:val="single" w:color="auto" w:sz="4" w:space="0"/>
              <w:bottom w:val="single" w:color="auto" w:sz="4" w:space="0"/>
              <w:right w:val="single" w:color="auto" w:sz="4" w:space="0"/>
            </w:tcBorders>
            <w:vAlign w:val="center"/>
          </w:tcPr>
          <w:p w14:paraId="67864B08">
            <w:pPr>
              <w:jc w:val="center"/>
            </w:pPr>
          </w:p>
        </w:tc>
        <w:tc>
          <w:tcPr>
            <w:tcW w:w="1510" w:type="dxa"/>
            <w:tcBorders>
              <w:top w:val="single" w:color="auto" w:sz="4" w:space="0"/>
              <w:left w:val="single" w:color="auto" w:sz="4" w:space="0"/>
              <w:bottom w:val="single" w:color="auto" w:sz="4" w:space="0"/>
              <w:right w:val="single" w:color="auto" w:sz="4" w:space="0"/>
            </w:tcBorders>
            <w:vAlign w:val="center"/>
          </w:tcPr>
          <w:p w14:paraId="645CDF28">
            <w:pPr>
              <w:jc w:val="center"/>
            </w:pPr>
          </w:p>
        </w:tc>
        <w:tc>
          <w:tcPr>
            <w:tcW w:w="1609" w:type="dxa"/>
            <w:tcBorders>
              <w:top w:val="single" w:color="auto" w:sz="4" w:space="0"/>
              <w:left w:val="single" w:color="auto" w:sz="4" w:space="0"/>
              <w:bottom w:val="single" w:color="auto" w:sz="4" w:space="0"/>
              <w:right w:val="single" w:color="auto" w:sz="4" w:space="0"/>
            </w:tcBorders>
            <w:vAlign w:val="center"/>
          </w:tcPr>
          <w:p w14:paraId="71B16F07">
            <w:pPr>
              <w:jc w:val="center"/>
            </w:pPr>
          </w:p>
        </w:tc>
      </w:tr>
    </w:tbl>
    <w:p w14:paraId="19862A1C">
      <w:pPr>
        <w:ind w:firstLine="420" w:firstLineChars="200"/>
      </w:pPr>
      <w:r>
        <w:rPr>
          <w:rFonts w:hint="eastAsia"/>
        </w:rPr>
        <w:t>注：</w:t>
      </w:r>
    </w:p>
    <w:p w14:paraId="30CB3C96">
      <w:pPr>
        <w:ind w:firstLine="420" w:firstLineChars="200"/>
      </w:pPr>
      <w:r>
        <w:rPr>
          <w:rFonts w:hint="eastAsia"/>
        </w:rPr>
        <w:t>（1）未附证明材料的业绩无效，证明材料见第四章《评审方法及评审标准》规定</w:t>
      </w:r>
    </w:p>
    <w:p w14:paraId="2BA95F13">
      <w:pPr>
        <w:ind w:firstLine="420" w:firstLineChars="200"/>
      </w:pPr>
      <w:r>
        <w:rPr>
          <w:rFonts w:hint="eastAsia"/>
        </w:rPr>
        <w:t>（2）类似项目的定义见第四章《评审方法及评审标准》规定。</w:t>
      </w:r>
    </w:p>
    <w:p w14:paraId="7F478D9F">
      <w:pPr>
        <w:ind w:firstLine="420" w:firstLineChars="200"/>
      </w:pPr>
      <w:r>
        <w:rPr>
          <w:rFonts w:hint="eastAsia"/>
        </w:rPr>
        <w:t>（3）</w:t>
      </w:r>
      <w:bookmarkStart w:id="118" w:name="_Hlk19049505"/>
      <w:r>
        <w:rPr>
          <w:rFonts w:hint="eastAsia"/>
        </w:rPr>
        <w:t>本表可拓展。</w:t>
      </w:r>
      <w:bookmarkEnd w:id="118"/>
    </w:p>
    <w:p w14:paraId="4DF9F60E"/>
    <w:p w14:paraId="6075B4AA">
      <w:pPr>
        <w:jc w:val="center"/>
      </w:pPr>
      <w:bookmarkStart w:id="119" w:name="_Hlk88990617"/>
      <w:r>
        <w:rPr>
          <w:rFonts w:hint="eastAsia"/>
        </w:rPr>
        <w:t>供应商名称(电子签章)：</w:t>
      </w:r>
      <w:bookmarkEnd w:id="119"/>
    </w:p>
    <w:p w14:paraId="75A99BFB">
      <w:pPr>
        <w:jc w:val="center"/>
      </w:pPr>
      <w:r>
        <w:rPr>
          <w:rFonts w:hint="eastAsia"/>
        </w:rPr>
        <w:t>年月日</w:t>
      </w:r>
    </w:p>
    <w:p w14:paraId="283F64FD"/>
    <w:p w14:paraId="361D3144">
      <w:pPr>
        <w:sectPr>
          <w:pgSz w:w="11906" w:h="16838"/>
          <w:pgMar w:top="1418" w:right="1133" w:bottom="1246" w:left="1418" w:header="851" w:footer="992" w:gutter="0"/>
          <w:pgBorders>
            <w:top w:val="none" w:sz="0" w:space="0"/>
            <w:left w:val="none" w:sz="0" w:space="0"/>
            <w:bottom w:val="none" w:sz="0" w:space="0"/>
            <w:right w:val="none" w:sz="0" w:space="0"/>
          </w:pgBorders>
          <w:cols w:space="720" w:num="1"/>
          <w:docGrid w:linePitch="312" w:charSpace="0"/>
        </w:sectPr>
      </w:pPr>
    </w:p>
    <w:p w14:paraId="01438CF8">
      <w:pPr>
        <w:rPr>
          <w:b/>
          <w:bCs/>
        </w:rPr>
      </w:pPr>
      <w:bookmarkStart w:id="120" w:name="_Hlk19050322"/>
      <w:r>
        <w:rPr>
          <w:rFonts w:hint="eastAsia"/>
          <w:b/>
          <w:bCs/>
        </w:rPr>
        <w:t>7.投标保证金交纳证明。（如招标文件有要求时提供）</w:t>
      </w:r>
    </w:p>
    <w:p w14:paraId="37AB587E">
      <w:pPr>
        <w:ind w:firstLine="420" w:firstLineChars="200"/>
      </w:pPr>
      <w:r>
        <w:t>以转账、电汇形式</w:t>
      </w:r>
      <w:r>
        <w:rPr>
          <w:rFonts w:hint="eastAsia"/>
        </w:rPr>
        <w:t>交纳</w:t>
      </w:r>
      <w:r>
        <w:t>的，提供</w:t>
      </w:r>
      <w:r>
        <w:rPr>
          <w:rFonts w:hint="eastAsia"/>
        </w:rPr>
        <w:t>保证金汇款声明函及</w:t>
      </w:r>
      <w:r>
        <w:t>转账、电汇凭证扫描件（网银可提供截图）加盖供应商电子签章；</w:t>
      </w:r>
    </w:p>
    <w:p w14:paraId="54BD7825">
      <w:pPr>
        <w:ind w:firstLine="420" w:firstLineChars="200"/>
      </w:pPr>
      <w:r>
        <w:t>以其他非现金形式缴纳的，提供原件扫描件加盖供应商电子签章。</w:t>
      </w:r>
    </w:p>
    <w:p w14:paraId="72850926"/>
    <w:p w14:paraId="426E047B">
      <w:pPr>
        <w:jc w:val="center"/>
        <w:rPr>
          <w:b/>
          <w:bCs/>
          <w:sz w:val="28"/>
          <w:szCs w:val="28"/>
        </w:rPr>
      </w:pPr>
      <w:r>
        <w:rPr>
          <w:rFonts w:hint="eastAsia"/>
          <w:b/>
          <w:bCs/>
          <w:sz w:val="28"/>
          <w:szCs w:val="28"/>
        </w:rPr>
        <w:t>保证金汇款声明函（适用</w:t>
      </w:r>
      <w:r>
        <w:rPr>
          <w:b/>
          <w:bCs/>
          <w:sz w:val="28"/>
          <w:szCs w:val="28"/>
        </w:rPr>
        <w:t>转账、电汇形式</w:t>
      </w:r>
      <w:r>
        <w:rPr>
          <w:rFonts w:hint="eastAsia"/>
          <w:b/>
          <w:bCs/>
          <w:sz w:val="28"/>
          <w:szCs w:val="28"/>
        </w:rPr>
        <w:t>交纳）</w:t>
      </w:r>
    </w:p>
    <w:p w14:paraId="6F9B812E">
      <w:pPr>
        <w:pStyle w:val="27"/>
      </w:pPr>
    </w:p>
    <w:p w14:paraId="5342370F">
      <w:pPr>
        <w:pStyle w:val="27"/>
        <w:rPr>
          <w:sz w:val="24"/>
          <w:szCs w:val="24"/>
        </w:rPr>
      </w:pPr>
      <w:r>
        <w:rPr>
          <w:rFonts w:hint="eastAsia"/>
        </w:rPr>
        <w:t>致：</w:t>
      </w:r>
      <w:r>
        <w:rPr>
          <w:rFonts w:hint="eastAsia"/>
          <w:u w:val="single"/>
        </w:rPr>
        <w:t xml:space="preserve"> 广西中信恒泰工程顾问有限公司 </w:t>
      </w:r>
    </w:p>
    <w:p w14:paraId="5440876E">
      <w:pPr>
        <w:pStyle w:val="27"/>
        <w:ind w:firstLine="420" w:firstLineChars="200"/>
      </w:pPr>
      <w:r>
        <w:rPr>
          <w:rFonts w:hint="eastAsia"/>
        </w:rPr>
        <w:t>我方为</w:t>
      </w:r>
      <w:r>
        <w:t>____________(</w:t>
      </w:r>
      <w:r>
        <w:rPr>
          <w:rFonts w:hint="eastAsia"/>
        </w:rPr>
        <w:t>项目名称</w:t>
      </w:r>
      <w:r>
        <w:t>)(</w:t>
      </w:r>
      <w:r>
        <w:rPr>
          <w:rFonts w:hint="eastAsia"/>
        </w:rPr>
        <w:t>项目编号：</w:t>
      </w:r>
      <w:r>
        <w:t>________)</w:t>
      </w:r>
      <w:r>
        <w:rPr>
          <w:rFonts w:hint="eastAsia"/>
        </w:rPr>
        <w:t>递交保证金人民币</w:t>
      </w:r>
      <w:r>
        <w:t>________</w:t>
      </w:r>
      <w:r>
        <w:rPr>
          <w:rFonts w:hint="eastAsia"/>
        </w:rPr>
        <w:t>元</w:t>
      </w:r>
      <w:r>
        <w:t>(</w:t>
      </w:r>
      <w:r>
        <w:rPr>
          <w:rFonts w:hint="eastAsia"/>
        </w:rPr>
        <w:t>大写</w:t>
      </w:r>
      <w:r>
        <w:t>(</w:t>
      </w:r>
      <w:r>
        <w:rPr>
          <w:rFonts w:hint="eastAsia"/>
        </w:rPr>
        <w:t>人民币　　元</w:t>
      </w:r>
      <w:r>
        <w:t>)</w:t>
      </w:r>
      <w:r>
        <w:rPr>
          <w:rFonts w:hint="eastAsia"/>
        </w:rPr>
        <w:t>已于</w:t>
      </w:r>
      <w:r>
        <w:t>______</w:t>
      </w:r>
      <w:r>
        <w:rPr>
          <w:rFonts w:hint="eastAsia"/>
        </w:rPr>
        <w:t>年</w:t>
      </w:r>
      <w:r>
        <w:t>____</w:t>
      </w:r>
      <w:r>
        <w:rPr>
          <w:rFonts w:hint="eastAsia"/>
        </w:rPr>
        <w:t>月</w:t>
      </w:r>
      <w:r>
        <w:t>____</w:t>
      </w:r>
      <w:r>
        <w:rPr>
          <w:rFonts w:hint="eastAsia"/>
        </w:rPr>
        <w:t>日以银行主动划账方式划入你方账户。</w:t>
      </w:r>
    </w:p>
    <w:p w14:paraId="0DCAAE07">
      <w:pPr>
        <w:pStyle w:val="27"/>
        <w:ind w:firstLine="420" w:firstLineChars="200"/>
      </w:pPr>
      <w:r>
        <w:rPr>
          <w:rFonts w:hint="eastAsia"/>
        </w:rPr>
        <w:t>详见附件：银行出具的汇款单或转账凭证</w:t>
      </w:r>
      <w:r>
        <w:rPr>
          <w:rFonts w:hint="eastAsia"/>
          <w:lang w:eastAsia="zh-CN"/>
        </w:rPr>
        <w:t>扫描件</w:t>
      </w:r>
      <w:r>
        <w:rPr>
          <w:rFonts w:hint="eastAsia"/>
        </w:rPr>
        <w:t>。</w:t>
      </w:r>
    </w:p>
    <w:p w14:paraId="4C32B623">
      <w:pPr>
        <w:pStyle w:val="27"/>
        <w:ind w:firstLine="420" w:firstLineChars="200"/>
      </w:pPr>
      <w:r>
        <w:rPr>
          <w:rFonts w:hint="eastAsia"/>
        </w:rPr>
        <w:t>退还保证金时请按以下内容划入我方账户。若因内容不全、错误、字迹潦草模糊导致该项目保证金未能及时退还或退还过程中发生错误</w:t>
      </w:r>
      <w:r>
        <w:rPr>
          <w:rFonts w:hint="eastAsia" w:cs="MingLiU_HKSCS"/>
        </w:rPr>
        <w:t>，</w:t>
      </w:r>
      <w:r>
        <w:rPr>
          <w:rFonts w:hint="eastAsia"/>
        </w:rPr>
        <w:t>我方将承担全部责任和损失。</w:t>
      </w:r>
    </w:p>
    <w:tbl>
      <w:tblPr>
        <w:tblStyle w:val="52"/>
        <w:tblW w:w="0" w:type="auto"/>
        <w:jc w:val="center"/>
        <w:tblLayout w:type="fixed"/>
        <w:tblCellMar>
          <w:top w:w="0" w:type="dxa"/>
          <w:left w:w="108" w:type="dxa"/>
          <w:bottom w:w="0" w:type="dxa"/>
          <w:right w:w="108" w:type="dxa"/>
        </w:tblCellMar>
      </w:tblPr>
      <w:tblGrid>
        <w:gridCol w:w="769"/>
        <w:gridCol w:w="611"/>
        <w:gridCol w:w="3136"/>
        <w:gridCol w:w="1773"/>
        <w:gridCol w:w="2491"/>
        <w:gridCol w:w="700"/>
      </w:tblGrid>
      <w:tr w14:paraId="7D10D9CE">
        <w:tblPrEx>
          <w:tblCellMar>
            <w:top w:w="0" w:type="dxa"/>
            <w:left w:w="108" w:type="dxa"/>
            <w:bottom w:w="0" w:type="dxa"/>
            <w:right w:w="108" w:type="dxa"/>
          </w:tblCellMar>
        </w:tblPrEx>
        <w:trPr>
          <w:trHeight w:val="488" w:hRule="atLeast"/>
          <w:jc w:val="center"/>
        </w:trPr>
        <w:tc>
          <w:tcPr>
            <w:tcW w:w="9480" w:type="dxa"/>
            <w:gridSpan w:val="6"/>
            <w:tcBorders>
              <w:top w:val="nil"/>
              <w:left w:val="nil"/>
              <w:bottom w:val="single" w:color="auto" w:sz="4" w:space="0"/>
              <w:right w:val="nil"/>
            </w:tcBorders>
            <w:vAlign w:val="center"/>
          </w:tcPr>
          <w:p w14:paraId="7444A279">
            <w:pPr>
              <w:rPr>
                <w:bCs/>
                <w:kern w:val="0"/>
              </w:rPr>
            </w:pPr>
            <w:r>
              <w:rPr>
                <w:rFonts w:hint="eastAsia"/>
              </w:rPr>
              <w:t>投标保证金交款、退款函</w:t>
            </w:r>
          </w:p>
        </w:tc>
      </w:tr>
      <w:tr w14:paraId="6D54C160">
        <w:tblPrEx>
          <w:tblCellMar>
            <w:top w:w="0" w:type="dxa"/>
            <w:left w:w="108" w:type="dxa"/>
            <w:bottom w:w="0" w:type="dxa"/>
            <w:right w:w="108" w:type="dxa"/>
          </w:tblCellMar>
        </w:tblPrEx>
        <w:trPr>
          <w:trHeight w:val="397" w:hRule="atLeast"/>
          <w:jc w:val="center"/>
        </w:trPr>
        <w:tc>
          <w:tcPr>
            <w:tcW w:w="1380" w:type="dxa"/>
            <w:gridSpan w:val="2"/>
            <w:tcBorders>
              <w:top w:val="single" w:color="auto" w:sz="4" w:space="0"/>
              <w:left w:val="single" w:color="auto" w:sz="4" w:space="0"/>
              <w:bottom w:val="single" w:color="auto" w:sz="4" w:space="0"/>
              <w:right w:val="single" w:color="auto" w:sz="4" w:space="0"/>
            </w:tcBorders>
            <w:vAlign w:val="center"/>
          </w:tcPr>
          <w:p w14:paraId="07E166A6">
            <w:pPr>
              <w:jc w:val="center"/>
            </w:pPr>
            <w:r>
              <w:rPr>
                <w:rFonts w:hint="eastAsia"/>
              </w:rPr>
              <w:t>项目名称</w:t>
            </w:r>
          </w:p>
        </w:tc>
        <w:tc>
          <w:tcPr>
            <w:tcW w:w="3136" w:type="dxa"/>
            <w:tcBorders>
              <w:top w:val="single" w:color="auto" w:sz="4" w:space="0"/>
              <w:left w:val="single" w:color="auto" w:sz="4" w:space="0"/>
              <w:bottom w:val="single" w:color="auto" w:sz="4" w:space="0"/>
              <w:right w:val="single" w:color="auto" w:sz="4" w:space="0"/>
            </w:tcBorders>
            <w:vAlign w:val="center"/>
          </w:tcPr>
          <w:p w14:paraId="3BE53451">
            <w:pPr>
              <w:jc w:val="center"/>
            </w:pPr>
          </w:p>
        </w:tc>
        <w:tc>
          <w:tcPr>
            <w:tcW w:w="1773" w:type="dxa"/>
            <w:tcBorders>
              <w:top w:val="single" w:color="auto" w:sz="4" w:space="0"/>
              <w:left w:val="single" w:color="auto" w:sz="4" w:space="0"/>
              <w:bottom w:val="single" w:color="auto" w:sz="4" w:space="0"/>
              <w:right w:val="single" w:color="auto" w:sz="4" w:space="0"/>
            </w:tcBorders>
            <w:vAlign w:val="center"/>
          </w:tcPr>
          <w:p w14:paraId="7B7FE813">
            <w:pPr>
              <w:jc w:val="center"/>
            </w:pPr>
            <w:r>
              <w:rPr>
                <w:rFonts w:hint="eastAsia"/>
              </w:rPr>
              <w:t>项目编号</w:t>
            </w:r>
          </w:p>
        </w:tc>
        <w:tc>
          <w:tcPr>
            <w:tcW w:w="2491" w:type="dxa"/>
            <w:tcBorders>
              <w:top w:val="single" w:color="auto" w:sz="4" w:space="0"/>
              <w:left w:val="single" w:color="auto" w:sz="4" w:space="0"/>
              <w:bottom w:val="single" w:color="auto" w:sz="4" w:space="0"/>
              <w:right w:val="single" w:color="auto" w:sz="4" w:space="0"/>
            </w:tcBorders>
            <w:vAlign w:val="center"/>
          </w:tcPr>
          <w:p w14:paraId="3BB58E62">
            <w:pPr>
              <w:jc w:val="center"/>
            </w:pPr>
          </w:p>
        </w:tc>
        <w:tc>
          <w:tcPr>
            <w:tcW w:w="700" w:type="dxa"/>
            <w:vMerge w:val="restart"/>
            <w:tcBorders>
              <w:top w:val="single" w:color="auto" w:sz="4" w:space="0"/>
              <w:left w:val="single" w:color="auto" w:sz="4" w:space="0"/>
              <w:bottom w:val="single" w:color="auto" w:sz="4" w:space="0"/>
              <w:right w:val="single" w:color="auto" w:sz="4" w:space="0"/>
            </w:tcBorders>
            <w:vAlign w:val="center"/>
          </w:tcPr>
          <w:p w14:paraId="724E37D0">
            <w:r>
              <w:rPr>
                <w:rFonts w:hint="eastAsia"/>
              </w:rPr>
              <w:t>请将保证金交款凭证</w:t>
            </w:r>
            <w:r>
              <w:rPr>
                <w:rFonts w:hint="eastAsia"/>
                <w:lang w:eastAsia="zh-CN"/>
              </w:rPr>
              <w:t>扫描件</w:t>
            </w:r>
            <w:r>
              <w:rPr>
                <w:rFonts w:hint="eastAsia"/>
              </w:rPr>
              <w:t>贴于下面</w:t>
            </w:r>
          </w:p>
        </w:tc>
      </w:tr>
      <w:tr w14:paraId="244C194C">
        <w:tblPrEx>
          <w:tblCellMar>
            <w:top w:w="0" w:type="dxa"/>
            <w:left w:w="108" w:type="dxa"/>
            <w:bottom w:w="0" w:type="dxa"/>
            <w:right w:w="108" w:type="dxa"/>
          </w:tblCellMar>
        </w:tblPrEx>
        <w:trPr>
          <w:trHeight w:val="397" w:hRule="atLeast"/>
          <w:jc w:val="center"/>
        </w:trPr>
        <w:tc>
          <w:tcPr>
            <w:tcW w:w="1380" w:type="dxa"/>
            <w:gridSpan w:val="2"/>
            <w:tcBorders>
              <w:top w:val="single" w:color="auto" w:sz="4" w:space="0"/>
              <w:left w:val="single" w:color="auto" w:sz="4" w:space="0"/>
              <w:bottom w:val="single" w:color="auto" w:sz="4" w:space="0"/>
              <w:right w:val="single" w:color="auto" w:sz="4" w:space="0"/>
            </w:tcBorders>
            <w:vAlign w:val="center"/>
          </w:tcPr>
          <w:p w14:paraId="52F9F60D">
            <w:pPr>
              <w:jc w:val="center"/>
            </w:pPr>
            <w:r>
              <w:rPr>
                <w:rFonts w:hint="eastAsia"/>
              </w:rPr>
              <w:t>交款单位</w:t>
            </w:r>
          </w:p>
        </w:tc>
        <w:tc>
          <w:tcPr>
            <w:tcW w:w="3136" w:type="dxa"/>
            <w:tcBorders>
              <w:top w:val="single" w:color="auto" w:sz="4" w:space="0"/>
              <w:left w:val="single" w:color="auto" w:sz="4" w:space="0"/>
              <w:bottom w:val="single" w:color="auto" w:sz="4" w:space="0"/>
              <w:right w:val="single" w:color="auto" w:sz="4" w:space="0"/>
            </w:tcBorders>
            <w:vAlign w:val="center"/>
          </w:tcPr>
          <w:p w14:paraId="18267B41">
            <w:pPr>
              <w:jc w:val="center"/>
            </w:pPr>
          </w:p>
        </w:tc>
        <w:tc>
          <w:tcPr>
            <w:tcW w:w="1773" w:type="dxa"/>
            <w:tcBorders>
              <w:top w:val="single" w:color="auto" w:sz="4" w:space="0"/>
              <w:left w:val="single" w:color="auto" w:sz="4" w:space="0"/>
              <w:bottom w:val="single" w:color="auto" w:sz="4" w:space="0"/>
              <w:right w:val="single" w:color="auto" w:sz="4" w:space="0"/>
            </w:tcBorders>
            <w:vAlign w:val="center"/>
          </w:tcPr>
          <w:p w14:paraId="4382DAA6">
            <w:pPr>
              <w:jc w:val="center"/>
            </w:pPr>
            <w:r>
              <w:rPr>
                <w:rFonts w:hint="eastAsia"/>
              </w:rPr>
              <w:t>联系人及电话</w:t>
            </w:r>
          </w:p>
        </w:tc>
        <w:tc>
          <w:tcPr>
            <w:tcW w:w="2491" w:type="dxa"/>
            <w:tcBorders>
              <w:top w:val="single" w:color="auto" w:sz="4" w:space="0"/>
              <w:left w:val="single" w:color="auto" w:sz="4" w:space="0"/>
              <w:bottom w:val="single" w:color="auto" w:sz="4" w:space="0"/>
              <w:right w:val="single" w:color="auto" w:sz="4" w:space="0"/>
            </w:tcBorders>
            <w:vAlign w:val="center"/>
          </w:tcPr>
          <w:p w14:paraId="36060319">
            <w:pPr>
              <w:jc w:val="center"/>
            </w:pPr>
          </w:p>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510EEDB7"/>
        </w:tc>
      </w:tr>
      <w:tr w14:paraId="5EA6ABE1">
        <w:tblPrEx>
          <w:tblCellMar>
            <w:top w:w="0" w:type="dxa"/>
            <w:left w:w="108" w:type="dxa"/>
            <w:bottom w:w="0" w:type="dxa"/>
            <w:right w:w="108" w:type="dxa"/>
          </w:tblCellMar>
        </w:tblPrEx>
        <w:trPr>
          <w:trHeight w:val="397" w:hRule="atLeast"/>
          <w:jc w:val="center"/>
        </w:trPr>
        <w:tc>
          <w:tcPr>
            <w:tcW w:w="1380" w:type="dxa"/>
            <w:gridSpan w:val="2"/>
            <w:tcBorders>
              <w:top w:val="single" w:color="auto" w:sz="4" w:space="0"/>
              <w:left w:val="single" w:color="auto" w:sz="4" w:space="0"/>
              <w:bottom w:val="single" w:color="auto" w:sz="4" w:space="0"/>
              <w:right w:val="single" w:color="auto" w:sz="4" w:space="0"/>
            </w:tcBorders>
            <w:vAlign w:val="center"/>
          </w:tcPr>
          <w:p w14:paraId="40705F1E">
            <w:pPr>
              <w:jc w:val="center"/>
            </w:pPr>
            <w:r>
              <w:rPr>
                <w:rFonts w:hint="eastAsia"/>
              </w:rPr>
              <w:t>分标号</w:t>
            </w:r>
          </w:p>
        </w:tc>
        <w:tc>
          <w:tcPr>
            <w:tcW w:w="3136" w:type="dxa"/>
            <w:tcBorders>
              <w:top w:val="single" w:color="auto" w:sz="4" w:space="0"/>
              <w:left w:val="single" w:color="auto" w:sz="4" w:space="0"/>
              <w:bottom w:val="single" w:color="auto" w:sz="4" w:space="0"/>
              <w:right w:val="single" w:color="auto" w:sz="4" w:space="0"/>
            </w:tcBorders>
            <w:vAlign w:val="center"/>
          </w:tcPr>
          <w:p w14:paraId="34B5FAA3">
            <w:pPr>
              <w:jc w:val="center"/>
              <w:rPr>
                <w:bCs/>
                <w:kern w:val="0"/>
              </w:rPr>
            </w:pPr>
            <w:r>
              <w:t>（若无留空或写“/”）</w:t>
            </w:r>
          </w:p>
        </w:tc>
        <w:tc>
          <w:tcPr>
            <w:tcW w:w="4264" w:type="dxa"/>
            <w:gridSpan w:val="2"/>
            <w:vMerge w:val="restart"/>
            <w:tcBorders>
              <w:top w:val="single" w:color="auto" w:sz="4" w:space="0"/>
              <w:left w:val="single" w:color="auto" w:sz="4" w:space="0"/>
              <w:bottom w:val="single" w:color="auto" w:sz="4" w:space="0"/>
              <w:right w:val="single" w:color="auto" w:sz="4" w:space="0"/>
            </w:tcBorders>
          </w:tcPr>
          <w:p w14:paraId="7AE713F0">
            <w:r>
              <w:rPr>
                <w:rFonts w:hint="eastAsia"/>
              </w:rPr>
              <w:t>1. 若我单位未中标请采购人或采购代理机构于该项目中标通知书发出后5个工作日内将保证金退回</w:t>
            </w:r>
            <w:r>
              <w:rPr>
                <w:rFonts w:hint="eastAsia"/>
                <w:u w:val="single"/>
              </w:rPr>
              <w:t>原交款人</w:t>
            </w:r>
            <w:r>
              <w:rPr>
                <w:rFonts w:hint="eastAsia"/>
              </w:rPr>
              <w:t xml:space="preserve">。 </w:t>
            </w:r>
          </w:p>
          <w:p w14:paraId="353211BE">
            <w:r>
              <w:rPr>
                <w:rFonts w:hint="eastAsia"/>
              </w:rPr>
              <w:t>2. 若我单位中标，请采购人或采购代理机构收到我单位提交的合同后5个工作日内将保证金退回</w:t>
            </w:r>
            <w:r>
              <w:rPr>
                <w:rFonts w:hint="eastAsia"/>
                <w:u w:val="single"/>
              </w:rPr>
              <w:t>原交款人</w:t>
            </w:r>
            <w:r>
              <w:rPr>
                <w:rFonts w:hint="eastAsia"/>
              </w:rPr>
              <w:t xml:space="preserve">。                                     </w:t>
            </w:r>
          </w:p>
          <w:p w14:paraId="23BA1041">
            <w:r>
              <w:rPr>
                <w:rFonts w:hint="eastAsia"/>
              </w:rPr>
              <w:t>　</w:t>
            </w:r>
          </w:p>
          <w:p w14:paraId="657CC857">
            <w:r>
              <w:rPr>
                <w:rFonts w:hint="eastAsia"/>
              </w:rPr>
              <w:t>供应商名称(电子签章)：</w:t>
            </w:r>
          </w:p>
          <w:p w14:paraId="6B05CFD7">
            <w:r>
              <w:rPr>
                <w:rFonts w:hint="eastAsia"/>
              </w:rPr>
              <w:t xml:space="preserve">                        年   月   日 </w:t>
            </w:r>
          </w:p>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63CD0B67"/>
        </w:tc>
      </w:tr>
      <w:tr w14:paraId="1B584232">
        <w:tblPrEx>
          <w:tblCellMar>
            <w:top w:w="0" w:type="dxa"/>
            <w:left w:w="108" w:type="dxa"/>
            <w:bottom w:w="0" w:type="dxa"/>
            <w:right w:w="108" w:type="dxa"/>
          </w:tblCellMar>
        </w:tblPrEx>
        <w:trPr>
          <w:trHeight w:val="397" w:hRule="atLeast"/>
          <w:jc w:val="center"/>
        </w:trPr>
        <w:tc>
          <w:tcPr>
            <w:tcW w:w="1380" w:type="dxa"/>
            <w:gridSpan w:val="2"/>
            <w:tcBorders>
              <w:top w:val="single" w:color="auto" w:sz="4" w:space="0"/>
              <w:left w:val="single" w:color="auto" w:sz="4" w:space="0"/>
              <w:bottom w:val="single" w:color="auto" w:sz="4" w:space="0"/>
              <w:right w:val="single" w:color="auto" w:sz="4" w:space="0"/>
            </w:tcBorders>
            <w:vAlign w:val="center"/>
          </w:tcPr>
          <w:p w14:paraId="494DCE8D">
            <w:pPr>
              <w:jc w:val="center"/>
            </w:pPr>
            <w:r>
              <w:rPr>
                <w:rFonts w:hint="eastAsia"/>
              </w:rPr>
              <w:t>保证金金额</w:t>
            </w:r>
          </w:p>
        </w:tc>
        <w:tc>
          <w:tcPr>
            <w:tcW w:w="3136" w:type="dxa"/>
            <w:tcBorders>
              <w:top w:val="single" w:color="auto" w:sz="4" w:space="0"/>
              <w:left w:val="single" w:color="auto" w:sz="4" w:space="0"/>
              <w:bottom w:val="single" w:color="auto" w:sz="4" w:space="0"/>
              <w:right w:val="single" w:color="auto" w:sz="4" w:space="0"/>
            </w:tcBorders>
            <w:vAlign w:val="center"/>
          </w:tcPr>
          <w:p w14:paraId="2E21F9AB">
            <w:pPr>
              <w:jc w:val="center"/>
            </w:pPr>
            <w:r>
              <w:rPr>
                <w:rFonts w:hint="eastAsia"/>
              </w:rPr>
              <w:t>¥</w:t>
            </w:r>
          </w:p>
        </w:tc>
        <w:tc>
          <w:tcPr>
            <w:tcW w:w="4264" w:type="dxa"/>
            <w:gridSpan w:val="2"/>
            <w:vMerge w:val="continue"/>
            <w:tcBorders>
              <w:left w:val="single" w:color="auto" w:sz="4" w:space="0"/>
              <w:right w:val="single" w:color="auto" w:sz="4" w:space="0"/>
            </w:tcBorders>
          </w:tcPr>
          <w:p w14:paraId="01361727"/>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081A8721"/>
        </w:tc>
      </w:tr>
      <w:tr w14:paraId="7E345794">
        <w:tblPrEx>
          <w:tblCellMar>
            <w:top w:w="0" w:type="dxa"/>
            <w:left w:w="108" w:type="dxa"/>
            <w:bottom w:w="0" w:type="dxa"/>
            <w:right w:w="108" w:type="dxa"/>
          </w:tblCellMar>
        </w:tblPrEx>
        <w:trPr>
          <w:trHeight w:val="397" w:hRule="atLeast"/>
          <w:jc w:val="center"/>
        </w:trPr>
        <w:tc>
          <w:tcPr>
            <w:tcW w:w="4516" w:type="dxa"/>
            <w:gridSpan w:val="3"/>
            <w:tcBorders>
              <w:top w:val="single" w:color="auto" w:sz="4" w:space="0"/>
              <w:left w:val="single" w:color="auto" w:sz="4" w:space="0"/>
              <w:bottom w:val="single" w:color="auto" w:sz="4" w:space="0"/>
              <w:right w:val="single" w:color="auto" w:sz="4" w:space="0"/>
            </w:tcBorders>
            <w:vAlign w:val="center"/>
          </w:tcPr>
          <w:p w14:paraId="3FBEDE53">
            <w:pPr>
              <w:jc w:val="center"/>
            </w:pPr>
            <w:r>
              <w:rPr>
                <w:rFonts w:hint="eastAsia"/>
              </w:rPr>
              <w:t>退款信息</w:t>
            </w:r>
          </w:p>
        </w:tc>
        <w:tc>
          <w:tcPr>
            <w:tcW w:w="4264" w:type="dxa"/>
            <w:gridSpan w:val="2"/>
            <w:vMerge w:val="continue"/>
            <w:tcBorders>
              <w:top w:val="single" w:color="auto" w:sz="4" w:space="0"/>
              <w:left w:val="single" w:color="auto" w:sz="4" w:space="0"/>
              <w:bottom w:val="single" w:color="auto" w:sz="4" w:space="0"/>
              <w:right w:val="single" w:color="auto" w:sz="4" w:space="0"/>
            </w:tcBorders>
            <w:vAlign w:val="center"/>
          </w:tcPr>
          <w:p w14:paraId="354B26C5"/>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5BF8082A"/>
        </w:tc>
      </w:tr>
      <w:tr w14:paraId="7CF9DEB4">
        <w:tblPrEx>
          <w:tblCellMar>
            <w:top w:w="0" w:type="dxa"/>
            <w:left w:w="108" w:type="dxa"/>
            <w:bottom w:w="0" w:type="dxa"/>
            <w:right w:w="108" w:type="dxa"/>
          </w:tblCellMar>
        </w:tblPrEx>
        <w:trPr>
          <w:trHeight w:val="397"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6D073C8D">
            <w:pPr>
              <w:jc w:val="center"/>
            </w:pPr>
            <w:r>
              <w:rPr>
                <w:rFonts w:hint="eastAsia"/>
              </w:rPr>
              <w:t>户    名</w:t>
            </w:r>
          </w:p>
        </w:tc>
        <w:tc>
          <w:tcPr>
            <w:tcW w:w="3747" w:type="dxa"/>
            <w:gridSpan w:val="2"/>
            <w:tcBorders>
              <w:top w:val="single" w:color="auto" w:sz="4" w:space="0"/>
              <w:left w:val="single" w:color="auto" w:sz="4" w:space="0"/>
              <w:bottom w:val="single" w:color="auto" w:sz="4" w:space="0"/>
              <w:right w:val="single" w:color="auto" w:sz="4" w:space="0"/>
            </w:tcBorders>
            <w:vAlign w:val="center"/>
          </w:tcPr>
          <w:p w14:paraId="36009385">
            <w:pPr>
              <w:jc w:val="center"/>
            </w:pPr>
          </w:p>
        </w:tc>
        <w:tc>
          <w:tcPr>
            <w:tcW w:w="4264" w:type="dxa"/>
            <w:gridSpan w:val="2"/>
            <w:vMerge w:val="continue"/>
            <w:tcBorders>
              <w:top w:val="single" w:color="auto" w:sz="4" w:space="0"/>
              <w:left w:val="single" w:color="auto" w:sz="4" w:space="0"/>
              <w:bottom w:val="single" w:color="auto" w:sz="4" w:space="0"/>
              <w:right w:val="single" w:color="auto" w:sz="4" w:space="0"/>
            </w:tcBorders>
          </w:tcPr>
          <w:p w14:paraId="4D415500"/>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0ADB79DC"/>
        </w:tc>
      </w:tr>
      <w:tr w14:paraId="2D73C30E">
        <w:tblPrEx>
          <w:tblCellMar>
            <w:top w:w="0" w:type="dxa"/>
            <w:left w:w="108" w:type="dxa"/>
            <w:bottom w:w="0" w:type="dxa"/>
            <w:right w:w="108" w:type="dxa"/>
          </w:tblCellMar>
        </w:tblPrEx>
        <w:trPr>
          <w:trHeight w:val="397"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7ACCF398">
            <w:pPr>
              <w:jc w:val="center"/>
            </w:pPr>
            <w:r>
              <w:rPr>
                <w:rFonts w:hint="eastAsia"/>
              </w:rPr>
              <w:t>账    号</w:t>
            </w:r>
          </w:p>
        </w:tc>
        <w:tc>
          <w:tcPr>
            <w:tcW w:w="3747" w:type="dxa"/>
            <w:gridSpan w:val="2"/>
            <w:tcBorders>
              <w:top w:val="single" w:color="auto" w:sz="4" w:space="0"/>
              <w:left w:val="single" w:color="auto" w:sz="4" w:space="0"/>
              <w:bottom w:val="single" w:color="auto" w:sz="4" w:space="0"/>
              <w:right w:val="single" w:color="auto" w:sz="4" w:space="0"/>
            </w:tcBorders>
            <w:vAlign w:val="center"/>
          </w:tcPr>
          <w:p w14:paraId="6F1E634C">
            <w:pPr>
              <w:jc w:val="center"/>
            </w:pPr>
          </w:p>
        </w:tc>
        <w:tc>
          <w:tcPr>
            <w:tcW w:w="4264" w:type="dxa"/>
            <w:gridSpan w:val="2"/>
            <w:vMerge w:val="continue"/>
            <w:tcBorders>
              <w:top w:val="single" w:color="auto" w:sz="4" w:space="0"/>
              <w:left w:val="single" w:color="auto" w:sz="4" w:space="0"/>
              <w:bottom w:val="single" w:color="auto" w:sz="4" w:space="0"/>
              <w:right w:val="single" w:color="auto" w:sz="4" w:space="0"/>
            </w:tcBorders>
            <w:vAlign w:val="center"/>
          </w:tcPr>
          <w:p w14:paraId="18A42CA7"/>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56CF4B33"/>
        </w:tc>
      </w:tr>
      <w:tr w14:paraId="12F7F09E">
        <w:tblPrEx>
          <w:tblCellMar>
            <w:top w:w="0" w:type="dxa"/>
            <w:left w:w="108" w:type="dxa"/>
            <w:bottom w:w="0" w:type="dxa"/>
            <w:right w:w="108" w:type="dxa"/>
          </w:tblCellMar>
        </w:tblPrEx>
        <w:trPr>
          <w:trHeight w:val="92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2BA24BF3">
            <w:pPr>
              <w:jc w:val="center"/>
            </w:pPr>
            <w:r>
              <w:rPr>
                <w:rFonts w:hint="eastAsia"/>
              </w:rPr>
              <w:t>开户银行</w:t>
            </w:r>
          </w:p>
        </w:tc>
        <w:tc>
          <w:tcPr>
            <w:tcW w:w="3747" w:type="dxa"/>
            <w:gridSpan w:val="2"/>
            <w:tcBorders>
              <w:top w:val="single" w:color="auto" w:sz="4" w:space="0"/>
              <w:left w:val="single" w:color="auto" w:sz="4" w:space="0"/>
              <w:bottom w:val="single" w:color="auto" w:sz="4" w:space="0"/>
              <w:right w:val="single" w:color="auto" w:sz="4" w:space="0"/>
            </w:tcBorders>
            <w:vAlign w:val="center"/>
          </w:tcPr>
          <w:p w14:paraId="038E88A7">
            <w:pPr>
              <w:jc w:val="center"/>
            </w:pPr>
          </w:p>
        </w:tc>
        <w:tc>
          <w:tcPr>
            <w:tcW w:w="4264" w:type="dxa"/>
            <w:gridSpan w:val="2"/>
            <w:vMerge w:val="continue"/>
            <w:tcBorders>
              <w:top w:val="single" w:color="auto" w:sz="4" w:space="0"/>
              <w:left w:val="single" w:color="auto" w:sz="4" w:space="0"/>
              <w:bottom w:val="single" w:color="auto" w:sz="4" w:space="0"/>
              <w:right w:val="single" w:color="auto" w:sz="4" w:space="0"/>
            </w:tcBorders>
            <w:vAlign w:val="center"/>
          </w:tcPr>
          <w:p w14:paraId="297E6AAC"/>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38473840"/>
        </w:tc>
      </w:tr>
    </w:tbl>
    <w:p w14:paraId="3670200C">
      <w:pPr>
        <w:ind w:firstLine="420" w:firstLineChars="200"/>
        <w:rPr>
          <w:rFonts w:hint="eastAsia"/>
        </w:rPr>
      </w:pPr>
      <w:r>
        <w:rPr>
          <w:rFonts w:hint="eastAsia"/>
        </w:rPr>
        <w:t>注：1.保证金退还帐户必须与交款帐户一致，否则由此造成保证金不能及时退还或退错的后果由供应商自负。</w:t>
      </w:r>
    </w:p>
    <w:p w14:paraId="61EE8B0B">
      <w:pPr>
        <w:ind w:firstLine="420" w:firstLineChars="200"/>
      </w:pPr>
      <w:r>
        <w:rPr>
          <w:rFonts w:hint="eastAsia"/>
        </w:rPr>
        <w:t>2.此函适用转账方式递交保证金，采用支票、汇票、本票或者金融、担保机构出具的保函缴纳方式的，供应商应将支票、汇票、本票或者金融、担保机构出具的保函的复印件作为投标保证金提交证明。</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13"/>
      </w:tblGrid>
      <w:tr w14:paraId="3A02B8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5913" w:type="dxa"/>
            <w:tcBorders>
              <w:top w:val="single" w:color="auto" w:sz="4" w:space="0"/>
              <w:left w:val="single" w:color="auto" w:sz="4" w:space="0"/>
              <w:bottom w:val="single" w:color="auto" w:sz="4" w:space="0"/>
              <w:right w:val="single" w:color="auto" w:sz="4" w:space="0"/>
            </w:tcBorders>
            <w:vAlign w:val="center"/>
          </w:tcPr>
          <w:p w14:paraId="6D618B93">
            <w:pPr>
              <w:pStyle w:val="27"/>
              <w:jc w:val="center"/>
              <w:rPr>
                <w:rFonts w:hint="eastAsia" w:eastAsia="宋体"/>
                <w:lang w:eastAsia="zh-CN"/>
              </w:rPr>
            </w:pPr>
            <w:r>
              <w:rPr>
                <w:rFonts w:hint="eastAsia"/>
              </w:rPr>
              <w:t>汇款单或转账凭证</w:t>
            </w:r>
            <w:r>
              <w:rPr>
                <w:rFonts w:hint="eastAsia"/>
                <w:lang w:eastAsia="zh-CN"/>
              </w:rPr>
              <w:t>扫描件</w:t>
            </w:r>
          </w:p>
        </w:tc>
      </w:tr>
    </w:tbl>
    <w:p w14:paraId="68DD3437">
      <w:pPr>
        <w:rPr>
          <w:b/>
          <w:bCs/>
        </w:rPr>
      </w:pPr>
      <w:r>
        <w:rPr>
          <w:rFonts w:hint="eastAsia"/>
          <w:b/>
          <w:bCs/>
        </w:rPr>
        <w:t>8.无串标行为承诺函</w:t>
      </w:r>
    </w:p>
    <w:p w14:paraId="0C946B2D"/>
    <w:p w14:paraId="69FAB659">
      <w:pPr>
        <w:jc w:val="center"/>
        <w:rPr>
          <w:b/>
          <w:bCs/>
          <w:sz w:val="28"/>
          <w:szCs w:val="28"/>
        </w:rPr>
      </w:pPr>
      <w:r>
        <w:rPr>
          <w:rFonts w:hint="eastAsia"/>
          <w:b/>
          <w:bCs/>
          <w:sz w:val="28"/>
          <w:szCs w:val="28"/>
          <w:lang w:val="en-US" w:eastAsia="zh-CN"/>
        </w:rPr>
        <w:t>供应商</w:t>
      </w:r>
      <w:r>
        <w:rPr>
          <w:b/>
          <w:bCs/>
          <w:sz w:val="28"/>
          <w:szCs w:val="28"/>
        </w:rPr>
        <w:t>参加本项目无围标串标行为的承诺函</w:t>
      </w:r>
    </w:p>
    <w:p w14:paraId="336591C5"/>
    <w:p w14:paraId="6CF03FD4">
      <w:pPr>
        <w:ind w:firstLine="420" w:firstLineChars="200"/>
      </w:pPr>
      <w:r>
        <w:rPr>
          <w:rFonts w:hint="eastAsia"/>
        </w:rPr>
        <w:t>一、我方承诺无下列相互串通投标的情形：</w:t>
      </w:r>
    </w:p>
    <w:p w14:paraId="0B8534B1">
      <w:pPr>
        <w:ind w:firstLine="420" w:firstLineChars="200"/>
        <w:rPr>
          <w:rFonts w:hint="eastAsia"/>
        </w:rPr>
      </w:pPr>
      <w:r>
        <w:rPr>
          <w:rFonts w:hint="eastAsia"/>
          <w:lang w:val="en-US" w:eastAsia="zh-CN"/>
        </w:rPr>
        <w:t>1.</w:t>
      </w:r>
      <w:r>
        <w:rPr>
          <w:rFonts w:hint="eastAsia"/>
        </w:rPr>
        <w:t>不同供应商的投标文件由同一单位或者个人编制；或不同供应商报名的IP地址一致的；</w:t>
      </w:r>
    </w:p>
    <w:p w14:paraId="781C46FE">
      <w:pPr>
        <w:ind w:firstLine="420" w:firstLineChars="200"/>
        <w:rPr>
          <w:rFonts w:hint="eastAsia"/>
        </w:rPr>
      </w:pPr>
      <w:r>
        <w:rPr>
          <w:rFonts w:hint="eastAsia"/>
          <w:lang w:val="en-US" w:eastAsia="zh-CN"/>
        </w:rPr>
        <w:t>2.</w:t>
      </w:r>
      <w:r>
        <w:rPr>
          <w:rFonts w:hint="eastAsia"/>
        </w:rPr>
        <w:t>不同供应商委托同一单位或者个人办理投标事宜；</w:t>
      </w:r>
    </w:p>
    <w:p w14:paraId="3736145A">
      <w:pPr>
        <w:ind w:firstLine="420" w:firstLineChars="200"/>
        <w:rPr>
          <w:rFonts w:hint="eastAsia"/>
        </w:rPr>
      </w:pPr>
      <w:r>
        <w:rPr>
          <w:rFonts w:hint="eastAsia"/>
          <w:lang w:val="en-US" w:eastAsia="zh-CN"/>
        </w:rPr>
        <w:t>3.</w:t>
      </w:r>
      <w:r>
        <w:rPr>
          <w:rFonts w:hint="eastAsia"/>
        </w:rPr>
        <w:t>不同的供应商的投标文件载明的项目管理员为同一个人；</w:t>
      </w:r>
    </w:p>
    <w:p w14:paraId="53EC108E">
      <w:pPr>
        <w:ind w:firstLine="420" w:firstLineChars="200"/>
        <w:rPr>
          <w:rFonts w:hint="eastAsia"/>
        </w:rPr>
      </w:pPr>
      <w:r>
        <w:rPr>
          <w:rFonts w:hint="eastAsia"/>
          <w:lang w:val="en-US" w:eastAsia="zh-CN"/>
        </w:rPr>
        <w:t>4.</w:t>
      </w:r>
      <w:r>
        <w:rPr>
          <w:rFonts w:hint="eastAsia"/>
        </w:rPr>
        <w:t>不同供应商的投标文件异常一致或投标报价呈规律性差异；</w:t>
      </w:r>
    </w:p>
    <w:p w14:paraId="51ADCFBA">
      <w:pPr>
        <w:ind w:firstLine="420" w:firstLineChars="200"/>
        <w:rPr>
          <w:rFonts w:hint="eastAsia"/>
        </w:rPr>
      </w:pPr>
      <w:r>
        <w:rPr>
          <w:rFonts w:hint="eastAsia"/>
          <w:lang w:val="en-US" w:eastAsia="zh-CN"/>
        </w:rPr>
        <w:t>5.</w:t>
      </w:r>
      <w:r>
        <w:rPr>
          <w:rFonts w:hint="eastAsia"/>
        </w:rPr>
        <w:t>不同供应商的投标文件相互混装；</w:t>
      </w:r>
    </w:p>
    <w:p w14:paraId="2FBB30F1">
      <w:pPr>
        <w:ind w:firstLine="420" w:firstLineChars="200"/>
      </w:pPr>
      <w:r>
        <w:rPr>
          <w:rFonts w:hint="eastAsia"/>
          <w:lang w:val="en-US" w:eastAsia="zh-CN"/>
        </w:rPr>
        <w:t>6.</w:t>
      </w:r>
      <w:r>
        <w:rPr>
          <w:rFonts w:hint="eastAsia"/>
        </w:rPr>
        <w:t>不同供应商的保证金从同一单位或者个人账户转出。</w:t>
      </w:r>
    </w:p>
    <w:p w14:paraId="561EEBFB">
      <w:pPr>
        <w:ind w:firstLine="420" w:firstLineChars="200"/>
      </w:pPr>
      <w:r>
        <w:rPr>
          <w:rFonts w:hint="eastAsia"/>
        </w:rPr>
        <w:t>二、我方承诺无下列恶意串通的情形：</w:t>
      </w:r>
    </w:p>
    <w:p w14:paraId="11C1CB75">
      <w:pPr>
        <w:ind w:firstLine="420" w:firstLineChars="200"/>
      </w:pPr>
      <w:r>
        <w:rPr>
          <w:rFonts w:hint="eastAsia"/>
        </w:rPr>
        <w:t>1.</w:t>
      </w:r>
      <w:r>
        <w:rPr>
          <w:rFonts w:hint="eastAsia"/>
          <w:lang w:eastAsia="zh-CN"/>
        </w:rPr>
        <w:t>供应商</w:t>
      </w:r>
      <w:r>
        <w:rPr>
          <w:rFonts w:hint="eastAsia"/>
        </w:rPr>
        <w:t>直接或者间接从采购人或者采购代理机构处获得其他</w:t>
      </w:r>
      <w:r>
        <w:rPr>
          <w:rFonts w:hint="eastAsia"/>
          <w:lang w:eastAsia="zh-CN"/>
        </w:rPr>
        <w:t>供应商</w:t>
      </w:r>
      <w:r>
        <w:rPr>
          <w:rFonts w:hint="eastAsia"/>
        </w:rPr>
        <w:t>的相关信息并修改其投标文件或者投标文件；</w:t>
      </w:r>
    </w:p>
    <w:p w14:paraId="23552098">
      <w:pPr>
        <w:ind w:firstLine="420" w:firstLineChars="200"/>
      </w:pPr>
      <w:r>
        <w:rPr>
          <w:rFonts w:hint="eastAsia"/>
        </w:rPr>
        <w:t>2.</w:t>
      </w:r>
      <w:r>
        <w:rPr>
          <w:rFonts w:hint="eastAsia"/>
          <w:lang w:eastAsia="zh-CN"/>
        </w:rPr>
        <w:t>供应商</w:t>
      </w:r>
      <w:r>
        <w:rPr>
          <w:rFonts w:hint="eastAsia"/>
        </w:rPr>
        <w:t>按照采购人或者采购代理机构的授意撤换、修改投标文件或者投标文件；</w:t>
      </w:r>
    </w:p>
    <w:p w14:paraId="00AB255B">
      <w:pPr>
        <w:ind w:firstLine="420" w:firstLineChars="200"/>
      </w:pPr>
      <w:r>
        <w:rPr>
          <w:rFonts w:hint="eastAsia"/>
        </w:rPr>
        <w:t>3.</w:t>
      </w:r>
      <w:r>
        <w:rPr>
          <w:rFonts w:hint="eastAsia"/>
          <w:lang w:eastAsia="zh-CN"/>
        </w:rPr>
        <w:t>供应商</w:t>
      </w:r>
      <w:r>
        <w:rPr>
          <w:rFonts w:hint="eastAsia"/>
        </w:rPr>
        <w:t>之间协商报价、技术方案等投标文件或者投标文件的实质性内容；</w:t>
      </w:r>
    </w:p>
    <w:p w14:paraId="5575031D">
      <w:pPr>
        <w:ind w:firstLine="420" w:firstLineChars="200"/>
      </w:pPr>
      <w:r>
        <w:rPr>
          <w:rFonts w:hint="eastAsia"/>
        </w:rPr>
        <w:t>4.属于同一集团、协会、商会等组织成员的</w:t>
      </w:r>
      <w:r>
        <w:rPr>
          <w:rFonts w:hint="eastAsia"/>
          <w:lang w:eastAsia="zh-CN"/>
        </w:rPr>
        <w:t>供应商</w:t>
      </w:r>
      <w:r>
        <w:rPr>
          <w:rFonts w:hint="eastAsia"/>
        </w:rPr>
        <w:t>按照该组织要求协同参加政府采购活动；</w:t>
      </w:r>
    </w:p>
    <w:p w14:paraId="08BEE3E6">
      <w:pPr>
        <w:ind w:firstLine="420" w:firstLineChars="200"/>
      </w:pPr>
      <w:r>
        <w:rPr>
          <w:rFonts w:hint="eastAsia"/>
        </w:rPr>
        <w:t>5.</w:t>
      </w:r>
      <w:r>
        <w:rPr>
          <w:rFonts w:hint="eastAsia"/>
          <w:lang w:eastAsia="zh-CN"/>
        </w:rPr>
        <w:t>供应商</w:t>
      </w:r>
      <w:r>
        <w:rPr>
          <w:rFonts w:hint="eastAsia"/>
        </w:rPr>
        <w:t>之间事先约定一致抬高或者压低投标报价，或者在招标项目中事先约定轮流以高价位或者低价位中标，或者事先约定由某一特定</w:t>
      </w:r>
      <w:r>
        <w:rPr>
          <w:rFonts w:hint="eastAsia"/>
          <w:lang w:eastAsia="zh-CN"/>
        </w:rPr>
        <w:t>供应商</w:t>
      </w:r>
      <w:r>
        <w:rPr>
          <w:rFonts w:hint="eastAsia"/>
        </w:rPr>
        <w:t>中标，然后再参加投标；</w:t>
      </w:r>
    </w:p>
    <w:p w14:paraId="30B83135">
      <w:pPr>
        <w:ind w:firstLine="420" w:firstLineChars="200"/>
      </w:pPr>
      <w:r>
        <w:rPr>
          <w:rFonts w:hint="eastAsia"/>
        </w:rPr>
        <w:t>6.</w:t>
      </w:r>
      <w:r>
        <w:rPr>
          <w:rFonts w:hint="eastAsia"/>
          <w:lang w:eastAsia="zh-CN"/>
        </w:rPr>
        <w:t>供应商</w:t>
      </w:r>
      <w:r>
        <w:rPr>
          <w:rFonts w:hint="eastAsia"/>
        </w:rPr>
        <w:t>之间商定部分</w:t>
      </w:r>
      <w:r>
        <w:rPr>
          <w:rFonts w:hint="eastAsia"/>
          <w:lang w:eastAsia="zh-CN"/>
        </w:rPr>
        <w:t>供应商</w:t>
      </w:r>
      <w:r>
        <w:rPr>
          <w:rFonts w:hint="eastAsia"/>
        </w:rPr>
        <w:t>放弃参加政府采购活动或者放弃中标；</w:t>
      </w:r>
    </w:p>
    <w:p w14:paraId="14F0C705">
      <w:pPr>
        <w:ind w:firstLine="420" w:firstLineChars="200"/>
      </w:pPr>
      <w:r>
        <w:rPr>
          <w:rFonts w:hint="eastAsia"/>
        </w:rPr>
        <w:t>7.</w:t>
      </w:r>
      <w:r>
        <w:rPr>
          <w:rFonts w:hint="eastAsia"/>
          <w:lang w:eastAsia="zh-CN"/>
        </w:rPr>
        <w:t>供应商</w:t>
      </w:r>
      <w:r>
        <w:rPr>
          <w:rFonts w:hint="eastAsia"/>
        </w:rPr>
        <w:t>与采购人或者采购代理机构之间、</w:t>
      </w:r>
      <w:r>
        <w:rPr>
          <w:rFonts w:hint="eastAsia"/>
          <w:lang w:eastAsia="zh-CN"/>
        </w:rPr>
        <w:t>供应商</w:t>
      </w:r>
      <w:r>
        <w:rPr>
          <w:rFonts w:hint="eastAsia"/>
        </w:rPr>
        <w:t>相互之间，为谋求特定</w:t>
      </w:r>
      <w:r>
        <w:rPr>
          <w:rFonts w:hint="eastAsia"/>
          <w:lang w:eastAsia="zh-CN"/>
        </w:rPr>
        <w:t>供应商</w:t>
      </w:r>
      <w:r>
        <w:rPr>
          <w:rFonts w:hint="eastAsia"/>
        </w:rPr>
        <w:t>中标或者排斥其他</w:t>
      </w:r>
      <w:r>
        <w:rPr>
          <w:rFonts w:hint="eastAsia"/>
          <w:lang w:eastAsia="zh-CN"/>
        </w:rPr>
        <w:t>供应商</w:t>
      </w:r>
      <w:r>
        <w:rPr>
          <w:rFonts w:hint="eastAsia"/>
        </w:rPr>
        <w:t>的其他串通行为。</w:t>
      </w:r>
    </w:p>
    <w:p w14:paraId="23B52BBB">
      <w:pPr>
        <w:ind w:firstLine="420" w:firstLineChars="200"/>
      </w:pPr>
      <w:r>
        <w:rPr>
          <w:rFonts w:hint="eastAsia"/>
        </w:rPr>
        <w:t>以上情形一经核查属实，我方愿意承担一切后果，并不再寻求任何旨在减轻或者免除法律责任的辩解。</w:t>
      </w:r>
    </w:p>
    <w:p w14:paraId="0F183100"/>
    <w:p w14:paraId="2C077814"/>
    <w:p w14:paraId="12D9B36C"/>
    <w:p w14:paraId="42479579">
      <w:pPr>
        <w:jc w:val="center"/>
      </w:pPr>
      <w:r>
        <w:t>供应商名称(电子签章)：</w:t>
      </w:r>
    </w:p>
    <w:p w14:paraId="7EB09ECC">
      <w:pPr>
        <w:jc w:val="center"/>
      </w:pPr>
      <w:r>
        <w:t>日期：   年   月    日</w:t>
      </w:r>
    </w:p>
    <w:p w14:paraId="3C031D53">
      <w:pPr>
        <w:pStyle w:val="218"/>
      </w:pPr>
    </w:p>
    <w:bookmarkEnd w:id="120"/>
    <w:p w14:paraId="57142A6C">
      <w:r>
        <w:br w:type="page"/>
      </w:r>
    </w:p>
    <w:p w14:paraId="6BCA2F98">
      <w:pPr>
        <w:jc w:val="center"/>
        <w:rPr>
          <w:b/>
          <w:bCs/>
          <w:sz w:val="28"/>
          <w:szCs w:val="28"/>
        </w:rPr>
      </w:pPr>
      <w:r>
        <w:rPr>
          <w:rFonts w:hint="eastAsia"/>
          <w:b/>
          <w:bCs/>
          <w:sz w:val="28"/>
          <w:szCs w:val="28"/>
        </w:rPr>
        <w:t>第二部分技术文件</w:t>
      </w:r>
    </w:p>
    <w:p w14:paraId="627CDAFD">
      <w:pPr>
        <w:jc w:val="center"/>
        <w:rPr>
          <w:b/>
          <w:bCs/>
        </w:rPr>
      </w:pPr>
      <w:r>
        <w:rPr>
          <w:rFonts w:hint="eastAsia"/>
          <w:b/>
          <w:bCs/>
        </w:rPr>
        <w:t>（本技术文件供应商可自行编写，也可参照下述提纲编写）</w:t>
      </w:r>
    </w:p>
    <w:p w14:paraId="4062310F"/>
    <w:p w14:paraId="13C0C2AF">
      <w:pPr>
        <w:rPr>
          <w:b/>
          <w:bCs/>
        </w:rPr>
      </w:pPr>
      <w:r>
        <w:rPr>
          <w:rFonts w:hint="eastAsia"/>
          <w:b/>
          <w:bCs/>
        </w:rPr>
        <w:t>1．对本项目第二章《采购需求》技术要求的响应表</w:t>
      </w:r>
    </w:p>
    <w:p w14:paraId="27D48E28"/>
    <w:p w14:paraId="1227E75A">
      <w:pPr>
        <w:ind w:firstLine="420" w:firstLineChars="200"/>
      </w:pPr>
      <w:r>
        <w:rPr>
          <w:rFonts w:hint="eastAsia"/>
        </w:rPr>
        <w:t>分标号：（若无留空或写“/”）</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935"/>
        <w:gridCol w:w="3405"/>
        <w:gridCol w:w="1698"/>
      </w:tblGrid>
      <w:tr w14:paraId="4DA925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164F9876">
            <w:pPr>
              <w:jc w:val="center"/>
            </w:pPr>
            <w:r>
              <w:t>序号</w:t>
            </w:r>
          </w:p>
        </w:tc>
        <w:tc>
          <w:tcPr>
            <w:tcW w:w="2935" w:type="dxa"/>
            <w:tcBorders>
              <w:top w:val="single" w:color="auto" w:sz="4" w:space="0"/>
              <w:left w:val="single" w:color="auto" w:sz="4" w:space="0"/>
              <w:bottom w:val="single" w:color="auto" w:sz="4" w:space="0"/>
              <w:right w:val="single" w:color="auto" w:sz="4" w:space="0"/>
            </w:tcBorders>
            <w:vAlign w:val="center"/>
          </w:tcPr>
          <w:p w14:paraId="00AA9B04">
            <w:pPr>
              <w:jc w:val="center"/>
            </w:pPr>
            <w:r>
              <w:t>招标文件要求</w:t>
            </w:r>
          </w:p>
          <w:p w14:paraId="67348E7B">
            <w:pPr>
              <w:jc w:val="center"/>
            </w:pPr>
            <w:r>
              <w:t>（注明章节及条款号）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13BCB86B">
            <w:pPr>
              <w:jc w:val="center"/>
            </w:pPr>
            <w:r>
              <w:t>投标文件响应内容</w:t>
            </w:r>
          </w:p>
        </w:tc>
        <w:tc>
          <w:tcPr>
            <w:tcW w:w="1698" w:type="dxa"/>
            <w:tcBorders>
              <w:top w:val="single" w:color="auto" w:sz="4" w:space="0"/>
              <w:left w:val="single" w:color="auto" w:sz="4" w:space="0"/>
              <w:bottom w:val="single" w:color="auto" w:sz="4" w:space="0"/>
              <w:right w:val="single" w:color="auto" w:sz="4" w:space="0"/>
            </w:tcBorders>
            <w:vAlign w:val="center"/>
          </w:tcPr>
          <w:p w14:paraId="6C58A5C0">
            <w:pPr>
              <w:jc w:val="center"/>
            </w:pPr>
            <w:r>
              <w:t>偏离说明</w:t>
            </w:r>
          </w:p>
        </w:tc>
      </w:tr>
      <w:tr w14:paraId="6D3EDC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0AB5C57D">
            <w:pPr>
              <w:jc w:val="center"/>
            </w:pPr>
          </w:p>
        </w:tc>
        <w:tc>
          <w:tcPr>
            <w:tcW w:w="2935" w:type="dxa"/>
            <w:tcBorders>
              <w:top w:val="single" w:color="auto" w:sz="4" w:space="0"/>
              <w:left w:val="single" w:color="auto" w:sz="4" w:space="0"/>
              <w:bottom w:val="single" w:color="auto" w:sz="4" w:space="0"/>
              <w:right w:val="single" w:color="auto" w:sz="4" w:space="0"/>
            </w:tcBorders>
            <w:vAlign w:val="center"/>
          </w:tcPr>
          <w:p w14:paraId="33BB4ECD">
            <w:pPr>
              <w:jc w:val="center"/>
            </w:pPr>
          </w:p>
        </w:tc>
        <w:tc>
          <w:tcPr>
            <w:tcW w:w="3405" w:type="dxa"/>
            <w:tcBorders>
              <w:top w:val="single" w:color="auto" w:sz="4" w:space="0"/>
              <w:left w:val="single" w:color="auto" w:sz="4" w:space="0"/>
              <w:bottom w:val="single" w:color="auto" w:sz="4" w:space="0"/>
              <w:right w:val="single" w:color="auto" w:sz="4" w:space="0"/>
            </w:tcBorders>
            <w:vAlign w:val="center"/>
          </w:tcPr>
          <w:p w14:paraId="03F90A83">
            <w:pPr>
              <w:jc w:val="center"/>
            </w:pPr>
          </w:p>
        </w:tc>
        <w:tc>
          <w:tcPr>
            <w:tcW w:w="1698" w:type="dxa"/>
            <w:tcBorders>
              <w:top w:val="single" w:color="auto" w:sz="4" w:space="0"/>
              <w:left w:val="single" w:color="auto" w:sz="4" w:space="0"/>
              <w:bottom w:val="single" w:color="auto" w:sz="4" w:space="0"/>
              <w:right w:val="single" w:color="auto" w:sz="4" w:space="0"/>
            </w:tcBorders>
            <w:vAlign w:val="center"/>
          </w:tcPr>
          <w:p w14:paraId="3F619054">
            <w:pPr>
              <w:jc w:val="center"/>
            </w:pPr>
          </w:p>
        </w:tc>
      </w:tr>
      <w:tr w14:paraId="61598F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B427419">
            <w:pPr>
              <w:jc w:val="center"/>
            </w:pPr>
          </w:p>
        </w:tc>
        <w:tc>
          <w:tcPr>
            <w:tcW w:w="2935" w:type="dxa"/>
            <w:tcBorders>
              <w:top w:val="single" w:color="auto" w:sz="4" w:space="0"/>
              <w:left w:val="single" w:color="auto" w:sz="4" w:space="0"/>
              <w:bottom w:val="single" w:color="auto" w:sz="4" w:space="0"/>
              <w:right w:val="single" w:color="auto" w:sz="4" w:space="0"/>
            </w:tcBorders>
            <w:vAlign w:val="center"/>
          </w:tcPr>
          <w:p w14:paraId="1E898271">
            <w:pPr>
              <w:jc w:val="center"/>
            </w:pPr>
          </w:p>
        </w:tc>
        <w:tc>
          <w:tcPr>
            <w:tcW w:w="3405" w:type="dxa"/>
            <w:tcBorders>
              <w:top w:val="single" w:color="auto" w:sz="4" w:space="0"/>
              <w:left w:val="single" w:color="auto" w:sz="4" w:space="0"/>
              <w:bottom w:val="single" w:color="auto" w:sz="4" w:space="0"/>
              <w:right w:val="single" w:color="auto" w:sz="4" w:space="0"/>
            </w:tcBorders>
            <w:vAlign w:val="center"/>
          </w:tcPr>
          <w:p w14:paraId="2345ED42">
            <w:pPr>
              <w:jc w:val="center"/>
            </w:pPr>
          </w:p>
        </w:tc>
        <w:tc>
          <w:tcPr>
            <w:tcW w:w="1698" w:type="dxa"/>
            <w:tcBorders>
              <w:top w:val="single" w:color="auto" w:sz="4" w:space="0"/>
              <w:left w:val="single" w:color="auto" w:sz="4" w:space="0"/>
              <w:bottom w:val="single" w:color="auto" w:sz="4" w:space="0"/>
              <w:right w:val="single" w:color="auto" w:sz="4" w:space="0"/>
            </w:tcBorders>
            <w:vAlign w:val="center"/>
          </w:tcPr>
          <w:p w14:paraId="06DADCD4">
            <w:pPr>
              <w:jc w:val="center"/>
            </w:pPr>
          </w:p>
        </w:tc>
      </w:tr>
      <w:tr w14:paraId="090DDD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0320DC69">
            <w:pPr>
              <w:jc w:val="center"/>
            </w:pPr>
          </w:p>
        </w:tc>
        <w:tc>
          <w:tcPr>
            <w:tcW w:w="2935" w:type="dxa"/>
            <w:tcBorders>
              <w:top w:val="single" w:color="auto" w:sz="4" w:space="0"/>
              <w:left w:val="single" w:color="auto" w:sz="4" w:space="0"/>
              <w:bottom w:val="single" w:color="auto" w:sz="4" w:space="0"/>
              <w:right w:val="single" w:color="auto" w:sz="4" w:space="0"/>
            </w:tcBorders>
            <w:vAlign w:val="center"/>
          </w:tcPr>
          <w:p w14:paraId="7E35B975">
            <w:pPr>
              <w:jc w:val="center"/>
            </w:pPr>
          </w:p>
        </w:tc>
        <w:tc>
          <w:tcPr>
            <w:tcW w:w="3405" w:type="dxa"/>
            <w:tcBorders>
              <w:top w:val="single" w:color="auto" w:sz="4" w:space="0"/>
              <w:left w:val="single" w:color="auto" w:sz="4" w:space="0"/>
              <w:bottom w:val="single" w:color="auto" w:sz="4" w:space="0"/>
              <w:right w:val="single" w:color="auto" w:sz="4" w:space="0"/>
            </w:tcBorders>
            <w:vAlign w:val="center"/>
          </w:tcPr>
          <w:p w14:paraId="72A0A8F3">
            <w:pPr>
              <w:jc w:val="center"/>
            </w:pPr>
          </w:p>
        </w:tc>
        <w:tc>
          <w:tcPr>
            <w:tcW w:w="1698" w:type="dxa"/>
            <w:tcBorders>
              <w:top w:val="single" w:color="auto" w:sz="4" w:space="0"/>
              <w:left w:val="single" w:color="auto" w:sz="4" w:space="0"/>
              <w:bottom w:val="single" w:color="auto" w:sz="4" w:space="0"/>
              <w:right w:val="single" w:color="auto" w:sz="4" w:space="0"/>
            </w:tcBorders>
            <w:vAlign w:val="center"/>
          </w:tcPr>
          <w:p w14:paraId="1452C95D">
            <w:pPr>
              <w:jc w:val="center"/>
            </w:pPr>
          </w:p>
        </w:tc>
      </w:tr>
      <w:tr w14:paraId="19CB5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07800DE">
            <w:pPr>
              <w:jc w:val="center"/>
            </w:pPr>
            <w:r>
              <w:t>……</w:t>
            </w:r>
          </w:p>
        </w:tc>
        <w:tc>
          <w:tcPr>
            <w:tcW w:w="2935" w:type="dxa"/>
            <w:tcBorders>
              <w:top w:val="single" w:color="auto" w:sz="4" w:space="0"/>
              <w:left w:val="single" w:color="auto" w:sz="4" w:space="0"/>
              <w:bottom w:val="single" w:color="auto" w:sz="4" w:space="0"/>
              <w:right w:val="single" w:color="auto" w:sz="4" w:space="0"/>
            </w:tcBorders>
            <w:vAlign w:val="center"/>
          </w:tcPr>
          <w:p w14:paraId="66F4107C">
            <w:pPr>
              <w:jc w:val="center"/>
            </w:pPr>
            <w:r>
              <w:t>……</w:t>
            </w:r>
          </w:p>
        </w:tc>
        <w:tc>
          <w:tcPr>
            <w:tcW w:w="3405" w:type="dxa"/>
            <w:tcBorders>
              <w:top w:val="single" w:color="auto" w:sz="4" w:space="0"/>
              <w:left w:val="single" w:color="auto" w:sz="4" w:space="0"/>
              <w:bottom w:val="single" w:color="auto" w:sz="4" w:space="0"/>
              <w:right w:val="single" w:color="auto" w:sz="4" w:space="0"/>
            </w:tcBorders>
            <w:vAlign w:val="center"/>
          </w:tcPr>
          <w:p w14:paraId="145C28FC">
            <w:pPr>
              <w:jc w:val="center"/>
            </w:pPr>
            <w:r>
              <w:t>……</w:t>
            </w:r>
          </w:p>
        </w:tc>
        <w:tc>
          <w:tcPr>
            <w:tcW w:w="1698" w:type="dxa"/>
            <w:tcBorders>
              <w:top w:val="single" w:color="auto" w:sz="4" w:space="0"/>
              <w:left w:val="single" w:color="auto" w:sz="4" w:space="0"/>
              <w:bottom w:val="single" w:color="auto" w:sz="4" w:space="0"/>
              <w:right w:val="single" w:color="auto" w:sz="4" w:space="0"/>
            </w:tcBorders>
            <w:vAlign w:val="center"/>
          </w:tcPr>
          <w:p w14:paraId="2CF886D8">
            <w:pPr>
              <w:jc w:val="center"/>
            </w:pPr>
            <w:r>
              <w:t>……</w:t>
            </w:r>
          </w:p>
        </w:tc>
      </w:tr>
    </w:tbl>
    <w:p w14:paraId="55B0A107"/>
    <w:p w14:paraId="544A0B8F">
      <w:pPr>
        <w:ind w:firstLine="420" w:firstLineChars="200"/>
      </w:pPr>
      <w:bookmarkStart w:id="121" w:name="_Hlk88990482"/>
      <w:r>
        <w:rPr>
          <w:rFonts w:hint="eastAsia"/>
        </w:rPr>
        <w:t>注：（1）本表应对招标文件第二章《采购需求》中所列技术要求进行响应，并根据响应情况在“偏离说明”栏填写正偏离或负偏离及原因，完全符合的填写“无偏离”。</w:t>
      </w:r>
    </w:p>
    <w:p w14:paraId="5C377DE0">
      <w:pPr>
        <w:ind w:firstLine="420" w:firstLineChars="200"/>
      </w:pPr>
      <w:r>
        <w:rPr>
          <w:rFonts w:hint="eastAsia"/>
        </w:rPr>
        <w:t>（</w:t>
      </w:r>
      <w:r>
        <w:rPr>
          <w:rFonts w:hint="eastAsia"/>
          <w:lang w:val="en-US" w:eastAsia="zh-CN"/>
        </w:rPr>
        <w:t>2</w:t>
      </w:r>
      <w:r>
        <w:rPr>
          <w:rFonts w:hint="eastAsia"/>
        </w:rPr>
        <w:t>）本表可扩展。</w:t>
      </w:r>
    </w:p>
    <w:bookmarkEnd w:id="121"/>
    <w:p w14:paraId="6AF88C0B"/>
    <w:p w14:paraId="11935186">
      <w:bookmarkStart w:id="122" w:name="_Hlk88990507"/>
    </w:p>
    <w:p w14:paraId="66A4BA4A">
      <w:pPr>
        <w:jc w:val="center"/>
      </w:pPr>
      <w:r>
        <w:rPr>
          <w:rFonts w:hint="eastAsia"/>
        </w:rPr>
        <w:t>供应商名称(电子签章)</w:t>
      </w:r>
      <w:bookmarkEnd w:id="122"/>
      <w:r>
        <w:rPr>
          <w:rFonts w:hint="eastAsia"/>
        </w:rPr>
        <w:t>：</w:t>
      </w:r>
    </w:p>
    <w:p w14:paraId="58E60381">
      <w:pPr>
        <w:jc w:val="center"/>
      </w:pPr>
      <w:r>
        <w:rPr>
          <w:rFonts w:hint="eastAsia"/>
        </w:rPr>
        <w:t>日期：</w:t>
      </w:r>
    </w:p>
    <w:p w14:paraId="20A820B2"/>
    <w:p w14:paraId="06E37A59"/>
    <w:p w14:paraId="36AC7AE0">
      <w:pPr>
        <w:rPr>
          <w:b/>
          <w:bCs/>
        </w:rPr>
      </w:pPr>
      <w:r>
        <w:rPr>
          <w:rFonts w:hint="eastAsia"/>
          <w:b/>
          <w:bCs/>
        </w:rPr>
        <w:t>2．项目方案（</w:t>
      </w:r>
      <w:bookmarkStart w:id="123" w:name="_Hlk127711192"/>
      <w:r>
        <w:rPr>
          <w:rFonts w:hint="eastAsia"/>
          <w:b/>
          <w:bCs/>
        </w:rPr>
        <w:t>根据第四章评分标准内容自行编写</w:t>
      </w:r>
      <w:bookmarkEnd w:id="123"/>
      <w:r>
        <w:rPr>
          <w:rFonts w:hint="eastAsia"/>
          <w:b/>
          <w:bCs/>
        </w:rPr>
        <w:t>）</w:t>
      </w:r>
    </w:p>
    <w:p w14:paraId="1FB7F93F"/>
    <w:p w14:paraId="178CD942">
      <w:pPr>
        <w:rPr>
          <w:b/>
          <w:bCs/>
        </w:rPr>
      </w:pPr>
      <w:r>
        <w:rPr>
          <w:rFonts w:hint="eastAsia"/>
          <w:b/>
          <w:bCs/>
        </w:rPr>
        <w:br w:type="page"/>
      </w:r>
    </w:p>
    <w:p w14:paraId="2F423767">
      <w:pPr>
        <w:rPr>
          <w:b/>
          <w:bCs/>
        </w:rPr>
      </w:pPr>
      <w:r>
        <w:rPr>
          <w:rFonts w:hint="eastAsia"/>
          <w:b/>
          <w:bCs/>
        </w:rPr>
        <w:t>3．项目拟投入服务团队人员结构表（包括但不限于学历、证书情况、职称、年龄等）</w:t>
      </w:r>
    </w:p>
    <w:p w14:paraId="49BF3ACA">
      <w:pPr>
        <w:jc w:val="center"/>
        <w:rPr>
          <w:b/>
          <w:bCs/>
          <w:sz w:val="28"/>
          <w:szCs w:val="28"/>
        </w:rPr>
      </w:pPr>
      <w:r>
        <w:rPr>
          <w:b/>
          <w:bCs/>
          <w:sz w:val="28"/>
          <w:szCs w:val="28"/>
        </w:rPr>
        <w:t>项目拟投入服务团队人员（含项目负责人）一览表</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117A99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680EE448">
            <w:pPr>
              <w:jc w:val="center"/>
            </w:pPr>
            <w:r>
              <w:t>姓名</w:t>
            </w:r>
          </w:p>
        </w:tc>
        <w:tc>
          <w:tcPr>
            <w:tcW w:w="1260" w:type="dxa"/>
            <w:tcBorders>
              <w:top w:val="single" w:color="auto" w:sz="4" w:space="0"/>
              <w:left w:val="single" w:color="auto" w:sz="4" w:space="0"/>
              <w:bottom w:val="single" w:color="auto" w:sz="4" w:space="0"/>
              <w:right w:val="single" w:color="auto" w:sz="4" w:space="0"/>
            </w:tcBorders>
            <w:vAlign w:val="center"/>
          </w:tcPr>
          <w:p w14:paraId="37C9B37A">
            <w:pPr>
              <w:jc w:val="center"/>
            </w:pPr>
            <w:r>
              <w:t>职务</w:t>
            </w:r>
          </w:p>
        </w:tc>
        <w:tc>
          <w:tcPr>
            <w:tcW w:w="1440" w:type="dxa"/>
            <w:tcBorders>
              <w:top w:val="single" w:color="auto" w:sz="4" w:space="0"/>
              <w:left w:val="single" w:color="auto" w:sz="4" w:space="0"/>
              <w:bottom w:val="single" w:color="auto" w:sz="4" w:space="0"/>
              <w:right w:val="single" w:color="auto" w:sz="4" w:space="0"/>
            </w:tcBorders>
            <w:vAlign w:val="center"/>
          </w:tcPr>
          <w:p w14:paraId="58E58231">
            <w:pPr>
              <w:jc w:val="center"/>
            </w:pPr>
            <w:r>
              <w:t>分配岗位</w:t>
            </w:r>
          </w:p>
        </w:tc>
        <w:tc>
          <w:tcPr>
            <w:tcW w:w="1516" w:type="dxa"/>
            <w:tcBorders>
              <w:top w:val="single" w:color="auto" w:sz="4" w:space="0"/>
              <w:left w:val="single" w:color="auto" w:sz="4" w:space="0"/>
              <w:bottom w:val="single" w:color="auto" w:sz="4" w:space="0"/>
              <w:right w:val="single" w:color="auto" w:sz="4" w:space="0"/>
            </w:tcBorders>
            <w:vAlign w:val="center"/>
          </w:tcPr>
          <w:p w14:paraId="56794D0C">
            <w:pPr>
              <w:jc w:val="center"/>
            </w:pPr>
            <w:r>
              <w:t>持证情况</w:t>
            </w:r>
          </w:p>
        </w:tc>
        <w:tc>
          <w:tcPr>
            <w:tcW w:w="1620" w:type="dxa"/>
            <w:tcBorders>
              <w:top w:val="single" w:color="auto" w:sz="4" w:space="0"/>
              <w:left w:val="single" w:color="auto" w:sz="4" w:space="0"/>
              <w:bottom w:val="single" w:color="auto" w:sz="4" w:space="0"/>
              <w:right w:val="single" w:color="auto" w:sz="4" w:space="0"/>
            </w:tcBorders>
            <w:vAlign w:val="center"/>
          </w:tcPr>
          <w:p w14:paraId="40FC2E12">
            <w:pPr>
              <w:jc w:val="center"/>
            </w:pPr>
            <w:r>
              <w:t>年龄</w:t>
            </w:r>
          </w:p>
        </w:tc>
        <w:tc>
          <w:tcPr>
            <w:tcW w:w="1980" w:type="dxa"/>
            <w:tcBorders>
              <w:top w:val="single" w:color="auto" w:sz="4" w:space="0"/>
              <w:left w:val="single" w:color="auto" w:sz="4" w:space="0"/>
              <w:bottom w:val="single" w:color="auto" w:sz="4" w:space="0"/>
              <w:right w:val="single" w:color="auto" w:sz="4" w:space="0"/>
            </w:tcBorders>
            <w:vAlign w:val="center"/>
          </w:tcPr>
          <w:p w14:paraId="7863B478">
            <w:pPr>
              <w:jc w:val="center"/>
            </w:pPr>
            <w:r>
              <w:t>劳动合同编号</w:t>
            </w:r>
          </w:p>
        </w:tc>
      </w:tr>
      <w:tr w14:paraId="400EC1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7C29891E">
            <w:pPr>
              <w:jc w:val="center"/>
            </w:pPr>
          </w:p>
        </w:tc>
        <w:tc>
          <w:tcPr>
            <w:tcW w:w="1260" w:type="dxa"/>
            <w:tcBorders>
              <w:top w:val="single" w:color="auto" w:sz="4" w:space="0"/>
              <w:left w:val="single" w:color="auto" w:sz="4" w:space="0"/>
              <w:bottom w:val="single" w:color="auto" w:sz="4" w:space="0"/>
              <w:right w:val="single" w:color="auto" w:sz="4" w:space="0"/>
            </w:tcBorders>
            <w:vAlign w:val="center"/>
          </w:tcPr>
          <w:p w14:paraId="7B22F16E">
            <w:pPr>
              <w:jc w:val="center"/>
            </w:pPr>
          </w:p>
        </w:tc>
        <w:tc>
          <w:tcPr>
            <w:tcW w:w="1440" w:type="dxa"/>
            <w:tcBorders>
              <w:top w:val="single" w:color="auto" w:sz="4" w:space="0"/>
              <w:left w:val="single" w:color="auto" w:sz="4" w:space="0"/>
              <w:bottom w:val="single" w:color="auto" w:sz="4" w:space="0"/>
              <w:right w:val="single" w:color="auto" w:sz="4" w:space="0"/>
            </w:tcBorders>
            <w:vAlign w:val="center"/>
          </w:tcPr>
          <w:p w14:paraId="506BAC15">
            <w:pPr>
              <w:jc w:val="center"/>
            </w:pPr>
          </w:p>
        </w:tc>
        <w:tc>
          <w:tcPr>
            <w:tcW w:w="1516" w:type="dxa"/>
            <w:tcBorders>
              <w:top w:val="single" w:color="auto" w:sz="4" w:space="0"/>
              <w:left w:val="single" w:color="auto" w:sz="4" w:space="0"/>
              <w:bottom w:val="single" w:color="auto" w:sz="4" w:space="0"/>
              <w:right w:val="single" w:color="auto" w:sz="4" w:space="0"/>
            </w:tcBorders>
            <w:vAlign w:val="center"/>
          </w:tcPr>
          <w:p w14:paraId="2064C0A4">
            <w:pPr>
              <w:jc w:val="center"/>
            </w:pPr>
          </w:p>
        </w:tc>
        <w:tc>
          <w:tcPr>
            <w:tcW w:w="1620" w:type="dxa"/>
            <w:tcBorders>
              <w:top w:val="single" w:color="auto" w:sz="4" w:space="0"/>
              <w:left w:val="single" w:color="auto" w:sz="4" w:space="0"/>
              <w:bottom w:val="single" w:color="auto" w:sz="4" w:space="0"/>
              <w:right w:val="single" w:color="auto" w:sz="4" w:space="0"/>
            </w:tcBorders>
            <w:vAlign w:val="center"/>
          </w:tcPr>
          <w:p w14:paraId="4ABFF63E">
            <w:pPr>
              <w:jc w:val="center"/>
            </w:pPr>
          </w:p>
        </w:tc>
        <w:tc>
          <w:tcPr>
            <w:tcW w:w="1980" w:type="dxa"/>
            <w:tcBorders>
              <w:top w:val="single" w:color="auto" w:sz="4" w:space="0"/>
              <w:left w:val="single" w:color="auto" w:sz="4" w:space="0"/>
              <w:bottom w:val="single" w:color="auto" w:sz="4" w:space="0"/>
              <w:right w:val="single" w:color="auto" w:sz="4" w:space="0"/>
            </w:tcBorders>
            <w:vAlign w:val="center"/>
          </w:tcPr>
          <w:p w14:paraId="77DB273E">
            <w:pPr>
              <w:jc w:val="center"/>
            </w:pPr>
          </w:p>
        </w:tc>
      </w:tr>
      <w:tr w14:paraId="0512BA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01828878">
            <w:pPr>
              <w:jc w:val="center"/>
            </w:pPr>
          </w:p>
        </w:tc>
        <w:tc>
          <w:tcPr>
            <w:tcW w:w="1260" w:type="dxa"/>
            <w:tcBorders>
              <w:top w:val="single" w:color="auto" w:sz="4" w:space="0"/>
              <w:left w:val="single" w:color="auto" w:sz="4" w:space="0"/>
              <w:bottom w:val="single" w:color="auto" w:sz="4" w:space="0"/>
              <w:right w:val="single" w:color="auto" w:sz="4" w:space="0"/>
            </w:tcBorders>
            <w:vAlign w:val="center"/>
          </w:tcPr>
          <w:p w14:paraId="1CE4DE94">
            <w:pPr>
              <w:jc w:val="center"/>
            </w:pPr>
          </w:p>
        </w:tc>
        <w:tc>
          <w:tcPr>
            <w:tcW w:w="1440" w:type="dxa"/>
            <w:tcBorders>
              <w:top w:val="single" w:color="auto" w:sz="4" w:space="0"/>
              <w:left w:val="single" w:color="auto" w:sz="4" w:space="0"/>
              <w:bottom w:val="single" w:color="auto" w:sz="4" w:space="0"/>
              <w:right w:val="single" w:color="auto" w:sz="4" w:space="0"/>
            </w:tcBorders>
            <w:vAlign w:val="center"/>
          </w:tcPr>
          <w:p w14:paraId="39F570B6">
            <w:pPr>
              <w:jc w:val="center"/>
            </w:pPr>
          </w:p>
        </w:tc>
        <w:tc>
          <w:tcPr>
            <w:tcW w:w="1516" w:type="dxa"/>
            <w:tcBorders>
              <w:top w:val="single" w:color="auto" w:sz="4" w:space="0"/>
              <w:left w:val="single" w:color="auto" w:sz="4" w:space="0"/>
              <w:bottom w:val="single" w:color="auto" w:sz="4" w:space="0"/>
              <w:right w:val="single" w:color="auto" w:sz="4" w:space="0"/>
            </w:tcBorders>
            <w:vAlign w:val="center"/>
          </w:tcPr>
          <w:p w14:paraId="6F5AA564">
            <w:pPr>
              <w:jc w:val="center"/>
            </w:pPr>
          </w:p>
        </w:tc>
        <w:tc>
          <w:tcPr>
            <w:tcW w:w="1620" w:type="dxa"/>
            <w:tcBorders>
              <w:top w:val="single" w:color="auto" w:sz="4" w:space="0"/>
              <w:left w:val="single" w:color="auto" w:sz="4" w:space="0"/>
              <w:bottom w:val="single" w:color="auto" w:sz="4" w:space="0"/>
              <w:right w:val="single" w:color="auto" w:sz="4" w:space="0"/>
            </w:tcBorders>
            <w:vAlign w:val="center"/>
          </w:tcPr>
          <w:p w14:paraId="2C5015F1">
            <w:pPr>
              <w:jc w:val="center"/>
            </w:pPr>
          </w:p>
        </w:tc>
        <w:tc>
          <w:tcPr>
            <w:tcW w:w="1980" w:type="dxa"/>
            <w:tcBorders>
              <w:top w:val="single" w:color="auto" w:sz="4" w:space="0"/>
              <w:left w:val="single" w:color="auto" w:sz="4" w:space="0"/>
              <w:bottom w:val="single" w:color="auto" w:sz="4" w:space="0"/>
              <w:right w:val="single" w:color="auto" w:sz="4" w:space="0"/>
            </w:tcBorders>
            <w:vAlign w:val="center"/>
          </w:tcPr>
          <w:p w14:paraId="3F8E29F5">
            <w:pPr>
              <w:jc w:val="center"/>
            </w:pPr>
          </w:p>
        </w:tc>
      </w:tr>
      <w:tr w14:paraId="0B5F24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7F286B0A">
            <w:pPr>
              <w:jc w:val="center"/>
            </w:pPr>
          </w:p>
        </w:tc>
        <w:tc>
          <w:tcPr>
            <w:tcW w:w="1260" w:type="dxa"/>
            <w:tcBorders>
              <w:top w:val="single" w:color="auto" w:sz="4" w:space="0"/>
              <w:left w:val="single" w:color="auto" w:sz="4" w:space="0"/>
              <w:bottom w:val="single" w:color="auto" w:sz="4" w:space="0"/>
              <w:right w:val="single" w:color="auto" w:sz="4" w:space="0"/>
            </w:tcBorders>
            <w:vAlign w:val="center"/>
          </w:tcPr>
          <w:p w14:paraId="24C095B8">
            <w:pPr>
              <w:jc w:val="center"/>
            </w:pPr>
          </w:p>
        </w:tc>
        <w:tc>
          <w:tcPr>
            <w:tcW w:w="1440" w:type="dxa"/>
            <w:tcBorders>
              <w:top w:val="single" w:color="auto" w:sz="4" w:space="0"/>
              <w:left w:val="single" w:color="auto" w:sz="4" w:space="0"/>
              <w:bottom w:val="single" w:color="auto" w:sz="4" w:space="0"/>
              <w:right w:val="single" w:color="auto" w:sz="4" w:space="0"/>
            </w:tcBorders>
            <w:vAlign w:val="center"/>
          </w:tcPr>
          <w:p w14:paraId="11374EB8">
            <w:pPr>
              <w:pStyle w:val="29"/>
              <w:ind w:left="5250"/>
              <w:jc w:val="center"/>
            </w:pPr>
          </w:p>
        </w:tc>
        <w:tc>
          <w:tcPr>
            <w:tcW w:w="1516" w:type="dxa"/>
            <w:tcBorders>
              <w:top w:val="single" w:color="auto" w:sz="4" w:space="0"/>
              <w:left w:val="single" w:color="auto" w:sz="4" w:space="0"/>
              <w:bottom w:val="single" w:color="auto" w:sz="4" w:space="0"/>
              <w:right w:val="single" w:color="auto" w:sz="4" w:space="0"/>
            </w:tcBorders>
            <w:vAlign w:val="center"/>
          </w:tcPr>
          <w:p w14:paraId="0CECBF6F">
            <w:pPr>
              <w:jc w:val="center"/>
            </w:pPr>
          </w:p>
        </w:tc>
        <w:tc>
          <w:tcPr>
            <w:tcW w:w="1620" w:type="dxa"/>
            <w:tcBorders>
              <w:top w:val="single" w:color="auto" w:sz="4" w:space="0"/>
              <w:left w:val="single" w:color="auto" w:sz="4" w:space="0"/>
              <w:bottom w:val="single" w:color="auto" w:sz="4" w:space="0"/>
              <w:right w:val="single" w:color="auto" w:sz="4" w:space="0"/>
            </w:tcBorders>
            <w:vAlign w:val="center"/>
          </w:tcPr>
          <w:p w14:paraId="64217826">
            <w:pPr>
              <w:jc w:val="center"/>
            </w:pPr>
          </w:p>
        </w:tc>
        <w:tc>
          <w:tcPr>
            <w:tcW w:w="1980" w:type="dxa"/>
            <w:tcBorders>
              <w:top w:val="single" w:color="auto" w:sz="4" w:space="0"/>
              <w:left w:val="single" w:color="auto" w:sz="4" w:space="0"/>
              <w:bottom w:val="single" w:color="auto" w:sz="4" w:space="0"/>
              <w:right w:val="single" w:color="auto" w:sz="4" w:space="0"/>
            </w:tcBorders>
            <w:vAlign w:val="center"/>
          </w:tcPr>
          <w:p w14:paraId="69F9F63E">
            <w:pPr>
              <w:jc w:val="center"/>
            </w:pPr>
          </w:p>
        </w:tc>
      </w:tr>
    </w:tbl>
    <w:p w14:paraId="237498FB">
      <w:pPr>
        <w:ind w:firstLine="420" w:firstLineChars="200"/>
      </w:pPr>
      <w:r>
        <w:rPr>
          <w:rFonts w:hint="eastAsia"/>
        </w:rPr>
        <w:t>注：（1）在填写时，如本表格不适合投标单位的实际情况，可根据本表格式自行划表填写。</w:t>
      </w:r>
    </w:p>
    <w:p w14:paraId="6F5CE62E">
      <w:pPr>
        <w:ind w:firstLine="420" w:firstLineChars="200"/>
      </w:pPr>
      <w:r>
        <w:rPr>
          <w:rFonts w:hint="eastAsia"/>
        </w:rPr>
        <w:t>（2）本表可扩展。</w:t>
      </w:r>
    </w:p>
    <w:p w14:paraId="00A4BAFE"/>
    <w:p w14:paraId="0C91D118">
      <w:pPr>
        <w:jc w:val="center"/>
      </w:pPr>
      <w:r>
        <w:rPr>
          <w:rFonts w:hint="eastAsia"/>
        </w:rPr>
        <w:t>供应商名称(电子签章)：</w:t>
      </w:r>
    </w:p>
    <w:p w14:paraId="7A91D2E6">
      <w:pPr>
        <w:jc w:val="center"/>
      </w:pPr>
      <w:r>
        <w:rPr>
          <w:rFonts w:hint="eastAsia"/>
        </w:rPr>
        <w:t>日 期：</w:t>
      </w:r>
    </w:p>
    <w:p w14:paraId="02D8BB95"/>
    <w:p w14:paraId="2B86E3C3"/>
    <w:p w14:paraId="35A21442">
      <w:pPr>
        <w:rPr>
          <w:b/>
          <w:bCs/>
        </w:rPr>
      </w:pPr>
      <w:r>
        <w:rPr>
          <w:rFonts w:hint="eastAsia"/>
          <w:b/>
          <w:bCs/>
        </w:rPr>
        <w:t>4．供应商需要说明的其他文件和说明。</w:t>
      </w:r>
    </w:p>
    <w:p w14:paraId="1CF3058A">
      <w:r>
        <w:br w:type="page"/>
      </w:r>
    </w:p>
    <w:p w14:paraId="1C1DF311">
      <w:pPr>
        <w:outlineLvl w:val="1"/>
      </w:pPr>
      <w:r>
        <w:rPr>
          <w:rFonts w:hint="eastAsia"/>
        </w:rPr>
        <w:t>三、</w:t>
      </w:r>
      <w:r>
        <w:t>投标文件封面参考格式：</w:t>
      </w:r>
    </w:p>
    <w:p w14:paraId="34309DE6"/>
    <w:p w14:paraId="2CC3EF8D"/>
    <w:p w14:paraId="1F101A4D"/>
    <w:p w14:paraId="00611256">
      <w:pPr>
        <w:jc w:val="center"/>
        <w:rPr>
          <w:b/>
          <w:bCs/>
          <w:sz w:val="32"/>
          <w:szCs w:val="32"/>
        </w:rPr>
      </w:pPr>
      <w:r>
        <w:rPr>
          <w:b/>
          <w:bCs/>
          <w:sz w:val="32"/>
          <w:szCs w:val="32"/>
        </w:rPr>
        <w:t>电子投标文件</w:t>
      </w:r>
    </w:p>
    <w:p w14:paraId="014E76B3">
      <w:pPr>
        <w:jc w:val="center"/>
        <w:rPr>
          <w:b/>
          <w:bCs/>
          <w:sz w:val="32"/>
          <w:szCs w:val="32"/>
        </w:rPr>
      </w:pPr>
    </w:p>
    <w:p w14:paraId="389732C8">
      <w:pPr>
        <w:jc w:val="center"/>
        <w:rPr>
          <w:b/>
          <w:bCs/>
          <w:sz w:val="32"/>
          <w:szCs w:val="32"/>
        </w:rPr>
      </w:pPr>
    </w:p>
    <w:p w14:paraId="145A06B7">
      <w:pPr>
        <w:jc w:val="center"/>
        <w:rPr>
          <w:b/>
          <w:bCs/>
          <w:sz w:val="32"/>
          <w:szCs w:val="32"/>
        </w:rPr>
      </w:pPr>
      <w:r>
        <w:rPr>
          <w:b/>
          <w:bCs/>
          <w:sz w:val="32"/>
          <w:szCs w:val="32"/>
        </w:rPr>
        <w:t>报价文件</w:t>
      </w:r>
    </w:p>
    <w:p w14:paraId="3C336532"/>
    <w:p w14:paraId="3CC4EBB9"/>
    <w:p w14:paraId="1B0DB560"/>
    <w:p w14:paraId="7CC68DDC">
      <w:pPr>
        <w:ind w:firstLine="480" w:firstLineChars="200"/>
        <w:rPr>
          <w:sz w:val="24"/>
          <w:szCs w:val="24"/>
        </w:rPr>
      </w:pPr>
      <w:r>
        <w:rPr>
          <w:sz w:val="24"/>
          <w:szCs w:val="24"/>
        </w:rPr>
        <w:t>项目名称：</w:t>
      </w:r>
    </w:p>
    <w:p w14:paraId="646FDF2C">
      <w:pPr>
        <w:ind w:firstLine="480" w:firstLineChars="200"/>
        <w:rPr>
          <w:sz w:val="24"/>
          <w:szCs w:val="24"/>
        </w:rPr>
      </w:pPr>
      <w:r>
        <w:rPr>
          <w:sz w:val="24"/>
          <w:szCs w:val="24"/>
        </w:rPr>
        <w:t>项目编号：</w:t>
      </w:r>
    </w:p>
    <w:p w14:paraId="2714CB76">
      <w:pPr>
        <w:ind w:firstLine="480" w:firstLineChars="200"/>
        <w:rPr>
          <w:sz w:val="24"/>
          <w:szCs w:val="24"/>
        </w:rPr>
      </w:pPr>
      <w:r>
        <w:rPr>
          <w:sz w:val="24"/>
          <w:szCs w:val="24"/>
        </w:rPr>
        <w:t>分标号：（若无留空或写“/”）</w:t>
      </w:r>
    </w:p>
    <w:p w14:paraId="3A9D5A09">
      <w:pPr>
        <w:ind w:firstLine="480" w:firstLineChars="200"/>
        <w:rPr>
          <w:sz w:val="24"/>
          <w:szCs w:val="24"/>
        </w:rPr>
      </w:pPr>
      <w:r>
        <w:rPr>
          <w:sz w:val="24"/>
          <w:szCs w:val="24"/>
        </w:rPr>
        <w:t>供应商名称：</w:t>
      </w:r>
    </w:p>
    <w:p w14:paraId="529D6B8C">
      <w:pPr>
        <w:ind w:firstLine="480" w:firstLineChars="200"/>
        <w:rPr>
          <w:sz w:val="24"/>
          <w:szCs w:val="24"/>
        </w:rPr>
      </w:pPr>
      <w:r>
        <w:rPr>
          <w:sz w:val="24"/>
          <w:szCs w:val="24"/>
        </w:rPr>
        <w:t>供应商地址：</w:t>
      </w:r>
    </w:p>
    <w:p w14:paraId="30F633B7">
      <w:pPr>
        <w:ind w:firstLine="480" w:firstLineChars="200"/>
        <w:rPr>
          <w:sz w:val="24"/>
          <w:szCs w:val="24"/>
        </w:rPr>
      </w:pPr>
    </w:p>
    <w:p w14:paraId="3F68E406">
      <w:pPr>
        <w:pStyle w:val="8"/>
        <w:ind w:firstLine="480" w:firstLineChars="200"/>
        <w:rPr>
          <w:sz w:val="24"/>
          <w:szCs w:val="24"/>
        </w:rPr>
      </w:pPr>
    </w:p>
    <w:p w14:paraId="5815536E">
      <w:pPr>
        <w:ind w:firstLine="480" w:firstLineChars="200"/>
        <w:rPr>
          <w:sz w:val="24"/>
          <w:szCs w:val="24"/>
        </w:rPr>
      </w:pPr>
      <w:r>
        <w:rPr>
          <w:sz w:val="24"/>
          <w:szCs w:val="24"/>
        </w:rPr>
        <w:t>年月日</w:t>
      </w:r>
    </w:p>
    <w:p w14:paraId="7E9C14B7">
      <w:r>
        <w:br w:type="page"/>
      </w:r>
    </w:p>
    <w:p w14:paraId="7BEF22CD"/>
    <w:p w14:paraId="15BC0DE9"/>
    <w:p w14:paraId="6113997C">
      <w:pPr>
        <w:jc w:val="center"/>
        <w:rPr>
          <w:b/>
          <w:bCs/>
          <w:sz w:val="28"/>
          <w:szCs w:val="28"/>
        </w:rPr>
      </w:pPr>
      <w:r>
        <w:rPr>
          <w:b/>
          <w:bCs/>
          <w:sz w:val="28"/>
          <w:szCs w:val="28"/>
        </w:rPr>
        <w:t>第三部分报价文件</w:t>
      </w:r>
    </w:p>
    <w:p w14:paraId="17F65B11"/>
    <w:p w14:paraId="11982FB9">
      <w:pPr>
        <w:rPr>
          <w:b/>
          <w:bCs/>
        </w:rPr>
      </w:pPr>
      <w:bookmarkStart w:id="124" w:name="_Hlk19115777"/>
      <w:r>
        <w:rPr>
          <w:rFonts w:hint="eastAsia"/>
          <w:b/>
          <w:bCs/>
        </w:rPr>
        <w:t>1．投标函格式：</w:t>
      </w:r>
    </w:p>
    <w:p w14:paraId="271F0691"/>
    <w:p w14:paraId="001B46D3">
      <w:pPr>
        <w:jc w:val="center"/>
        <w:rPr>
          <w:b/>
          <w:bCs/>
          <w:sz w:val="28"/>
          <w:szCs w:val="28"/>
        </w:rPr>
      </w:pPr>
      <w:r>
        <w:rPr>
          <w:b/>
          <w:bCs/>
          <w:sz w:val="28"/>
          <w:szCs w:val="28"/>
        </w:rPr>
        <w:t>投标函</w:t>
      </w:r>
    </w:p>
    <w:p w14:paraId="0D125881"/>
    <w:p w14:paraId="30FD21A8">
      <w:r>
        <w:rPr>
          <w:rFonts w:hint="eastAsia"/>
        </w:rPr>
        <w:t>致：</w:t>
      </w:r>
      <w:bookmarkStart w:id="125" w:name="_Hlk19051378"/>
      <w:r>
        <w:rPr>
          <w:rFonts w:hint="eastAsia"/>
        </w:rPr>
        <w:t>（采购人名称）</w:t>
      </w:r>
      <w:bookmarkEnd w:id="125"/>
    </w:p>
    <w:p w14:paraId="3F220703">
      <w:pPr>
        <w:ind w:firstLine="420" w:firstLineChars="200"/>
      </w:pPr>
      <w:r>
        <w:rPr>
          <w:rFonts w:hint="eastAsia"/>
        </w:rPr>
        <w:t>我方已仔细研究了</w:t>
      </w:r>
      <w:bookmarkStart w:id="126" w:name="_Hlk19051388"/>
      <w:r>
        <w:rPr>
          <w:rFonts w:hint="eastAsia"/>
          <w:i/>
          <w:iCs/>
          <w:u w:val="single"/>
        </w:rPr>
        <w:t>（项目名称）</w:t>
      </w:r>
      <w:bookmarkEnd w:id="126"/>
      <w:r>
        <w:rPr>
          <w:rFonts w:hint="eastAsia"/>
        </w:rPr>
        <w:t>的招标文件的全部内容。签字代表</w:t>
      </w:r>
      <w:bookmarkStart w:id="127" w:name="_Hlk19051393"/>
      <w:r>
        <w:rPr>
          <w:rFonts w:hint="eastAsia"/>
          <w:i/>
          <w:iCs/>
          <w:u w:val="single"/>
        </w:rPr>
        <w:t>（授权代表姓名）</w:t>
      </w:r>
      <w:bookmarkEnd w:id="127"/>
      <w:r>
        <w:rPr>
          <w:rFonts w:hint="eastAsia"/>
        </w:rPr>
        <w:t>经正式授权并代表供应商</w:t>
      </w:r>
      <w:bookmarkStart w:id="128" w:name="_Hlk19051402"/>
      <w:r>
        <w:rPr>
          <w:rFonts w:hint="eastAsia"/>
          <w:i/>
          <w:iCs/>
          <w:u w:val="single"/>
        </w:rPr>
        <w:t>（供应商名称）</w:t>
      </w:r>
      <w:bookmarkEnd w:id="128"/>
      <w:r>
        <w:rPr>
          <w:rFonts w:hint="eastAsia"/>
        </w:rPr>
        <w:t>提交投标文件。</w:t>
      </w:r>
    </w:p>
    <w:p w14:paraId="030EF928">
      <w:pPr>
        <w:ind w:firstLine="420" w:firstLineChars="200"/>
      </w:pPr>
      <w:r>
        <w:rPr>
          <w:rFonts w:hint="eastAsia"/>
        </w:rPr>
        <w:t>据此函，签字代表宣布同意如下：</w:t>
      </w:r>
    </w:p>
    <w:p w14:paraId="0C6AE6D8">
      <w:pPr>
        <w:ind w:firstLine="420" w:firstLineChars="200"/>
      </w:pPr>
      <w:r>
        <w:rPr>
          <w:rFonts w:hint="eastAsia"/>
        </w:rPr>
        <w:t>（1）我方已详细审查全部“招标文件”，包括修改文件（如有的话）以及全部参考资料和有关附件，已经了解我方对于招标文件、采购过程、采购结果有依法进行询问、质疑、投诉的权利及相关渠道和要求。</w:t>
      </w:r>
    </w:p>
    <w:p w14:paraId="37764EC1">
      <w:pPr>
        <w:ind w:firstLine="420" w:firstLineChars="200"/>
      </w:pPr>
      <w:r>
        <w:rPr>
          <w:rFonts w:hint="eastAsia"/>
        </w:rPr>
        <w:t>（2）我方在投标之前已经与贵方进行了充分的沟通，完全理解并接受招标文件的各项规定和要求，对招标文件的合理性、合法性不再有异议。</w:t>
      </w:r>
    </w:p>
    <w:p w14:paraId="5DBA5CC1">
      <w:pPr>
        <w:ind w:firstLine="420" w:firstLineChars="200"/>
      </w:pPr>
      <w:r>
        <w:rPr>
          <w:rFonts w:hint="eastAsia"/>
        </w:rPr>
        <w:t>（3）本投标有效期自投标截止之日起</w:t>
      </w:r>
      <w:r>
        <w:rPr>
          <w:rFonts w:hint="eastAsia"/>
          <w:u w:val="single"/>
        </w:rPr>
        <w:t xml:space="preserve">    </w:t>
      </w:r>
      <w:r>
        <w:rPr>
          <w:rFonts w:hint="eastAsia"/>
        </w:rPr>
        <w:t>天。</w:t>
      </w:r>
    </w:p>
    <w:p w14:paraId="5C452C09">
      <w:pPr>
        <w:ind w:firstLine="420" w:firstLineChars="200"/>
      </w:pPr>
      <w:r>
        <w:rPr>
          <w:rFonts w:hint="eastAsia"/>
        </w:rPr>
        <w:t>（4）如中标，本投标文件至本项目合同履行完毕止均保持有效，我方将按“招标文件”及政府采购法律、法规的规定履行合同责任和义务，并承诺不分包及转包他人。</w:t>
      </w:r>
    </w:p>
    <w:p w14:paraId="17839F84">
      <w:pPr>
        <w:ind w:firstLine="420" w:firstLineChars="200"/>
      </w:pPr>
      <w:r>
        <w:rPr>
          <w:rFonts w:hint="eastAsia"/>
        </w:rPr>
        <w:t>（5）我方同意按照贵方要求提供与投标有关的一切数据或资料。</w:t>
      </w:r>
    </w:p>
    <w:p w14:paraId="52E290DC">
      <w:pPr>
        <w:ind w:firstLine="420" w:firstLineChars="200"/>
      </w:pPr>
      <w:r>
        <w:rPr>
          <w:rFonts w:hint="eastAsia"/>
        </w:rPr>
        <w:t>（6）与本项目有关的一切正式往来信函请寄：</w:t>
      </w:r>
    </w:p>
    <w:bookmarkEnd w:id="124"/>
    <w:p w14:paraId="62CD2B70">
      <w:pPr>
        <w:ind w:firstLine="420" w:firstLineChars="200"/>
      </w:pPr>
      <w:r>
        <w:rPr>
          <w:rFonts w:hint="eastAsia"/>
        </w:rPr>
        <w:t xml:space="preserve">地址：                      邮编：           电话：            </w:t>
      </w:r>
    </w:p>
    <w:p w14:paraId="08DB65EA">
      <w:pPr>
        <w:ind w:firstLine="420" w:firstLineChars="200"/>
      </w:pPr>
      <w:r>
        <w:rPr>
          <w:rFonts w:hint="eastAsia"/>
        </w:rPr>
        <w:t xml:space="preserve">传真：             </w:t>
      </w:r>
    </w:p>
    <w:p w14:paraId="4A003074">
      <w:pPr>
        <w:ind w:firstLine="420" w:firstLineChars="200"/>
      </w:pPr>
      <w:r>
        <w:rPr>
          <w:rFonts w:hint="eastAsia"/>
        </w:rPr>
        <w:t xml:space="preserve">供应商代表姓名           职务：          邮箱：               </w:t>
      </w:r>
    </w:p>
    <w:p w14:paraId="3690238D"/>
    <w:p w14:paraId="30E4FBBF"/>
    <w:p w14:paraId="1458C21C"/>
    <w:p w14:paraId="53D1F106">
      <w:pPr>
        <w:jc w:val="center"/>
      </w:pPr>
      <w:r>
        <w:rPr>
          <w:rFonts w:hint="eastAsia"/>
        </w:rPr>
        <w:t>供应商名称(电子签章)：</w:t>
      </w:r>
    </w:p>
    <w:p w14:paraId="1D89F362">
      <w:pPr>
        <w:jc w:val="center"/>
      </w:pPr>
      <w:r>
        <w:rPr>
          <w:rFonts w:hint="eastAsia"/>
        </w:rPr>
        <w:t>日期：      年    月   日</w:t>
      </w:r>
    </w:p>
    <w:p w14:paraId="5BA2B92D">
      <w:r>
        <w:br w:type="page"/>
      </w:r>
    </w:p>
    <w:p w14:paraId="0766CD94"/>
    <w:p w14:paraId="5B970540">
      <w:pPr>
        <w:rPr>
          <w:b/>
          <w:bCs/>
        </w:rPr>
      </w:pPr>
      <w:r>
        <w:rPr>
          <w:rFonts w:hint="eastAsia"/>
          <w:b/>
          <w:bCs/>
        </w:rPr>
        <w:t>2．投标报价明细表格式：</w:t>
      </w:r>
    </w:p>
    <w:p w14:paraId="0F3021D7">
      <w:pPr>
        <w:jc w:val="center"/>
        <w:rPr>
          <w:b/>
          <w:bCs/>
          <w:sz w:val="28"/>
          <w:szCs w:val="28"/>
        </w:rPr>
      </w:pPr>
      <w:r>
        <w:rPr>
          <w:b/>
          <w:bCs/>
          <w:sz w:val="28"/>
          <w:szCs w:val="28"/>
        </w:rPr>
        <w:t>投标报价明细表</w:t>
      </w:r>
    </w:p>
    <w:p w14:paraId="523E7BFF">
      <w:pPr>
        <w:pStyle w:val="218"/>
      </w:pPr>
    </w:p>
    <w:p w14:paraId="3ACF9C89">
      <w:pPr>
        <w:ind w:firstLine="420" w:firstLineChars="200"/>
      </w:pPr>
      <w:bookmarkStart w:id="129" w:name="_Hlk127711070"/>
      <w:r>
        <w:rPr>
          <w:rFonts w:hint="eastAsia"/>
        </w:rPr>
        <w:t xml:space="preserve">分标号：（若无留空或写“/”）                  </w:t>
      </w:r>
    </w:p>
    <w:bookmarkEnd w:id="129"/>
    <w:tbl>
      <w:tblPr>
        <w:tblStyle w:val="52"/>
        <w:tblW w:w="897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5"/>
        <w:gridCol w:w="1785"/>
        <w:gridCol w:w="1190"/>
        <w:gridCol w:w="1587"/>
        <w:gridCol w:w="1080"/>
        <w:gridCol w:w="1472"/>
        <w:gridCol w:w="1267"/>
      </w:tblGrid>
      <w:tr w14:paraId="3EE96F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6" w:hRule="exact"/>
          <w:jc w:val="center"/>
        </w:trPr>
        <w:tc>
          <w:tcPr>
            <w:tcW w:w="595" w:type="dxa"/>
            <w:tcBorders>
              <w:top w:val="single" w:color="auto" w:sz="4" w:space="0"/>
              <w:left w:val="single" w:color="auto" w:sz="4" w:space="0"/>
              <w:bottom w:val="single" w:color="auto" w:sz="4" w:space="0"/>
              <w:right w:val="single" w:color="auto" w:sz="4" w:space="0"/>
            </w:tcBorders>
            <w:vAlign w:val="center"/>
          </w:tcPr>
          <w:p w14:paraId="6B4C9AE8">
            <w:pPr>
              <w:jc w:val="center"/>
              <w:rPr>
                <w:spacing w:val="20"/>
              </w:rPr>
            </w:pPr>
            <w:bookmarkStart w:id="130" w:name="_Hlk88990717"/>
            <w:r>
              <w:rPr>
                <w:rFonts w:hint="eastAsia"/>
              </w:rPr>
              <w:t>序号</w:t>
            </w:r>
          </w:p>
        </w:tc>
        <w:tc>
          <w:tcPr>
            <w:tcW w:w="1785" w:type="dxa"/>
            <w:tcBorders>
              <w:top w:val="single" w:color="auto" w:sz="4" w:space="0"/>
              <w:left w:val="single" w:color="auto" w:sz="4" w:space="0"/>
              <w:bottom w:val="single" w:color="auto" w:sz="4" w:space="0"/>
              <w:right w:val="single" w:color="auto" w:sz="4" w:space="0"/>
            </w:tcBorders>
            <w:vAlign w:val="center"/>
          </w:tcPr>
          <w:p w14:paraId="6BE78BFA">
            <w:pPr>
              <w:jc w:val="center"/>
            </w:pPr>
            <w:r>
              <w:rPr>
                <w:rFonts w:hint="eastAsia"/>
                <w:lang w:val="en-US" w:eastAsia="zh-CN"/>
              </w:rPr>
              <w:t>货物</w:t>
            </w:r>
            <w:r>
              <w:t>名称</w:t>
            </w:r>
          </w:p>
        </w:tc>
        <w:tc>
          <w:tcPr>
            <w:tcW w:w="1190" w:type="dxa"/>
            <w:tcBorders>
              <w:top w:val="single" w:color="auto" w:sz="4" w:space="0"/>
              <w:left w:val="single" w:color="auto" w:sz="4" w:space="0"/>
              <w:bottom w:val="single" w:color="auto" w:sz="4" w:space="0"/>
              <w:right w:val="single" w:color="auto" w:sz="4" w:space="0"/>
            </w:tcBorders>
            <w:vAlign w:val="center"/>
          </w:tcPr>
          <w:p w14:paraId="23B65881">
            <w:pPr>
              <w:jc w:val="center"/>
            </w:pPr>
            <w:r>
              <w:t>制造商</w:t>
            </w:r>
          </w:p>
        </w:tc>
        <w:tc>
          <w:tcPr>
            <w:tcW w:w="1587" w:type="dxa"/>
            <w:tcBorders>
              <w:top w:val="single" w:color="auto" w:sz="4" w:space="0"/>
              <w:left w:val="single" w:color="auto" w:sz="4" w:space="0"/>
              <w:bottom w:val="single" w:color="auto" w:sz="4" w:space="0"/>
              <w:right w:val="single" w:color="auto" w:sz="4" w:space="0"/>
            </w:tcBorders>
            <w:vAlign w:val="center"/>
          </w:tcPr>
          <w:p w14:paraId="7C137F73">
            <w:pPr>
              <w:jc w:val="center"/>
            </w:pPr>
            <w:r>
              <w:rPr>
                <w:rFonts w:hint="eastAsia"/>
              </w:rPr>
              <w:t>规格</w:t>
            </w:r>
            <w:r>
              <w:rPr>
                <w:szCs w:val="21"/>
              </w:rPr>
              <w:t>型号</w:t>
            </w:r>
          </w:p>
        </w:tc>
        <w:tc>
          <w:tcPr>
            <w:tcW w:w="1080" w:type="dxa"/>
            <w:tcBorders>
              <w:top w:val="single" w:color="auto" w:sz="4" w:space="0"/>
              <w:left w:val="single" w:color="auto" w:sz="4" w:space="0"/>
              <w:bottom w:val="single" w:color="auto" w:sz="4" w:space="0"/>
              <w:right w:val="single" w:color="auto" w:sz="4" w:space="0"/>
            </w:tcBorders>
            <w:vAlign w:val="center"/>
          </w:tcPr>
          <w:p w14:paraId="336F4A48">
            <w:pPr>
              <w:jc w:val="center"/>
            </w:pPr>
            <w:r>
              <w:t>单位</w:t>
            </w:r>
          </w:p>
        </w:tc>
        <w:tc>
          <w:tcPr>
            <w:tcW w:w="1472" w:type="dxa"/>
            <w:tcBorders>
              <w:top w:val="single" w:color="auto" w:sz="4" w:space="0"/>
              <w:left w:val="single" w:color="auto" w:sz="4" w:space="0"/>
              <w:bottom w:val="single" w:color="auto" w:sz="4" w:space="0"/>
              <w:right w:val="single" w:color="auto" w:sz="4" w:space="0"/>
            </w:tcBorders>
            <w:vAlign w:val="center"/>
          </w:tcPr>
          <w:p w14:paraId="0D1E6C35">
            <w:pPr>
              <w:jc w:val="center"/>
            </w:pPr>
            <w:r>
              <w:t>数量</w:t>
            </w:r>
          </w:p>
        </w:tc>
        <w:tc>
          <w:tcPr>
            <w:tcW w:w="1267" w:type="dxa"/>
            <w:tcBorders>
              <w:top w:val="single" w:color="auto" w:sz="4" w:space="0"/>
              <w:left w:val="single" w:color="auto" w:sz="4" w:space="0"/>
              <w:bottom w:val="single" w:color="auto" w:sz="4" w:space="0"/>
              <w:right w:val="single" w:color="auto" w:sz="4" w:space="0"/>
            </w:tcBorders>
            <w:vAlign w:val="center"/>
          </w:tcPr>
          <w:p w14:paraId="5A4F7980">
            <w:pPr>
              <w:jc w:val="center"/>
            </w:pPr>
            <w:r>
              <w:rPr>
                <w:rFonts w:hint="eastAsia"/>
                <w:kern w:val="0"/>
              </w:rPr>
              <w:t>投标</w:t>
            </w:r>
            <w:r>
              <w:rPr>
                <w:rFonts w:hint="eastAsia"/>
              </w:rPr>
              <w:t>折扣系数</w:t>
            </w:r>
            <w:r>
              <w:rPr>
                <w:kern w:val="0"/>
              </w:rPr>
              <w:t>%</w:t>
            </w:r>
          </w:p>
        </w:tc>
      </w:tr>
      <w:tr w14:paraId="2F235C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3" w:hRule="exact"/>
          <w:jc w:val="center"/>
        </w:trPr>
        <w:tc>
          <w:tcPr>
            <w:tcW w:w="595" w:type="dxa"/>
            <w:tcBorders>
              <w:top w:val="single" w:color="auto" w:sz="4" w:space="0"/>
              <w:left w:val="single" w:color="auto" w:sz="4" w:space="0"/>
              <w:bottom w:val="single" w:color="auto" w:sz="4" w:space="0"/>
              <w:right w:val="single" w:color="auto" w:sz="4" w:space="0"/>
            </w:tcBorders>
            <w:vAlign w:val="center"/>
          </w:tcPr>
          <w:p w14:paraId="363740FA">
            <w:pPr>
              <w:jc w:val="center"/>
            </w:pPr>
          </w:p>
        </w:tc>
        <w:tc>
          <w:tcPr>
            <w:tcW w:w="1785" w:type="dxa"/>
            <w:tcBorders>
              <w:top w:val="single" w:color="auto" w:sz="4" w:space="0"/>
              <w:left w:val="single" w:color="auto" w:sz="4" w:space="0"/>
              <w:bottom w:val="single" w:color="auto" w:sz="4" w:space="0"/>
              <w:right w:val="single" w:color="auto" w:sz="4" w:space="0"/>
            </w:tcBorders>
            <w:vAlign w:val="center"/>
          </w:tcPr>
          <w:p w14:paraId="4535F3B6">
            <w:pPr>
              <w:jc w:val="center"/>
            </w:pPr>
          </w:p>
        </w:tc>
        <w:tc>
          <w:tcPr>
            <w:tcW w:w="1190" w:type="dxa"/>
            <w:tcBorders>
              <w:top w:val="single" w:color="auto" w:sz="4" w:space="0"/>
              <w:left w:val="single" w:color="auto" w:sz="4" w:space="0"/>
              <w:bottom w:val="single" w:color="auto" w:sz="4" w:space="0"/>
              <w:right w:val="single" w:color="auto" w:sz="4" w:space="0"/>
            </w:tcBorders>
            <w:vAlign w:val="center"/>
          </w:tcPr>
          <w:p w14:paraId="32B9A23D">
            <w:pPr>
              <w:jc w:val="center"/>
            </w:pPr>
          </w:p>
        </w:tc>
        <w:tc>
          <w:tcPr>
            <w:tcW w:w="1587" w:type="dxa"/>
            <w:tcBorders>
              <w:top w:val="single" w:color="auto" w:sz="4" w:space="0"/>
              <w:left w:val="single" w:color="auto" w:sz="4" w:space="0"/>
              <w:bottom w:val="single" w:color="auto" w:sz="4" w:space="0"/>
              <w:right w:val="single" w:color="auto" w:sz="4" w:space="0"/>
            </w:tcBorders>
            <w:vAlign w:val="center"/>
          </w:tcPr>
          <w:p w14:paraId="3AB15F25">
            <w:pPr>
              <w:jc w:val="center"/>
            </w:pPr>
          </w:p>
        </w:tc>
        <w:tc>
          <w:tcPr>
            <w:tcW w:w="1080" w:type="dxa"/>
            <w:tcBorders>
              <w:top w:val="single" w:color="auto" w:sz="4" w:space="0"/>
              <w:left w:val="single" w:color="auto" w:sz="4" w:space="0"/>
              <w:bottom w:val="single" w:color="auto" w:sz="4" w:space="0"/>
              <w:right w:val="single" w:color="auto" w:sz="4" w:space="0"/>
            </w:tcBorders>
            <w:vAlign w:val="center"/>
          </w:tcPr>
          <w:p w14:paraId="710F4EBD">
            <w:pPr>
              <w:jc w:val="center"/>
            </w:pPr>
          </w:p>
        </w:tc>
        <w:tc>
          <w:tcPr>
            <w:tcW w:w="1472" w:type="dxa"/>
            <w:tcBorders>
              <w:top w:val="single" w:color="auto" w:sz="4" w:space="0"/>
              <w:left w:val="single" w:color="auto" w:sz="4" w:space="0"/>
              <w:bottom w:val="single" w:color="auto" w:sz="4" w:space="0"/>
              <w:right w:val="single" w:color="auto" w:sz="4" w:space="0"/>
            </w:tcBorders>
            <w:vAlign w:val="center"/>
          </w:tcPr>
          <w:p w14:paraId="45974568">
            <w:pPr>
              <w:jc w:val="center"/>
              <w:rPr>
                <w:spacing w:val="20"/>
              </w:rPr>
            </w:pPr>
          </w:p>
        </w:tc>
        <w:tc>
          <w:tcPr>
            <w:tcW w:w="1267" w:type="dxa"/>
            <w:vMerge w:val="restart"/>
            <w:tcBorders>
              <w:top w:val="single" w:color="auto" w:sz="4" w:space="0"/>
              <w:left w:val="single" w:color="auto" w:sz="4" w:space="0"/>
              <w:right w:val="single" w:color="auto" w:sz="4" w:space="0"/>
            </w:tcBorders>
            <w:vAlign w:val="center"/>
          </w:tcPr>
          <w:p w14:paraId="1DA921FE">
            <w:pPr>
              <w:jc w:val="center"/>
            </w:pPr>
          </w:p>
        </w:tc>
      </w:tr>
      <w:tr w14:paraId="6C5AF8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3" w:hRule="exact"/>
          <w:jc w:val="center"/>
        </w:trPr>
        <w:tc>
          <w:tcPr>
            <w:tcW w:w="595" w:type="dxa"/>
            <w:tcBorders>
              <w:top w:val="single" w:color="auto" w:sz="4" w:space="0"/>
              <w:left w:val="single" w:color="auto" w:sz="4" w:space="0"/>
              <w:bottom w:val="single" w:color="auto" w:sz="4" w:space="0"/>
              <w:right w:val="single" w:color="auto" w:sz="4" w:space="0"/>
            </w:tcBorders>
            <w:vAlign w:val="center"/>
          </w:tcPr>
          <w:p w14:paraId="2FFFC379">
            <w:pPr>
              <w:jc w:val="center"/>
            </w:pPr>
          </w:p>
        </w:tc>
        <w:tc>
          <w:tcPr>
            <w:tcW w:w="1785" w:type="dxa"/>
            <w:tcBorders>
              <w:top w:val="single" w:color="auto" w:sz="4" w:space="0"/>
              <w:left w:val="single" w:color="auto" w:sz="4" w:space="0"/>
              <w:bottom w:val="single" w:color="auto" w:sz="4" w:space="0"/>
              <w:right w:val="single" w:color="auto" w:sz="4" w:space="0"/>
            </w:tcBorders>
            <w:vAlign w:val="center"/>
          </w:tcPr>
          <w:p w14:paraId="1D652BC8">
            <w:pPr>
              <w:jc w:val="center"/>
            </w:pPr>
          </w:p>
        </w:tc>
        <w:tc>
          <w:tcPr>
            <w:tcW w:w="1190" w:type="dxa"/>
            <w:tcBorders>
              <w:top w:val="single" w:color="auto" w:sz="4" w:space="0"/>
              <w:left w:val="single" w:color="auto" w:sz="4" w:space="0"/>
              <w:bottom w:val="single" w:color="auto" w:sz="4" w:space="0"/>
              <w:right w:val="single" w:color="auto" w:sz="4" w:space="0"/>
            </w:tcBorders>
            <w:vAlign w:val="center"/>
          </w:tcPr>
          <w:p w14:paraId="511E0694">
            <w:pPr>
              <w:jc w:val="center"/>
            </w:pPr>
          </w:p>
        </w:tc>
        <w:tc>
          <w:tcPr>
            <w:tcW w:w="1587" w:type="dxa"/>
            <w:tcBorders>
              <w:top w:val="single" w:color="auto" w:sz="4" w:space="0"/>
              <w:left w:val="single" w:color="auto" w:sz="4" w:space="0"/>
              <w:bottom w:val="single" w:color="auto" w:sz="4" w:space="0"/>
              <w:right w:val="single" w:color="auto" w:sz="4" w:space="0"/>
            </w:tcBorders>
            <w:vAlign w:val="center"/>
          </w:tcPr>
          <w:p w14:paraId="305BB3F4">
            <w:pPr>
              <w:jc w:val="center"/>
            </w:pPr>
          </w:p>
        </w:tc>
        <w:tc>
          <w:tcPr>
            <w:tcW w:w="1080" w:type="dxa"/>
            <w:tcBorders>
              <w:top w:val="single" w:color="auto" w:sz="4" w:space="0"/>
              <w:left w:val="single" w:color="auto" w:sz="4" w:space="0"/>
              <w:bottom w:val="single" w:color="auto" w:sz="4" w:space="0"/>
              <w:right w:val="single" w:color="auto" w:sz="4" w:space="0"/>
            </w:tcBorders>
            <w:vAlign w:val="center"/>
          </w:tcPr>
          <w:p w14:paraId="75C7BD4D">
            <w:pPr>
              <w:jc w:val="center"/>
            </w:pPr>
          </w:p>
        </w:tc>
        <w:tc>
          <w:tcPr>
            <w:tcW w:w="1472" w:type="dxa"/>
            <w:tcBorders>
              <w:top w:val="single" w:color="auto" w:sz="4" w:space="0"/>
              <w:left w:val="single" w:color="auto" w:sz="4" w:space="0"/>
              <w:bottom w:val="single" w:color="auto" w:sz="4" w:space="0"/>
              <w:right w:val="single" w:color="auto" w:sz="4" w:space="0"/>
            </w:tcBorders>
            <w:vAlign w:val="center"/>
          </w:tcPr>
          <w:p w14:paraId="5900445E">
            <w:pPr>
              <w:jc w:val="center"/>
              <w:rPr>
                <w:spacing w:val="20"/>
              </w:rPr>
            </w:pPr>
          </w:p>
        </w:tc>
        <w:tc>
          <w:tcPr>
            <w:tcW w:w="1267" w:type="dxa"/>
            <w:vMerge w:val="continue"/>
            <w:tcBorders>
              <w:left w:val="single" w:color="auto" w:sz="4" w:space="0"/>
              <w:right w:val="single" w:color="auto" w:sz="4" w:space="0"/>
            </w:tcBorders>
            <w:vAlign w:val="center"/>
          </w:tcPr>
          <w:p w14:paraId="43464FFA">
            <w:pPr>
              <w:jc w:val="center"/>
            </w:pPr>
          </w:p>
        </w:tc>
      </w:tr>
      <w:tr w14:paraId="33E15B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4" w:hRule="exact"/>
          <w:jc w:val="center"/>
        </w:trPr>
        <w:tc>
          <w:tcPr>
            <w:tcW w:w="595" w:type="dxa"/>
            <w:tcBorders>
              <w:top w:val="single" w:color="auto" w:sz="4" w:space="0"/>
              <w:left w:val="single" w:color="auto" w:sz="4" w:space="0"/>
              <w:bottom w:val="single" w:color="auto" w:sz="4" w:space="0"/>
              <w:right w:val="single" w:color="auto" w:sz="4" w:space="0"/>
            </w:tcBorders>
            <w:vAlign w:val="center"/>
          </w:tcPr>
          <w:p w14:paraId="70320276">
            <w:pPr>
              <w:jc w:val="center"/>
            </w:pPr>
          </w:p>
        </w:tc>
        <w:tc>
          <w:tcPr>
            <w:tcW w:w="1785" w:type="dxa"/>
            <w:tcBorders>
              <w:top w:val="single" w:color="auto" w:sz="4" w:space="0"/>
              <w:left w:val="single" w:color="auto" w:sz="4" w:space="0"/>
              <w:bottom w:val="single" w:color="auto" w:sz="4" w:space="0"/>
              <w:right w:val="single" w:color="auto" w:sz="4" w:space="0"/>
            </w:tcBorders>
            <w:vAlign w:val="center"/>
          </w:tcPr>
          <w:p w14:paraId="44CD4064">
            <w:pPr>
              <w:jc w:val="center"/>
            </w:pPr>
          </w:p>
        </w:tc>
        <w:tc>
          <w:tcPr>
            <w:tcW w:w="1190" w:type="dxa"/>
            <w:tcBorders>
              <w:top w:val="single" w:color="auto" w:sz="4" w:space="0"/>
              <w:left w:val="single" w:color="auto" w:sz="4" w:space="0"/>
              <w:bottom w:val="single" w:color="auto" w:sz="4" w:space="0"/>
              <w:right w:val="single" w:color="auto" w:sz="4" w:space="0"/>
            </w:tcBorders>
            <w:vAlign w:val="center"/>
          </w:tcPr>
          <w:p w14:paraId="49F89DB4">
            <w:pPr>
              <w:jc w:val="center"/>
            </w:pPr>
          </w:p>
        </w:tc>
        <w:tc>
          <w:tcPr>
            <w:tcW w:w="1587" w:type="dxa"/>
            <w:tcBorders>
              <w:top w:val="single" w:color="auto" w:sz="4" w:space="0"/>
              <w:left w:val="single" w:color="auto" w:sz="4" w:space="0"/>
              <w:bottom w:val="single" w:color="auto" w:sz="4" w:space="0"/>
              <w:right w:val="single" w:color="auto" w:sz="4" w:space="0"/>
            </w:tcBorders>
            <w:vAlign w:val="center"/>
          </w:tcPr>
          <w:p w14:paraId="29E9370D">
            <w:pPr>
              <w:jc w:val="center"/>
            </w:pPr>
          </w:p>
        </w:tc>
        <w:tc>
          <w:tcPr>
            <w:tcW w:w="1080" w:type="dxa"/>
            <w:tcBorders>
              <w:top w:val="single" w:color="auto" w:sz="4" w:space="0"/>
              <w:left w:val="single" w:color="auto" w:sz="4" w:space="0"/>
              <w:bottom w:val="single" w:color="auto" w:sz="4" w:space="0"/>
              <w:right w:val="single" w:color="auto" w:sz="4" w:space="0"/>
            </w:tcBorders>
            <w:vAlign w:val="center"/>
          </w:tcPr>
          <w:p w14:paraId="0813D2E3">
            <w:pPr>
              <w:jc w:val="center"/>
            </w:pPr>
          </w:p>
        </w:tc>
        <w:tc>
          <w:tcPr>
            <w:tcW w:w="1472" w:type="dxa"/>
            <w:tcBorders>
              <w:top w:val="single" w:color="auto" w:sz="4" w:space="0"/>
              <w:left w:val="single" w:color="auto" w:sz="4" w:space="0"/>
              <w:bottom w:val="single" w:color="auto" w:sz="4" w:space="0"/>
              <w:right w:val="single" w:color="auto" w:sz="4" w:space="0"/>
            </w:tcBorders>
            <w:vAlign w:val="center"/>
          </w:tcPr>
          <w:p w14:paraId="4CD5FF86">
            <w:pPr>
              <w:jc w:val="center"/>
              <w:rPr>
                <w:spacing w:val="20"/>
              </w:rPr>
            </w:pPr>
          </w:p>
        </w:tc>
        <w:tc>
          <w:tcPr>
            <w:tcW w:w="1267" w:type="dxa"/>
            <w:vMerge w:val="continue"/>
            <w:tcBorders>
              <w:left w:val="single" w:color="auto" w:sz="4" w:space="0"/>
              <w:bottom w:val="single" w:color="auto" w:sz="4" w:space="0"/>
              <w:right w:val="single" w:color="auto" w:sz="4" w:space="0"/>
            </w:tcBorders>
            <w:vAlign w:val="center"/>
          </w:tcPr>
          <w:p w14:paraId="5A90DD57">
            <w:pPr>
              <w:jc w:val="center"/>
            </w:pPr>
          </w:p>
        </w:tc>
      </w:tr>
    </w:tbl>
    <w:p w14:paraId="2ADB6CF6"/>
    <w:p w14:paraId="3DA9BE35">
      <w:pPr>
        <w:ind w:firstLine="420" w:firstLineChars="200"/>
      </w:pPr>
      <w:r>
        <w:rPr>
          <w:rFonts w:hint="eastAsia"/>
        </w:rPr>
        <w:t>注：（1）本表如与</w:t>
      </w:r>
      <w:r>
        <w:rPr>
          <w:rFonts w:hint="eastAsia"/>
          <w:lang w:eastAsia="zh-CN"/>
        </w:rPr>
        <w:t>广西政府采购云平台</w:t>
      </w:r>
      <w:r>
        <w:rPr>
          <w:rFonts w:hint="eastAsia"/>
        </w:rPr>
        <w:t>不一致的，以</w:t>
      </w:r>
      <w:r>
        <w:rPr>
          <w:rFonts w:hint="eastAsia"/>
          <w:lang w:eastAsia="zh-CN"/>
        </w:rPr>
        <w:t>广西政府采购云平台</w:t>
      </w:r>
      <w:r>
        <w:rPr>
          <w:rFonts w:hint="eastAsia"/>
        </w:rPr>
        <w:t>为准。</w:t>
      </w:r>
    </w:p>
    <w:p w14:paraId="14C4AC1C">
      <w:pPr>
        <w:ind w:firstLine="420" w:firstLineChars="200"/>
      </w:pPr>
      <w:r>
        <w:rPr>
          <w:rFonts w:hint="eastAsia"/>
        </w:rPr>
        <w:t>（2）本表可扩展。</w:t>
      </w:r>
    </w:p>
    <w:p w14:paraId="2DA607B6"/>
    <w:p w14:paraId="3E7923F3">
      <w:pPr>
        <w:jc w:val="center"/>
      </w:pPr>
      <w:r>
        <w:rPr>
          <w:rFonts w:hint="eastAsia"/>
        </w:rPr>
        <w:t>供应商名称（电子签章）：</w:t>
      </w:r>
    </w:p>
    <w:p w14:paraId="7071B6EB">
      <w:pPr>
        <w:jc w:val="center"/>
      </w:pPr>
      <w:r>
        <w:rPr>
          <w:rFonts w:hint="eastAsia"/>
        </w:rPr>
        <w:t>日期：  年  月  日</w:t>
      </w:r>
    </w:p>
    <w:p w14:paraId="007631B9">
      <w:pPr>
        <w:pStyle w:val="218"/>
      </w:pPr>
    </w:p>
    <w:p w14:paraId="6FF24937">
      <w:pPr>
        <w:pStyle w:val="218"/>
      </w:pPr>
    </w:p>
    <w:bookmarkEnd w:id="130"/>
    <w:p w14:paraId="153AC369">
      <w:pPr>
        <w:rPr>
          <w:b/>
          <w:bCs/>
        </w:rPr>
      </w:pPr>
      <w:r>
        <w:rPr>
          <w:rFonts w:ascii="Arial" w:hAnsi="Arial" w:cs="Arial"/>
        </w:rPr>
        <w:br w:type="page"/>
      </w:r>
      <w:bookmarkStart w:id="131" w:name="_Hlk19115862"/>
      <w:r>
        <w:rPr>
          <w:rFonts w:hint="eastAsia"/>
          <w:b/>
          <w:bCs/>
        </w:rPr>
        <w:t>3．</w:t>
      </w:r>
      <w:r>
        <w:rPr>
          <w:rFonts w:hint="eastAsia"/>
          <w:b/>
          <w:bCs/>
          <w:lang w:val="en-US" w:eastAsia="zh-CN"/>
        </w:rPr>
        <w:t>异常低价</w:t>
      </w:r>
      <w:r>
        <w:rPr>
          <w:rFonts w:hint="eastAsia"/>
          <w:b/>
          <w:bCs/>
        </w:rPr>
        <w:t>合理性的说明。（如有）</w:t>
      </w:r>
    </w:p>
    <w:p w14:paraId="3E194A0C">
      <w:pPr>
        <w:ind w:firstLine="420" w:firstLineChars="200"/>
      </w:pPr>
      <w:r>
        <w:rPr>
          <w:rFonts w:hint="eastAsia"/>
        </w:rPr>
        <w:t>评标委员会认为供应商的报价</w:t>
      </w:r>
      <w:r>
        <w:rPr>
          <w:rFonts w:hint="eastAsia"/>
          <w:lang w:val="en-US" w:eastAsia="zh-CN"/>
        </w:rPr>
        <w:t>属于异常低价的</w:t>
      </w:r>
      <w:r>
        <w:rPr>
          <w:rFonts w:hint="eastAsia"/>
        </w:rPr>
        <w:t>，供应商将被要求以书面方式提供说明。为避免在评审现场因未能及时提供说明而导致被评标委员会作为无效投标，供应商自行决定是否直接在此处进行陈述。格式自拟。（具体要求详见第四章评审方法及评审标准“</w:t>
      </w:r>
      <w:r>
        <w:rPr>
          <w:rFonts w:hint="eastAsia"/>
          <w:lang w:val="en-US" w:eastAsia="zh-CN"/>
        </w:rPr>
        <w:t>异常低价</w:t>
      </w:r>
      <w:r>
        <w:rPr>
          <w:rFonts w:hint="eastAsia"/>
        </w:rPr>
        <w:t>审查”）</w:t>
      </w:r>
    </w:p>
    <w:bookmarkEnd w:id="131"/>
    <w:p w14:paraId="6B1BF81D"/>
    <w:p w14:paraId="4383FBE1">
      <w:pPr>
        <w:rPr>
          <w:b/>
          <w:bCs/>
        </w:rPr>
      </w:pPr>
      <w:bookmarkStart w:id="132" w:name="_Hlk88990880"/>
      <w:r>
        <w:rPr>
          <w:rFonts w:hint="eastAsia"/>
          <w:b/>
          <w:bCs/>
          <w:lang w:val="en-US" w:eastAsia="zh-CN"/>
        </w:rPr>
        <w:t>4</w:t>
      </w:r>
      <w:r>
        <w:rPr>
          <w:rFonts w:hint="eastAsia"/>
          <w:b/>
          <w:bCs/>
        </w:rPr>
        <w:t>．开标一览表</w:t>
      </w:r>
    </w:p>
    <w:p w14:paraId="5E52EA2F"/>
    <w:p w14:paraId="43B10120"/>
    <w:p w14:paraId="7613403A"/>
    <w:p w14:paraId="639E66DF">
      <w:pPr>
        <w:jc w:val="center"/>
        <w:rPr>
          <w:b/>
          <w:bCs/>
        </w:rPr>
      </w:pPr>
      <w:r>
        <w:rPr>
          <w:b/>
          <w:bCs/>
        </w:rPr>
        <w:t>格式详见</w:t>
      </w:r>
      <w:r>
        <w:rPr>
          <w:rFonts w:hint="eastAsia"/>
          <w:b/>
          <w:bCs/>
          <w:lang w:eastAsia="zh-CN"/>
        </w:rPr>
        <w:t>广西政府采购云平台</w:t>
      </w:r>
      <w:r>
        <w:rPr>
          <w:b/>
          <w:bCs/>
        </w:rPr>
        <w:t>，且仅在</w:t>
      </w:r>
      <w:r>
        <w:rPr>
          <w:rFonts w:hint="eastAsia"/>
          <w:b/>
          <w:bCs/>
          <w:lang w:eastAsia="zh-CN"/>
        </w:rPr>
        <w:t>广西政府采购云平台</w:t>
      </w:r>
      <w:r>
        <w:rPr>
          <w:b/>
          <w:bCs/>
        </w:rPr>
        <w:t>填写即可。</w:t>
      </w:r>
      <w:bookmarkEnd w:id="132"/>
    </w:p>
    <w:p w14:paraId="62837455"/>
    <w:sectPr>
      <w:headerReference r:id="rId14" w:type="default"/>
      <w:pgSz w:w="11906" w:h="16838"/>
      <w:pgMar w:top="1418" w:right="1133" w:bottom="1246" w:left="1418" w:header="851" w:footer="992" w:gutter="0"/>
      <w:pgBorders>
        <w:top w:val="none" w:sz="0" w:space="0"/>
        <w:left w:val="none" w:sz="0" w:space="0"/>
        <w:bottom w:val="none" w:sz="0" w:space="0"/>
        <w:right w:val="none" w:sz="0" w:space="0"/>
      </w:pgBorders>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Wingdings 2">
    <w:altName w:val="Wingdings"/>
    <w:panose1 w:val="05020102010507070707"/>
    <w:charset w:val="02"/>
    <w:family w:val="roman"/>
    <w:pitch w:val="default"/>
    <w:sig w:usb0="00000000" w:usb1="00000000" w:usb2="00000000" w:usb3="00000000" w:csb0="80000000"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A016F">
    <w:pPr>
      <w:pStyle w:val="32"/>
    </w:pPr>
  </w:p>
  <w:p w14:paraId="02E6064F">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A4946">
    <w:pPr>
      <w:pStyle w:val="3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26CA9E">
                          <w:pPr>
                            <w:pStyle w:val="32"/>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E26CA9E">
                    <w:pPr>
                      <w:pStyle w:val="32"/>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2DB0A">
    <w:pPr>
      <w:pStyle w:val="3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75802289"/>
                          </w:sdtPr>
                          <w:sdtContent>
                            <w:p w14:paraId="58AC455F">
                              <w:pPr>
                                <w:pStyle w:val="32"/>
                              </w:pPr>
                              <w:r>
                                <w:fldChar w:fldCharType="begin"/>
                              </w:r>
                              <w:r>
                                <w:instrText xml:space="preserve">PAGE   \* MERGEFORMAT</w:instrText>
                              </w:r>
                              <w:r>
                                <w:fldChar w:fldCharType="separate"/>
                              </w:r>
                              <w:r>
                                <w:rPr>
                                  <w:lang w:val="zh-CN"/>
                                </w:rPr>
                                <w:t>88</w:t>
                              </w:r>
                              <w:r>
                                <w:fldChar w:fldCharType="end"/>
                              </w:r>
                            </w:p>
                          </w:sdtContent>
                        </w:sdt>
                        <w:p w14:paraId="49869CC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sdt>
                    <w:sdtPr>
                      <w:id w:val="975802289"/>
                    </w:sdtPr>
                    <w:sdtContent>
                      <w:p w14:paraId="58AC455F">
                        <w:pPr>
                          <w:pStyle w:val="32"/>
                        </w:pPr>
                        <w:r>
                          <w:fldChar w:fldCharType="begin"/>
                        </w:r>
                        <w:r>
                          <w:instrText xml:space="preserve">PAGE   \* MERGEFORMAT</w:instrText>
                        </w:r>
                        <w:r>
                          <w:fldChar w:fldCharType="separate"/>
                        </w:r>
                        <w:r>
                          <w:rPr>
                            <w:lang w:val="zh-CN"/>
                          </w:rPr>
                          <w:t>88</w:t>
                        </w:r>
                        <w:r>
                          <w:fldChar w:fldCharType="end"/>
                        </w:r>
                      </w:p>
                    </w:sdtContent>
                  </w:sdt>
                  <w:p w14:paraId="49869CC5"/>
                </w:txbxContent>
              </v:textbox>
            </v:shape>
          </w:pict>
        </mc:Fallback>
      </mc:AlternateContent>
    </w:r>
  </w:p>
  <w:p w14:paraId="113837E2">
    <w:pPr>
      <w:pStyle w:val="3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320DF">
    <w:pPr>
      <w:pStyle w:val="3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71C2CF">
                          <w:pPr>
                            <w:pStyle w:val="3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F71C2CF">
                    <w:pPr>
                      <w:pStyle w:val="3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EC29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E1E4E">
    <w:pPr>
      <w:rPr>
        <w:rFonts w:hint="eastAsia"/>
        <w:lang w:eastAsia="zh-CN"/>
      </w:rPr>
    </w:pPr>
    <w:r>
      <w:rPr>
        <w:rFonts w:hint="eastAsia"/>
        <w:lang w:eastAsia="zh-CN"/>
      </w:rPr>
      <w:tab/>
    </w:r>
    <w:r>
      <w:rPr>
        <w:rFonts w:hint="eastAsia"/>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2F66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1003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EB7A7">
    <w:pPr>
      <w:pStyle w:val="33"/>
    </w:pPr>
    <w:r>
      <w:rPr>
        <w:rFonts w:hint="eastAsia"/>
      </w:rPr>
      <w:t>广西中信恒泰工程顾问有限公司招标文件评标方法及评标标准</w:t>
    </w:r>
  </w:p>
  <w:p w14:paraId="1E6BEDE5">
    <w:pPr>
      <w:pStyle w:val="3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BB98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U2ZDEwMjIwNDI0NDE3MDIwMDUzZTk3NzdlOTFhZGEifQ=="/>
  </w:docVars>
  <w:rsids>
    <w:rsidRoot w:val="00172A27"/>
    <w:rsid w:val="000003B8"/>
    <w:rsid w:val="000003EF"/>
    <w:rsid w:val="00000653"/>
    <w:rsid w:val="000008B9"/>
    <w:rsid w:val="0000091B"/>
    <w:rsid w:val="00000ADC"/>
    <w:rsid w:val="00000D0A"/>
    <w:rsid w:val="00000D19"/>
    <w:rsid w:val="00000E1A"/>
    <w:rsid w:val="000011C3"/>
    <w:rsid w:val="00001B3E"/>
    <w:rsid w:val="00001B68"/>
    <w:rsid w:val="00001CD6"/>
    <w:rsid w:val="00001E6F"/>
    <w:rsid w:val="00001FB8"/>
    <w:rsid w:val="000020DA"/>
    <w:rsid w:val="00002AC8"/>
    <w:rsid w:val="00002DDA"/>
    <w:rsid w:val="00002F41"/>
    <w:rsid w:val="00003255"/>
    <w:rsid w:val="00003428"/>
    <w:rsid w:val="00003C81"/>
    <w:rsid w:val="00003D02"/>
    <w:rsid w:val="00003DAE"/>
    <w:rsid w:val="0000436E"/>
    <w:rsid w:val="000046C2"/>
    <w:rsid w:val="000055C3"/>
    <w:rsid w:val="000058D7"/>
    <w:rsid w:val="00005E55"/>
    <w:rsid w:val="0000644D"/>
    <w:rsid w:val="00006E2C"/>
    <w:rsid w:val="00007315"/>
    <w:rsid w:val="000079FF"/>
    <w:rsid w:val="00007B0D"/>
    <w:rsid w:val="00007F38"/>
    <w:rsid w:val="000102A9"/>
    <w:rsid w:val="00010339"/>
    <w:rsid w:val="000105C3"/>
    <w:rsid w:val="00011B70"/>
    <w:rsid w:val="00011D72"/>
    <w:rsid w:val="00012078"/>
    <w:rsid w:val="00012218"/>
    <w:rsid w:val="00012320"/>
    <w:rsid w:val="0001242C"/>
    <w:rsid w:val="00012447"/>
    <w:rsid w:val="000128AC"/>
    <w:rsid w:val="000129EA"/>
    <w:rsid w:val="00013034"/>
    <w:rsid w:val="00013350"/>
    <w:rsid w:val="0001338B"/>
    <w:rsid w:val="00013391"/>
    <w:rsid w:val="000136AF"/>
    <w:rsid w:val="00013748"/>
    <w:rsid w:val="00013AE8"/>
    <w:rsid w:val="00013D41"/>
    <w:rsid w:val="00013D8B"/>
    <w:rsid w:val="000143A3"/>
    <w:rsid w:val="000144F2"/>
    <w:rsid w:val="000145E3"/>
    <w:rsid w:val="00014CA6"/>
    <w:rsid w:val="00014DD6"/>
    <w:rsid w:val="0001532B"/>
    <w:rsid w:val="0001598C"/>
    <w:rsid w:val="00016007"/>
    <w:rsid w:val="000169F3"/>
    <w:rsid w:val="00016C31"/>
    <w:rsid w:val="00016CE3"/>
    <w:rsid w:val="0001710D"/>
    <w:rsid w:val="00017504"/>
    <w:rsid w:val="00017758"/>
    <w:rsid w:val="000178D7"/>
    <w:rsid w:val="00017900"/>
    <w:rsid w:val="00017C14"/>
    <w:rsid w:val="00017E50"/>
    <w:rsid w:val="00017F40"/>
    <w:rsid w:val="000204C7"/>
    <w:rsid w:val="0002053C"/>
    <w:rsid w:val="00020670"/>
    <w:rsid w:val="00020861"/>
    <w:rsid w:val="00020BB1"/>
    <w:rsid w:val="00020BF0"/>
    <w:rsid w:val="00020C0B"/>
    <w:rsid w:val="00020F60"/>
    <w:rsid w:val="000215B7"/>
    <w:rsid w:val="000217BF"/>
    <w:rsid w:val="00021C98"/>
    <w:rsid w:val="00021CCD"/>
    <w:rsid w:val="00021EE3"/>
    <w:rsid w:val="00022395"/>
    <w:rsid w:val="000228AB"/>
    <w:rsid w:val="00022C7D"/>
    <w:rsid w:val="00022E58"/>
    <w:rsid w:val="00022F2A"/>
    <w:rsid w:val="00022F8B"/>
    <w:rsid w:val="00022FB8"/>
    <w:rsid w:val="00023187"/>
    <w:rsid w:val="000233CA"/>
    <w:rsid w:val="00023436"/>
    <w:rsid w:val="0002351E"/>
    <w:rsid w:val="00023652"/>
    <w:rsid w:val="000236EE"/>
    <w:rsid w:val="00024338"/>
    <w:rsid w:val="00024633"/>
    <w:rsid w:val="0002469F"/>
    <w:rsid w:val="00024D61"/>
    <w:rsid w:val="0002535B"/>
    <w:rsid w:val="0002560A"/>
    <w:rsid w:val="00025B64"/>
    <w:rsid w:val="00025DA0"/>
    <w:rsid w:val="00026003"/>
    <w:rsid w:val="000262BC"/>
    <w:rsid w:val="0002696D"/>
    <w:rsid w:val="0002754D"/>
    <w:rsid w:val="00027666"/>
    <w:rsid w:val="000276B2"/>
    <w:rsid w:val="00027833"/>
    <w:rsid w:val="00027A1D"/>
    <w:rsid w:val="00027A46"/>
    <w:rsid w:val="00027AF3"/>
    <w:rsid w:val="00030024"/>
    <w:rsid w:val="00030124"/>
    <w:rsid w:val="000302F0"/>
    <w:rsid w:val="000305FD"/>
    <w:rsid w:val="0003081E"/>
    <w:rsid w:val="0003084F"/>
    <w:rsid w:val="00030C2F"/>
    <w:rsid w:val="00031169"/>
    <w:rsid w:val="0003129D"/>
    <w:rsid w:val="00031692"/>
    <w:rsid w:val="00031757"/>
    <w:rsid w:val="00031B37"/>
    <w:rsid w:val="00031DDD"/>
    <w:rsid w:val="00031E69"/>
    <w:rsid w:val="00032686"/>
    <w:rsid w:val="0003274B"/>
    <w:rsid w:val="00032AD8"/>
    <w:rsid w:val="00032ADF"/>
    <w:rsid w:val="00032D8D"/>
    <w:rsid w:val="000331CC"/>
    <w:rsid w:val="0003322E"/>
    <w:rsid w:val="00033856"/>
    <w:rsid w:val="00033927"/>
    <w:rsid w:val="00034833"/>
    <w:rsid w:val="00034947"/>
    <w:rsid w:val="00034A89"/>
    <w:rsid w:val="000352BA"/>
    <w:rsid w:val="00035840"/>
    <w:rsid w:val="00035844"/>
    <w:rsid w:val="00035A8D"/>
    <w:rsid w:val="00035C94"/>
    <w:rsid w:val="00035F2C"/>
    <w:rsid w:val="000360DB"/>
    <w:rsid w:val="00036107"/>
    <w:rsid w:val="0003613D"/>
    <w:rsid w:val="00036383"/>
    <w:rsid w:val="00036BAA"/>
    <w:rsid w:val="00036E33"/>
    <w:rsid w:val="00037101"/>
    <w:rsid w:val="00037C2D"/>
    <w:rsid w:val="00037C63"/>
    <w:rsid w:val="00037CE4"/>
    <w:rsid w:val="00037DB6"/>
    <w:rsid w:val="00037DD8"/>
    <w:rsid w:val="00037FD7"/>
    <w:rsid w:val="00040187"/>
    <w:rsid w:val="000401FD"/>
    <w:rsid w:val="00040AC1"/>
    <w:rsid w:val="00040ED3"/>
    <w:rsid w:val="0004139C"/>
    <w:rsid w:val="000415E3"/>
    <w:rsid w:val="000418B1"/>
    <w:rsid w:val="00041C02"/>
    <w:rsid w:val="00042280"/>
    <w:rsid w:val="0004231D"/>
    <w:rsid w:val="000424AB"/>
    <w:rsid w:val="00042BF9"/>
    <w:rsid w:val="00042ED7"/>
    <w:rsid w:val="000431D3"/>
    <w:rsid w:val="00043295"/>
    <w:rsid w:val="0004377D"/>
    <w:rsid w:val="00043C71"/>
    <w:rsid w:val="00043FFA"/>
    <w:rsid w:val="00044236"/>
    <w:rsid w:val="00044578"/>
    <w:rsid w:val="00044990"/>
    <w:rsid w:val="00044A8C"/>
    <w:rsid w:val="00044D55"/>
    <w:rsid w:val="00045069"/>
    <w:rsid w:val="00045070"/>
    <w:rsid w:val="000453FC"/>
    <w:rsid w:val="00045947"/>
    <w:rsid w:val="000459FB"/>
    <w:rsid w:val="000462A8"/>
    <w:rsid w:val="00046360"/>
    <w:rsid w:val="0004653D"/>
    <w:rsid w:val="000465AB"/>
    <w:rsid w:val="00046E59"/>
    <w:rsid w:val="000472E6"/>
    <w:rsid w:val="000479CD"/>
    <w:rsid w:val="000479FF"/>
    <w:rsid w:val="00047CF5"/>
    <w:rsid w:val="00047FDF"/>
    <w:rsid w:val="000500E6"/>
    <w:rsid w:val="000504FE"/>
    <w:rsid w:val="000513E2"/>
    <w:rsid w:val="00051C80"/>
    <w:rsid w:val="00051D87"/>
    <w:rsid w:val="00052326"/>
    <w:rsid w:val="000529E7"/>
    <w:rsid w:val="00052DBE"/>
    <w:rsid w:val="00053175"/>
    <w:rsid w:val="000534EE"/>
    <w:rsid w:val="0005359C"/>
    <w:rsid w:val="0005387F"/>
    <w:rsid w:val="00053BFC"/>
    <w:rsid w:val="0005428F"/>
    <w:rsid w:val="000544F4"/>
    <w:rsid w:val="000545D3"/>
    <w:rsid w:val="00054676"/>
    <w:rsid w:val="00054870"/>
    <w:rsid w:val="00054AB0"/>
    <w:rsid w:val="00054ABD"/>
    <w:rsid w:val="00054CCC"/>
    <w:rsid w:val="00054F7D"/>
    <w:rsid w:val="00055230"/>
    <w:rsid w:val="00055557"/>
    <w:rsid w:val="000555EA"/>
    <w:rsid w:val="00055945"/>
    <w:rsid w:val="00055A8A"/>
    <w:rsid w:val="00055AF4"/>
    <w:rsid w:val="00055E6D"/>
    <w:rsid w:val="00055FB0"/>
    <w:rsid w:val="0005625F"/>
    <w:rsid w:val="0005649E"/>
    <w:rsid w:val="0005682D"/>
    <w:rsid w:val="00056945"/>
    <w:rsid w:val="0005700C"/>
    <w:rsid w:val="00057393"/>
    <w:rsid w:val="00057E45"/>
    <w:rsid w:val="0006027F"/>
    <w:rsid w:val="00060523"/>
    <w:rsid w:val="000606B6"/>
    <w:rsid w:val="000609AC"/>
    <w:rsid w:val="0006148A"/>
    <w:rsid w:val="000618AE"/>
    <w:rsid w:val="00062637"/>
    <w:rsid w:val="0006263C"/>
    <w:rsid w:val="00062653"/>
    <w:rsid w:val="00062949"/>
    <w:rsid w:val="000631AC"/>
    <w:rsid w:val="000631B7"/>
    <w:rsid w:val="000633DD"/>
    <w:rsid w:val="00063420"/>
    <w:rsid w:val="00063894"/>
    <w:rsid w:val="000639D4"/>
    <w:rsid w:val="00063B14"/>
    <w:rsid w:val="00063B29"/>
    <w:rsid w:val="0006408F"/>
    <w:rsid w:val="00064189"/>
    <w:rsid w:val="000642D1"/>
    <w:rsid w:val="000646CC"/>
    <w:rsid w:val="00064840"/>
    <w:rsid w:val="000648B7"/>
    <w:rsid w:val="00064A48"/>
    <w:rsid w:val="00064AEB"/>
    <w:rsid w:val="00064C80"/>
    <w:rsid w:val="00065429"/>
    <w:rsid w:val="00065587"/>
    <w:rsid w:val="00065AB7"/>
    <w:rsid w:val="00065BFE"/>
    <w:rsid w:val="00065C40"/>
    <w:rsid w:val="00065D71"/>
    <w:rsid w:val="000666D4"/>
    <w:rsid w:val="000673D8"/>
    <w:rsid w:val="00067DE7"/>
    <w:rsid w:val="00070106"/>
    <w:rsid w:val="0007014F"/>
    <w:rsid w:val="000706AC"/>
    <w:rsid w:val="00070950"/>
    <w:rsid w:val="000709D3"/>
    <w:rsid w:val="00070A7D"/>
    <w:rsid w:val="00070AAB"/>
    <w:rsid w:val="000712F8"/>
    <w:rsid w:val="00071A68"/>
    <w:rsid w:val="00071A6A"/>
    <w:rsid w:val="00071A8B"/>
    <w:rsid w:val="00071C95"/>
    <w:rsid w:val="0007240C"/>
    <w:rsid w:val="00072A95"/>
    <w:rsid w:val="00072CEC"/>
    <w:rsid w:val="0007368B"/>
    <w:rsid w:val="00073C3B"/>
    <w:rsid w:val="00074144"/>
    <w:rsid w:val="000745E9"/>
    <w:rsid w:val="00074674"/>
    <w:rsid w:val="000747B7"/>
    <w:rsid w:val="00074923"/>
    <w:rsid w:val="000749E3"/>
    <w:rsid w:val="00074EE8"/>
    <w:rsid w:val="00075092"/>
    <w:rsid w:val="000750EA"/>
    <w:rsid w:val="000750F3"/>
    <w:rsid w:val="0007539D"/>
    <w:rsid w:val="00075562"/>
    <w:rsid w:val="00075A8D"/>
    <w:rsid w:val="00076542"/>
    <w:rsid w:val="000770BC"/>
    <w:rsid w:val="00077359"/>
    <w:rsid w:val="000774F1"/>
    <w:rsid w:val="00077698"/>
    <w:rsid w:val="000777B1"/>
    <w:rsid w:val="00077891"/>
    <w:rsid w:val="0007797E"/>
    <w:rsid w:val="00077C1B"/>
    <w:rsid w:val="0008017C"/>
    <w:rsid w:val="00080321"/>
    <w:rsid w:val="00080AA6"/>
    <w:rsid w:val="00080BE2"/>
    <w:rsid w:val="00080DA9"/>
    <w:rsid w:val="00080DF6"/>
    <w:rsid w:val="00081BF9"/>
    <w:rsid w:val="00081C1C"/>
    <w:rsid w:val="00081ECB"/>
    <w:rsid w:val="0008224F"/>
    <w:rsid w:val="000822F0"/>
    <w:rsid w:val="000824BD"/>
    <w:rsid w:val="00082611"/>
    <w:rsid w:val="00082617"/>
    <w:rsid w:val="0008264F"/>
    <w:rsid w:val="00082C85"/>
    <w:rsid w:val="0008304A"/>
    <w:rsid w:val="0008372E"/>
    <w:rsid w:val="00083A64"/>
    <w:rsid w:val="00083AC4"/>
    <w:rsid w:val="00083B97"/>
    <w:rsid w:val="000842B5"/>
    <w:rsid w:val="00084CEC"/>
    <w:rsid w:val="00085560"/>
    <w:rsid w:val="00085A86"/>
    <w:rsid w:val="00085E63"/>
    <w:rsid w:val="00086067"/>
    <w:rsid w:val="000866A9"/>
    <w:rsid w:val="00086EC2"/>
    <w:rsid w:val="000870C0"/>
    <w:rsid w:val="00087358"/>
    <w:rsid w:val="000873F5"/>
    <w:rsid w:val="0008771A"/>
    <w:rsid w:val="00087B15"/>
    <w:rsid w:val="00087E2E"/>
    <w:rsid w:val="000900DF"/>
    <w:rsid w:val="00090193"/>
    <w:rsid w:val="0009021F"/>
    <w:rsid w:val="00090524"/>
    <w:rsid w:val="00090794"/>
    <w:rsid w:val="000907D1"/>
    <w:rsid w:val="00091332"/>
    <w:rsid w:val="0009134B"/>
    <w:rsid w:val="000919E1"/>
    <w:rsid w:val="00091AE8"/>
    <w:rsid w:val="00091D8D"/>
    <w:rsid w:val="00092F17"/>
    <w:rsid w:val="00093869"/>
    <w:rsid w:val="00093BC0"/>
    <w:rsid w:val="00093DF8"/>
    <w:rsid w:val="000941F6"/>
    <w:rsid w:val="000942AF"/>
    <w:rsid w:val="0009454A"/>
    <w:rsid w:val="000945C5"/>
    <w:rsid w:val="00094ECF"/>
    <w:rsid w:val="00095092"/>
    <w:rsid w:val="0009592E"/>
    <w:rsid w:val="00095AAF"/>
    <w:rsid w:val="00095B76"/>
    <w:rsid w:val="00095ECB"/>
    <w:rsid w:val="00096D28"/>
    <w:rsid w:val="0009715C"/>
    <w:rsid w:val="00097406"/>
    <w:rsid w:val="000975D5"/>
    <w:rsid w:val="00097D9D"/>
    <w:rsid w:val="00097F98"/>
    <w:rsid w:val="00097FE0"/>
    <w:rsid w:val="000A062D"/>
    <w:rsid w:val="000A07F9"/>
    <w:rsid w:val="000A0A59"/>
    <w:rsid w:val="000A10DB"/>
    <w:rsid w:val="000A111D"/>
    <w:rsid w:val="000A117F"/>
    <w:rsid w:val="000A128A"/>
    <w:rsid w:val="000A147E"/>
    <w:rsid w:val="000A165F"/>
    <w:rsid w:val="000A21D0"/>
    <w:rsid w:val="000A262B"/>
    <w:rsid w:val="000A27A2"/>
    <w:rsid w:val="000A2960"/>
    <w:rsid w:val="000A2968"/>
    <w:rsid w:val="000A299E"/>
    <w:rsid w:val="000A2AE9"/>
    <w:rsid w:val="000A2C66"/>
    <w:rsid w:val="000A2D6D"/>
    <w:rsid w:val="000A2E12"/>
    <w:rsid w:val="000A2E97"/>
    <w:rsid w:val="000A3515"/>
    <w:rsid w:val="000A3518"/>
    <w:rsid w:val="000A3B53"/>
    <w:rsid w:val="000A4852"/>
    <w:rsid w:val="000A4ACE"/>
    <w:rsid w:val="000A4C12"/>
    <w:rsid w:val="000A509A"/>
    <w:rsid w:val="000A540C"/>
    <w:rsid w:val="000A6C4D"/>
    <w:rsid w:val="000A6C54"/>
    <w:rsid w:val="000A6E22"/>
    <w:rsid w:val="000A6F1D"/>
    <w:rsid w:val="000A707B"/>
    <w:rsid w:val="000A70C7"/>
    <w:rsid w:val="000A7238"/>
    <w:rsid w:val="000A745D"/>
    <w:rsid w:val="000A78BB"/>
    <w:rsid w:val="000A791D"/>
    <w:rsid w:val="000A7931"/>
    <w:rsid w:val="000B034B"/>
    <w:rsid w:val="000B0720"/>
    <w:rsid w:val="000B08E4"/>
    <w:rsid w:val="000B09FE"/>
    <w:rsid w:val="000B0BB1"/>
    <w:rsid w:val="000B15EF"/>
    <w:rsid w:val="000B1F65"/>
    <w:rsid w:val="000B23BA"/>
    <w:rsid w:val="000B26D6"/>
    <w:rsid w:val="000B2D1E"/>
    <w:rsid w:val="000B316D"/>
    <w:rsid w:val="000B3194"/>
    <w:rsid w:val="000B3CFE"/>
    <w:rsid w:val="000B45B1"/>
    <w:rsid w:val="000B49F7"/>
    <w:rsid w:val="000B4EF3"/>
    <w:rsid w:val="000B51CB"/>
    <w:rsid w:val="000B554C"/>
    <w:rsid w:val="000B5D87"/>
    <w:rsid w:val="000B60C6"/>
    <w:rsid w:val="000B6115"/>
    <w:rsid w:val="000B68A5"/>
    <w:rsid w:val="000B6F18"/>
    <w:rsid w:val="000B70DB"/>
    <w:rsid w:val="000B71FC"/>
    <w:rsid w:val="000B76E7"/>
    <w:rsid w:val="000B797D"/>
    <w:rsid w:val="000B7AC2"/>
    <w:rsid w:val="000B7E6D"/>
    <w:rsid w:val="000B7F80"/>
    <w:rsid w:val="000C0869"/>
    <w:rsid w:val="000C099A"/>
    <w:rsid w:val="000C1825"/>
    <w:rsid w:val="000C1979"/>
    <w:rsid w:val="000C1DBB"/>
    <w:rsid w:val="000C20B5"/>
    <w:rsid w:val="000C2508"/>
    <w:rsid w:val="000C270D"/>
    <w:rsid w:val="000C2AE8"/>
    <w:rsid w:val="000C2B1E"/>
    <w:rsid w:val="000C2C63"/>
    <w:rsid w:val="000C350A"/>
    <w:rsid w:val="000C3518"/>
    <w:rsid w:val="000C3762"/>
    <w:rsid w:val="000C41CD"/>
    <w:rsid w:val="000C4988"/>
    <w:rsid w:val="000C5167"/>
    <w:rsid w:val="000C57DD"/>
    <w:rsid w:val="000C59D1"/>
    <w:rsid w:val="000C5C88"/>
    <w:rsid w:val="000C6176"/>
    <w:rsid w:val="000C61B8"/>
    <w:rsid w:val="000C620D"/>
    <w:rsid w:val="000C64D1"/>
    <w:rsid w:val="000C655F"/>
    <w:rsid w:val="000C669B"/>
    <w:rsid w:val="000C66AB"/>
    <w:rsid w:val="000C6872"/>
    <w:rsid w:val="000C6DEA"/>
    <w:rsid w:val="000C7045"/>
    <w:rsid w:val="000C718C"/>
    <w:rsid w:val="000C71D4"/>
    <w:rsid w:val="000C7563"/>
    <w:rsid w:val="000C757A"/>
    <w:rsid w:val="000C77C4"/>
    <w:rsid w:val="000C7D9F"/>
    <w:rsid w:val="000D074C"/>
    <w:rsid w:val="000D0C28"/>
    <w:rsid w:val="000D0F0F"/>
    <w:rsid w:val="000D0F2E"/>
    <w:rsid w:val="000D1788"/>
    <w:rsid w:val="000D17CF"/>
    <w:rsid w:val="000D1ACF"/>
    <w:rsid w:val="000D1C4F"/>
    <w:rsid w:val="000D2D0F"/>
    <w:rsid w:val="000D31CB"/>
    <w:rsid w:val="000D3DCE"/>
    <w:rsid w:val="000D3E1B"/>
    <w:rsid w:val="000D4061"/>
    <w:rsid w:val="000D44A4"/>
    <w:rsid w:val="000D47EF"/>
    <w:rsid w:val="000D4860"/>
    <w:rsid w:val="000D48FB"/>
    <w:rsid w:val="000D4933"/>
    <w:rsid w:val="000D4B4F"/>
    <w:rsid w:val="000D4E0B"/>
    <w:rsid w:val="000D4EC1"/>
    <w:rsid w:val="000D55FD"/>
    <w:rsid w:val="000D562F"/>
    <w:rsid w:val="000D56C7"/>
    <w:rsid w:val="000D672C"/>
    <w:rsid w:val="000D68F4"/>
    <w:rsid w:val="000D6A04"/>
    <w:rsid w:val="000D6A61"/>
    <w:rsid w:val="000D6B49"/>
    <w:rsid w:val="000D6C78"/>
    <w:rsid w:val="000D74B9"/>
    <w:rsid w:val="000D77A9"/>
    <w:rsid w:val="000E01DF"/>
    <w:rsid w:val="000E071A"/>
    <w:rsid w:val="000E1094"/>
    <w:rsid w:val="000E1838"/>
    <w:rsid w:val="000E18A1"/>
    <w:rsid w:val="000E19D1"/>
    <w:rsid w:val="000E1AC3"/>
    <w:rsid w:val="000E1C04"/>
    <w:rsid w:val="000E20DA"/>
    <w:rsid w:val="000E29CF"/>
    <w:rsid w:val="000E2AD1"/>
    <w:rsid w:val="000E2AD8"/>
    <w:rsid w:val="000E2C47"/>
    <w:rsid w:val="000E2F86"/>
    <w:rsid w:val="000E3D2F"/>
    <w:rsid w:val="000E42EF"/>
    <w:rsid w:val="000E4712"/>
    <w:rsid w:val="000E4723"/>
    <w:rsid w:val="000E4757"/>
    <w:rsid w:val="000E4A4B"/>
    <w:rsid w:val="000E508E"/>
    <w:rsid w:val="000E565C"/>
    <w:rsid w:val="000E575A"/>
    <w:rsid w:val="000E612C"/>
    <w:rsid w:val="000E6372"/>
    <w:rsid w:val="000E6D38"/>
    <w:rsid w:val="000E6D94"/>
    <w:rsid w:val="000E72E7"/>
    <w:rsid w:val="000E72F6"/>
    <w:rsid w:val="000E7533"/>
    <w:rsid w:val="000E75B3"/>
    <w:rsid w:val="000E75D1"/>
    <w:rsid w:val="000E7C51"/>
    <w:rsid w:val="000E7CC8"/>
    <w:rsid w:val="000F0524"/>
    <w:rsid w:val="000F0D10"/>
    <w:rsid w:val="000F0DEF"/>
    <w:rsid w:val="000F0E1D"/>
    <w:rsid w:val="000F12E7"/>
    <w:rsid w:val="000F1617"/>
    <w:rsid w:val="000F18D8"/>
    <w:rsid w:val="000F1AF3"/>
    <w:rsid w:val="000F1B78"/>
    <w:rsid w:val="000F1F51"/>
    <w:rsid w:val="000F1FB0"/>
    <w:rsid w:val="000F2181"/>
    <w:rsid w:val="000F238F"/>
    <w:rsid w:val="000F24AC"/>
    <w:rsid w:val="000F253C"/>
    <w:rsid w:val="000F28A5"/>
    <w:rsid w:val="000F2943"/>
    <w:rsid w:val="000F2E97"/>
    <w:rsid w:val="000F2F22"/>
    <w:rsid w:val="000F2F60"/>
    <w:rsid w:val="000F3461"/>
    <w:rsid w:val="000F4486"/>
    <w:rsid w:val="000F4B3A"/>
    <w:rsid w:val="000F4B82"/>
    <w:rsid w:val="000F506D"/>
    <w:rsid w:val="000F5331"/>
    <w:rsid w:val="000F55C9"/>
    <w:rsid w:val="000F60C1"/>
    <w:rsid w:val="000F6242"/>
    <w:rsid w:val="000F666F"/>
    <w:rsid w:val="000F6CFE"/>
    <w:rsid w:val="000F6F32"/>
    <w:rsid w:val="000F70DA"/>
    <w:rsid w:val="000F75A8"/>
    <w:rsid w:val="000F76E0"/>
    <w:rsid w:val="000F77B5"/>
    <w:rsid w:val="000F78FB"/>
    <w:rsid w:val="000F79FD"/>
    <w:rsid w:val="00100331"/>
    <w:rsid w:val="00101255"/>
    <w:rsid w:val="001014D2"/>
    <w:rsid w:val="001014F7"/>
    <w:rsid w:val="001016BB"/>
    <w:rsid w:val="001018E0"/>
    <w:rsid w:val="00101989"/>
    <w:rsid w:val="00101A37"/>
    <w:rsid w:val="0010251A"/>
    <w:rsid w:val="00102768"/>
    <w:rsid w:val="00102BC3"/>
    <w:rsid w:val="00102EF2"/>
    <w:rsid w:val="00103458"/>
    <w:rsid w:val="001037BD"/>
    <w:rsid w:val="00103BA3"/>
    <w:rsid w:val="0010425A"/>
    <w:rsid w:val="001047CB"/>
    <w:rsid w:val="00104AFF"/>
    <w:rsid w:val="00104E14"/>
    <w:rsid w:val="0010520D"/>
    <w:rsid w:val="001053EE"/>
    <w:rsid w:val="00105629"/>
    <w:rsid w:val="0010574F"/>
    <w:rsid w:val="00105863"/>
    <w:rsid w:val="00105996"/>
    <w:rsid w:val="001059FC"/>
    <w:rsid w:val="00105A06"/>
    <w:rsid w:val="00105CCB"/>
    <w:rsid w:val="00105F3E"/>
    <w:rsid w:val="00106050"/>
    <w:rsid w:val="001061C3"/>
    <w:rsid w:val="0010624A"/>
    <w:rsid w:val="001066F6"/>
    <w:rsid w:val="00106DC3"/>
    <w:rsid w:val="00107889"/>
    <w:rsid w:val="001078F4"/>
    <w:rsid w:val="001101C7"/>
    <w:rsid w:val="001105FF"/>
    <w:rsid w:val="00110638"/>
    <w:rsid w:val="00110744"/>
    <w:rsid w:val="00110797"/>
    <w:rsid w:val="00110BFA"/>
    <w:rsid w:val="00110E04"/>
    <w:rsid w:val="00111062"/>
    <w:rsid w:val="0011170E"/>
    <w:rsid w:val="00111849"/>
    <w:rsid w:val="00111A34"/>
    <w:rsid w:val="00111ECD"/>
    <w:rsid w:val="001121DD"/>
    <w:rsid w:val="00112340"/>
    <w:rsid w:val="00112D31"/>
    <w:rsid w:val="00112DBF"/>
    <w:rsid w:val="00113646"/>
    <w:rsid w:val="001137BE"/>
    <w:rsid w:val="00113CD1"/>
    <w:rsid w:val="00113FAA"/>
    <w:rsid w:val="00114359"/>
    <w:rsid w:val="0011487E"/>
    <w:rsid w:val="0011492A"/>
    <w:rsid w:val="00115093"/>
    <w:rsid w:val="00115417"/>
    <w:rsid w:val="00115960"/>
    <w:rsid w:val="001161CA"/>
    <w:rsid w:val="00116258"/>
    <w:rsid w:val="00116494"/>
    <w:rsid w:val="00116529"/>
    <w:rsid w:val="001166D3"/>
    <w:rsid w:val="001167AE"/>
    <w:rsid w:val="001167C6"/>
    <w:rsid w:val="00116BE3"/>
    <w:rsid w:val="001170F8"/>
    <w:rsid w:val="00117A39"/>
    <w:rsid w:val="001202C5"/>
    <w:rsid w:val="0012077F"/>
    <w:rsid w:val="00120813"/>
    <w:rsid w:val="0012099E"/>
    <w:rsid w:val="00120CE3"/>
    <w:rsid w:val="00120E60"/>
    <w:rsid w:val="0012130E"/>
    <w:rsid w:val="001213B0"/>
    <w:rsid w:val="00121741"/>
    <w:rsid w:val="001217BA"/>
    <w:rsid w:val="00121832"/>
    <w:rsid w:val="00122050"/>
    <w:rsid w:val="00122232"/>
    <w:rsid w:val="0012235C"/>
    <w:rsid w:val="00122857"/>
    <w:rsid w:val="00122A75"/>
    <w:rsid w:val="00122E8B"/>
    <w:rsid w:val="00123529"/>
    <w:rsid w:val="0012388E"/>
    <w:rsid w:val="00123E7A"/>
    <w:rsid w:val="001241D1"/>
    <w:rsid w:val="00124271"/>
    <w:rsid w:val="00124457"/>
    <w:rsid w:val="00124669"/>
    <w:rsid w:val="0012466D"/>
    <w:rsid w:val="00124985"/>
    <w:rsid w:val="00124DA6"/>
    <w:rsid w:val="00125609"/>
    <w:rsid w:val="001257A9"/>
    <w:rsid w:val="00125CB3"/>
    <w:rsid w:val="00125D8A"/>
    <w:rsid w:val="00126655"/>
    <w:rsid w:val="00126707"/>
    <w:rsid w:val="0012679D"/>
    <w:rsid w:val="001269E0"/>
    <w:rsid w:val="00126A92"/>
    <w:rsid w:val="00126F2B"/>
    <w:rsid w:val="00126FC8"/>
    <w:rsid w:val="001270F4"/>
    <w:rsid w:val="001274D7"/>
    <w:rsid w:val="00127514"/>
    <w:rsid w:val="001279A3"/>
    <w:rsid w:val="00127B28"/>
    <w:rsid w:val="00130992"/>
    <w:rsid w:val="00130D0F"/>
    <w:rsid w:val="00130D23"/>
    <w:rsid w:val="001311C9"/>
    <w:rsid w:val="001312E1"/>
    <w:rsid w:val="00131335"/>
    <w:rsid w:val="00131627"/>
    <w:rsid w:val="001318CD"/>
    <w:rsid w:val="0013190A"/>
    <w:rsid w:val="00131955"/>
    <w:rsid w:val="00131C94"/>
    <w:rsid w:val="00131DE6"/>
    <w:rsid w:val="001321CA"/>
    <w:rsid w:val="001323E6"/>
    <w:rsid w:val="001326D3"/>
    <w:rsid w:val="001326DF"/>
    <w:rsid w:val="00132848"/>
    <w:rsid w:val="001329EC"/>
    <w:rsid w:val="00132A53"/>
    <w:rsid w:val="00132A5F"/>
    <w:rsid w:val="00132AD8"/>
    <w:rsid w:val="00132CCE"/>
    <w:rsid w:val="00133BBE"/>
    <w:rsid w:val="00133D01"/>
    <w:rsid w:val="001342A2"/>
    <w:rsid w:val="00134510"/>
    <w:rsid w:val="001358D6"/>
    <w:rsid w:val="00135FDA"/>
    <w:rsid w:val="00136073"/>
    <w:rsid w:val="00136198"/>
    <w:rsid w:val="001361F7"/>
    <w:rsid w:val="00136606"/>
    <w:rsid w:val="0013663C"/>
    <w:rsid w:val="001367BA"/>
    <w:rsid w:val="00136806"/>
    <w:rsid w:val="001369A6"/>
    <w:rsid w:val="00136BD6"/>
    <w:rsid w:val="00136BF1"/>
    <w:rsid w:val="00136DBC"/>
    <w:rsid w:val="00136F77"/>
    <w:rsid w:val="001370A8"/>
    <w:rsid w:val="00137507"/>
    <w:rsid w:val="00137856"/>
    <w:rsid w:val="00137B4E"/>
    <w:rsid w:val="00137BD8"/>
    <w:rsid w:val="00140291"/>
    <w:rsid w:val="00140866"/>
    <w:rsid w:val="00140D22"/>
    <w:rsid w:val="0014226B"/>
    <w:rsid w:val="0014229D"/>
    <w:rsid w:val="001422BC"/>
    <w:rsid w:val="001422D4"/>
    <w:rsid w:val="0014235F"/>
    <w:rsid w:val="0014236F"/>
    <w:rsid w:val="00142705"/>
    <w:rsid w:val="00142853"/>
    <w:rsid w:val="001428FA"/>
    <w:rsid w:val="00142A87"/>
    <w:rsid w:val="00142C3F"/>
    <w:rsid w:val="001433C6"/>
    <w:rsid w:val="00143A59"/>
    <w:rsid w:val="00143B30"/>
    <w:rsid w:val="00143B37"/>
    <w:rsid w:val="00143B9F"/>
    <w:rsid w:val="0014427F"/>
    <w:rsid w:val="001442C2"/>
    <w:rsid w:val="001449E1"/>
    <w:rsid w:val="00144D5F"/>
    <w:rsid w:val="00144DD9"/>
    <w:rsid w:val="001455BA"/>
    <w:rsid w:val="00145DDE"/>
    <w:rsid w:val="00145F78"/>
    <w:rsid w:val="0014621F"/>
    <w:rsid w:val="0014647C"/>
    <w:rsid w:val="00146907"/>
    <w:rsid w:val="00146E85"/>
    <w:rsid w:val="00147916"/>
    <w:rsid w:val="0014795D"/>
    <w:rsid w:val="001479AA"/>
    <w:rsid w:val="00147F00"/>
    <w:rsid w:val="00150146"/>
    <w:rsid w:val="001502FF"/>
    <w:rsid w:val="00150536"/>
    <w:rsid w:val="00150564"/>
    <w:rsid w:val="001506A7"/>
    <w:rsid w:val="0015087C"/>
    <w:rsid w:val="00150882"/>
    <w:rsid w:val="00150A4A"/>
    <w:rsid w:val="00150D1D"/>
    <w:rsid w:val="00150FCC"/>
    <w:rsid w:val="00150FFB"/>
    <w:rsid w:val="001518B5"/>
    <w:rsid w:val="00151BBA"/>
    <w:rsid w:val="00151BDE"/>
    <w:rsid w:val="0015252D"/>
    <w:rsid w:val="00152656"/>
    <w:rsid w:val="00152C00"/>
    <w:rsid w:val="00152C2B"/>
    <w:rsid w:val="00152E98"/>
    <w:rsid w:val="00153084"/>
    <w:rsid w:val="00153A54"/>
    <w:rsid w:val="00153B4B"/>
    <w:rsid w:val="00154072"/>
    <w:rsid w:val="00154264"/>
    <w:rsid w:val="00154304"/>
    <w:rsid w:val="001544EE"/>
    <w:rsid w:val="001546EA"/>
    <w:rsid w:val="0015477A"/>
    <w:rsid w:val="00154902"/>
    <w:rsid w:val="00154913"/>
    <w:rsid w:val="00154951"/>
    <w:rsid w:val="001549E4"/>
    <w:rsid w:val="00154BA6"/>
    <w:rsid w:val="00154F0A"/>
    <w:rsid w:val="001551DA"/>
    <w:rsid w:val="001552AE"/>
    <w:rsid w:val="001559DA"/>
    <w:rsid w:val="00156891"/>
    <w:rsid w:val="00156BA3"/>
    <w:rsid w:val="00157320"/>
    <w:rsid w:val="001579B9"/>
    <w:rsid w:val="001602EB"/>
    <w:rsid w:val="0016080B"/>
    <w:rsid w:val="00160853"/>
    <w:rsid w:val="00160F65"/>
    <w:rsid w:val="001610EB"/>
    <w:rsid w:val="00161216"/>
    <w:rsid w:val="001614D4"/>
    <w:rsid w:val="00161BB8"/>
    <w:rsid w:val="00161C1F"/>
    <w:rsid w:val="00161C2F"/>
    <w:rsid w:val="00161F11"/>
    <w:rsid w:val="001620B6"/>
    <w:rsid w:val="001622BA"/>
    <w:rsid w:val="00162664"/>
    <w:rsid w:val="00162C60"/>
    <w:rsid w:val="00163194"/>
    <w:rsid w:val="00163499"/>
    <w:rsid w:val="001634CD"/>
    <w:rsid w:val="001638DF"/>
    <w:rsid w:val="001639B6"/>
    <w:rsid w:val="00163DB9"/>
    <w:rsid w:val="00163DD8"/>
    <w:rsid w:val="001643DB"/>
    <w:rsid w:val="00164F8F"/>
    <w:rsid w:val="00165130"/>
    <w:rsid w:val="0016529F"/>
    <w:rsid w:val="00165645"/>
    <w:rsid w:val="001658F5"/>
    <w:rsid w:val="00165F38"/>
    <w:rsid w:val="001661B8"/>
    <w:rsid w:val="00166237"/>
    <w:rsid w:val="00166385"/>
    <w:rsid w:val="0016644D"/>
    <w:rsid w:val="0016655F"/>
    <w:rsid w:val="001666AA"/>
    <w:rsid w:val="00166EE6"/>
    <w:rsid w:val="001672AF"/>
    <w:rsid w:val="00167454"/>
    <w:rsid w:val="00167460"/>
    <w:rsid w:val="00167517"/>
    <w:rsid w:val="0016764C"/>
    <w:rsid w:val="00170307"/>
    <w:rsid w:val="00170377"/>
    <w:rsid w:val="001706B2"/>
    <w:rsid w:val="00170A14"/>
    <w:rsid w:val="00170B4C"/>
    <w:rsid w:val="00170F8B"/>
    <w:rsid w:val="0017112B"/>
    <w:rsid w:val="0017113C"/>
    <w:rsid w:val="00171185"/>
    <w:rsid w:val="00171C71"/>
    <w:rsid w:val="001726CF"/>
    <w:rsid w:val="00172A27"/>
    <w:rsid w:val="00172A39"/>
    <w:rsid w:val="00172BAF"/>
    <w:rsid w:val="00172D05"/>
    <w:rsid w:val="00172EC0"/>
    <w:rsid w:val="00173191"/>
    <w:rsid w:val="0017339D"/>
    <w:rsid w:val="00173686"/>
    <w:rsid w:val="001737FE"/>
    <w:rsid w:val="00173E1F"/>
    <w:rsid w:val="00173F0C"/>
    <w:rsid w:val="0017426E"/>
    <w:rsid w:val="00175014"/>
    <w:rsid w:val="001751EE"/>
    <w:rsid w:val="001753D1"/>
    <w:rsid w:val="00175B11"/>
    <w:rsid w:val="00175B5B"/>
    <w:rsid w:val="00176AFA"/>
    <w:rsid w:val="00176B0A"/>
    <w:rsid w:val="00176C25"/>
    <w:rsid w:val="00176E50"/>
    <w:rsid w:val="0017723E"/>
    <w:rsid w:val="001775DA"/>
    <w:rsid w:val="00177935"/>
    <w:rsid w:val="00177AD0"/>
    <w:rsid w:val="00177B95"/>
    <w:rsid w:val="00180510"/>
    <w:rsid w:val="001807EF"/>
    <w:rsid w:val="00180952"/>
    <w:rsid w:val="0018095E"/>
    <w:rsid w:val="00181019"/>
    <w:rsid w:val="001810ED"/>
    <w:rsid w:val="00181135"/>
    <w:rsid w:val="00181394"/>
    <w:rsid w:val="001813A3"/>
    <w:rsid w:val="001816A8"/>
    <w:rsid w:val="00181C0B"/>
    <w:rsid w:val="00181EF7"/>
    <w:rsid w:val="00181F74"/>
    <w:rsid w:val="001820BF"/>
    <w:rsid w:val="00182382"/>
    <w:rsid w:val="0018274C"/>
    <w:rsid w:val="00182DEB"/>
    <w:rsid w:val="00182DF8"/>
    <w:rsid w:val="00182F66"/>
    <w:rsid w:val="0018315F"/>
    <w:rsid w:val="00183672"/>
    <w:rsid w:val="00183DA3"/>
    <w:rsid w:val="0018495A"/>
    <w:rsid w:val="0018502B"/>
    <w:rsid w:val="0018578E"/>
    <w:rsid w:val="00185DC9"/>
    <w:rsid w:val="00186403"/>
    <w:rsid w:val="00186455"/>
    <w:rsid w:val="00186B76"/>
    <w:rsid w:val="00186C91"/>
    <w:rsid w:val="00186DC9"/>
    <w:rsid w:val="0018707E"/>
    <w:rsid w:val="001872C9"/>
    <w:rsid w:val="0018776D"/>
    <w:rsid w:val="00187892"/>
    <w:rsid w:val="00187DFB"/>
    <w:rsid w:val="00190463"/>
    <w:rsid w:val="00191435"/>
    <w:rsid w:val="00191C69"/>
    <w:rsid w:val="00191F33"/>
    <w:rsid w:val="00192213"/>
    <w:rsid w:val="001927A2"/>
    <w:rsid w:val="00192BD1"/>
    <w:rsid w:val="00192FED"/>
    <w:rsid w:val="00192FF5"/>
    <w:rsid w:val="0019302D"/>
    <w:rsid w:val="0019335B"/>
    <w:rsid w:val="001938DB"/>
    <w:rsid w:val="00193DB1"/>
    <w:rsid w:val="00193EBE"/>
    <w:rsid w:val="001940F4"/>
    <w:rsid w:val="0019423A"/>
    <w:rsid w:val="00194277"/>
    <w:rsid w:val="001945BB"/>
    <w:rsid w:val="0019473A"/>
    <w:rsid w:val="00194FA4"/>
    <w:rsid w:val="00195203"/>
    <w:rsid w:val="00195234"/>
    <w:rsid w:val="00195384"/>
    <w:rsid w:val="0019557A"/>
    <w:rsid w:val="00195648"/>
    <w:rsid w:val="001959DC"/>
    <w:rsid w:val="00195A29"/>
    <w:rsid w:val="00195F44"/>
    <w:rsid w:val="00195FB5"/>
    <w:rsid w:val="00195FC6"/>
    <w:rsid w:val="00196019"/>
    <w:rsid w:val="001963F9"/>
    <w:rsid w:val="00196B1D"/>
    <w:rsid w:val="00196C83"/>
    <w:rsid w:val="00196E92"/>
    <w:rsid w:val="001972D7"/>
    <w:rsid w:val="00197AAA"/>
    <w:rsid w:val="00197C3A"/>
    <w:rsid w:val="00197FDE"/>
    <w:rsid w:val="001A03EA"/>
    <w:rsid w:val="001A0896"/>
    <w:rsid w:val="001A0F97"/>
    <w:rsid w:val="001A0FF1"/>
    <w:rsid w:val="001A11A2"/>
    <w:rsid w:val="001A2185"/>
    <w:rsid w:val="001A2679"/>
    <w:rsid w:val="001A315B"/>
    <w:rsid w:val="001A334F"/>
    <w:rsid w:val="001A3856"/>
    <w:rsid w:val="001A3954"/>
    <w:rsid w:val="001A3F6D"/>
    <w:rsid w:val="001A4126"/>
    <w:rsid w:val="001A4C94"/>
    <w:rsid w:val="001A4D77"/>
    <w:rsid w:val="001A4F40"/>
    <w:rsid w:val="001A5233"/>
    <w:rsid w:val="001A564C"/>
    <w:rsid w:val="001A56FD"/>
    <w:rsid w:val="001A57C8"/>
    <w:rsid w:val="001A5923"/>
    <w:rsid w:val="001A5DA1"/>
    <w:rsid w:val="001A6A4C"/>
    <w:rsid w:val="001A7328"/>
    <w:rsid w:val="001A775C"/>
    <w:rsid w:val="001A7CA4"/>
    <w:rsid w:val="001A7CBA"/>
    <w:rsid w:val="001B0DF5"/>
    <w:rsid w:val="001B16E6"/>
    <w:rsid w:val="001B1736"/>
    <w:rsid w:val="001B1AE6"/>
    <w:rsid w:val="001B1CC8"/>
    <w:rsid w:val="001B1F0B"/>
    <w:rsid w:val="001B2576"/>
    <w:rsid w:val="001B2E4E"/>
    <w:rsid w:val="001B32D3"/>
    <w:rsid w:val="001B32E4"/>
    <w:rsid w:val="001B3778"/>
    <w:rsid w:val="001B3CB6"/>
    <w:rsid w:val="001B3E30"/>
    <w:rsid w:val="001B43A2"/>
    <w:rsid w:val="001B4634"/>
    <w:rsid w:val="001B4D03"/>
    <w:rsid w:val="001B4ED3"/>
    <w:rsid w:val="001B5091"/>
    <w:rsid w:val="001B50CC"/>
    <w:rsid w:val="001B5355"/>
    <w:rsid w:val="001B5426"/>
    <w:rsid w:val="001B593D"/>
    <w:rsid w:val="001B5D57"/>
    <w:rsid w:val="001B5D62"/>
    <w:rsid w:val="001B6049"/>
    <w:rsid w:val="001B60D4"/>
    <w:rsid w:val="001B618E"/>
    <w:rsid w:val="001B6482"/>
    <w:rsid w:val="001B6B01"/>
    <w:rsid w:val="001B6F4A"/>
    <w:rsid w:val="001B7014"/>
    <w:rsid w:val="001B739D"/>
    <w:rsid w:val="001B7432"/>
    <w:rsid w:val="001B7474"/>
    <w:rsid w:val="001B7C32"/>
    <w:rsid w:val="001B7CBF"/>
    <w:rsid w:val="001B7E06"/>
    <w:rsid w:val="001C0476"/>
    <w:rsid w:val="001C048E"/>
    <w:rsid w:val="001C0846"/>
    <w:rsid w:val="001C0FCB"/>
    <w:rsid w:val="001C148A"/>
    <w:rsid w:val="001C15DB"/>
    <w:rsid w:val="001C16C8"/>
    <w:rsid w:val="001C17AC"/>
    <w:rsid w:val="001C1814"/>
    <w:rsid w:val="001C1B36"/>
    <w:rsid w:val="001C1F01"/>
    <w:rsid w:val="001C2831"/>
    <w:rsid w:val="001C32D4"/>
    <w:rsid w:val="001C3BCE"/>
    <w:rsid w:val="001C3D5E"/>
    <w:rsid w:val="001C3D80"/>
    <w:rsid w:val="001C4222"/>
    <w:rsid w:val="001C4361"/>
    <w:rsid w:val="001C4AA8"/>
    <w:rsid w:val="001C51A3"/>
    <w:rsid w:val="001C5358"/>
    <w:rsid w:val="001C56D1"/>
    <w:rsid w:val="001C5A59"/>
    <w:rsid w:val="001C606C"/>
    <w:rsid w:val="001C61E9"/>
    <w:rsid w:val="001C67E7"/>
    <w:rsid w:val="001C6F0D"/>
    <w:rsid w:val="001C7325"/>
    <w:rsid w:val="001C7702"/>
    <w:rsid w:val="001C7A8C"/>
    <w:rsid w:val="001D0774"/>
    <w:rsid w:val="001D0AF1"/>
    <w:rsid w:val="001D0B07"/>
    <w:rsid w:val="001D0D82"/>
    <w:rsid w:val="001D0F05"/>
    <w:rsid w:val="001D1136"/>
    <w:rsid w:val="001D151F"/>
    <w:rsid w:val="001D15D9"/>
    <w:rsid w:val="001D1912"/>
    <w:rsid w:val="001D1DD7"/>
    <w:rsid w:val="001D1EC2"/>
    <w:rsid w:val="001D215D"/>
    <w:rsid w:val="001D21CD"/>
    <w:rsid w:val="001D23EF"/>
    <w:rsid w:val="001D2608"/>
    <w:rsid w:val="001D273D"/>
    <w:rsid w:val="001D285A"/>
    <w:rsid w:val="001D3534"/>
    <w:rsid w:val="001D3652"/>
    <w:rsid w:val="001D4607"/>
    <w:rsid w:val="001D49FD"/>
    <w:rsid w:val="001D4EB1"/>
    <w:rsid w:val="001D5354"/>
    <w:rsid w:val="001D537F"/>
    <w:rsid w:val="001D565B"/>
    <w:rsid w:val="001D592E"/>
    <w:rsid w:val="001D6B8D"/>
    <w:rsid w:val="001D6D80"/>
    <w:rsid w:val="001D723E"/>
    <w:rsid w:val="001D7681"/>
    <w:rsid w:val="001D7CDE"/>
    <w:rsid w:val="001E0531"/>
    <w:rsid w:val="001E131D"/>
    <w:rsid w:val="001E15B4"/>
    <w:rsid w:val="001E1FA3"/>
    <w:rsid w:val="001E21AC"/>
    <w:rsid w:val="001E24A4"/>
    <w:rsid w:val="001E2756"/>
    <w:rsid w:val="001E28CC"/>
    <w:rsid w:val="001E28E4"/>
    <w:rsid w:val="001E290A"/>
    <w:rsid w:val="001E2DA9"/>
    <w:rsid w:val="001E317A"/>
    <w:rsid w:val="001E321D"/>
    <w:rsid w:val="001E327A"/>
    <w:rsid w:val="001E3315"/>
    <w:rsid w:val="001E38B1"/>
    <w:rsid w:val="001E3A2B"/>
    <w:rsid w:val="001E4004"/>
    <w:rsid w:val="001E4100"/>
    <w:rsid w:val="001E478C"/>
    <w:rsid w:val="001E4C00"/>
    <w:rsid w:val="001E4D12"/>
    <w:rsid w:val="001E4D56"/>
    <w:rsid w:val="001E4DB4"/>
    <w:rsid w:val="001E5559"/>
    <w:rsid w:val="001E5BBC"/>
    <w:rsid w:val="001E5F00"/>
    <w:rsid w:val="001E62C7"/>
    <w:rsid w:val="001E6542"/>
    <w:rsid w:val="001E6685"/>
    <w:rsid w:val="001E66CC"/>
    <w:rsid w:val="001E6976"/>
    <w:rsid w:val="001E69FA"/>
    <w:rsid w:val="001E72E0"/>
    <w:rsid w:val="001E7739"/>
    <w:rsid w:val="001E7AB5"/>
    <w:rsid w:val="001E7B04"/>
    <w:rsid w:val="001F0064"/>
    <w:rsid w:val="001F03DE"/>
    <w:rsid w:val="001F0D9E"/>
    <w:rsid w:val="001F16DF"/>
    <w:rsid w:val="001F193B"/>
    <w:rsid w:val="001F1960"/>
    <w:rsid w:val="001F1FBA"/>
    <w:rsid w:val="001F2022"/>
    <w:rsid w:val="001F2202"/>
    <w:rsid w:val="001F2C58"/>
    <w:rsid w:val="001F3066"/>
    <w:rsid w:val="001F327B"/>
    <w:rsid w:val="001F32DA"/>
    <w:rsid w:val="001F3DAE"/>
    <w:rsid w:val="001F4A98"/>
    <w:rsid w:val="001F4C8F"/>
    <w:rsid w:val="001F4F82"/>
    <w:rsid w:val="001F6159"/>
    <w:rsid w:val="001F6680"/>
    <w:rsid w:val="001F6947"/>
    <w:rsid w:val="001F6C51"/>
    <w:rsid w:val="001F6DC6"/>
    <w:rsid w:val="001F6FB6"/>
    <w:rsid w:val="001F736C"/>
    <w:rsid w:val="001F740D"/>
    <w:rsid w:val="001F7432"/>
    <w:rsid w:val="001F792F"/>
    <w:rsid w:val="001F7AC9"/>
    <w:rsid w:val="001F7B9E"/>
    <w:rsid w:val="001F7BE1"/>
    <w:rsid w:val="001F7C97"/>
    <w:rsid w:val="00200A84"/>
    <w:rsid w:val="00200C40"/>
    <w:rsid w:val="00200D7D"/>
    <w:rsid w:val="00201213"/>
    <w:rsid w:val="00201229"/>
    <w:rsid w:val="002013AF"/>
    <w:rsid w:val="002014F7"/>
    <w:rsid w:val="00202359"/>
    <w:rsid w:val="002023BE"/>
    <w:rsid w:val="0020248C"/>
    <w:rsid w:val="00202576"/>
    <w:rsid w:val="00202583"/>
    <w:rsid w:val="0020269C"/>
    <w:rsid w:val="00202B50"/>
    <w:rsid w:val="00202EF9"/>
    <w:rsid w:val="00203204"/>
    <w:rsid w:val="00203236"/>
    <w:rsid w:val="00203395"/>
    <w:rsid w:val="002036E8"/>
    <w:rsid w:val="00203939"/>
    <w:rsid w:val="00203B3F"/>
    <w:rsid w:val="002048AD"/>
    <w:rsid w:val="00204967"/>
    <w:rsid w:val="00204BB7"/>
    <w:rsid w:val="0020511F"/>
    <w:rsid w:val="002051F7"/>
    <w:rsid w:val="0020531C"/>
    <w:rsid w:val="00205693"/>
    <w:rsid w:val="002056B0"/>
    <w:rsid w:val="00205AD3"/>
    <w:rsid w:val="00205B53"/>
    <w:rsid w:val="00205E31"/>
    <w:rsid w:val="00205E98"/>
    <w:rsid w:val="002066C1"/>
    <w:rsid w:val="002067D2"/>
    <w:rsid w:val="00206D59"/>
    <w:rsid w:val="00206DC8"/>
    <w:rsid w:val="00206EF3"/>
    <w:rsid w:val="00207026"/>
    <w:rsid w:val="0020708A"/>
    <w:rsid w:val="00207402"/>
    <w:rsid w:val="00207435"/>
    <w:rsid w:val="0020744D"/>
    <w:rsid w:val="00207642"/>
    <w:rsid w:val="00207877"/>
    <w:rsid w:val="00207A53"/>
    <w:rsid w:val="00207AAC"/>
    <w:rsid w:val="00207F6A"/>
    <w:rsid w:val="00210191"/>
    <w:rsid w:val="00210256"/>
    <w:rsid w:val="00210394"/>
    <w:rsid w:val="0021051F"/>
    <w:rsid w:val="002105C8"/>
    <w:rsid w:val="0021076E"/>
    <w:rsid w:val="002107A4"/>
    <w:rsid w:val="002109BC"/>
    <w:rsid w:val="00211511"/>
    <w:rsid w:val="00211F07"/>
    <w:rsid w:val="0021206E"/>
    <w:rsid w:val="00212451"/>
    <w:rsid w:val="002127B9"/>
    <w:rsid w:val="00212B08"/>
    <w:rsid w:val="00212B38"/>
    <w:rsid w:val="00213289"/>
    <w:rsid w:val="00213825"/>
    <w:rsid w:val="00213CEF"/>
    <w:rsid w:val="00214189"/>
    <w:rsid w:val="0021432D"/>
    <w:rsid w:val="00214532"/>
    <w:rsid w:val="00214ADD"/>
    <w:rsid w:val="0021525B"/>
    <w:rsid w:val="002160AD"/>
    <w:rsid w:val="00216356"/>
    <w:rsid w:val="002164F1"/>
    <w:rsid w:val="00216A00"/>
    <w:rsid w:val="00216B19"/>
    <w:rsid w:val="00216CCC"/>
    <w:rsid w:val="00216E16"/>
    <w:rsid w:val="002172B5"/>
    <w:rsid w:val="0021738B"/>
    <w:rsid w:val="00217EE6"/>
    <w:rsid w:val="00220082"/>
    <w:rsid w:val="002203BD"/>
    <w:rsid w:val="00220517"/>
    <w:rsid w:val="00220776"/>
    <w:rsid w:val="0022116D"/>
    <w:rsid w:val="002216CC"/>
    <w:rsid w:val="00221ED0"/>
    <w:rsid w:val="002221C3"/>
    <w:rsid w:val="002222FA"/>
    <w:rsid w:val="0022256B"/>
    <w:rsid w:val="0022299A"/>
    <w:rsid w:val="00222A0B"/>
    <w:rsid w:val="00222B91"/>
    <w:rsid w:val="00222D7D"/>
    <w:rsid w:val="00222DE4"/>
    <w:rsid w:val="002230FD"/>
    <w:rsid w:val="002232B3"/>
    <w:rsid w:val="00223664"/>
    <w:rsid w:val="0022401E"/>
    <w:rsid w:val="00224756"/>
    <w:rsid w:val="002247AB"/>
    <w:rsid w:val="00224878"/>
    <w:rsid w:val="0022514D"/>
    <w:rsid w:val="00225CEE"/>
    <w:rsid w:val="00225E3F"/>
    <w:rsid w:val="00226447"/>
    <w:rsid w:val="002266DB"/>
    <w:rsid w:val="00226894"/>
    <w:rsid w:val="002268B0"/>
    <w:rsid w:val="00226C0B"/>
    <w:rsid w:val="002272F5"/>
    <w:rsid w:val="00227577"/>
    <w:rsid w:val="002277E9"/>
    <w:rsid w:val="00230153"/>
    <w:rsid w:val="002302AF"/>
    <w:rsid w:val="002303A6"/>
    <w:rsid w:val="00230894"/>
    <w:rsid w:val="002308E9"/>
    <w:rsid w:val="00231B36"/>
    <w:rsid w:val="00231F9E"/>
    <w:rsid w:val="00232498"/>
    <w:rsid w:val="002324E2"/>
    <w:rsid w:val="0023254E"/>
    <w:rsid w:val="00232918"/>
    <w:rsid w:val="00232955"/>
    <w:rsid w:val="0023350C"/>
    <w:rsid w:val="00233698"/>
    <w:rsid w:val="00233981"/>
    <w:rsid w:val="00233E70"/>
    <w:rsid w:val="002340E1"/>
    <w:rsid w:val="00234281"/>
    <w:rsid w:val="00234B9E"/>
    <w:rsid w:val="00234BBE"/>
    <w:rsid w:val="00234DD6"/>
    <w:rsid w:val="00234FD3"/>
    <w:rsid w:val="0023568A"/>
    <w:rsid w:val="00235B0E"/>
    <w:rsid w:val="00236382"/>
    <w:rsid w:val="00236B90"/>
    <w:rsid w:val="00236BCD"/>
    <w:rsid w:val="00236C21"/>
    <w:rsid w:val="00236FF2"/>
    <w:rsid w:val="002371BF"/>
    <w:rsid w:val="002371E1"/>
    <w:rsid w:val="00237249"/>
    <w:rsid w:val="00237662"/>
    <w:rsid w:val="00237A87"/>
    <w:rsid w:val="00237F71"/>
    <w:rsid w:val="00240262"/>
    <w:rsid w:val="002404C3"/>
    <w:rsid w:val="00240BFD"/>
    <w:rsid w:val="002410C4"/>
    <w:rsid w:val="00241129"/>
    <w:rsid w:val="002411AE"/>
    <w:rsid w:val="00241205"/>
    <w:rsid w:val="00241388"/>
    <w:rsid w:val="00241731"/>
    <w:rsid w:val="00241840"/>
    <w:rsid w:val="00241C36"/>
    <w:rsid w:val="002423E5"/>
    <w:rsid w:val="0024262D"/>
    <w:rsid w:val="002427EB"/>
    <w:rsid w:val="002427F0"/>
    <w:rsid w:val="002428BD"/>
    <w:rsid w:val="00242D15"/>
    <w:rsid w:val="00242E09"/>
    <w:rsid w:val="002432B7"/>
    <w:rsid w:val="002432E9"/>
    <w:rsid w:val="002440B2"/>
    <w:rsid w:val="002445FE"/>
    <w:rsid w:val="002451B3"/>
    <w:rsid w:val="002458CE"/>
    <w:rsid w:val="002459C5"/>
    <w:rsid w:val="00245A3D"/>
    <w:rsid w:val="00245DE9"/>
    <w:rsid w:val="00245E81"/>
    <w:rsid w:val="00245F09"/>
    <w:rsid w:val="00246513"/>
    <w:rsid w:val="00246851"/>
    <w:rsid w:val="00246B1D"/>
    <w:rsid w:val="00246E71"/>
    <w:rsid w:val="00246F16"/>
    <w:rsid w:val="0024705A"/>
    <w:rsid w:val="002477AE"/>
    <w:rsid w:val="00247BDE"/>
    <w:rsid w:val="00247D10"/>
    <w:rsid w:val="00247D4D"/>
    <w:rsid w:val="002504FC"/>
    <w:rsid w:val="00250B11"/>
    <w:rsid w:val="00250D82"/>
    <w:rsid w:val="00250F7C"/>
    <w:rsid w:val="0025120C"/>
    <w:rsid w:val="00251CC2"/>
    <w:rsid w:val="00251EB3"/>
    <w:rsid w:val="00251EE5"/>
    <w:rsid w:val="00252136"/>
    <w:rsid w:val="00252D18"/>
    <w:rsid w:val="0025329B"/>
    <w:rsid w:val="00253582"/>
    <w:rsid w:val="0025362C"/>
    <w:rsid w:val="002538BA"/>
    <w:rsid w:val="00253AC1"/>
    <w:rsid w:val="00253AE3"/>
    <w:rsid w:val="00253C3E"/>
    <w:rsid w:val="00253EC4"/>
    <w:rsid w:val="0025418A"/>
    <w:rsid w:val="00254240"/>
    <w:rsid w:val="0025425A"/>
    <w:rsid w:val="002547EA"/>
    <w:rsid w:val="0025531B"/>
    <w:rsid w:val="00255536"/>
    <w:rsid w:val="002557BB"/>
    <w:rsid w:val="002558AC"/>
    <w:rsid w:val="00255BC2"/>
    <w:rsid w:val="00255EFE"/>
    <w:rsid w:val="00256298"/>
    <w:rsid w:val="002564CF"/>
    <w:rsid w:val="00256539"/>
    <w:rsid w:val="00256DEA"/>
    <w:rsid w:val="00257117"/>
    <w:rsid w:val="002577B5"/>
    <w:rsid w:val="00257923"/>
    <w:rsid w:val="002579BB"/>
    <w:rsid w:val="00257AB4"/>
    <w:rsid w:val="00257ABE"/>
    <w:rsid w:val="00257C49"/>
    <w:rsid w:val="00260299"/>
    <w:rsid w:val="002603B3"/>
    <w:rsid w:val="0026072F"/>
    <w:rsid w:val="00260952"/>
    <w:rsid w:val="00260B2B"/>
    <w:rsid w:val="00260C11"/>
    <w:rsid w:val="00260F7B"/>
    <w:rsid w:val="002610D7"/>
    <w:rsid w:val="00261192"/>
    <w:rsid w:val="0026176E"/>
    <w:rsid w:val="00261A11"/>
    <w:rsid w:val="00261CB5"/>
    <w:rsid w:val="00261D8A"/>
    <w:rsid w:val="002625F2"/>
    <w:rsid w:val="00262999"/>
    <w:rsid w:val="00262CA3"/>
    <w:rsid w:val="00262D43"/>
    <w:rsid w:val="00263413"/>
    <w:rsid w:val="00263AEC"/>
    <w:rsid w:val="00263E3B"/>
    <w:rsid w:val="0026408F"/>
    <w:rsid w:val="0026431A"/>
    <w:rsid w:val="002644A4"/>
    <w:rsid w:val="00264634"/>
    <w:rsid w:val="0026485D"/>
    <w:rsid w:val="00264A11"/>
    <w:rsid w:val="00264C8F"/>
    <w:rsid w:val="00265066"/>
    <w:rsid w:val="002650EA"/>
    <w:rsid w:val="00265548"/>
    <w:rsid w:val="00265C93"/>
    <w:rsid w:val="00265CE9"/>
    <w:rsid w:val="00266300"/>
    <w:rsid w:val="002663F1"/>
    <w:rsid w:val="0026641E"/>
    <w:rsid w:val="00266678"/>
    <w:rsid w:val="002669B2"/>
    <w:rsid w:val="00266EE2"/>
    <w:rsid w:val="002678CA"/>
    <w:rsid w:val="00267BBD"/>
    <w:rsid w:val="00267EC5"/>
    <w:rsid w:val="00267F3E"/>
    <w:rsid w:val="0027038F"/>
    <w:rsid w:val="00270DFB"/>
    <w:rsid w:val="00270EAC"/>
    <w:rsid w:val="00271150"/>
    <w:rsid w:val="0027297F"/>
    <w:rsid w:val="00272EB3"/>
    <w:rsid w:val="00273328"/>
    <w:rsid w:val="00273743"/>
    <w:rsid w:val="0027393F"/>
    <w:rsid w:val="0027438E"/>
    <w:rsid w:val="0027447A"/>
    <w:rsid w:val="002747CC"/>
    <w:rsid w:val="00274830"/>
    <w:rsid w:val="00274AAB"/>
    <w:rsid w:val="00274DF9"/>
    <w:rsid w:val="00275170"/>
    <w:rsid w:val="00275D77"/>
    <w:rsid w:val="00275EAD"/>
    <w:rsid w:val="0027602C"/>
    <w:rsid w:val="002760F9"/>
    <w:rsid w:val="00276A43"/>
    <w:rsid w:val="00276D2F"/>
    <w:rsid w:val="00276D5E"/>
    <w:rsid w:val="00276FBF"/>
    <w:rsid w:val="002775C7"/>
    <w:rsid w:val="002778F2"/>
    <w:rsid w:val="00277AB9"/>
    <w:rsid w:val="00277F52"/>
    <w:rsid w:val="00277F90"/>
    <w:rsid w:val="002809A3"/>
    <w:rsid w:val="00280AED"/>
    <w:rsid w:val="00280E91"/>
    <w:rsid w:val="00281979"/>
    <w:rsid w:val="00281E85"/>
    <w:rsid w:val="0028200C"/>
    <w:rsid w:val="00282011"/>
    <w:rsid w:val="00282533"/>
    <w:rsid w:val="00282622"/>
    <w:rsid w:val="002837F8"/>
    <w:rsid w:val="00283A81"/>
    <w:rsid w:val="00283ACF"/>
    <w:rsid w:val="00283C99"/>
    <w:rsid w:val="00283D11"/>
    <w:rsid w:val="002845EA"/>
    <w:rsid w:val="0028473D"/>
    <w:rsid w:val="00284850"/>
    <w:rsid w:val="00284CEE"/>
    <w:rsid w:val="00284D22"/>
    <w:rsid w:val="00284DB4"/>
    <w:rsid w:val="00284F33"/>
    <w:rsid w:val="002851E8"/>
    <w:rsid w:val="0028529C"/>
    <w:rsid w:val="00285326"/>
    <w:rsid w:val="0028572F"/>
    <w:rsid w:val="00285DE8"/>
    <w:rsid w:val="00287067"/>
    <w:rsid w:val="00290337"/>
    <w:rsid w:val="002904A9"/>
    <w:rsid w:val="0029054D"/>
    <w:rsid w:val="00290891"/>
    <w:rsid w:val="00291DA9"/>
    <w:rsid w:val="00291E40"/>
    <w:rsid w:val="00292552"/>
    <w:rsid w:val="00292661"/>
    <w:rsid w:val="00292773"/>
    <w:rsid w:val="002927AC"/>
    <w:rsid w:val="002928D1"/>
    <w:rsid w:val="00292D88"/>
    <w:rsid w:val="00293689"/>
    <w:rsid w:val="00294241"/>
    <w:rsid w:val="002943E7"/>
    <w:rsid w:val="00294519"/>
    <w:rsid w:val="0029469F"/>
    <w:rsid w:val="0029476B"/>
    <w:rsid w:val="00294959"/>
    <w:rsid w:val="0029515F"/>
    <w:rsid w:val="00295405"/>
    <w:rsid w:val="002954FB"/>
    <w:rsid w:val="00295E06"/>
    <w:rsid w:val="00295E8B"/>
    <w:rsid w:val="0029618D"/>
    <w:rsid w:val="0029658F"/>
    <w:rsid w:val="002965BA"/>
    <w:rsid w:val="00296814"/>
    <w:rsid w:val="00296D48"/>
    <w:rsid w:val="00296EB8"/>
    <w:rsid w:val="00296F5F"/>
    <w:rsid w:val="0029716C"/>
    <w:rsid w:val="002976F2"/>
    <w:rsid w:val="00297A95"/>
    <w:rsid w:val="002A0070"/>
    <w:rsid w:val="002A02A0"/>
    <w:rsid w:val="002A068A"/>
    <w:rsid w:val="002A071D"/>
    <w:rsid w:val="002A07C4"/>
    <w:rsid w:val="002A0D1C"/>
    <w:rsid w:val="002A0DD4"/>
    <w:rsid w:val="002A2381"/>
    <w:rsid w:val="002A24CF"/>
    <w:rsid w:val="002A2537"/>
    <w:rsid w:val="002A2AB8"/>
    <w:rsid w:val="002A2B8E"/>
    <w:rsid w:val="002A3123"/>
    <w:rsid w:val="002A3195"/>
    <w:rsid w:val="002A3789"/>
    <w:rsid w:val="002A399D"/>
    <w:rsid w:val="002A5126"/>
    <w:rsid w:val="002A51EB"/>
    <w:rsid w:val="002A529E"/>
    <w:rsid w:val="002A5948"/>
    <w:rsid w:val="002A5BCC"/>
    <w:rsid w:val="002A5C4F"/>
    <w:rsid w:val="002A6115"/>
    <w:rsid w:val="002A639F"/>
    <w:rsid w:val="002A64F2"/>
    <w:rsid w:val="002A6590"/>
    <w:rsid w:val="002A6708"/>
    <w:rsid w:val="002A7058"/>
    <w:rsid w:val="002A7478"/>
    <w:rsid w:val="002A7678"/>
    <w:rsid w:val="002A7B26"/>
    <w:rsid w:val="002B01AD"/>
    <w:rsid w:val="002B037F"/>
    <w:rsid w:val="002B047F"/>
    <w:rsid w:val="002B0A48"/>
    <w:rsid w:val="002B1824"/>
    <w:rsid w:val="002B182C"/>
    <w:rsid w:val="002B1845"/>
    <w:rsid w:val="002B1A9F"/>
    <w:rsid w:val="002B210C"/>
    <w:rsid w:val="002B2402"/>
    <w:rsid w:val="002B2847"/>
    <w:rsid w:val="002B2C8F"/>
    <w:rsid w:val="002B2D78"/>
    <w:rsid w:val="002B32B6"/>
    <w:rsid w:val="002B32C9"/>
    <w:rsid w:val="002B35D8"/>
    <w:rsid w:val="002B3736"/>
    <w:rsid w:val="002B4054"/>
    <w:rsid w:val="002B41A8"/>
    <w:rsid w:val="002B427C"/>
    <w:rsid w:val="002B435D"/>
    <w:rsid w:val="002B46A0"/>
    <w:rsid w:val="002B46FF"/>
    <w:rsid w:val="002B497D"/>
    <w:rsid w:val="002B4BBC"/>
    <w:rsid w:val="002B4D0E"/>
    <w:rsid w:val="002B4D3C"/>
    <w:rsid w:val="002B4EA1"/>
    <w:rsid w:val="002B4F54"/>
    <w:rsid w:val="002B542A"/>
    <w:rsid w:val="002B5495"/>
    <w:rsid w:val="002B54C5"/>
    <w:rsid w:val="002B55DD"/>
    <w:rsid w:val="002B55E5"/>
    <w:rsid w:val="002B6104"/>
    <w:rsid w:val="002B61C9"/>
    <w:rsid w:val="002B653E"/>
    <w:rsid w:val="002B6703"/>
    <w:rsid w:val="002B68A4"/>
    <w:rsid w:val="002B6D69"/>
    <w:rsid w:val="002B6E4E"/>
    <w:rsid w:val="002B6E5B"/>
    <w:rsid w:val="002B6F67"/>
    <w:rsid w:val="002B7411"/>
    <w:rsid w:val="002B7488"/>
    <w:rsid w:val="002B7F1B"/>
    <w:rsid w:val="002C0083"/>
    <w:rsid w:val="002C0186"/>
    <w:rsid w:val="002C0303"/>
    <w:rsid w:val="002C032E"/>
    <w:rsid w:val="002C081A"/>
    <w:rsid w:val="002C087B"/>
    <w:rsid w:val="002C0BA9"/>
    <w:rsid w:val="002C108A"/>
    <w:rsid w:val="002C1553"/>
    <w:rsid w:val="002C1B74"/>
    <w:rsid w:val="002C2035"/>
    <w:rsid w:val="002C23E0"/>
    <w:rsid w:val="002C24C4"/>
    <w:rsid w:val="002C25D4"/>
    <w:rsid w:val="002C2AB5"/>
    <w:rsid w:val="002C2CCD"/>
    <w:rsid w:val="002C2DBF"/>
    <w:rsid w:val="002C2F7F"/>
    <w:rsid w:val="002C2FB4"/>
    <w:rsid w:val="002C2FD3"/>
    <w:rsid w:val="002C3027"/>
    <w:rsid w:val="002C3683"/>
    <w:rsid w:val="002C3C31"/>
    <w:rsid w:val="002C4060"/>
    <w:rsid w:val="002C4417"/>
    <w:rsid w:val="002C4AFD"/>
    <w:rsid w:val="002C5516"/>
    <w:rsid w:val="002C5A3A"/>
    <w:rsid w:val="002C5C5B"/>
    <w:rsid w:val="002C5D7E"/>
    <w:rsid w:val="002C61F7"/>
    <w:rsid w:val="002C654E"/>
    <w:rsid w:val="002C6A57"/>
    <w:rsid w:val="002C6DC2"/>
    <w:rsid w:val="002C6DDA"/>
    <w:rsid w:val="002C713E"/>
    <w:rsid w:val="002C72FB"/>
    <w:rsid w:val="002C77B0"/>
    <w:rsid w:val="002C7C3D"/>
    <w:rsid w:val="002D0068"/>
    <w:rsid w:val="002D0466"/>
    <w:rsid w:val="002D053D"/>
    <w:rsid w:val="002D071B"/>
    <w:rsid w:val="002D0829"/>
    <w:rsid w:val="002D0B99"/>
    <w:rsid w:val="002D0BD0"/>
    <w:rsid w:val="002D1600"/>
    <w:rsid w:val="002D1936"/>
    <w:rsid w:val="002D1CE8"/>
    <w:rsid w:val="002D1F76"/>
    <w:rsid w:val="002D21F0"/>
    <w:rsid w:val="002D22E4"/>
    <w:rsid w:val="002D2403"/>
    <w:rsid w:val="002D2D0D"/>
    <w:rsid w:val="002D2FB2"/>
    <w:rsid w:val="002D3066"/>
    <w:rsid w:val="002D32C1"/>
    <w:rsid w:val="002D34FE"/>
    <w:rsid w:val="002D35EA"/>
    <w:rsid w:val="002D3782"/>
    <w:rsid w:val="002D3B24"/>
    <w:rsid w:val="002D3D02"/>
    <w:rsid w:val="002D3D77"/>
    <w:rsid w:val="002D4837"/>
    <w:rsid w:val="002D48E6"/>
    <w:rsid w:val="002D5331"/>
    <w:rsid w:val="002D55BB"/>
    <w:rsid w:val="002D5B16"/>
    <w:rsid w:val="002D5BC9"/>
    <w:rsid w:val="002D5DDC"/>
    <w:rsid w:val="002D64D5"/>
    <w:rsid w:val="002D67F7"/>
    <w:rsid w:val="002D6DE0"/>
    <w:rsid w:val="002D71F2"/>
    <w:rsid w:val="002D7621"/>
    <w:rsid w:val="002D769A"/>
    <w:rsid w:val="002D7722"/>
    <w:rsid w:val="002D7736"/>
    <w:rsid w:val="002D7789"/>
    <w:rsid w:val="002D77B7"/>
    <w:rsid w:val="002D79D9"/>
    <w:rsid w:val="002D7CC4"/>
    <w:rsid w:val="002D7DBC"/>
    <w:rsid w:val="002E00AC"/>
    <w:rsid w:val="002E00DB"/>
    <w:rsid w:val="002E06C1"/>
    <w:rsid w:val="002E0A65"/>
    <w:rsid w:val="002E0C21"/>
    <w:rsid w:val="002E101F"/>
    <w:rsid w:val="002E192A"/>
    <w:rsid w:val="002E2048"/>
    <w:rsid w:val="002E2471"/>
    <w:rsid w:val="002E286E"/>
    <w:rsid w:val="002E2A52"/>
    <w:rsid w:val="002E2B84"/>
    <w:rsid w:val="002E2F11"/>
    <w:rsid w:val="002E300A"/>
    <w:rsid w:val="002E3449"/>
    <w:rsid w:val="002E3543"/>
    <w:rsid w:val="002E3B82"/>
    <w:rsid w:val="002E3C95"/>
    <w:rsid w:val="002E40D7"/>
    <w:rsid w:val="002E4D81"/>
    <w:rsid w:val="002E4E88"/>
    <w:rsid w:val="002E5BC7"/>
    <w:rsid w:val="002E5CA3"/>
    <w:rsid w:val="002E5F0D"/>
    <w:rsid w:val="002E6EE7"/>
    <w:rsid w:val="002E6F4A"/>
    <w:rsid w:val="002E7655"/>
    <w:rsid w:val="002E7750"/>
    <w:rsid w:val="002E7964"/>
    <w:rsid w:val="002E79AB"/>
    <w:rsid w:val="002E7D40"/>
    <w:rsid w:val="002F01E3"/>
    <w:rsid w:val="002F0A52"/>
    <w:rsid w:val="002F0C6B"/>
    <w:rsid w:val="002F0CF2"/>
    <w:rsid w:val="002F1686"/>
    <w:rsid w:val="002F1771"/>
    <w:rsid w:val="002F1BD2"/>
    <w:rsid w:val="002F1CD0"/>
    <w:rsid w:val="002F1D5C"/>
    <w:rsid w:val="002F1D92"/>
    <w:rsid w:val="002F207F"/>
    <w:rsid w:val="002F23FA"/>
    <w:rsid w:val="002F249E"/>
    <w:rsid w:val="002F24AF"/>
    <w:rsid w:val="002F32ED"/>
    <w:rsid w:val="002F3799"/>
    <w:rsid w:val="002F41D5"/>
    <w:rsid w:val="002F43B6"/>
    <w:rsid w:val="002F49F9"/>
    <w:rsid w:val="002F4D5A"/>
    <w:rsid w:val="002F515D"/>
    <w:rsid w:val="002F59D7"/>
    <w:rsid w:val="002F5F68"/>
    <w:rsid w:val="002F6028"/>
    <w:rsid w:val="002F6673"/>
    <w:rsid w:val="002F66C9"/>
    <w:rsid w:val="002F66DB"/>
    <w:rsid w:val="002F6DE4"/>
    <w:rsid w:val="002F7155"/>
    <w:rsid w:val="002F7700"/>
    <w:rsid w:val="002F778A"/>
    <w:rsid w:val="002F7954"/>
    <w:rsid w:val="002F7C27"/>
    <w:rsid w:val="002F7CCB"/>
    <w:rsid w:val="002F7EB8"/>
    <w:rsid w:val="0030086D"/>
    <w:rsid w:val="00300C25"/>
    <w:rsid w:val="00300D86"/>
    <w:rsid w:val="00300E82"/>
    <w:rsid w:val="003015B5"/>
    <w:rsid w:val="00301655"/>
    <w:rsid w:val="003017E1"/>
    <w:rsid w:val="003021BB"/>
    <w:rsid w:val="00302588"/>
    <w:rsid w:val="00302643"/>
    <w:rsid w:val="00302D5B"/>
    <w:rsid w:val="00302F6A"/>
    <w:rsid w:val="00303061"/>
    <w:rsid w:val="0030359B"/>
    <w:rsid w:val="00303A66"/>
    <w:rsid w:val="00303D62"/>
    <w:rsid w:val="00303FEF"/>
    <w:rsid w:val="00303FFA"/>
    <w:rsid w:val="00304041"/>
    <w:rsid w:val="003040C0"/>
    <w:rsid w:val="003044AD"/>
    <w:rsid w:val="00304501"/>
    <w:rsid w:val="00304917"/>
    <w:rsid w:val="00304DC8"/>
    <w:rsid w:val="00305040"/>
    <w:rsid w:val="003051FF"/>
    <w:rsid w:val="00305BB3"/>
    <w:rsid w:val="00305CC7"/>
    <w:rsid w:val="00305F62"/>
    <w:rsid w:val="003067B8"/>
    <w:rsid w:val="003067DB"/>
    <w:rsid w:val="0030688B"/>
    <w:rsid w:val="00306AAF"/>
    <w:rsid w:val="00306E35"/>
    <w:rsid w:val="003074FD"/>
    <w:rsid w:val="00307728"/>
    <w:rsid w:val="00307A2D"/>
    <w:rsid w:val="003100AB"/>
    <w:rsid w:val="00310204"/>
    <w:rsid w:val="00310272"/>
    <w:rsid w:val="003107D8"/>
    <w:rsid w:val="00310D86"/>
    <w:rsid w:val="00310EC5"/>
    <w:rsid w:val="00310F34"/>
    <w:rsid w:val="0031157E"/>
    <w:rsid w:val="00312134"/>
    <w:rsid w:val="0031233D"/>
    <w:rsid w:val="003126B1"/>
    <w:rsid w:val="003126F6"/>
    <w:rsid w:val="00312AF6"/>
    <w:rsid w:val="00312CB7"/>
    <w:rsid w:val="00312E68"/>
    <w:rsid w:val="00312F97"/>
    <w:rsid w:val="00313103"/>
    <w:rsid w:val="0031351A"/>
    <w:rsid w:val="003138EC"/>
    <w:rsid w:val="00314039"/>
    <w:rsid w:val="0031460F"/>
    <w:rsid w:val="00314863"/>
    <w:rsid w:val="00314C8A"/>
    <w:rsid w:val="00314E33"/>
    <w:rsid w:val="003153A8"/>
    <w:rsid w:val="00315595"/>
    <w:rsid w:val="00315F66"/>
    <w:rsid w:val="00315FB7"/>
    <w:rsid w:val="003161E5"/>
    <w:rsid w:val="00316520"/>
    <w:rsid w:val="00316884"/>
    <w:rsid w:val="00316C18"/>
    <w:rsid w:val="00317071"/>
    <w:rsid w:val="003170F2"/>
    <w:rsid w:val="003171A9"/>
    <w:rsid w:val="00317767"/>
    <w:rsid w:val="00317F95"/>
    <w:rsid w:val="0032043F"/>
    <w:rsid w:val="003204DA"/>
    <w:rsid w:val="00320582"/>
    <w:rsid w:val="00321282"/>
    <w:rsid w:val="0032130E"/>
    <w:rsid w:val="0032187E"/>
    <w:rsid w:val="003218EA"/>
    <w:rsid w:val="00321A24"/>
    <w:rsid w:val="00321F93"/>
    <w:rsid w:val="0032278A"/>
    <w:rsid w:val="0032279E"/>
    <w:rsid w:val="003229D2"/>
    <w:rsid w:val="00322A25"/>
    <w:rsid w:val="00322C27"/>
    <w:rsid w:val="00322E8B"/>
    <w:rsid w:val="0032318E"/>
    <w:rsid w:val="00323389"/>
    <w:rsid w:val="003233D1"/>
    <w:rsid w:val="0032399E"/>
    <w:rsid w:val="00324067"/>
    <w:rsid w:val="003246F7"/>
    <w:rsid w:val="003248E7"/>
    <w:rsid w:val="00324925"/>
    <w:rsid w:val="00324A14"/>
    <w:rsid w:val="00324FF1"/>
    <w:rsid w:val="00325668"/>
    <w:rsid w:val="00325F1E"/>
    <w:rsid w:val="003260AB"/>
    <w:rsid w:val="003260D7"/>
    <w:rsid w:val="003262AB"/>
    <w:rsid w:val="0032659C"/>
    <w:rsid w:val="0032699B"/>
    <w:rsid w:val="00326D01"/>
    <w:rsid w:val="00326D28"/>
    <w:rsid w:val="00327292"/>
    <w:rsid w:val="003272FD"/>
    <w:rsid w:val="0032744E"/>
    <w:rsid w:val="00327480"/>
    <w:rsid w:val="00327A30"/>
    <w:rsid w:val="00327CB1"/>
    <w:rsid w:val="003300E1"/>
    <w:rsid w:val="00330380"/>
    <w:rsid w:val="003303B7"/>
    <w:rsid w:val="003304A1"/>
    <w:rsid w:val="00330A37"/>
    <w:rsid w:val="00330A59"/>
    <w:rsid w:val="00330B81"/>
    <w:rsid w:val="003311FC"/>
    <w:rsid w:val="00331300"/>
    <w:rsid w:val="00331713"/>
    <w:rsid w:val="00331820"/>
    <w:rsid w:val="00331AB2"/>
    <w:rsid w:val="00331F6C"/>
    <w:rsid w:val="00332637"/>
    <w:rsid w:val="00332F69"/>
    <w:rsid w:val="00333A15"/>
    <w:rsid w:val="00333A6D"/>
    <w:rsid w:val="00333D8E"/>
    <w:rsid w:val="00333DF6"/>
    <w:rsid w:val="00333F1D"/>
    <w:rsid w:val="003341BB"/>
    <w:rsid w:val="003347E1"/>
    <w:rsid w:val="00335021"/>
    <w:rsid w:val="00335387"/>
    <w:rsid w:val="00335776"/>
    <w:rsid w:val="003357FF"/>
    <w:rsid w:val="00336075"/>
    <w:rsid w:val="0033623B"/>
    <w:rsid w:val="00336787"/>
    <w:rsid w:val="00337120"/>
    <w:rsid w:val="003371DD"/>
    <w:rsid w:val="003373C1"/>
    <w:rsid w:val="003374B9"/>
    <w:rsid w:val="003375AB"/>
    <w:rsid w:val="003375FE"/>
    <w:rsid w:val="00337717"/>
    <w:rsid w:val="003377A8"/>
    <w:rsid w:val="003378B1"/>
    <w:rsid w:val="003408E2"/>
    <w:rsid w:val="00340A5B"/>
    <w:rsid w:val="00340A83"/>
    <w:rsid w:val="00340CB6"/>
    <w:rsid w:val="00340D35"/>
    <w:rsid w:val="00340EE4"/>
    <w:rsid w:val="0034123C"/>
    <w:rsid w:val="003412BF"/>
    <w:rsid w:val="003412E9"/>
    <w:rsid w:val="003415A2"/>
    <w:rsid w:val="0034168B"/>
    <w:rsid w:val="003416C0"/>
    <w:rsid w:val="00341CF7"/>
    <w:rsid w:val="00341DFD"/>
    <w:rsid w:val="0034295D"/>
    <w:rsid w:val="00342C62"/>
    <w:rsid w:val="0034312D"/>
    <w:rsid w:val="0034330F"/>
    <w:rsid w:val="00343669"/>
    <w:rsid w:val="00343773"/>
    <w:rsid w:val="00343C67"/>
    <w:rsid w:val="003440AE"/>
    <w:rsid w:val="0034413A"/>
    <w:rsid w:val="00344BA3"/>
    <w:rsid w:val="00344BDC"/>
    <w:rsid w:val="00344D5E"/>
    <w:rsid w:val="00344E8E"/>
    <w:rsid w:val="00345475"/>
    <w:rsid w:val="0034578E"/>
    <w:rsid w:val="003457A1"/>
    <w:rsid w:val="00346AE5"/>
    <w:rsid w:val="00346C56"/>
    <w:rsid w:val="00347712"/>
    <w:rsid w:val="00347782"/>
    <w:rsid w:val="00347D51"/>
    <w:rsid w:val="00347E11"/>
    <w:rsid w:val="003500DB"/>
    <w:rsid w:val="00350268"/>
    <w:rsid w:val="003503A9"/>
    <w:rsid w:val="00350573"/>
    <w:rsid w:val="00350594"/>
    <w:rsid w:val="00350B46"/>
    <w:rsid w:val="003518DC"/>
    <w:rsid w:val="00351EEA"/>
    <w:rsid w:val="00352012"/>
    <w:rsid w:val="00352542"/>
    <w:rsid w:val="00352668"/>
    <w:rsid w:val="00352677"/>
    <w:rsid w:val="00352780"/>
    <w:rsid w:val="0035326A"/>
    <w:rsid w:val="0035327A"/>
    <w:rsid w:val="003534CB"/>
    <w:rsid w:val="00353803"/>
    <w:rsid w:val="00353832"/>
    <w:rsid w:val="00353C27"/>
    <w:rsid w:val="00353C29"/>
    <w:rsid w:val="00353C8B"/>
    <w:rsid w:val="00353D69"/>
    <w:rsid w:val="00353FC5"/>
    <w:rsid w:val="003541B5"/>
    <w:rsid w:val="003542FC"/>
    <w:rsid w:val="00354407"/>
    <w:rsid w:val="00354730"/>
    <w:rsid w:val="00354C88"/>
    <w:rsid w:val="0035537B"/>
    <w:rsid w:val="003555CF"/>
    <w:rsid w:val="00355B59"/>
    <w:rsid w:val="00355F0D"/>
    <w:rsid w:val="0035620E"/>
    <w:rsid w:val="003562FE"/>
    <w:rsid w:val="003564B6"/>
    <w:rsid w:val="0035669E"/>
    <w:rsid w:val="003574FA"/>
    <w:rsid w:val="00357C05"/>
    <w:rsid w:val="00357DE5"/>
    <w:rsid w:val="00360354"/>
    <w:rsid w:val="0036071E"/>
    <w:rsid w:val="00360720"/>
    <w:rsid w:val="00360FEF"/>
    <w:rsid w:val="0036119E"/>
    <w:rsid w:val="00361D18"/>
    <w:rsid w:val="00362D66"/>
    <w:rsid w:val="00362E07"/>
    <w:rsid w:val="00363198"/>
    <w:rsid w:val="003631E0"/>
    <w:rsid w:val="00363B12"/>
    <w:rsid w:val="00363E69"/>
    <w:rsid w:val="003640DD"/>
    <w:rsid w:val="0036423C"/>
    <w:rsid w:val="003648BB"/>
    <w:rsid w:val="00364C43"/>
    <w:rsid w:val="00364D2C"/>
    <w:rsid w:val="00364D59"/>
    <w:rsid w:val="00365433"/>
    <w:rsid w:val="003654BE"/>
    <w:rsid w:val="003654DD"/>
    <w:rsid w:val="003657EE"/>
    <w:rsid w:val="00365B9B"/>
    <w:rsid w:val="00365D2E"/>
    <w:rsid w:val="00365DBB"/>
    <w:rsid w:val="00365DF5"/>
    <w:rsid w:val="003668A0"/>
    <w:rsid w:val="0036695E"/>
    <w:rsid w:val="00366A1A"/>
    <w:rsid w:val="00366EE1"/>
    <w:rsid w:val="003673E6"/>
    <w:rsid w:val="003674C3"/>
    <w:rsid w:val="003675F0"/>
    <w:rsid w:val="003678EA"/>
    <w:rsid w:val="00367A90"/>
    <w:rsid w:val="00367E71"/>
    <w:rsid w:val="00370372"/>
    <w:rsid w:val="003703EC"/>
    <w:rsid w:val="003706D5"/>
    <w:rsid w:val="00370769"/>
    <w:rsid w:val="00370963"/>
    <w:rsid w:val="00371009"/>
    <w:rsid w:val="00371252"/>
    <w:rsid w:val="0037165E"/>
    <w:rsid w:val="0037191D"/>
    <w:rsid w:val="00371AED"/>
    <w:rsid w:val="00371BC4"/>
    <w:rsid w:val="00371EEB"/>
    <w:rsid w:val="00372161"/>
    <w:rsid w:val="003722E8"/>
    <w:rsid w:val="00372733"/>
    <w:rsid w:val="0037280D"/>
    <w:rsid w:val="003728E1"/>
    <w:rsid w:val="00372C4C"/>
    <w:rsid w:val="00372F15"/>
    <w:rsid w:val="0037300F"/>
    <w:rsid w:val="00373198"/>
    <w:rsid w:val="00373B9D"/>
    <w:rsid w:val="00373E06"/>
    <w:rsid w:val="0037445B"/>
    <w:rsid w:val="003745D0"/>
    <w:rsid w:val="0037468A"/>
    <w:rsid w:val="003746A3"/>
    <w:rsid w:val="0037492D"/>
    <w:rsid w:val="00374D3E"/>
    <w:rsid w:val="003755E3"/>
    <w:rsid w:val="00375613"/>
    <w:rsid w:val="00375B8A"/>
    <w:rsid w:val="00375D5B"/>
    <w:rsid w:val="00375E04"/>
    <w:rsid w:val="0037642E"/>
    <w:rsid w:val="00376987"/>
    <w:rsid w:val="00376AF3"/>
    <w:rsid w:val="00376CFA"/>
    <w:rsid w:val="00377D45"/>
    <w:rsid w:val="003800E2"/>
    <w:rsid w:val="003801DC"/>
    <w:rsid w:val="00380E15"/>
    <w:rsid w:val="00380F51"/>
    <w:rsid w:val="003811BA"/>
    <w:rsid w:val="00381993"/>
    <w:rsid w:val="00381AC4"/>
    <w:rsid w:val="00381B3A"/>
    <w:rsid w:val="00381F75"/>
    <w:rsid w:val="00381FAE"/>
    <w:rsid w:val="0038248C"/>
    <w:rsid w:val="00382980"/>
    <w:rsid w:val="00382ABA"/>
    <w:rsid w:val="00382C61"/>
    <w:rsid w:val="00382D1F"/>
    <w:rsid w:val="003830EF"/>
    <w:rsid w:val="00383177"/>
    <w:rsid w:val="003832B6"/>
    <w:rsid w:val="003839BF"/>
    <w:rsid w:val="00383A46"/>
    <w:rsid w:val="00383E24"/>
    <w:rsid w:val="00383F72"/>
    <w:rsid w:val="003840B7"/>
    <w:rsid w:val="003844E0"/>
    <w:rsid w:val="00384837"/>
    <w:rsid w:val="00384D6C"/>
    <w:rsid w:val="003851A1"/>
    <w:rsid w:val="00385367"/>
    <w:rsid w:val="0038549F"/>
    <w:rsid w:val="00385639"/>
    <w:rsid w:val="003856C6"/>
    <w:rsid w:val="0038576D"/>
    <w:rsid w:val="00385BDE"/>
    <w:rsid w:val="00385DD1"/>
    <w:rsid w:val="00385E50"/>
    <w:rsid w:val="003863F2"/>
    <w:rsid w:val="0038685F"/>
    <w:rsid w:val="00386B43"/>
    <w:rsid w:val="00386CBA"/>
    <w:rsid w:val="00386E82"/>
    <w:rsid w:val="00386FC4"/>
    <w:rsid w:val="0038728C"/>
    <w:rsid w:val="00387677"/>
    <w:rsid w:val="00387F7C"/>
    <w:rsid w:val="00391901"/>
    <w:rsid w:val="00391AC1"/>
    <w:rsid w:val="00391B2B"/>
    <w:rsid w:val="00391B84"/>
    <w:rsid w:val="00391E1C"/>
    <w:rsid w:val="00391FF2"/>
    <w:rsid w:val="003920C7"/>
    <w:rsid w:val="003923E6"/>
    <w:rsid w:val="003929A4"/>
    <w:rsid w:val="00392BBB"/>
    <w:rsid w:val="00392FAF"/>
    <w:rsid w:val="00393FE9"/>
    <w:rsid w:val="0039447D"/>
    <w:rsid w:val="0039476B"/>
    <w:rsid w:val="003949BE"/>
    <w:rsid w:val="00394B29"/>
    <w:rsid w:val="00394E45"/>
    <w:rsid w:val="00395146"/>
    <w:rsid w:val="00395205"/>
    <w:rsid w:val="00396113"/>
    <w:rsid w:val="0039627D"/>
    <w:rsid w:val="00396980"/>
    <w:rsid w:val="003969C2"/>
    <w:rsid w:val="00396F26"/>
    <w:rsid w:val="003970B3"/>
    <w:rsid w:val="003973FD"/>
    <w:rsid w:val="00397413"/>
    <w:rsid w:val="00397432"/>
    <w:rsid w:val="003976E4"/>
    <w:rsid w:val="0039772B"/>
    <w:rsid w:val="003977F5"/>
    <w:rsid w:val="00397A77"/>
    <w:rsid w:val="00397E07"/>
    <w:rsid w:val="00397E21"/>
    <w:rsid w:val="00397FDC"/>
    <w:rsid w:val="003A00BD"/>
    <w:rsid w:val="003A04AE"/>
    <w:rsid w:val="003A0667"/>
    <w:rsid w:val="003A0EA6"/>
    <w:rsid w:val="003A1342"/>
    <w:rsid w:val="003A1719"/>
    <w:rsid w:val="003A18B8"/>
    <w:rsid w:val="003A1935"/>
    <w:rsid w:val="003A19D6"/>
    <w:rsid w:val="003A1AA1"/>
    <w:rsid w:val="003A1AF0"/>
    <w:rsid w:val="003A269E"/>
    <w:rsid w:val="003A2CEE"/>
    <w:rsid w:val="003A2D4E"/>
    <w:rsid w:val="003A2EF2"/>
    <w:rsid w:val="003A2FE9"/>
    <w:rsid w:val="003A314E"/>
    <w:rsid w:val="003A36DC"/>
    <w:rsid w:val="003A3717"/>
    <w:rsid w:val="003A393F"/>
    <w:rsid w:val="003A3999"/>
    <w:rsid w:val="003A42AC"/>
    <w:rsid w:val="003A436A"/>
    <w:rsid w:val="003A43B8"/>
    <w:rsid w:val="003A4462"/>
    <w:rsid w:val="003A4497"/>
    <w:rsid w:val="003A4663"/>
    <w:rsid w:val="003A4BFF"/>
    <w:rsid w:val="003A4F4E"/>
    <w:rsid w:val="003A5400"/>
    <w:rsid w:val="003A5581"/>
    <w:rsid w:val="003A59CD"/>
    <w:rsid w:val="003A5A0A"/>
    <w:rsid w:val="003A5CFA"/>
    <w:rsid w:val="003A5D90"/>
    <w:rsid w:val="003A5FA4"/>
    <w:rsid w:val="003A6084"/>
    <w:rsid w:val="003A62DA"/>
    <w:rsid w:val="003A6366"/>
    <w:rsid w:val="003A6CC9"/>
    <w:rsid w:val="003A713A"/>
    <w:rsid w:val="003A71E5"/>
    <w:rsid w:val="003A75BB"/>
    <w:rsid w:val="003A77D8"/>
    <w:rsid w:val="003A7A69"/>
    <w:rsid w:val="003A7B14"/>
    <w:rsid w:val="003A7B7B"/>
    <w:rsid w:val="003A7D2A"/>
    <w:rsid w:val="003A7D38"/>
    <w:rsid w:val="003A7ED5"/>
    <w:rsid w:val="003B08CD"/>
    <w:rsid w:val="003B0C92"/>
    <w:rsid w:val="003B0D86"/>
    <w:rsid w:val="003B0E1D"/>
    <w:rsid w:val="003B0F13"/>
    <w:rsid w:val="003B0F7B"/>
    <w:rsid w:val="003B13E9"/>
    <w:rsid w:val="003B14FD"/>
    <w:rsid w:val="003B1539"/>
    <w:rsid w:val="003B16D4"/>
    <w:rsid w:val="003B1BB7"/>
    <w:rsid w:val="003B1E0D"/>
    <w:rsid w:val="003B2427"/>
    <w:rsid w:val="003B28A8"/>
    <w:rsid w:val="003B2904"/>
    <w:rsid w:val="003B2D2B"/>
    <w:rsid w:val="003B2D7D"/>
    <w:rsid w:val="003B2D8C"/>
    <w:rsid w:val="003B2F6C"/>
    <w:rsid w:val="003B3324"/>
    <w:rsid w:val="003B3CC4"/>
    <w:rsid w:val="003B3E12"/>
    <w:rsid w:val="003B4696"/>
    <w:rsid w:val="003B4859"/>
    <w:rsid w:val="003B4D81"/>
    <w:rsid w:val="003B4DBD"/>
    <w:rsid w:val="003B4E65"/>
    <w:rsid w:val="003B4EB6"/>
    <w:rsid w:val="003B50E8"/>
    <w:rsid w:val="003B5177"/>
    <w:rsid w:val="003B5200"/>
    <w:rsid w:val="003B53E7"/>
    <w:rsid w:val="003B5482"/>
    <w:rsid w:val="003B5663"/>
    <w:rsid w:val="003B59DC"/>
    <w:rsid w:val="003B5ECE"/>
    <w:rsid w:val="003B6031"/>
    <w:rsid w:val="003B6178"/>
    <w:rsid w:val="003B6223"/>
    <w:rsid w:val="003B638E"/>
    <w:rsid w:val="003B6BF1"/>
    <w:rsid w:val="003B6C19"/>
    <w:rsid w:val="003B6E81"/>
    <w:rsid w:val="003B7661"/>
    <w:rsid w:val="003B76F3"/>
    <w:rsid w:val="003B7E05"/>
    <w:rsid w:val="003C029F"/>
    <w:rsid w:val="003C0456"/>
    <w:rsid w:val="003C052A"/>
    <w:rsid w:val="003C0590"/>
    <w:rsid w:val="003C0634"/>
    <w:rsid w:val="003C0AE9"/>
    <w:rsid w:val="003C131E"/>
    <w:rsid w:val="003C166B"/>
    <w:rsid w:val="003C19A5"/>
    <w:rsid w:val="003C1C85"/>
    <w:rsid w:val="003C1F69"/>
    <w:rsid w:val="003C2010"/>
    <w:rsid w:val="003C2323"/>
    <w:rsid w:val="003C2BA9"/>
    <w:rsid w:val="003C2C59"/>
    <w:rsid w:val="003C3495"/>
    <w:rsid w:val="003C3895"/>
    <w:rsid w:val="003C3A2A"/>
    <w:rsid w:val="003C3CC7"/>
    <w:rsid w:val="003C3E7F"/>
    <w:rsid w:val="003C4482"/>
    <w:rsid w:val="003C504B"/>
    <w:rsid w:val="003C50B5"/>
    <w:rsid w:val="003C5260"/>
    <w:rsid w:val="003C5936"/>
    <w:rsid w:val="003C607D"/>
    <w:rsid w:val="003C612F"/>
    <w:rsid w:val="003C619A"/>
    <w:rsid w:val="003C6468"/>
    <w:rsid w:val="003C64AF"/>
    <w:rsid w:val="003C676E"/>
    <w:rsid w:val="003C7A23"/>
    <w:rsid w:val="003C7B28"/>
    <w:rsid w:val="003D0AF6"/>
    <w:rsid w:val="003D0BFD"/>
    <w:rsid w:val="003D0FA5"/>
    <w:rsid w:val="003D1004"/>
    <w:rsid w:val="003D115F"/>
    <w:rsid w:val="003D11D9"/>
    <w:rsid w:val="003D1E5A"/>
    <w:rsid w:val="003D228C"/>
    <w:rsid w:val="003D2939"/>
    <w:rsid w:val="003D2B3F"/>
    <w:rsid w:val="003D2F40"/>
    <w:rsid w:val="003D32AA"/>
    <w:rsid w:val="003D33AE"/>
    <w:rsid w:val="003D3429"/>
    <w:rsid w:val="003D3574"/>
    <w:rsid w:val="003D3990"/>
    <w:rsid w:val="003D3C6E"/>
    <w:rsid w:val="003D3FA7"/>
    <w:rsid w:val="003D42CB"/>
    <w:rsid w:val="003D43E2"/>
    <w:rsid w:val="003D4572"/>
    <w:rsid w:val="003D4B62"/>
    <w:rsid w:val="003D4E9A"/>
    <w:rsid w:val="003D51D3"/>
    <w:rsid w:val="003D51F4"/>
    <w:rsid w:val="003D5231"/>
    <w:rsid w:val="003D5345"/>
    <w:rsid w:val="003D5811"/>
    <w:rsid w:val="003D58C5"/>
    <w:rsid w:val="003D5A13"/>
    <w:rsid w:val="003D5A4E"/>
    <w:rsid w:val="003D6316"/>
    <w:rsid w:val="003D6638"/>
    <w:rsid w:val="003D6A51"/>
    <w:rsid w:val="003D7211"/>
    <w:rsid w:val="003D7786"/>
    <w:rsid w:val="003D7FC4"/>
    <w:rsid w:val="003E0354"/>
    <w:rsid w:val="003E0437"/>
    <w:rsid w:val="003E08DC"/>
    <w:rsid w:val="003E10A8"/>
    <w:rsid w:val="003E127A"/>
    <w:rsid w:val="003E184A"/>
    <w:rsid w:val="003E1887"/>
    <w:rsid w:val="003E18C9"/>
    <w:rsid w:val="003E19E2"/>
    <w:rsid w:val="003E1EF3"/>
    <w:rsid w:val="003E2538"/>
    <w:rsid w:val="003E2784"/>
    <w:rsid w:val="003E278F"/>
    <w:rsid w:val="003E2E55"/>
    <w:rsid w:val="003E2F58"/>
    <w:rsid w:val="003E311C"/>
    <w:rsid w:val="003E3A5D"/>
    <w:rsid w:val="003E3D4A"/>
    <w:rsid w:val="003E4296"/>
    <w:rsid w:val="003E43C8"/>
    <w:rsid w:val="003E4B5F"/>
    <w:rsid w:val="003E50BB"/>
    <w:rsid w:val="003E530F"/>
    <w:rsid w:val="003E5A33"/>
    <w:rsid w:val="003E5E27"/>
    <w:rsid w:val="003E5E65"/>
    <w:rsid w:val="003E65FD"/>
    <w:rsid w:val="003E69CF"/>
    <w:rsid w:val="003E6C56"/>
    <w:rsid w:val="003E6DA0"/>
    <w:rsid w:val="003E72DA"/>
    <w:rsid w:val="003E7963"/>
    <w:rsid w:val="003E7C3C"/>
    <w:rsid w:val="003E7C99"/>
    <w:rsid w:val="003F00B9"/>
    <w:rsid w:val="003F031C"/>
    <w:rsid w:val="003F0E59"/>
    <w:rsid w:val="003F0EED"/>
    <w:rsid w:val="003F0FBA"/>
    <w:rsid w:val="003F1622"/>
    <w:rsid w:val="003F1AA3"/>
    <w:rsid w:val="003F25EF"/>
    <w:rsid w:val="003F28CD"/>
    <w:rsid w:val="003F2A3E"/>
    <w:rsid w:val="003F2D59"/>
    <w:rsid w:val="003F3277"/>
    <w:rsid w:val="003F33C5"/>
    <w:rsid w:val="003F3645"/>
    <w:rsid w:val="003F3B6D"/>
    <w:rsid w:val="003F3BE5"/>
    <w:rsid w:val="003F3EC5"/>
    <w:rsid w:val="003F49D2"/>
    <w:rsid w:val="003F4C79"/>
    <w:rsid w:val="003F4E06"/>
    <w:rsid w:val="003F4FD7"/>
    <w:rsid w:val="003F58E5"/>
    <w:rsid w:val="003F58F4"/>
    <w:rsid w:val="003F5990"/>
    <w:rsid w:val="003F5E3F"/>
    <w:rsid w:val="003F6068"/>
    <w:rsid w:val="003F6152"/>
    <w:rsid w:val="003F67CB"/>
    <w:rsid w:val="003F6D1A"/>
    <w:rsid w:val="003F759C"/>
    <w:rsid w:val="00400541"/>
    <w:rsid w:val="00400688"/>
    <w:rsid w:val="004018B0"/>
    <w:rsid w:val="00401CD0"/>
    <w:rsid w:val="00402083"/>
    <w:rsid w:val="0040257A"/>
    <w:rsid w:val="00402608"/>
    <w:rsid w:val="00403542"/>
    <w:rsid w:val="004036AC"/>
    <w:rsid w:val="00403A15"/>
    <w:rsid w:val="00403AD6"/>
    <w:rsid w:val="004042E5"/>
    <w:rsid w:val="00404A7D"/>
    <w:rsid w:val="00405461"/>
    <w:rsid w:val="00405477"/>
    <w:rsid w:val="0040566B"/>
    <w:rsid w:val="004058B9"/>
    <w:rsid w:val="00405AB5"/>
    <w:rsid w:val="00405E6C"/>
    <w:rsid w:val="00406079"/>
    <w:rsid w:val="0040654A"/>
    <w:rsid w:val="004066E7"/>
    <w:rsid w:val="004067F1"/>
    <w:rsid w:val="0040689D"/>
    <w:rsid w:val="00406A50"/>
    <w:rsid w:val="00406C91"/>
    <w:rsid w:val="00407363"/>
    <w:rsid w:val="0040798D"/>
    <w:rsid w:val="00407E6E"/>
    <w:rsid w:val="00410179"/>
    <w:rsid w:val="00410441"/>
    <w:rsid w:val="0041074C"/>
    <w:rsid w:val="0041078F"/>
    <w:rsid w:val="00410B78"/>
    <w:rsid w:val="0041102C"/>
    <w:rsid w:val="00411154"/>
    <w:rsid w:val="004114A9"/>
    <w:rsid w:val="004114C9"/>
    <w:rsid w:val="00411645"/>
    <w:rsid w:val="00411863"/>
    <w:rsid w:val="00411D31"/>
    <w:rsid w:val="004128FF"/>
    <w:rsid w:val="00412B52"/>
    <w:rsid w:val="00412BDE"/>
    <w:rsid w:val="00413022"/>
    <w:rsid w:val="0041398B"/>
    <w:rsid w:val="00413F0B"/>
    <w:rsid w:val="00414601"/>
    <w:rsid w:val="004146E5"/>
    <w:rsid w:val="00414828"/>
    <w:rsid w:val="00414C5A"/>
    <w:rsid w:val="00414D14"/>
    <w:rsid w:val="00414DE0"/>
    <w:rsid w:val="00415052"/>
    <w:rsid w:val="004150FE"/>
    <w:rsid w:val="004158A0"/>
    <w:rsid w:val="00415D69"/>
    <w:rsid w:val="00415DEC"/>
    <w:rsid w:val="00415FAD"/>
    <w:rsid w:val="0041600F"/>
    <w:rsid w:val="0041619C"/>
    <w:rsid w:val="0041747C"/>
    <w:rsid w:val="00417701"/>
    <w:rsid w:val="00417C68"/>
    <w:rsid w:val="00417D7A"/>
    <w:rsid w:val="004203AA"/>
    <w:rsid w:val="00420901"/>
    <w:rsid w:val="00420948"/>
    <w:rsid w:val="00420BA6"/>
    <w:rsid w:val="00420E13"/>
    <w:rsid w:val="00420E32"/>
    <w:rsid w:val="00421063"/>
    <w:rsid w:val="004210D7"/>
    <w:rsid w:val="0042121D"/>
    <w:rsid w:val="0042181C"/>
    <w:rsid w:val="004219E8"/>
    <w:rsid w:val="00421FAA"/>
    <w:rsid w:val="00422508"/>
    <w:rsid w:val="0042267A"/>
    <w:rsid w:val="0042282D"/>
    <w:rsid w:val="00422BE1"/>
    <w:rsid w:val="00422C59"/>
    <w:rsid w:val="00422CFC"/>
    <w:rsid w:val="00423E35"/>
    <w:rsid w:val="0042412E"/>
    <w:rsid w:val="0042472D"/>
    <w:rsid w:val="0042505E"/>
    <w:rsid w:val="00425115"/>
    <w:rsid w:val="004257A7"/>
    <w:rsid w:val="00425A22"/>
    <w:rsid w:val="00425A94"/>
    <w:rsid w:val="00425B0B"/>
    <w:rsid w:val="00425E7D"/>
    <w:rsid w:val="00425EF9"/>
    <w:rsid w:val="00426396"/>
    <w:rsid w:val="0042663A"/>
    <w:rsid w:val="004270B5"/>
    <w:rsid w:val="00427843"/>
    <w:rsid w:val="004279C1"/>
    <w:rsid w:val="00427B37"/>
    <w:rsid w:val="0043009A"/>
    <w:rsid w:val="004303BB"/>
    <w:rsid w:val="004305C5"/>
    <w:rsid w:val="0043073A"/>
    <w:rsid w:val="00430C05"/>
    <w:rsid w:val="0043115F"/>
    <w:rsid w:val="004318F9"/>
    <w:rsid w:val="00431BB8"/>
    <w:rsid w:val="004327A9"/>
    <w:rsid w:val="004329E5"/>
    <w:rsid w:val="00432B9E"/>
    <w:rsid w:val="00432E66"/>
    <w:rsid w:val="00432F84"/>
    <w:rsid w:val="0043362A"/>
    <w:rsid w:val="0043436F"/>
    <w:rsid w:val="00434374"/>
    <w:rsid w:val="00434476"/>
    <w:rsid w:val="00434A4A"/>
    <w:rsid w:val="00434E4F"/>
    <w:rsid w:val="00435197"/>
    <w:rsid w:val="0043557B"/>
    <w:rsid w:val="0043561C"/>
    <w:rsid w:val="00435DF5"/>
    <w:rsid w:val="0043678E"/>
    <w:rsid w:val="0043699B"/>
    <w:rsid w:val="00436DF9"/>
    <w:rsid w:val="00437005"/>
    <w:rsid w:val="00437876"/>
    <w:rsid w:val="00437B57"/>
    <w:rsid w:val="00440068"/>
    <w:rsid w:val="00440418"/>
    <w:rsid w:val="004410BC"/>
    <w:rsid w:val="00441164"/>
    <w:rsid w:val="004414D3"/>
    <w:rsid w:val="00441A6C"/>
    <w:rsid w:val="004420F9"/>
    <w:rsid w:val="004422EC"/>
    <w:rsid w:val="0044249D"/>
    <w:rsid w:val="004426AD"/>
    <w:rsid w:val="00443250"/>
    <w:rsid w:val="004435D7"/>
    <w:rsid w:val="004436C4"/>
    <w:rsid w:val="00443CFE"/>
    <w:rsid w:val="0044410A"/>
    <w:rsid w:val="00444188"/>
    <w:rsid w:val="00444473"/>
    <w:rsid w:val="0044482D"/>
    <w:rsid w:val="00444927"/>
    <w:rsid w:val="004449A6"/>
    <w:rsid w:val="00444D84"/>
    <w:rsid w:val="00444FEA"/>
    <w:rsid w:val="0044530D"/>
    <w:rsid w:val="0044536C"/>
    <w:rsid w:val="004458AB"/>
    <w:rsid w:val="00445C9F"/>
    <w:rsid w:val="00445F4E"/>
    <w:rsid w:val="004463E7"/>
    <w:rsid w:val="0044672C"/>
    <w:rsid w:val="00446D64"/>
    <w:rsid w:val="00446FB0"/>
    <w:rsid w:val="004501E9"/>
    <w:rsid w:val="004503A1"/>
    <w:rsid w:val="0045059B"/>
    <w:rsid w:val="00450674"/>
    <w:rsid w:val="00450CAE"/>
    <w:rsid w:val="004511C7"/>
    <w:rsid w:val="0045197A"/>
    <w:rsid w:val="00451C64"/>
    <w:rsid w:val="0045201A"/>
    <w:rsid w:val="0045251E"/>
    <w:rsid w:val="00452687"/>
    <w:rsid w:val="00453D2C"/>
    <w:rsid w:val="00453DB3"/>
    <w:rsid w:val="00453DC1"/>
    <w:rsid w:val="00453FCD"/>
    <w:rsid w:val="00454A21"/>
    <w:rsid w:val="00454B72"/>
    <w:rsid w:val="00454B8F"/>
    <w:rsid w:val="00454C05"/>
    <w:rsid w:val="00454C20"/>
    <w:rsid w:val="00454C37"/>
    <w:rsid w:val="00454F4E"/>
    <w:rsid w:val="0045546F"/>
    <w:rsid w:val="004558FA"/>
    <w:rsid w:val="00455CAE"/>
    <w:rsid w:val="00455E9B"/>
    <w:rsid w:val="00456437"/>
    <w:rsid w:val="00456438"/>
    <w:rsid w:val="00456A0A"/>
    <w:rsid w:val="00456D15"/>
    <w:rsid w:val="00456DC0"/>
    <w:rsid w:val="0045725B"/>
    <w:rsid w:val="004578E3"/>
    <w:rsid w:val="00457CF5"/>
    <w:rsid w:val="004602D4"/>
    <w:rsid w:val="0046031D"/>
    <w:rsid w:val="00460657"/>
    <w:rsid w:val="004608BA"/>
    <w:rsid w:val="00460A4B"/>
    <w:rsid w:val="00460AA8"/>
    <w:rsid w:val="00461252"/>
    <w:rsid w:val="0046159B"/>
    <w:rsid w:val="00461A7C"/>
    <w:rsid w:val="00461A84"/>
    <w:rsid w:val="00461ABF"/>
    <w:rsid w:val="00461E66"/>
    <w:rsid w:val="00461EBB"/>
    <w:rsid w:val="00461FFA"/>
    <w:rsid w:val="00462286"/>
    <w:rsid w:val="00462AAB"/>
    <w:rsid w:val="00462C80"/>
    <w:rsid w:val="00462D87"/>
    <w:rsid w:val="00462D95"/>
    <w:rsid w:val="00462F25"/>
    <w:rsid w:val="004631A1"/>
    <w:rsid w:val="0046330C"/>
    <w:rsid w:val="00463393"/>
    <w:rsid w:val="00463717"/>
    <w:rsid w:val="00463754"/>
    <w:rsid w:val="004637CD"/>
    <w:rsid w:val="00463931"/>
    <w:rsid w:val="00463EC9"/>
    <w:rsid w:val="004646B4"/>
    <w:rsid w:val="00464A75"/>
    <w:rsid w:val="004653AD"/>
    <w:rsid w:val="00465498"/>
    <w:rsid w:val="00465582"/>
    <w:rsid w:val="00465A3C"/>
    <w:rsid w:val="00465A7C"/>
    <w:rsid w:val="00465F55"/>
    <w:rsid w:val="00466093"/>
    <w:rsid w:val="0046615C"/>
    <w:rsid w:val="0046635D"/>
    <w:rsid w:val="00466668"/>
    <w:rsid w:val="004666B2"/>
    <w:rsid w:val="00466742"/>
    <w:rsid w:val="00466A2E"/>
    <w:rsid w:val="00466AE4"/>
    <w:rsid w:val="00467074"/>
    <w:rsid w:val="00467370"/>
    <w:rsid w:val="0046756D"/>
    <w:rsid w:val="0046774B"/>
    <w:rsid w:val="004677AD"/>
    <w:rsid w:val="004677E1"/>
    <w:rsid w:val="00467B68"/>
    <w:rsid w:val="00467D8B"/>
    <w:rsid w:val="00467EDD"/>
    <w:rsid w:val="00470D4C"/>
    <w:rsid w:val="0047122D"/>
    <w:rsid w:val="00471361"/>
    <w:rsid w:val="00471A12"/>
    <w:rsid w:val="00471C14"/>
    <w:rsid w:val="004724CE"/>
    <w:rsid w:val="00472834"/>
    <w:rsid w:val="00472ADA"/>
    <w:rsid w:val="00472AF9"/>
    <w:rsid w:val="00472CA4"/>
    <w:rsid w:val="00472E87"/>
    <w:rsid w:val="004738BC"/>
    <w:rsid w:val="004738E8"/>
    <w:rsid w:val="00473C51"/>
    <w:rsid w:val="00473E89"/>
    <w:rsid w:val="00474322"/>
    <w:rsid w:val="0047443D"/>
    <w:rsid w:val="00474620"/>
    <w:rsid w:val="004746A9"/>
    <w:rsid w:val="004746DA"/>
    <w:rsid w:val="00474A03"/>
    <w:rsid w:val="004751FE"/>
    <w:rsid w:val="00475371"/>
    <w:rsid w:val="0047548C"/>
    <w:rsid w:val="004754C9"/>
    <w:rsid w:val="00475FB6"/>
    <w:rsid w:val="00476446"/>
    <w:rsid w:val="00476D81"/>
    <w:rsid w:val="0047762B"/>
    <w:rsid w:val="004778B8"/>
    <w:rsid w:val="004779AB"/>
    <w:rsid w:val="00477B96"/>
    <w:rsid w:val="00477C52"/>
    <w:rsid w:val="00477CA1"/>
    <w:rsid w:val="00477FA2"/>
    <w:rsid w:val="004801BA"/>
    <w:rsid w:val="0048028B"/>
    <w:rsid w:val="00480316"/>
    <w:rsid w:val="00480479"/>
    <w:rsid w:val="00480C8E"/>
    <w:rsid w:val="00481382"/>
    <w:rsid w:val="00481A19"/>
    <w:rsid w:val="00481BAB"/>
    <w:rsid w:val="00481C87"/>
    <w:rsid w:val="004828B4"/>
    <w:rsid w:val="004829E4"/>
    <w:rsid w:val="00482F94"/>
    <w:rsid w:val="00483314"/>
    <w:rsid w:val="004836CB"/>
    <w:rsid w:val="004840B7"/>
    <w:rsid w:val="00484D3F"/>
    <w:rsid w:val="004851C3"/>
    <w:rsid w:val="00485352"/>
    <w:rsid w:val="00485B74"/>
    <w:rsid w:val="00486122"/>
    <w:rsid w:val="0048639E"/>
    <w:rsid w:val="004867DA"/>
    <w:rsid w:val="00486EA4"/>
    <w:rsid w:val="00486FCB"/>
    <w:rsid w:val="004876C2"/>
    <w:rsid w:val="004878B6"/>
    <w:rsid w:val="00487B62"/>
    <w:rsid w:val="00487C76"/>
    <w:rsid w:val="00487E61"/>
    <w:rsid w:val="00487F1E"/>
    <w:rsid w:val="00490130"/>
    <w:rsid w:val="004902C0"/>
    <w:rsid w:val="00490831"/>
    <w:rsid w:val="00491095"/>
    <w:rsid w:val="00491630"/>
    <w:rsid w:val="004918B1"/>
    <w:rsid w:val="00491C5E"/>
    <w:rsid w:val="0049269C"/>
    <w:rsid w:val="004928A8"/>
    <w:rsid w:val="00492B8D"/>
    <w:rsid w:val="00492C56"/>
    <w:rsid w:val="00492F1A"/>
    <w:rsid w:val="0049304E"/>
    <w:rsid w:val="00493211"/>
    <w:rsid w:val="004932D9"/>
    <w:rsid w:val="00493782"/>
    <w:rsid w:val="004938E0"/>
    <w:rsid w:val="0049398D"/>
    <w:rsid w:val="004939A6"/>
    <w:rsid w:val="00493CF5"/>
    <w:rsid w:val="00493E2D"/>
    <w:rsid w:val="00494B2E"/>
    <w:rsid w:val="004952A2"/>
    <w:rsid w:val="00495415"/>
    <w:rsid w:val="00495804"/>
    <w:rsid w:val="0049590C"/>
    <w:rsid w:val="00495CBB"/>
    <w:rsid w:val="00495D9A"/>
    <w:rsid w:val="004963CB"/>
    <w:rsid w:val="004966E0"/>
    <w:rsid w:val="00496FD6"/>
    <w:rsid w:val="0049793F"/>
    <w:rsid w:val="004979FF"/>
    <w:rsid w:val="00497D1D"/>
    <w:rsid w:val="004A05C8"/>
    <w:rsid w:val="004A0697"/>
    <w:rsid w:val="004A0B83"/>
    <w:rsid w:val="004A0ECC"/>
    <w:rsid w:val="004A1163"/>
    <w:rsid w:val="004A1246"/>
    <w:rsid w:val="004A17FA"/>
    <w:rsid w:val="004A1932"/>
    <w:rsid w:val="004A1DAD"/>
    <w:rsid w:val="004A2005"/>
    <w:rsid w:val="004A215B"/>
    <w:rsid w:val="004A23E5"/>
    <w:rsid w:val="004A25D9"/>
    <w:rsid w:val="004A270B"/>
    <w:rsid w:val="004A29C7"/>
    <w:rsid w:val="004A2B71"/>
    <w:rsid w:val="004A2CD5"/>
    <w:rsid w:val="004A321F"/>
    <w:rsid w:val="004A3429"/>
    <w:rsid w:val="004A3644"/>
    <w:rsid w:val="004A38A5"/>
    <w:rsid w:val="004A3A41"/>
    <w:rsid w:val="004A3A47"/>
    <w:rsid w:val="004A3ABF"/>
    <w:rsid w:val="004A3F18"/>
    <w:rsid w:val="004A43DF"/>
    <w:rsid w:val="004A45FD"/>
    <w:rsid w:val="004A471D"/>
    <w:rsid w:val="004A493E"/>
    <w:rsid w:val="004A4D06"/>
    <w:rsid w:val="004A4FC8"/>
    <w:rsid w:val="004A50BC"/>
    <w:rsid w:val="004A5232"/>
    <w:rsid w:val="004A55BE"/>
    <w:rsid w:val="004A657D"/>
    <w:rsid w:val="004A664D"/>
    <w:rsid w:val="004A6825"/>
    <w:rsid w:val="004A6D5C"/>
    <w:rsid w:val="004A723F"/>
    <w:rsid w:val="004A76F0"/>
    <w:rsid w:val="004A76FD"/>
    <w:rsid w:val="004A7922"/>
    <w:rsid w:val="004B0033"/>
    <w:rsid w:val="004B0624"/>
    <w:rsid w:val="004B06D0"/>
    <w:rsid w:val="004B0A5F"/>
    <w:rsid w:val="004B0B6E"/>
    <w:rsid w:val="004B11AD"/>
    <w:rsid w:val="004B140D"/>
    <w:rsid w:val="004B15CE"/>
    <w:rsid w:val="004B1687"/>
    <w:rsid w:val="004B20E2"/>
    <w:rsid w:val="004B2575"/>
    <w:rsid w:val="004B2630"/>
    <w:rsid w:val="004B27E3"/>
    <w:rsid w:val="004B2918"/>
    <w:rsid w:val="004B29F6"/>
    <w:rsid w:val="004B34DD"/>
    <w:rsid w:val="004B358D"/>
    <w:rsid w:val="004B40A7"/>
    <w:rsid w:val="004B4249"/>
    <w:rsid w:val="004B4A60"/>
    <w:rsid w:val="004B4BC7"/>
    <w:rsid w:val="004B50E3"/>
    <w:rsid w:val="004B51A3"/>
    <w:rsid w:val="004B534E"/>
    <w:rsid w:val="004B5551"/>
    <w:rsid w:val="004B59CB"/>
    <w:rsid w:val="004B64D4"/>
    <w:rsid w:val="004B6901"/>
    <w:rsid w:val="004B6F05"/>
    <w:rsid w:val="004B702B"/>
    <w:rsid w:val="004B768B"/>
    <w:rsid w:val="004B774C"/>
    <w:rsid w:val="004B7AD9"/>
    <w:rsid w:val="004C0244"/>
    <w:rsid w:val="004C0712"/>
    <w:rsid w:val="004C0962"/>
    <w:rsid w:val="004C0EC9"/>
    <w:rsid w:val="004C0F0D"/>
    <w:rsid w:val="004C0FBF"/>
    <w:rsid w:val="004C142D"/>
    <w:rsid w:val="004C175A"/>
    <w:rsid w:val="004C1838"/>
    <w:rsid w:val="004C19D2"/>
    <w:rsid w:val="004C1AA7"/>
    <w:rsid w:val="004C1CE3"/>
    <w:rsid w:val="004C2B40"/>
    <w:rsid w:val="004C2C95"/>
    <w:rsid w:val="004C2CAC"/>
    <w:rsid w:val="004C3539"/>
    <w:rsid w:val="004C381C"/>
    <w:rsid w:val="004C3EAB"/>
    <w:rsid w:val="004C3F0D"/>
    <w:rsid w:val="004C3FD7"/>
    <w:rsid w:val="004C4648"/>
    <w:rsid w:val="004C48E5"/>
    <w:rsid w:val="004C4971"/>
    <w:rsid w:val="004C50C0"/>
    <w:rsid w:val="004C55E8"/>
    <w:rsid w:val="004C5AA1"/>
    <w:rsid w:val="004C5BBD"/>
    <w:rsid w:val="004C5D10"/>
    <w:rsid w:val="004C600D"/>
    <w:rsid w:val="004C6374"/>
    <w:rsid w:val="004C64D0"/>
    <w:rsid w:val="004C6641"/>
    <w:rsid w:val="004C683A"/>
    <w:rsid w:val="004C691F"/>
    <w:rsid w:val="004C6B4F"/>
    <w:rsid w:val="004C6D63"/>
    <w:rsid w:val="004C6DF5"/>
    <w:rsid w:val="004C7754"/>
    <w:rsid w:val="004C79D9"/>
    <w:rsid w:val="004D02A0"/>
    <w:rsid w:val="004D059B"/>
    <w:rsid w:val="004D0705"/>
    <w:rsid w:val="004D0EBA"/>
    <w:rsid w:val="004D14E1"/>
    <w:rsid w:val="004D199D"/>
    <w:rsid w:val="004D1CAB"/>
    <w:rsid w:val="004D1E35"/>
    <w:rsid w:val="004D21E5"/>
    <w:rsid w:val="004D2237"/>
    <w:rsid w:val="004D259F"/>
    <w:rsid w:val="004D25E2"/>
    <w:rsid w:val="004D26A0"/>
    <w:rsid w:val="004D3A17"/>
    <w:rsid w:val="004D3E36"/>
    <w:rsid w:val="004D4588"/>
    <w:rsid w:val="004D4AC2"/>
    <w:rsid w:val="004D4B5B"/>
    <w:rsid w:val="004D4CAE"/>
    <w:rsid w:val="004D5038"/>
    <w:rsid w:val="004D50DC"/>
    <w:rsid w:val="004D51D4"/>
    <w:rsid w:val="004D5251"/>
    <w:rsid w:val="004D53F8"/>
    <w:rsid w:val="004D5D9E"/>
    <w:rsid w:val="004D5EBD"/>
    <w:rsid w:val="004D6314"/>
    <w:rsid w:val="004D68BE"/>
    <w:rsid w:val="004D68ED"/>
    <w:rsid w:val="004D6A67"/>
    <w:rsid w:val="004D6D7B"/>
    <w:rsid w:val="004D7312"/>
    <w:rsid w:val="004D7420"/>
    <w:rsid w:val="004D7576"/>
    <w:rsid w:val="004E00E6"/>
    <w:rsid w:val="004E01C0"/>
    <w:rsid w:val="004E054D"/>
    <w:rsid w:val="004E06B0"/>
    <w:rsid w:val="004E07DA"/>
    <w:rsid w:val="004E08E7"/>
    <w:rsid w:val="004E0A8F"/>
    <w:rsid w:val="004E111B"/>
    <w:rsid w:val="004E1454"/>
    <w:rsid w:val="004E1E3E"/>
    <w:rsid w:val="004E1EA8"/>
    <w:rsid w:val="004E2459"/>
    <w:rsid w:val="004E26C8"/>
    <w:rsid w:val="004E2822"/>
    <w:rsid w:val="004E2921"/>
    <w:rsid w:val="004E2BC5"/>
    <w:rsid w:val="004E2FD4"/>
    <w:rsid w:val="004E305F"/>
    <w:rsid w:val="004E368E"/>
    <w:rsid w:val="004E3834"/>
    <w:rsid w:val="004E3C85"/>
    <w:rsid w:val="004E3FB6"/>
    <w:rsid w:val="004E41AF"/>
    <w:rsid w:val="004E4277"/>
    <w:rsid w:val="004E46EE"/>
    <w:rsid w:val="004E49BD"/>
    <w:rsid w:val="004E4E85"/>
    <w:rsid w:val="004E4F95"/>
    <w:rsid w:val="004E53FC"/>
    <w:rsid w:val="004E578F"/>
    <w:rsid w:val="004E5CB9"/>
    <w:rsid w:val="004E5CF5"/>
    <w:rsid w:val="004E650B"/>
    <w:rsid w:val="004E6510"/>
    <w:rsid w:val="004E6BC9"/>
    <w:rsid w:val="004E6CBA"/>
    <w:rsid w:val="004E73E8"/>
    <w:rsid w:val="004E7540"/>
    <w:rsid w:val="004E7FC0"/>
    <w:rsid w:val="004F0148"/>
    <w:rsid w:val="004F04C9"/>
    <w:rsid w:val="004F0564"/>
    <w:rsid w:val="004F056A"/>
    <w:rsid w:val="004F05B8"/>
    <w:rsid w:val="004F06B9"/>
    <w:rsid w:val="004F083D"/>
    <w:rsid w:val="004F0C3F"/>
    <w:rsid w:val="004F0DF9"/>
    <w:rsid w:val="004F1A7E"/>
    <w:rsid w:val="004F2715"/>
    <w:rsid w:val="004F2A1D"/>
    <w:rsid w:val="004F2BB1"/>
    <w:rsid w:val="004F2F35"/>
    <w:rsid w:val="004F304A"/>
    <w:rsid w:val="004F30BF"/>
    <w:rsid w:val="004F34AC"/>
    <w:rsid w:val="004F37EE"/>
    <w:rsid w:val="004F3BE6"/>
    <w:rsid w:val="004F3BF4"/>
    <w:rsid w:val="004F3D20"/>
    <w:rsid w:val="004F3FD2"/>
    <w:rsid w:val="004F40AD"/>
    <w:rsid w:val="004F41C8"/>
    <w:rsid w:val="004F4978"/>
    <w:rsid w:val="004F4F47"/>
    <w:rsid w:val="004F56ED"/>
    <w:rsid w:val="004F588D"/>
    <w:rsid w:val="004F5C58"/>
    <w:rsid w:val="004F5D56"/>
    <w:rsid w:val="004F5F23"/>
    <w:rsid w:val="004F5FA0"/>
    <w:rsid w:val="004F6045"/>
    <w:rsid w:val="004F6147"/>
    <w:rsid w:val="004F614F"/>
    <w:rsid w:val="004F6677"/>
    <w:rsid w:val="004F6782"/>
    <w:rsid w:val="004F69FE"/>
    <w:rsid w:val="004F6ED6"/>
    <w:rsid w:val="004F6EE4"/>
    <w:rsid w:val="004F752A"/>
    <w:rsid w:val="004F781C"/>
    <w:rsid w:val="004F7918"/>
    <w:rsid w:val="004F7F31"/>
    <w:rsid w:val="0050098F"/>
    <w:rsid w:val="00500CC6"/>
    <w:rsid w:val="005017AF"/>
    <w:rsid w:val="00501A5D"/>
    <w:rsid w:val="00501C1C"/>
    <w:rsid w:val="00502190"/>
    <w:rsid w:val="005022AE"/>
    <w:rsid w:val="005034E2"/>
    <w:rsid w:val="00503738"/>
    <w:rsid w:val="00503797"/>
    <w:rsid w:val="005038CB"/>
    <w:rsid w:val="0050398F"/>
    <w:rsid w:val="005039EE"/>
    <w:rsid w:val="00503F6D"/>
    <w:rsid w:val="00504CF2"/>
    <w:rsid w:val="005051C5"/>
    <w:rsid w:val="00505714"/>
    <w:rsid w:val="00505B35"/>
    <w:rsid w:val="0050634D"/>
    <w:rsid w:val="00506441"/>
    <w:rsid w:val="005067EB"/>
    <w:rsid w:val="00506A1E"/>
    <w:rsid w:val="00506B64"/>
    <w:rsid w:val="00506C00"/>
    <w:rsid w:val="00507749"/>
    <w:rsid w:val="00507A41"/>
    <w:rsid w:val="00510162"/>
    <w:rsid w:val="005106A0"/>
    <w:rsid w:val="00510A77"/>
    <w:rsid w:val="00510B78"/>
    <w:rsid w:val="005111E1"/>
    <w:rsid w:val="00511586"/>
    <w:rsid w:val="0051180D"/>
    <w:rsid w:val="0051227C"/>
    <w:rsid w:val="0051254F"/>
    <w:rsid w:val="005125B3"/>
    <w:rsid w:val="005125B6"/>
    <w:rsid w:val="005129F7"/>
    <w:rsid w:val="00512AF0"/>
    <w:rsid w:val="00512E59"/>
    <w:rsid w:val="005130A1"/>
    <w:rsid w:val="005133C9"/>
    <w:rsid w:val="0051367A"/>
    <w:rsid w:val="00513E25"/>
    <w:rsid w:val="0051430B"/>
    <w:rsid w:val="005144B5"/>
    <w:rsid w:val="00514710"/>
    <w:rsid w:val="00514E75"/>
    <w:rsid w:val="0051524A"/>
    <w:rsid w:val="0051535D"/>
    <w:rsid w:val="005158FB"/>
    <w:rsid w:val="00515A03"/>
    <w:rsid w:val="0051601C"/>
    <w:rsid w:val="005162F1"/>
    <w:rsid w:val="005162FB"/>
    <w:rsid w:val="00516603"/>
    <w:rsid w:val="0051788F"/>
    <w:rsid w:val="00517E75"/>
    <w:rsid w:val="0052095A"/>
    <w:rsid w:val="00520E0A"/>
    <w:rsid w:val="0052125B"/>
    <w:rsid w:val="00521565"/>
    <w:rsid w:val="00521745"/>
    <w:rsid w:val="005219BF"/>
    <w:rsid w:val="005221B4"/>
    <w:rsid w:val="005224A4"/>
    <w:rsid w:val="00522B66"/>
    <w:rsid w:val="00523055"/>
    <w:rsid w:val="005232C3"/>
    <w:rsid w:val="005234BC"/>
    <w:rsid w:val="00523D53"/>
    <w:rsid w:val="00523D66"/>
    <w:rsid w:val="00523F12"/>
    <w:rsid w:val="00523FCF"/>
    <w:rsid w:val="0052446A"/>
    <w:rsid w:val="00524490"/>
    <w:rsid w:val="005244CA"/>
    <w:rsid w:val="005249CF"/>
    <w:rsid w:val="00524A48"/>
    <w:rsid w:val="005251FB"/>
    <w:rsid w:val="00525285"/>
    <w:rsid w:val="0052543F"/>
    <w:rsid w:val="0052553B"/>
    <w:rsid w:val="00525A58"/>
    <w:rsid w:val="00525A6A"/>
    <w:rsid w:val="00525BBB"/>
    <w:rsid w:val="00525DF6"/>
    <w:rsid w:val="00526118"/>
    <w:rsid w:val="005263EB"/>
    <w:rsid w:val="00526534"/>
    <w:rsid w:val="0052699C"/>
    <w:rsid w:val="00526CF2"/>
    <w:rsid w:val="0052700A"/>
    <w:rsid w:val="005275E5"/>
    <w:rsid w:val="00527868"/>
    <w:rsid w:val="00527A5E"/>
    <w:rsid w:val="00527B27"/>
    <w:rsid w:val="00527BA9"/>
    <w:rsid w:val="00530166"/>
    <w:rsid w:val="00530771"/>
    <w:rsid w:val="00530783"/>
    <w:rsid w:val="00530833"/>
    <w:rsid w:val="00530DE9"/>
    <w:rsid w:val="00530EBF"/>
    <w:rsid w:val="00531469"/>
    <w:rsid w:val="005314FB"/>
    <w:rsid w:val="005320EA"/>
    <w:rsid w:val="00533561"/>
    <w:rsid w:val="00533C9D"/>
    <w:rsid w:val="005348CE"/>
    <w:rsid w:val="00534A7B"/>
    <w:rsid w:val="00534FA1"/>
    <w:rsid w:val="0053567B"/>
    <w:rsid w:val="0053578C"/>
    <w:rsid w:val="00535955"/>
    <w:rsid w:val="00535DC9"/>
    <w:rsid w:val="0053625D"/>
    <w:rsid w:val="00536816"/>
    <w:rsid w:val="00536F59"/>
    <w:rsid w:val="00537507"/>
    <w:rsid w:val="00537A32"/>
    <w:rsid w:val="00537F17"/>
    <w:rsid w:val="00540376"/>
    <w:rsid w:val="0054077E"/>
    <w:rsid w:val="00540889"/>
    <w:rsid w:val="00540997"/>
    <w:rsid w:val="005412F3"/>
    <w:rsid w:val="00541413"/>
    <w:rsid w:val="005414EF"/>
    <w:rsid w:val="005420CD"/>
    <w:rsid w:val="00542366"/>
    <w:rsid w:val="005424AA"/>
    <w:rsid w:val="005425AD"/>
    <w:rsid w:val="00542A02"/>
    <w:rsid w:val="005431F0"/>
    <w:rsid w:val="005431FC"/>
    <w:rsid w:val="00543B50"/>
    <w:rsid w:val="00543E78"/>
    <w:rsid w:val="00544329"/>
    <w:rsid w:val="00544453"/>
    <w:rsid w:val="005446AA"/>
    <w:rsid w:val="0054481C"/>
    <w:rsid w:val="005448CD"/>
    <w:rsid w:val="00545158"/>
    <w:rsid w:val="00545440"/>
    <w:rsid w:val="005454E8"/>
    <w:rsid w:val="00545C69"/>
    <w:rsid w:val="00546132"/>
    <w:rsid w:val="00546319"/>
    <w:rsid w:val="00546FEB"/>
    <w:rsid w:val="0054766B"/>
    <w:rsid w:val="00547E0F"/>
    <w:rsid w:val="005501CE"/>
    <w:rsid w:val="00550242"/>
    <w:rsid w:val="00550733"/>
    <w:rsid w:val="00550AA6"/>
    <w:rsid w:val="00550BAA"/>
    <w:rsid w:val="00550D0E"/>
    <w:rsid w:val="005516BD"/>
    <w:rsid w:val="0055172A"/>
    <w:rsid w:val="005520B1"/>
    <w:rsid w:val="00552731"/>
    <w:rsid w:val="00552833"/>
    <w:rsid w:val="005529BB"/>
    <w:rsid w:val="00552F06"/>
    <w:rsid w:val="005530E3"/>
    <w:rsid w:val="00553198"/>
    <w:rsid w:val="00553457"/>
    <w:rsid w:val="0055347B"/>
    <w:rsid w:val="00553797"/>
    <w:rsid w:val="005539EC"/>
    <w:rsid w:val="00553A0B"/>
    <w:rsid w:val="00553FFB"/>
    <w:rsid w:val="005542EE"/>
    <w:rsid w:val="00554329"/>
    <w:rsid w:val="00554607"/>
    <w:rsid w:val="00554627"/>
    <w:rsid w:val="0055475C"/>
    <w:rsid w:val="005547FF"/>
    <w:rsid w:val="00554D86"/>
    <w:rsid w:val="00554E74"/>
    <w:rsid w:val="00554F04"/>
    <w:rsid w:val="00555E12"/>
    <w:rsid w:val="00556136"/>
    <w:rsid w:val="005563C9"/>
    <w:rsid w:val="005566AA"/>
    <w:rsid w:val="00556B93"/>
    <w:rsid w:val="00556D00"/>
    <w:rsid w:val="0055711B"/>
    <w:rsid w:val="0055738E"/>
    <w:rsid w:val="005574F9"/>
    <w:rsid w:val="0055758F"/>
    <w:rsid w:val="00557DAC"/>
    <w:rsid w:val="00560031"/>
    <w:rsid w:val="005602EA"/>
    <w:rsid w:val="00560404"/>
    <w:rsid w:val="00560624"/>
    <w:rsid w:val="00560881"/>
    <w:rsid w:val="00560978"/>
    <w:rsid w:val="00560A37"/>
    <w:rsid w:val="00560C38"/>
    <w:rsid w:val="00560D2B"/>
    <w:rsid w:val="00560DE2"/>
    <w:rsid w:val="00560FAC"/>
    <w:rsid w:val="005611B9"/>
    <w:rsid w:val="005612D4"/>
    <w:rsid w:val="005613A3"/>
    <w:rsid w:val="005613A7"/>
    <w:rsid w:val="00561710"/>
    <w:rsid w:val="00561975"/>
    <w:rsid w:val="005619B7"/>
    <w:rsid w:val="00561AEE"/>
    <w:rsid w:val="00561C1C"/>
    <w:rsid w:val="00561CCE"/>
    <w:rsid w:val="00561D3C"/>
    <w:rsid w:val="00562A5F"/>
    <w:rsid w:val="00562BE5"/>
    <w:rsid w:val="00562E3D"/>
    <w:rsid w:val="005634BA"/>
    <w:rsid w:val="00563ADB"/>
    <w:rsid w:val="00563EC3"/>
    <w:rsid w:val="00563F75"/>
    <w:rsid w:val="005640EB"/>
    <w:rsid w:val="00564600"/>
    <w:rsid w:val="0056495D"/>
    <w:rsid w:val="00564DA3"/>
    <w:rsid w:val="00564EB4"/>
    <w:rsid w:val="005651DE"/>
    <w:rsid w:val="00565514"/>
    <w:rsid w:val="0056557A"/>
    <w:rsid w:val="00565FCB"/>
    <w:rsid w:val="00566076"/>
    <w:rsid w:val="00566282"/>
    <w:rsid w:val="005666B9"/>
    <w:rsid w:val="00566766"/>
    <w:rsid w:val="00566845"/>
    <w:rsid w:val="00566A6C"/>
    <w:rsid w:val="00566F82"/>
    <w:rsid w:val="00567218"/>
    <w:rsid w:val="00567646"/>
    <w:rsid w:val="00567B69"/>
    <w:rsid w:val="0057013D"/>
    <w:rsid w:val="0057031E"/>
    <w:rsid w:val="00570584"/>
    <w:rsid w:val="005705C8"/>
    <w:rsid w:val="0057094E"/>
    <w:rsid w:val="00570A00"/>
    <w:rsid w:val="00570E16"/>
    <w:rsid w:val="005712D6"/>
    <w:rsid w:val="00571812"/>
    <w:rsid w:val="00571DCD"/>
    <w:rsid w:val="0057218C"/>
    <w:rsid w:val="005723F9"/>
    <w:rsid w:val="00572C81"/>
    <w:rsid w:val="00572E70"/>
    <w:rsid w:val="00572EB6"/>
    <w:rsid w:val="00573348"/>
    <w:rsid w:val="00573369"/>
    <w:rsid w:val="0057337D"/>
    <w:rsid w:val="005737C9"/>
    <w:rsid w:val="00573C20"/>
    <w:rsid w:val="00574098"/>
    <w:rsid w:val="0057418A"/>
    <w:rsid w:val="00574923"/>
    <w:rsid w:val="005749F3"/>
    <w:rsid w:val="00574D59"/>
    <w:rsid w:val="0057512E"/>
    <w:rsid w:val="0057535A"/>
    <w:rsid w:val="00575641"/>
    <w:rsid w:val="00575C24"/>
    <w:rsid w:val="00576226"/>
    <w:rsid w:val="005762EA"/>
    <w:rsid w:val="005767AE"/>
    <w:rsid w:val="00576933"/>
    <w:rsid w:val="005773EC"/>
    <w:rsid w:val="00577AD2"/>
    <w:rsid w:val="00580390"/>
    <w:rsid w:val="00580491"/>
    <w:rsid w:val="00580F52"/>
    <w:rsid w:val="0058137E"/>
    <w:rsid w:val="005816EE"/>
    <w:rsid w:val="005817B2"/>
    <w:rsid w:val="005819CB"/>
    <w:rsid w:val="005819F7"/>
    <w:rsid w:val="00581A20"/>
    <w:rsid w:val="00581C35"/>
    <w:rsid w:val="00581C62"/>
    <w:rsid w:val="0058204A"/>
    <w:rsid w:val="005820EC"/>
    <w:rsid w:val="0058220C"/>
    <w:rsid w:val="00582265"/>
    <w:rsid w:val="005823A5"/>
    <w:rsid w:val="005824C6"/>
    <w:rsid w:val="00582629"/>
    <w:rsid w:val="00582674"/>
    <w:rsid w:val="005826EE"/>
    <w:rsid w:val="0058271E"/>
    <w:rsid w:val="0058283F"/>
    <w:rsid w:val="00582ECE"/>
    <w:rsid w:val="00583198"/>
    <w:rsid w:val="005831BF"/>
    <w:rsid w:val="005834BC"/>
    <w:rsid w:val="00583930"/>
    <w:rsid w:val="00583BFE"/>
    <w:rsid w:val="00583D8A"/>
    <w:rsid w:val="00583DBE"/>
    <w:rsid w:val="005840EB"/>
    <w:rsid w:val="005840EF"/>
    <w:rsid w:val="005843BE"/>
    <w:rsid w:val="005845A3"/>
    <w:rsid w:val="005848F8"/>
    <w:rsid w:val="00584E2F"/>
    <w:rsid w:val="005850F8"/>
    <w:rsid w:val="00585151"/>
    <w:rsid w:val="0058523B"/>
    <w:rsid w:val="0058525B"/>
    <w:rsid w:val="00585719"/>
    <w:rsid w:val="00585AAE"/>
    <w:rsid w:val="00585C03"/>
    <w:rsid w:val="00585F1C"/>
    <w:rsid w:val="005863B2"/>
    <w:rsid w:val="005863F7"/>
    <w:rsid w:val="00586637"/>
    <w:rsid w:val="005868AB"/>
    <w:rsid w:val="00587229"/>
    <w:rsid w:val="00587C46"/>
    <w:rsid w:val="00587F56"/>
    <w:rsid w:val="00587FD9"/>
    <w:rsid w:val="0059001E"/>
    <w:rsid w:val="005900B9"/>
    <w:rsid w:val="005902C9"/>
    <w:rsid w:val="005908B9"/>
    <w:rsid w:val="00591265"/>
    <w:rsid w:val="00591282"/>
    <w:rsid w:val="00591283"/>
    <w:rsid w:val="005915A4"/>
    <w:rsid w:val="005924D3"/>
    <w:rsid w:val="005924F1"/>
    <w:rsid w:val="005925E3"/>
    <w:rsid w:val="00592CF0"/>
    <w:rsid w:val="0059304D"/>
    <w:rsid w:val="00593058"/>
    <w:rsid w:val="005933AE"/>
    <w:rsid w:val="005934A8"/>
    <w:rsid w:val="0059382B"/>
    <w:rsid w:val="00593CBE"/>
    <w:rsid w:val="00593F5D"/>
    <w:rsid w:val="0059404E"/>
    <w:rsid w:val="0059406A"/>
    <w:rsid w:val="005944F1"/>
    <w:rsid w:val="005946CA"/>
    <w:rsid w:val="005948E1"/>
    <w:rsid w:val="005948F3"/>
    <w:rsid w:val="00594B14"/>
    <w:rsid w:val="00595156"/>
    <w:rsid w:val="005962ED"/>
    <w:rsid w:val="005965C9"/>
    <w:rsid w:val="005966C9"/>
    <w:rsid w:val="00596790"/>
    <w:rsid w:val="005967C0"/>
    <w:rsid w:val="00596832"/>
    <w:rsid w:val="00596CCB"/>
    <w:rsid w:val="00596DB6"/>
    <w:rsid w:val="005970CD"/>
    <w:rsid w:val="00597459"/>
    <w:rsid w:val="00597753"/>
    <w:rsid w:val="005979C3"/>
    <w:rsid w:val="00597D8A"/>
    <w:rsid w:val="00597E6F"/>
    <w:rsid w:val="005A0203"/>
    <w:rsid w:val="005A052F"/>
    <w:rsid w:val="005A05DF"/>
    <w:rsid w:val="005A0C7F"/>
    <w:rsid w:val="005A0ECA"/>
    <w:rsid w:val="005A0EFC"/>
    <w:rsid w:val="005A1018"/>
    <w:rsid w:val="005A1099"/>
    <w:rsid w:val="005A10AE"/>
    <w:rsid w:val="005A12EF"/>
    <w:rsid w:val="005A1396"/>
    <w:rsid w:val="005A13B0"/>
    <w:rsid w:val="005A1586"/>
    <w:rsid w:val="005A15BB"/>
    <w:rsid w:val="005A15D8"/>
    <w:rsid w:val="005A1980"/>
    <w:rsid w:val="005A1A26"/>
    <w:rsid w:val="005A1BC8"/>
    <w:rsid w:val="005A1C64"/>
    <w:rsid w:val="005A1F74"/>
    <w:rsid w:val="005A207E"/>
    <w:rsid w:val="005A2293"/>
    <w:rsid w:val="005A2593"/>
    <w:rsid w:val="005A2FFB"/>
    <w:rsid w:val="005A3196"/>
    <w:rsid w:val="005A339E"/>
    <w:rsid w:val="005A35CE"/>
    <w:rsid w:val="005A3858"/>
    <w:rsid w:val="005A3993"/>
    <w:rsid w:val="005A3CF7"/>
    <w:rsid w:val="005A3E4B"/>
    <w:rsid w:val="005A408B"/>
    <w:rsid w:val="005A414B"/>
    <w:rsid w:val="005A48B4"/>
    <w:rsid w:val="005A48BD"/>
    <w:rsid w:val="005A581C"/>
    <w:rsid w:val="005A5A88"/>
    <w:rsid w:val="005A6A8A"/>
    <w:rsid w:val="005A6E32"/>
    <w:rsid w:val="005A6F80"/>
    <w:rsid w:val="005A7215"/>
    <w:rsid w:val="005A726F"/>
    <w:rsid w:val="005A7550"/>
    <w:rsid w:val="005A782E"/>
    <w:rsid w:val="005A793B"/>
    <w:rsid w:val="005A79AE"/>
    <w:rsid w:val="005A7A5C"/>
    <w:rsid w:val="005A7EBC"/>
    <w:rsid w:val="005B00B5"/>
    <w:rsid w:val="005B0168"/>
    <w:rsid w:val="005B01B7"/>
    <w:rsid w:val="005B05E7"/>
    <w:rsid w:val="005B0774"/>
    <w:rsid w:val="005B080D"/>
    <w:rsid w:val="005B0E02"/>
    <w:rsid w:val="005B1595"/>
    <w:rsid w:val="005B1731"/>
    <w:rsid w:val="005B1878"/>
    <w:rsid w:val="005B1CF5"/>
    <w:rsid w:val="005B203F"/>
    <w:rsid w:val="005B2054"/>
    <w:rsid w:val="005B247D"/>
    <w:rsid w:val="005B2561"/>
    <w:rsid w:val="005B25AA"/>
    <w:rsid w:val="005B2607"/>
    <w:rsid w:val="005B26FD"/>
    <w:rsid w:val="005B2BC5"/>
    <w:rsid w:val="005B2E63"/>
    <w:rsid w:val="005B3EF1"/>
    <w:rsid w:val="005B3F34"/>
    <w:rsid w:val="005B429E"/>
    <w:rsid w:val="005B42A7"/>
    <w:rsid w:val="005B44D0"/>
    <w:rsid w:val="005B4CD8"/>
    <w:rsid w:val="005B55D6"/>
    <w:rsid w:val="005B5B11"/>
    <w:rsid w:val="005B5C27"/>
    <w:rsid w:val="005B5C4A"/>
    <w:rsid w:val="005B5FC3"/>
    <w:rsid w:val="005B60BD"/>
    <w:rsid w:val="005B61BF"/>
    <w:rsid w:val="005B668D"/>
    <w:rsid w:val="005B6717"/>
    <w:rsid w:val="005B67FE"/>
    <w:rsid w:val="005B6837"/>
    <w:rsid w:val="005B6913"/>
    <w:rsid w:val="005B6AD3"/>
    <w:rsid w:val="005B705F"/>
    <w:rsid w:val="005B799E"/>
    <w:rsid w:val="005B7A53"/>
    <w:rsid w:val="005B7C8C"/>
    <w:rsid w:val="005C0178"/>
    <w:rsid w:val="005C02BC"/>
    <w:rsid w:val="005C0423"/>
    <w:rsid w:val="005C0607"/>
    <w:rsid w:val="005C0873"/>
    <w:rsid w:val="005C0A76"/>
    <w:rsid w:val="005C0F3A"/>
    <w:rsid w:val="005C0F51"/>
    <w:rsid w:val="005C0FA9"/>
    <w:rsid w:val="005C0FE5"/>
    <w:rsid w:val="005C11E6"/>
    <w:rsid w:val="005C147A"/>
    <w:rsid w:val="005C1490"/>
    <w:rsid w:val="005C19D6"/>
    <w:rsid w:val="005C1F3B"/>
    <w:rsid w:val="005C208C"/>
    <w:rsid w:val="005C20F7"/>
    <w:rsid w:val="005C2469"/>
    <w:rsid w:val="005C28E4"/>
    <w:rsid w:val="005C2A7E"/>
    <w:rsid w:val="005C2E67"/>
    <w:rsid w:val="005C35ED"/>
    <w:rsid w:val="005C35FA"/>
    <w:rsid w:val="005C37F2"/>
    <w:rsid w:val="005C414B"/>
    <w:rsid w:val="005C42EA"/>
    <w:rsid w:val="005C4457"/>
    <w:rsid w:val="005C4616"/>
    <w:rsid w:val="005C4AD1"/>
    <w:rsid w:val="005C4AF0"/>
    <w:rsid w:val="005C4D24"/>
    <w:rsid w:val="005C4DD7"/>
    <w:rsid w:val="005C5284"/>
    <w:rsid w:val="005C539A"/>
    <w:rsid w:val="005C5693"/>
    <w:rsid w:val="005C5A2A"/>
    <w:rsid w:val="005C5BA0"/>
    <w:rsid w:val="005C5C9E"/>
    <w:rsid w:val="005C5D0A"/>
    <w:rsid w:val="005C60B1"/>
    <w:rsid w:val="005C6C12"/>
    <w:rsid w:val="005C6F04"/>
    <w:rsid w:val="005C74F8"/>
    <w:rsid w:val="005C75B9"/>
    <w:rsid w:val="005C778A"/>
    <w:rsid w:val="005C794A"/>
    <w:rsid w:val="005C7B1F"/>
    <w:rsid w:val="005C7E97"/>
    <w:rsid w:val="005D065D"/>
    <w:rsid w:val="005D070B"/>
    <w:rsid w:val="005D0C8D"/>
    <w:rsid w:val="005D12BF"/>
    <w:rsid w:val="005D14E9"/>
    <w:rsid w:val="005D19D4"/>
    <w:rsid w:val="005D1A3C"/>
    <w:rsid w:val="005D1B75"/>
    <w:rsid w:val="005D1C71"/>
    <w:rsid w:val="005D1E86"/>
    <w:rsid w:val="005D21A6"/>
    <w:rsid w:val="005D2854"/>
    <w:rsid w:val="005D29D5"/>
    <w:rsid w:val="005D29F6"/>
    <w:rsid w:val="005D383D"/>
    <w:rsid w:val="005D3947"/>
    <w:rsid w:val="005D3D18"/>
    <w:rsid w:val="005D3E4A"/>
    <w:rsid w:val="005D3E97"/>
    <w:rsid w:val="005D3F76"/>
    <w:rsid w:val="005D4095"/>
    <w:rsid w:val="005D4641"/>
    <w:rsid w:val="005D4750"/>
    <w:rsid w:val="005D49A2"/>
    <w:rsid w:val="005D49FF"/>
    <w:rsid w:val="005D4ACD"/>
    <w:rsid w:val="005D4C36"/>
    <w:rsid w:val="005D4D0A"/>
    <w:rsid w:val="005D4E41"/>
    <w:rsid w:val="005D526E"/>
    <w:rsid w:val="005D5625"/>
    <w:rsid w:val="005D5672"/>
    <w:rsid w:val="005D5695"/>
    <w:rsid w:val="005D5A82"/>
    <w:rsid w:val="005D5D34"/>
    <w:rsid w:val="005D6151"/>
    <w:rsid w:val="005D6156"/>
    <w:rsid w:val="005D6309"/>
    <w:rsid w:val="005D63D6"/>
    <w:rsid w:val="005D64BF"/>
    <w:rsid w:val="005D6BF4"/>
    <w:rsid w:val="005D6CA0"/>
    <w:rsid w:val="005D72C3"/>
    <w:rsid w:val="005D7ED3"/>
    <w:rsid w:val="005D7FFC"/>
    <w:rsid w:val="005E06C9"/>
    <w:rsid w:val="005E0862"/>
    <w:rsid w:val="005E08CF"/>
    <w:rsid w:val="005E129D"/>
    <w:rsid w:val="005E1375"/>
    <w:rsid w:val="005E147F"/>
    <w:rsid w:val="005E14D8"/>
    <w:rsid w:val="005E178A"/>
    <w:rsid w:val="005E19FF"/>
    <w:rsid w:val="005E1CEB"/>
    <w:rsid w:val="005E2576"/>
    <w:rsid w:val="005E27F6"/>
    <w:rsid w:val="005E2A30"/>
    <w:rsid w:val="005E2BDE"/>
    <w:rsid w:val="005E2FF1"/>
    <w:rsid w:val="005E3850"/>
    <w:rsid w:val="005E3B4D"/>
    <w:rsid w:val="005E3B5B"/>
    <w:rsid w:val="005E3DEF"/>
    <w:rsid w:val="005E41A6"/>
    <w:rsid w:val="005E4266"/>
    <w:rsid w:val="005E427F"/>
    <w:rsid w:val="005E4E97"/>
    <w:rsid w:val="005E54F0"/>
    <w:rsid w:val="005E57F7"/>
    <w:rsid w:val="005E5C65"/>
    <w:rsid w:val="005E5DFA"/>
    <w:rsid w:val="005E609A"/>
    <w:rsid w:val="005E682E"/>
    <w:rsid w:val="005E68F3"/>
    <w:rsid w:val="005E6A57"/>
    <w:rsid w:val="005E6BB3"/>
    <w:rsid w:val="005E6F86"/>
    <w:rsid w:val="005E70D9"/>
    <w:rsid w:val="005E71E1"/>
    <w:rsid w:val="005E7479"/>
    <w:rsid w:val="005E756A"/>
    <w:rsid w:val="005E7892"/>
    <w:rsid w:val="005E78BB"/>
    <w:rsid w:val="005E7CCA"/>
    <w:rsid w:val="005F0245"/>
    <w:rsid w:val="005F0652"/>
    <w:rsid w:val="005F07BE"/>
    <w:rsid w:val="005F0AE1"/>
    <w:rsid w:val="005F0DE4"/>
    <w:rsid w:val="005F1146"/>
    <w:rsid w:val="005F191F"/>
    <w:rsid w:val="005F1D63"/>
    <w:rsid w:val="005F1D68"/>
    <w:rsid w:val="005F2BC2"/>
    <w:rsid w:val="005F2FB8"/>
    <w:rsid w:val="005F3C0A"/>
    <w:rsid w:val="005F3CEA"/>
    <w:rsid w:val="005F44DE"/>
    <w:rsid w:val="005F4587"/>
    <w:rsid w:val="005F4A97"/>
    <w:rsid w:val="005F4E85"/>
    <w:rsid w:val="005F4EB2"/>
    <w:rsid w:val="005F5255"/>
    <w:rsid w:val="005F546F"/>
    <w:rsid w:val="005F5479"/>
    <w:rsid w:val="005F567B"/>
    <w:rsid w:val="005F5B32"/>
    <w:rsid w:val="005F6065"/>
    <w:rsid w:val="005F66AA"/>
    <w:rsid w:val="005F66DC"/>
    <w:rsid w:val="005F7097"/>
    <w:rsid w:val="005F731B"/>
    <w:rsid w:val="005F786A"/>
    <w:rsid w:val="005F79F6"/>
    <w:rsid w:val="005F7AC1"/>
    <w:rsid w:val="005F7EA3"/>
    <w:rsid w:val="00600DA1"/>
    <w:rsid w:val="006013FB"/>
    <w:rsid w:val="00601583"/>
    <w:rsid w:val="00601CE8"/>
    <w:rsid w:val="00601DFB"/>
    <w:rsid w:val="00601F1A"/>
    <w:rsid w:val="00601F8B"/>
    <w:rsid w:val="0060259D"/>
    <w:rsid w:val="00602746"/>
    <w:rsid w:val="00602911"/>
    <w:rsid w:val="0060294C"/>
    <w:rsid w:val="00602FB1"/>
    <w:rsid w:val="00603073"/>
    <w:rsid w:val="00603105"/>
    <w:rsid w:val="00603128"/>
    <w:rsid w:val="006036E2"/>
    <w:rsid w:val="00603705"/>
    <w:rsid w:val="006037C5"/>
    <w:rsid w:val="00603976"/>
    <w:rsid w:val="00603A7A"/>
    <w:rsid w:val="00604319"/>
    <w:rsid w:val="00604485"/>
    <w:rsid w:val="00604861"/>
    <w:rsid w:val="00604C19"/>
    <w:rsid w:val="00604C32"/>
    <w:rsid w:val="00604D76"/>
    <w:rsid w:val="00604E89"/>
    <w:rsid w:val="00604F87"/>
    <w:rsid w:val="0060508A"/>
    <w:rsid w:val="006052B9"/>
    <w:rsid w:val="00605607"/>
    <w:rsid w:val="006059A8"/>
    <w:rsid w:val="00605E4D"/>
    <w:rsid w:val="00606002"/>
    <w:rsid w:val="00606458"/>
    <w:rsid w:val="00606720"/>
    <w:rsid w:val="00606841"/>
    <w:rsid w:val="00606CC5"/>
    <w:rsid w:val="00606E65"/>
    <w:rsid w:val="00607141"/>
    <w:rsid w:val="00607385"/>
    <w:rsid w:val="0060754F"/>
    <w:rsid w:val="00607B23"/>
    <w:rsid w:val="00610057"/>
    <w:rsid w:val="00610C20"/>
    <w:rsid w:val="00611189"/>
    <w:rsid w:val="00611765"/>
    <w:rsid w:val="00611FD0"/>
    <w:rsid w:val="0061233F"/>
    <w:rsid w:val="006123C1"/>
    <w:rsid w:val="006125C5"/>
    <w:rsid w:val="006126E2"/>
    <w:rsid w:val="00612766"/>
    <w:rsid w:val="0061278B"/>
    <w:rsid w:val="00612B0D"/>
    <w:rsid w:val="00612EE9"/>
    <w:rsid w:val="0061385B"/>
    <w:rsid w:val="00613AB5"/>
    <w:rsid w:val="00614153"/>
    <w:rsid w:val="006144BB"/>
    <w:rsid w:val="00614667"/>
    <w:rsid w:val="0061489F"/>
    <w:rsid w:val="006149AD"/>
    <w:rsid w:val="00614CAC"/>
    <w:rsid w:val="00615189"/>
    <w:rsid w:val="0061549B"/>
    <w:rsid w:val="00616089"/>
    <w:rsid w:val="00616900"/>
    <w:rsid w:val="00616A41"/>
    <w:rsid w:val="00616ACC"/>
    <w:rsid w:val="00616B2A"/>
    <w:rsid w:val="0061744E"/>
    <w:rsid w:val="0061747F"/>
    <w:rsid w:val="0061799E"/>
    <w:rsid w:val="00617B9D"/>
    <w:rsid w:val="00617CDA"/>
    <w:rsid w:val="00620102"/>
    <w:rsid w:val="0062032D"/>
    <w:rsid w:val="006204D9"/>
    <w:rsid w:val="0062057F"/>
    <w:rsid w:val="006205AD"/>
    <w:rsid w:val="00620BE6"/>
    <w:rsid w:val="00620CA8"/>
    <w:rsid w:val="00620E5D"/>
    <w:rsid w:val="0062165E"/>
    <w:rsid w:val="00621934"/>
    <w:rsid w:val="00621C89"/>
    <w:rsid w:val="00621FA9"/>
    <w:rsid w:val="00622007"/>
    <w:rsid w:val="00622079"/>
    <w:rsid w:val="00622782"/>
    <w:rsid w:val="00622874"/>
    <w:rsid w:val="00622A90"/>
    <w:rsid w:val="006239A3"/>
    <w:rsid w:val="00623D94"/>
    <w:rsid w:val="00623F1D"/>
    <w:rsid w:val="00624529"/>
    <w:rsid w:val="00624544"/>
    <w:rsid w:val="00624CA0"/>
    <w:rsid w:val="00624D93"/>
    <w:rsid w:val="006250CF"/>
    <w:rsid w:val="006254B1"/>
    <w:rsid w:val="00625671"/>
    <w:rsid w:val="006261D9"/>
    <w:rsid w:val="006261E6"/>
    <w:rsid w:val="006265AF"/>
    <w:rsid w:val="006265BD"/>
    <w:rsid w:val="006265D8"/>
    <w:rsid w:val="00626AAB"/>
    <w:rsid w:val="00626BD8"/>
    <w:rsid w:val="00630007"/>
    <w:rsid w:val="006305AE"/>
    <w:rsid w:val="00630770"/>
    <w:rsid w:val="00630940"/>
    <w:rsid w:val="00630B6A"/>
    <w:rsid w:val="006310C3"/>
    <w:rsid w:val="006312F7"/>
    <w:rsid w:val="00631B50"/>
    <w:rsid w:val="00631C3E"/>
    <w:rsid w:val="006320CB"/>
    <w:rsid w:val="006321A5"/>
    <w:rsid w:val="00632209"/>
    <w:rsid w:val="00632656"/>
    <w:rsid w:val="00632991"/>
    <w:rsid w:val="00632F67"/>
    <w:rsid w:val="006331E5"/>
    <w:rsid w:val="006333DD"/>
    <w:rsid w:val="006335DE"/>
    <w:rsid w:val="006339B8"/>
    <w:rsid w:val="00633FD6"/>
    <w:rsid w:val="0063450F"/>
    <w:rsid w:val="006345ED"/>
    <w:rsid w:val="006345EE"/>
    <w:rsid w:val="00634C72"/>
    <w:rsid w:val="00634E95"/>
    <w:rsid w:val="0063515E"/>
    <w:rsid w:val="00635D61"/>
    <w:rsid w:val="00635E30"/>
    <w:rsid w:val="006361DC"/>
    <w:rsid w:val="00636330"/>
    <w:rsid w:val="00636B1C"/>
    <w:rsid w:val="0063731C"/>
    <w:rsid w:val="00637C31"/>
    <w:rsid w:val="00640005"/>
    <w:rsid w:val="00640169"/>
    <w:rsid w:val="0064043A"/>
    <w:rsid w:val="006407E9"/>
    <w:rsid w:val="0064099A"/>
    <w:rsid w:val="00640EE9"/>
    <w:rsid w:val="00640FBA"/>
    <w:rsid w:val="0064166A"/>
    <w:rsid w:val="00641758"/>
    <w:rsid w:val="00641B57"/>
    <w:rsid w:val="00641CD9"/>
    <w:rsid w:val="00641DF1"/>
    <w:rsid w:val="00641E4F"/>
    <w:rsid w:val="006420AB"/>
    <w:rsid w:val="006428DF"/>
    <w:rsid w:val="00642978"/>
    <w:rsid w:val="00642B83"/>
    <w:rsid w:val="0064341D"/>
    <w:rsid w:val="00644429"/>
    <w:rsid w:val="00644462"/>
    <w:rsid w:val="00644E33"/>
    <w:rsid w:val="00644FA1"/>
    <w:rsid w:val="00645164"/>
    <w:rsid w:val="006455FE"/>
    <w:rsid w:val="00645C8C"/>
    <w:rsid w:val="00646291"/>
    <w:rsid w:val="00646441"/>
    <w:rsid w:val="006469A2"/>
    <w:rsid w:val="00646AB8"/>
    <w:rsid w:val="00646D0D"/>
    <w:rsid w:val="006470E5"/>
    <w:rsid w:val="006471F9"/>
    <w:rsid w:val="0064776F"/>
    <w:rsid w:val="0064782E"/>
    <w:rsid w:val="006479EC"/>
    <w:rsid w:val="00647A3C"/>
    <w:rsid w:val="0065045B"/>
    <w:rsid w:val="00650635"/>
    <w:rsid w:val="00650760"/>
    <w:rsid w:val="006507E9"/>
    <w:rsid w:val="00650822"/>
    <w:rsid w:val="00650A98"/>
    <w:rsid w:val="00650E05"/>
    <w:rsid w:val="00650E20"/>
    <w:rsid w:val="006517A8"/>
    <w:rsid w:val="00651DE4"/>
    <w:rsid w:val="006521E6"/>
    <w:rsid w:val="006525F9"/>
    <w:rsid w:val="0065271E"/>
    <w:rsid w:val="00652863"/>
    <w:rsid w:val="0065290E"/>
    <w:rsid w:val="00652921"/>
    <w:rsid w:val="00652950"/>
    <w:rsid w:val="00652E02"/>
    <w:rsid w:val="006532FB"/>
    <w:rsid w:val="006533A9"/>
    <w:rsid w:val="00653C4B"/>
    <w:rsid w:val="00653D6D"/>
    <w:rsid w:val="006548AD"/>
    <w:rsid w:val="00654978"/>
    <w:rsid w:val="0065544C"/>
    <w:rsid w:val="00655962"/>
    <w:rsid w:val="006559C6"/>
    <w:rsid w:val="00655E4B"/>
    <w:rsid w:val="006560A2"/>
    <w:rsid w:val="00656401"/>
    <w:rsid w:val="00656989"/>
    <w:rsid w:val="006572C7"/>
    <w:rsid w:val="00657372"/>
    <w:rsid w:val="00657575"/>
    <w:rsid w:val="00657674"/>
    <w:rsid w:val="006578FA"/>
    <w:rsid w:val="0066025F"/>
    <w:rsid w:val="0066041F"/>
    <w:rsid w:val="00660473"/>
    <w:rsid w:val="0066047B"/>
    <w:rsid w:val="00660D04"/>
    <w:rsid w:val="00660E13"/>
    <w:rsid w:val="0066141F"/>
    <w:rsid w:val="006614D8"/>
    <w:rsid w:val="006615CE"/>
    <w:rsid w:val="00661B9D"/>
    <w:rsid w:val="006624EE"/>
    <w:rsid w:val="006628C1"/>
    <w:rsid w:val="00662C39"/>
    <w:rsid w:val="00662E8A"/>
    <w:rsid w:val="00663136"/>
    <w:rsid w:val="006636ED"/>
    <w:rsid w:val="00663BB8"/>
    <w:rsid w:val="00663CD7"/>
    <w:rsid w:val="00663E10"/>
    <w:rsid w:val="00663EBA"/>
    <w:rsid w:val="00663F2E"/>
    <w:rsid w:val="0066419D"/>
    <w:rsid w:val="0066434A"/>
    <w:rsid w:val="00664404"/>
    <w:rsid w:val="00664716"/>
    <w:rsid w:val="00664879"/>
    <w:rsid w:val="006655C3"/>
    <w:rsid w:val="00665E1E"/>
    <w:rsid w:val="006661AE"/>
    <w:rsid w:val="006661E7"/>
    <w:rsid w:val="00666763"/>
    <w:rsid w:val="0066694C"/>
    <w:rsid w:val="00666ACC"/>
    <w:rsid w:val="00666EAA"/>
    <w:rsid w:val="0066711D"/>
    <w:rsid w:val="006671D6"/>
    <w:rsid w:val="00667451"/>
    <w:rsid w:val="006674AF"/>
    <w:rsid w:val="00667861"/>
    <w:rsid w:val="00667CE2"/>
    <w:rsid w:val="00667EF3"/>
    <w:rsid w:val="00667FEE"/>
    <w:rsid w:val="00670175"/>
    <w:rsid w:val="006701A1"/>
    <w:rsid w:val="006707CC"/>
    <w:rsid w:val="006708F6"/>
    <w:rsid w:val="00670DF0"/>
    <w:rsid w:val="00670E7B"/>
    <w:rsid w:val="00670ECD"/>
    <w:rsid w:val="0067129F"/>
    <w:rsid w:val="006714BB"/>
    <w:rsid w:val="00671629"/>
    <w:rsid w:val="00671766"/>
    <w:rsid w:val="00671A26"/>
    <w:rsid w:val="00671AF8"/>
    <w:rsid w:val="00671D87"/>
    <w:rsid w:val="00671D8A"/>
    <w:rsid w:val="00671E40"/>
    <w:rsid w:val="00672050"/>
    <w:rsid w:val="00672427"/>
    <w:rsid w:val="00672F7D"/>
    <w:rsid w:val="0067356B"/>
    <w:rsid w:val="00673669"/>
    <w:rsid w:val="00673BEE"/>
    <w:rsid w:val="00673D65"/>
    <w:rsid w:val="00673DCA"/>
    <w:rsid w:val="00673E42"/>
    <w:rsid w:val="006740EF"/>
    <w:rsid w:val="006741B8"/>
    <w:rsid w:val="006746D0"/>
    <w:rsid w:val="00675115"/>
    <w:rsid w:val="00675502"/>
    <w:rsid w:val="00675847"/>
    <w:rsid w:val="00675FA0"/>
    <w:rsid w:val="006770C5"/>
    <w:rsid w:val="006775D3"/>
    <w:rsid w:val="00677B79"/>
    <w:rsid w:val="00677FAC"/>
    <w:rsid w:val="00680190"/>
    <w:rsid w:val="006805AC"/>
    <w:rsid w:val="006809EC"/>
    <w:rsid w:val="00680B1F"/>
    <w:rsid w:val="00680E20"/>
    <w:rsid w:val="00680E4A"/>
    <w:rsid w:val="00681209"/>
    <w:rsid w:val="00681436"/>
    <w:rsid w:val="006815F6"/>
    <w:rsid w:val="00681A6F"/>
    <w:rsid w:val="00681C2D"/>
    <w:rsid w:val="00681D97"/>
    <w:rsid w:val="00681E9C"/>
    <w:rsid w:val="00681F24"/>
    <w:rsid w:val="006820A6"/>
    <w:rsid w:val="006821AB"/>
    <w:rsid w:val="00682324"/>
    <w:rsid w:val="006826D6"/>
    <w:rsid w:val="00682B55"/>
    <w:rsid w:val="00682D13"/>
    <w:rsid w:val="00682DEB"/>
    <w:rsid w:val="00682E6A"/>
    <w:rsid w:val="00682F49"/>
    <w:rsid w:val="006838FF"/>
    <w:rsid w:val="00683A08"/>
    <w:rsid w:val="00683C33"/>
    <w:rsid w:val="00683F65"/>
    <w:rsid w:val="0068401C"/>
    <w:rsid w:val="006840C7"/>
    <w:rsid w:val="0068441B"/>
    <w:rsid w:val="0068476F"/>
    <w:rsid w:val="00684C89"/>
    <w:rsid w:val="00685196"/>
    <w:rsid w:val="0068553C"/>
    <w:rsid w:val="006856C2"/>
    <w:rsid w:val="006857F9"/>
    <w:rsid w:val="00686527"/>
    <w:rsid w:val="006866BE"/>
    <w:rsid w:val="00686933"/>
    <w:rsid w:val="00686F72"/>
    <w:rsid w:val="0068744E"/>
    <w:rsid w:val="006875BF"/>
    <w:rsid w:val="00687644"/>
    <w:rsid w:val="00687A58"/>
    <w:rsid w:val="00687C95"/>
    <w:rsid w:val="00687CF6"/>
    <w:rsid w:val="00687D00"/>
    <w:rsid w:val="00687EA8"/>
    <w:rsid w:val="00687EE8"/>
    <w:rsid w:val="006900B3"/>
    <w:rsid w:val="0069098B"/>
    <w:rsid w:val="00691115"/>
    <w:rsid w:val="006914F0"/>
    <w:rsid w:val="006915DB"/>
    <w:rsid w:val="00691734"/>
    <w:rsid w:val="00691C10"/>
    <w:rsid w:val="006923EA"/>
    <w:rsid w:val="006926D4"/>
    <w:rsid w:val="00692D1A"/>
    <w:rsid w:val="00692DC6"/>
    <w:rsid w:val="006930F8"/>
    <w:rsid w:val="00693310"/>
    <w:rsid w:val="00693359"/>
    <w:rsid w:val="00693912"/>
    <w:rsid w:val="00693BDB"/>
    <w:rsid w:val="00693D13"/>
    <w:rsid w:val="006940D3"/>
    <w:rsid w:val="006940F0"/>
    <w:rsid w:val="00694113"/>
    <w:rsid w:val="0069465F"/>
    <w:rsid w:val="006947F6"/>
    <w:rsid w:val="006949CD"/>
    <w:rsid w:val="00694D72"/>
    <w:rsid w:val="00694FE0"/>
    <w:rsid w:val="006957DE"/>
    <w:rsid w:val="00695C9D"/>
    <w:rsid w:val="006962AA"/>
    <w:rsid w:val="006966DF"/>
    <w:rsid w:val="00696FF1"/>
    <w:rsid w:val="006972F7"/>
    <w:rsid w:val="00697918"/>
    <w:rsid w:val="00697AC1"/>
    <w:rsid w:val="00697ED5"/>
    <w:rsid w:val="00697F3F"/>
    <w:rsid w:val="006A030E"/>
    <w:rsid w:val="006A0405"/>
    <w:rsid w:val="006A0534"/>
    <w:rsid w:val="006A0747"/>
    <w:rsid w:val="006A0942"/>
    <w:rsid w:val="006A0D24"/>
    <w:rsid w:val="006A120D"/>
    <w:rsid w:val="006A14AC"/>
    <w:rsid w:val="006A14EC"/>
    <w:rsid w:val="006A1640"/>
    <w:rsid w:val="006A1679"/>
    <w:rsid w:val="006A16A8"/>
    <w:rsid w:val="006A18E6"/>
    <w:rsid w:val="006A1DBF"/>
    <w:rsid w:val="006A273B"/>
    <w:rsid w:val="006A28CF"/>
    <w:rsid w:val="006A29F8"/>
    <w:rsid w:val="006A3097"/>
    <w:rsid w:val="006A3187"/>
    <w:rsid w:val="006A3734"/>
    <w:rsid w:val="006A3786"/>
    <w:rsid w:val="006A39FB"/>
    <w:rsid w:val="006A3E95"/>
    <w:rsid w:val="006A4344"/>
    <w:rsid w:val="006A43FD"/>
    <w:rsid w:val="006A48EB"/>
    <w:rsid w:val="006A4E28"/>
    <w:rsid w:val="006A50E1"/>
    <w:rsid w:val="006A55B0"/>
    <w:rsid w:val="006A562D"/>
    <w:rsid w:val="006A5946"/>
    <w:rsid w:val="006A5A36"/>
    <w:rsid w:val="006A5BE3"/>
    <w:rsid w:val="006A5C43"/>
    <w:rsid w:val="006A683D"/>
    <w:rsid w:val="006A6C1F"/>
    <w:rsid w:val="006A6CA6"/>
    <w:rsid w:val="006A77AB"/>
    <w:rsid w:val="006A77B3"/>
    <w:rsid w:val="006A78B9"/>
    <w:rsid w:val="006A7D09"/>
    <w:rsid w:val="006B00FD"/>
    <w:rsid w:val="006B0723"/>
    <w:rsid w:val="006B0794"/>
    <w:rsid w:val="006B0B91"/>
    <w:rsid w:val="006B0EF2"/>
    <w:rsid w:val="006B1213"/>
    <w:rsid w:val="006B14B4"/>
    <w:rsid w:val="006B1692"/>
    <w:rsid w:val="006B1A4C"/>
    <w:rsid w:val="006B2203"/>
    <w:rsid w:val="006B2257"/>
    <w:rsid w:val="006B249D"/>
    <w:rsid w:val="006B253D"/>
    <w:rsid w:val="006B25B8"/>
    <w:rsid w:val="006B26C9"/>
    <w:rsid w:val="006B2CF1"/>
    <w:rsid w:val="006B31D8"/>
    <w:rsid w:val="006B3642"/>
    <w:rsid w:val="006B38F2"/>
    <w:rsid w:val="006B3E1A"/>
    <w:rsid w:val="006B3F37"/>
    <w:rsid w:val="006B490F"/>
    <w:rsid w:val="006B4968"/>
    <w:rsid w:val="006B49F5"/>
    <w:rsid w:val="006B4DB0"/>
    <w:rsid w:val="006B51B9"/>
    <w:rsid w:val="006B54D8"/>
    <w:rsid w:val="006B6130"/>
    <w:rsid w:val="006B632A"/>
    <w:rsid w:val="006B657B"/>
    <w:rsid w:val="006B6D1F"/>
    <w:rsid w:val="006B6E38"/>
    <w:rsid w:val="006B7123"/>
    <w:rsid w:val="006B75B6"/>
    <w:rsid w:val="006B7772"/>
    <w:rsid w:val="006B7983"/>
    <w:rsid w:val="006B7A80"/>
    <w:rsid w:val="006C0484"/>
    <w:rsid w:val="006C05A9"/>
    <w:rsid w:val="006C0F83"/>
    <w:rsid w:val="006C0F9C"/>
    <w:rsid w:val="006C179E"/>
    <w:rsid w:val="006C1850"/>
    <w:rsid w:val="006C192B"/>
    <w:rsid w:val="006C1A5F"/>
    <w:rsid w:val="006C1D4C"/>
    <w:rsid w:val="006C1F6C"/>
    <w:rsid w:val="006C2157"/>
    <w:rsid w:val="006C25DD"/>
    <w:rsid w:val="006C2910"/>
    <w:rsid w:val="006C2CB1"/>
    <w:rsid w:val="006C2D53"/>
    <w:rsid w:val="006C2DAE"/>
    <w:rsid w:val="006C3606"/>
    <w:rsid w:val="006C3AB5"/>
    <w:rsid w:val="006C3C49"/>
    <w:rsid w:val="006C495F"/>
    <w:rsid w:val="006C562C"/>
    <w:rsid w:val="006C5775"/>
    <w:rsid w:val="006C580C"/>
    <w:rsid w:val="006C588E"/>
    <w:rsid w:val="006C61A8"/>
    <w:rsid w:val="006C65A0"/>
    <w:rsid w:val="006C66A6"/>
    <w:rsid w:val="006C6782"/>
    <w:rsid w:val="006C6E7A"/>
    <w:rsid w:val="006C7394"/>
    <w:rsid w:val="006C76C7"/>
    <w:rsid w:val="006C7AA6"/>
    <w:rsid w:val="006C7EC3"/>
    <w:rsid w:val="006D036D"/>
    <w:rsid w:val="006D0760"/>
    <w:rsid w:val="006D0793"/>
    <w:rsid w:val="006D0B8E"/>
    <w:rsid w:val="006D0E1D"/>
    <w:rsid w:val="006D0F97"/>
    <w:rsid w:val="006D101E"/>
    <w:rsid w:val="006D130E"/>
    <w:rsid w:val="006D1601"/>
    <w:rsid w:val="006D1A28"/>
    <w:rsid w:val="006D1ABC"/>
    <w:rsid w:val="006D1B1C"/>
    <w:rsid w:val="006D1B4E"/>
    <w:rsid w:val="006D21C1"/>
    <w:rsid w:val="006D2699"/>
    <w:rsid w:val="006D2BDA"/>
    <w:rsid w:val="006D2DBC"/>
    <w:rsid w:val="006D348B"/>
    <w:rsid w:val="006D3522"/>
    <w:rsid w:val="006D3530"/>
    <w:rsid w:val="006D3751"/>
    <w:rsid w:val="006D4415"/>
    <w:rsid w:val="006D47F4"/>
    <w:rsid w:val="006D48BD"/>
    <w:rsid w:val="006D4C5C"/>
    <w:rsid w:val="006D4DAD"/>
    <w:rsid w:val="006D5683"/>
    <w:rsid w:val="006D60C9"/>
    <w:rsid w:val="006D6F11"/>
    <w:rsid w:val="006D716B"/>
    <w:rsid w:val="006D72A3"/>
    <w:rsid w:val="006D7E02"/>
    <w:rsid w:val="006D7EAC"/>
    <w:rsid w:val="006E03A8"/>
    <w:rsid w:val="006E0520"/>
    <w:rsid w:val="006E0CFF"/>
    <w:rsid w:val="006E0F5E"/>
    <w:rsid w:val="006E17E8"/>
    <w:rsid w:val="006E1A47"/>
    <w:rsid w:val="006E1B36"/>
    <w:rsid w:val="006E21F4"/>
    <w:rsid w:val="006E23AB"/>
    <w:rsid w:val="006E255D"/>
    <w:rsid w:val="006E2E6A"/>
    <w:rsid w:val="006E3379"/>
    <w:rsid w:val="006E3648"/>
    <w:rsid w:val="006E38CF"/>
    <w:rsid w:val="006E3B32"/>
    <w:rsid w:val="006E40E4"/>
    <w:rsid w:val="006E4494"/>
    <w:rsid w:val="006E4844"/>
    <w:rsid w:val="006E48CC"/>
    <w:rsid w:val="006E4E59"/>
    <w:rsid w:val="006E551D"/>
    <w:rsid w:val="006E566A"/>
    <w:rsid w:val="006E566E"/>
    <w:rsid w:val="006E5CD9"/>
    <w:rsid w:val="006E6B3F"/>
    <w:rsid w:val="006E6F67"/>
    <w:rsid w:val="006E737E"/>
    <w:rsid w:val="006E74B5"/>
    <w:rsid w:val="006E783E"/>
    <w:rsid w:val="006E7889"/>
    <w:rsid w:val="006E7CBD"/>
    <w:rsid w:val="006E7E39"/>
    <w:rsid w:val="006E7FC2"/>
    <w:rsid w:val="006F000F"/>
    <w:rsid w:val="006F003B"/>
    <w:rsid w:val="006F021B"/>
    <w:rsid w:val="006F0608"/>
    <w:rsid w:val="006F090F"/>
    <w:rsid w:val="006F0ED3"/>
    <w:rsid w:val="006F0F4F"/>
    <w:rsid w:val="006F1238"/>
    <w:rsid w:val="006F1358"/>
    <w:rsid w:val="006F1F39"/>
    <w:rsid w:val="006F2254"/>
    <w:rsid w:val="006F26CE"/>
    <w:rsid w:val="006F27E3"/>
    <w:rsid w:val="006F284F"/>
    <w:rsid w:val="006F28FB"/>
    <w:rsid w:val="006F2EE7"/>
    <w:rsid w:val="006F310C"/>
    <w:rsid w:val="006F316D"/>
    <w:rsid w:val="006F3298"/>
    <w:rsid w:val="006F337A"/>
    <w:rsid w:val="006F3593"/>
    <w:rsid w:val="006F3918"/>
    <w:rsid w:val="006F39CD"/>
    <w:rsid w:val="006F3A0F"/>
    <w:rsid w:val="006F3A12"/>
    <w:rsid w:val="006F3DAA"/>
    <w:rsid w:val="006F491F"/>
    <w:rsid w:val="006F4F72"/>
    <w:rsid w:val="006F529F"/>
    <w:rsid w:val="006F5FB6"/>
    <w:rsid w:val="006F60C3"/>
    <w:rsid w:val="006F7DDF"/>
    <w:rsid w:val="00700123"/>
    <w:rsid w:val="007004A0"/>
    <w:rsid w:val="00700E5B"/>
    <w:rsid w:val="0070109F"/>
    <w:rsid w:val="00701447"/>
    <w:rsid w:val="007016A8"/>
    <w:rsid w:val="007016D3"/>
    <w:rsid w:val="00701979"/>
    <w:rsid w:val="00701F65"/>
    <w:rsid w:val="007021FC"/>
    <w:rsid w:val="00702260"/>
    <w:rsid w:val="007023A5"/>
    <w:rsid w:val="00702672"/>
    <w:rsid w:val="0070281F"/>
    <w:rsid w:val="00702F78"/>
    <w:rsid w:val="00702F7F"/>
    <w:rsid w:val="00703156"/>
    <w:rsid w:val="0070326E"/>
    <w:rsid w:val="00703425"/>
    <w:rsid w:val="0070369A"/>
    <w:rsid w:val="00703706"/>
    <w:rsid w:val="00703C9A"/>
    <w:rsid w:val="00703CD6"/>
    <w:rsid w:val="00703CFD"/>
    <w:rsid w:val="00703E2E"/>
    <w:rsid w:val="00703FAC"/>
    <w:rsid w:val="00704A0E"/>
    <w:rsid w:val="00704A76"/>
    <w:rsid w:val="00704B01"/>
    <w:rsid w:val="00704E72"/>
    <w:rsid w:val="00705320"/>
    <w:rsid w:val="0070538E"/>
    <w:rsid w:val="00705495"/>
    <w:rsid w:val="007055DE"/>
    <w:rsid w:val="007056E8"/>
    <w:rsid w:val="0070661B"/>
    <w:rsid w:val="0070698D"/>
    <w:rsid w:val="00706F45"/>
    <w:rsid w:val="00706FCE"/>
    <w:rsid w:val="00707282"/>
    <w:rsid w:val="00707892"/>
    <w:rsid w:val="00707992"/>
    <w:rsid w:val="00707ACC"/>
    <w:rsid w:val="007102CB"/>
    <w:rsid w:val="00710376"/>
    <w:rsid w:val="007104DD"/>
    <w:rsid w:val="00710809"/>
    <w:rsid w:val="007108D9"/>
    <w:rsid w:val="00711196"/>
    <w:rsid w:val="00711564"/>
    <w:rsid w:val="00711B3F"/>
    <w:rsid w:val="00711D8C"/>
    <w:rsid w:val="00712024"/>
    <w:rsid w:val="007121B4"/>
    <w:rsid w:val="00712886"/>
    <w:rsid w:val="00713423"/>
    <w:rsid w:val="00713D1E"/>
    <w:rsid w:val="00713DE8"/>
    <w:rsid w:val="00714306"/>
    <w:rsid w:val="00714870"/>
    <w:rsid w:val="007150D4"/>
    <w:rsid w:val="0071544C"/>
    <w:rsid w:val="00715633"/>
    <w:rsid w:val="00715664"/>
    <w:rsid w:val="00715A72"/>
    <w:rsid w:val="00715BF6"/>
    <w:rsid w:val="00715EA4"/>
    <w:rsid w:val="00716220"/>
    <w:rsid w:val="00716994"/>
    <w:rsid w:val="007177FC"/>
    <w:rsid w:val="00717B75"/>
    <w:rsid w:val="00717ECB"/>
    <w:rsid w:val="00717FE8"/>
    <w:rsid w:val="00720025"/>
    <w:rsid w:val="007203E3"/>
    <w:rsid w:val="0072064C"/>
    <w:rsid w:val="00720710"/>
    <w:rsid w:val="00720C72"/>
    <w:rsid w:val="00720FE8"/>
    <w:rsid w:val="007213E4"/>
    <w:rsid w:val="0072154F"/>
    <w:rsid w:val="0072161F"/>
    <w:rsid w:val="0072163E"/>
    <w:rsid w:val="007218C4"/>
    <w:rsid w:val="007219FB"/>
    <w:rsid w:val="00721B66"/>
    <w:rsid w:val="00721D3E"/>
    <w:rsid w:val="00722F64"/>
    <w:rsid w:val="00723A68"/>
    <w:rsid w:val="00723F70"/>
    <w:rsid w:val="00723F81"/>
    <w:rsid w:val="007241E9"/>
    <w:rsid w:val="007244D5"/>
    <w:rsid w:val="007245DB"/>
    <w:rsid w:val="00724A61"/>
    <w:rsid w:val="00724F8A"/>
    <w:rsid w:val="0072521E"/>
    <w:rsid w:val="00725385"/>
    <w:rsid w:val="0072578A"/>
    <w:rsid w:val="00725F9F"/>
    <w:rsid w:val="007261CA"/>
    <w:rsid w:val="0072662E"/>
    <w:rsid w:val="00726C8F"/>
    <w:rsid w:val="00726CB3"/>
    <w:rsid w:val="00726DAC"/>
    <w:rsid w:val="0072715C"/>
    <w:rsid w:val="00727660"/>
    <w:rsid w:val="00727C11"/>
    <w:rsid w:val="00730355"/>
    <w:rsid w:val="00730825"/>
    <w:rsid w:val="00730894"/>
    <w:rsid w:val="00730D1A"/>
    <w:rsid w:val="00730E75"/>
    <w:rsid w:val="007311D1"/>
    <w:rsid w:val="00731544"/>
    <w:rsid w:val="0073158E"/>
    <w:rsid w:val="007315F4"/>
    <w:rsid w:val="00731679"/>
    <w:rsid w:val="0073172A"/>
    <w:rsid w:val="00732773"/>
    <w:rsid w:val="00732905"/>
    <w:rsid w:val="0073299D"/>
    <w:rsid w:val="00732EBC"/>
    <w:rsid w:val="00733672"/>
    <w:rsid w:val="0073379C"/>
    <w:rsid w:val="007339DE"/>
    <w:rsid w:val="00733B01"/>
    <w:rsid w:val="00733C84"/>
    <w:rsid w:val="00733E91"/>
    <w:rsid w:val="00733FAF"/>
    <w:rsid w:val="00733FFC"/>
    <w:rsid w:val="0073414D"/>
    <w:rsid w:val="00734191"/>
    <w:rsid w:val="00734289"/>
    <w:rsid w:val="007345C7"/>
    <w:rsid w:val="00734DB4"/>
    <w:rsid w:val="00734EF6"/>
    <w:rsid w:val="00734F10"/>
    <w:rsid w:val="00735263"/>
    <w:rsid w:val="00735626"/>
    <w:rsid w:val="007358CC"/>
    <w:rsid w:val="007359D7"/>
    <w:rsid w:val="00735B47"/>
    <w:rsid w:val="00735C2D"/>
    <w:rsid w:val="00735E32"/>
    <w:rsid w:val="0073630A"/>
    <w:rsid w:val="00736733"/>
    <w:rsid w:val="00736A2F"/>
    <w:rsid w:val="007371A6"/>
    <w:rsid w:val="00737264"/>
    <w:rsid w:val="007379E4"/>
    <w:rsid w:val="00737B6E"/>
    <w:rsid w:val="00737BA6"/>
    <w:rsid w:val="00737C8A"/>
    <w:rsid w:val="00740267"/>
    <w:rsid w:val="007409B2"/>
    <w:rsid w:val="007409C1"/>
    <w:rsid w:val="00740BA0"/>
    <w:rsid w:val="00740DBC"/>
    <w:rsid w:val="00741015"/>
    <w:rsid w:val="00741510"/>
    <w:rsid w:val="0074157A"/>
    <w:rsid w:val="007417E5"/>
    <w:rsid w:val="00742506"/>
    <w:rsid w:val="00742D9E"/>
    <w:rsid w:val="00742DC6"/>
    <w:rsid w:val="007433F0"/>
    <w:rsid w:val="00743A40"/>
    <w:rsid w:val="00743AB9"/>
    <w:rsid w:val="00743ADC"/>
    <w:rsid w:val="00743CE3"/>
    <w:rsid w:val="00743E67"/>
    <w:rsid w:val="0074404B"/>
    <w:rsid w:val="00744416"/>
    <w:rsid w:val="00744493"/>
    <w:rsid w:val="00744649"/>
    <w:rsid w:val="007446F8"/>
    <w:rsid w:val="0074484C"/>
    <w:rsid w:val="00744C97"/>
    <w:rsid w:val="007455FE"/>
    <w:rsid w:val="00745C69"/>
    <w:rsid w:val="007461FF"/>
    <w:rsid w:val="007462EC"/>
    <w:rsid w:val="00746589"/>
    <w:rsid w:val="0074663B"/>
    <w:rsid w:val="007472AA"/>
    <w:rsid w:val="00747A23"/>
    <w:rsid w:val="00747C62"/>
    <w:rsid w:val="00747DCF"/>
    <w:rsid w:val="0075090A"/>
    <w:rsid w:val="00750B94"/>
    <w:rsid w:val="00750BEE"/>
    <w:rsid w:val="00751195"/>
    <w:rsid w:val="00751289"/>
    <w:rsid w:val="007514A9"/>
    <w:rsid w:val="00751657"/>
    <w:rsid w:val="00751720"/>
    <w:rsid w:val="007519BA"/>
    <w:rsid w:val="00751A88"/>
    <w:rsid w:val="00751FC9"/>
    <w:rsid w:val="0075215B"/>
    <w:rsid w:val="007522AF"/>
    <w:rsid w:val="007533C9"/>
    <w:rsid w:val="007539BF"/>
    <w:rsid w:val="007539CB"/>
    <w:rsid w:val="00753F62"/>
    <w:rsid w:val="007544A9"/>
    <w:rsid w:val="0075483A"/>
    <w:rsid w:val="00754C49"/>
    <w:rsid w:val="00755096"/>
    <w:rsid w:val="007550EE"/>
    <w:rsid w:val="00755901"/>
    <w:rsid w:val="00755D9A"/>
    <w:rsid w:val="00755FCE"/>
    <w:rsid w:val="0075689B"/>
    <w:rsid w:val="00756B31"/>
    <w:rsid w:val="00757425"/>
    <w:rsid w:val="0075771E"/>
    <w:rsid w:val="00757887"/>
    <w:rsid w:val="0075790F"/>
    <w:rsid w:val="00757DB6"/>
    <w:rsid w:val="0076077A"/>
    <w:rsid w:val="007613CB"/>
    <w:rsid w:val="00761795"/>
    <w:rsid w:val="00761AC8"/>
    <w:rsid w:val="00761DB1"/>
    <w:rsid w:val="0076206F"/>
    <w:rsid w:val="00762226"/>
    <w:rsid w:val="00762400"/>
    <w:rsid w:val="00762CF0"/>
    <w:rsid w:val="00762D38"/>
    <w:rsid w:val="007632E0"/>
    <w:rsid w:val="007634AC"/>
    <w:rsid w:val="00763566"/>
    <w:rsid w:val="00764453"/>
    <w:rsid w:val="0076449D"/>
    <w:rsid w:val="00764801"/>
    <w:rsid w:val="00764C4A"/>
    <w:rsid w:val="0076515D"/>
    <w:rsid w:val="007655FA"/>
    <w:rsid w:val="007658E5"/>
    <w:rsid w:val="00765AA7"/>
    <w:rsid w:val="00765B1B"/>
    <w:rsid w:val="00765C16"/>
    <w:rsid w:val="00765C3D"/>
    <w:rsid w:val="00765EC0"/>
    <w:rsid w:val="00766003"/>
    <w:rsid w:val="00766523"/>
    <w:rsid w:val="007669D7"/>
    <w:rsid w:val="00766FEB"/>
    <w:rsid w:val="00767397"/>
    <w:rsid w:val="007679EB"/>
    <w:rsid w:val="007704CA"/>
    <w:rsid w:val="00770C8A"/>
    <w:rsid w:val="00770D94"/>
    <w:rsid w:val="007715F2"/>
    <w:rsid w:val="0077160D"/>
    <w:rsid w:val="00771631"/>
    <w:rsid w:val="00771F9B"/>
    <w:rsid w:val="0077230E"/>
    <w:rsid w:val="007723F1"/>
    <w:rsid w:val="00772559"/>
    <w:rsid w:val="0077261D"/>
    <w:rsid w:val="00772656"/>
    <w:rsid w:val="0077271B"/>
    <w:rsid w:val="00772ADE"/>
    <w:rsid w:val="00772D6E"/>
    <w:rsid w:val="00772F01"/>
    <w:rsid w:val="0077306D"/>
    <w:rsid w:val="0077311A"/>
    <w:rsid w:val="007732F1"/>
    <w:rsid w:val="007738EC"/>
    <w:rsid w:val="00773F7A"/>
    <w:rsid w:val="00774114"/>
    <w:rsid w:val="007741FF"/>
    <w:rsid w:val="0077546B"/>
    <w:rsid w:val="007756C3"/>
    <w:rsid w:val="0077572F"/>
    <w:rsid w:val="00775A2C"/>
    <w:rsid w:val="00775ACF"/>
    <w:rsid w:val="00776033"/>
    <w:rsid w:val="0077621D"/>
    <w:rsid w:val="007762CD"/>
    <w:rsid w:val="0077643C"/>
    <w:rsid w:val="0077684B"/>
    <w:rsid w:val="00777020"/>
    <w:rsid w:val="0077726D"/>
    <w:rsid w:val="00777290"/>
    <w:rsid w:val="007772E8"/>
    <w:rsid w:val="00777721"/>
    <w:rsid w:val="00780273"/>
    <w:rsid w:val="00780355"/>
    <w:rsid w:val="00780956"/>
    <w:rsid w:val="00780981"/>
    <w:rsid w:val="0078148C"/>
    <w:rsid w:val="00781619"/>
    <w:rsid w:val="00781725"/>
    <w:rsid w:val="007818C2"/>
    <w:rsid w:val="00781AC2"/>
    <w:rsid w:val="00781C82"/>
    <w:rsid w:val="0078233F"/>
    <w:rsid w:val="00782692"/>
    <w:rsid w:val="007828D5"/>
    <w:rsid w:val="00782A08"/>
    <w:rsid w:val="00782D8F"/>
    <w:rsid w:val="00782F00"/>
    <w:rsid w:val="00782FC5"/>
    <w:rsid w:val="00783263"/>
    <w:rsid w:val="00783345"/>
    <w:rsid w:val="0078357E"/>
    <w:rsid w:val="00783633"/>
    <w:rsid w:val="0078385A"/>
    <w:rsid w:val="007839E7"/>
    <w:rsid w:val="007841FF"/>
    <w:rsid w:val="00785009"/>
    <w:rsid w:val="007853D9"/>
    <w:rsid w:val="0078599A"/>
    <w:rsid w:val="00785A63"/>
    <w:rsid w:val="00785E26"/>
    <w:rsid w:val="00785EFF"/>
    <w:rsid w:val="00786824"/>
    <w:rsid w:val="00786C1E"/>
    <w:rsid w:val="0078724C"/>
    <w:rsid w:val="0078751E"/>
    <w:rsid w:val="00787C9D"/>
    <w:rsid w:val="007906CA"/>
    <w:rsid w:val="00790D49"/>
    <w:rsid w:val="00791503"/>
    <w:rsid w:val="00791816"/>
    <w:rsid w:val="00791C4B"/>
    <w:rsid w:val="00791E96"/>
    <w:rsid w:val="0079215A"/>
    <w:rsid w:val="00792460"/>
    <w:rsid w:val="007934D4"/>
    <w:rsid w:val="0079377C"/>
    <w:rsid w:val="0079394A"/>
    <w:rsid w:val="0079399A"/>
    <w:rsid w:val="007939BD"/>
    <w:rsid w:val="00793A05"/>
    <w:rsid w:val="00793A0E"/>
    <w:rsid w:val="00793C16"/>
    <w:rsid w:val="00793FBD"/>
    <w:rsid w:val="00794725"/>
    <w:rsid w:val="00794AEE"/>
    <w:rsid w:val="00795610"/>
    <w:rsid w:val="0079574C"/>
    <w:rsid w:val="00795792"/>
    <w:rsid w:val="00795B10"/>
    <w:rsid w:val="00795BA2"/>
    <w:rsid w:val="00795D98"/>
    <w:rsid w:val="0079663A"/>
    <w:rsid w:val="00796AC3"/>
    <w:rsid w:val="00796C5E"/>
    <w:rsid w:val="00796F84"/>
    <w:rsid w:val="00796F8B"/>
    <w:rsid w:val="007970F4"/>
    <w:rsid w:val="007974EC"/>
    <w:rsid w:val="0079775B"/>
    <w:rsid w:val="00797C38"/>
    <w:rsid w:val="00797E54"/>
    <w:rsid w:val="007A0692"/>
    <w:rsid w:val="007A0B62"/>
    <w:rsid w:val="007A0C8C"/>
    <w:rsid w:val="007A11B0"/>
    <w:rsid w:val="007A1236"/>
    <w:rsid w:val="007A1760"/>
    <w:rsid w:val="007A1B02"/>
    <w:rsid w:val="007A1D32"/>
    <w:rsid w:val="007A21A0"/>
    <w:rsid w:val="007A2818"/>
    <w:rsid w:val="007A28A4"/>
    <w:rsid w:val="007A2A69"/>
    <w:rsid w:val="007A2A6F"/>
    <w:rsid w:val="007A3386"/>
    <w:rsid w:val="007A39D3"/>
    <w:rsid w:val="007A3BDD"/>
    <w:rsid w:val="007A3D3F"/>
    <w:rsid w:val="007A3E4D"/>
    <w:rsid w:val="007A4506"/>
    <w:rsid w:val="007A4BE7"/>
    <w:rsid w:val="007A4C59"/>
    <w:rsid w:val="007A4F1C"/>
    <w:rsid w:val="007A518D"/>
    <w:rsid w:val="007A57AE"/>
    <w:rsid w:val="007A6B70"/>
    <w:rsid w:val="007A6E0E"/>
    <w:rsid w:val="007A6E20"/>
    <w:rsid w:val="007A6FD8"/>
    <w:rsid w:val="007A7136"/>
    <w:rsid w:val="007A73DA"/>
    <w:rsid w:val="007A7498"/>
    <w:rsid w:val="007A74B2"/>
    <w:rsid w:val="007A771E"/>
    <w:rsid w:val="007A7C64"/>
    <w:rsid w:val="007B0037"/>
    <w:rsid w:val="007B0571"/>
    <w:rsid w:val="007B06B8"/>
    <w:rsid w:val="007B07C4"/>
    <w:rsid w:val="007B0B94"/>
    <w:rsid w:val="007B0C12"/>
    <w:rsid w:val="007B109A"/>
    <w:rsid w:val="007B11EC"/>
    <w:rsid w:val="007B139D"/>
    <w:rsid w:val="007B16E5"/>
    <w:rsid w:val="007B1F57"/>
    <w:rsid w:val="007B2135"/>
    <w:rsid w:val="007B216F"/>
    <w:rsid w:val="007B25D1"/>
    <w:rsid w:val="007B2616"/>
    <w:rsid w:val="007B2926"/>
    <w:rsid w:val="007B3057"/>
    <w:rsid w:val="007B418D"/>
    <w:rsid w:val="007B41B5"/>
    <w:rsid w:val="007B4597"/>
    <w:rsid w:val="007B47A0"/>
    <w:rsid w:val="007B5174"/>
    <w:rsid w:val="007B5255"/>
    <w:rsid w:val="007B5336"/>
    <w:rsid w:val="007B55C5"/>
    <w:rsid w:val="007B561D"/>
    <w:rsid w:val="007B57D2"/>
    <w:rsid w:val="007B5E43"/>
    <w:rsid w:val="007B5F3C"/>
    <w:rsid w:val="007B6B9D"/>
    <w:rsid w:val="007B6CC6"/>
    <w:rsid w:val="007B6F4D"/>
    <w:rsid w:val="007B70FB"/>
    <w:rsid w:val="007B72CD"/>
    <w:rsid w:val="007B74DB"/>
    <w:rsid w:val="007B7566"/>
    <w:rsid w:val="007B7A47"/>
    <w:rsid w:val="007B7A6C"/>
    <w:rsid w:val="007B7B3D"/>
    <w:rsid w:val="007C0482"/>
    <w:rsid w:val="007C0E18"/>
    <w:rsid w:val="007C0E80"/>
    <w:rsid w:val="007C123C"/>
    <w:rsid w:val="007C1637"/>
    <w:rsid w:val="007C1DC9"/>
    <w:rsid w:val="007C1E1A"/>
    <w:rsid w:val="007C20FE"/>
    <w:rsid w:val="007C2343"/>
    <w:rsid w:val="007C24BB"/>
    <w:rsid w:val="007C2678"/>
    <w:rsid w:val="007C3435"/>
    <w:rsid w:val="007C351D"/>
    <w:rsid w:val="007C35A9"/>
    <w:rsid w:val="007C35F6"/>
    <w:rsid w:val="007C360B"/>
    <w:rsid w:val="007C376A"/>
    <w:rsid w:val="007C3888"/>
    <w:rsid w:val="007C4526"/>
    <w:rsid w:val="007C4A77"/>
    <w:rsid w:val="007C4AC1"/>
    <w:rsid w:val="007C4ACA"/>
    <w:rsid w:val="007C5084"/>
    <w:rsid w:val="007C5577"/>
    <w:rsid w:val="007C55A5"/>
    <w:rsid w:val="007C55BE"/>
    <w:rsid w:val="007C5686"/>
    <w:rsid w:val="007C5AB5"/>
    <w:rsid w:val="007C5DB4"/>
    <w:rsid w:val="007C62D0"/>
    <w:rsid w:val="007C6E2F"/>
    <w:rsid w:val="007C7506"/>
    <w:rsid w:val="007C7663"/>
    <w:rsid w:val="007C766F"/>
    <w:rsid w:val="007C7AD6"/>
    <w:rsid w:val="007C7C59"/>
    <w:rsid w:val="007C7D51"/>
    <w:rsid w:val="007C7DC7"/>
    <w:rsid w:val="007D033A"/>
    <w:rsid w:val="007D03B3"/>
    <w:rsid w:val="007D0816"/>
    <w:rsid w:val="007D132F"/>
    <w:rsid w:val="007D15F0"/>
    <w:rsid w:val="007D178B"/>
    <w:rsid w:val="007D1AAA"/>
    <w:rsid w:val="007D1B64"/>
    <w:rsid w:val="007D1CE7"/>
    <w:rsid w:val="007D1F73"/>
    <w:rsid w:val="007D226F"/>
    <w:rsid w:val="007D22CE"/>
    <w:rsid w:val="007D2C50"/>
    <w:rsid w:val="007D2FE3"/>
    <w:rsid w:val="007D3398"/>
    <w:rsid w:val="007D33FA"/>
    <w:rsid w:val="007D363F"/>
    <w:rsid w:val="007D3A86"/>
    <w:rsid w:val="007D3B12"/>
    <w:rsid w:val="007D3BC5"/>
    <w:rsid w:val="007D3CE9"/>
    <w:rsid w:val="007D3DF7"/>
    <w:rsid w:val="007D3F75"/>
    <w:rsid w:val="007D40F5"/>
    <w:rsid w:val="007D440A"/>
    <w:rsid w:val="007D457B"/>
    <w:rsid w:val="007D46D8"/>
    <w:rsid w:val="007D4832"/>
    <w:rsid w:val="007D4892"/>
    <w:rsid w:val="007D48E9"/>
    <w:rsid w:val="007D4A1A"/>
    <w:rsid w:val="007D4D44"/>
    <w:rsid w:val="007D4DC5"/>
    <w:rsid w:val="007D53CB"/>
    <w:rsid w:val="007D561F"/>
    <w:rsid w:val="007D5857"/>
    <w:rsid w:val="007D5BB4"/>
    <w:rsid w:val="007D6246"/>
    <w:rsid w:val="007D68DB"/>
    <w:rsid w:val="007D6A54"/>
    <w:rsid w:val="007D6CE6"/>
    <w:rsid w:val="007D6E43"/>
    <w:rsid w:val="007D6F86"/>
    <w:rsid w:val="007D72CB"/>
    <w:rsid w:val="007D72EB"/>
    <w:rsid w:val="007D735A"/>
    <w:rsid w:val="007D7CDD"/>
    <w:rsid w:val="007D7F37"/>
    <w:rsid w:val="007E016B"/>
    <w:rsid w:val="007E08C9"/>
    <w:rsid w:val="007E0A12"/>
    <w:rsid w:val="007E0F8F"/>
    <w:rsid w:val="007E13A8"/>
    <w:rsid w:val="007E1A71"/>
    <w:rsid w:val="007E2236"/>
    <w:rsid w:val="007E273A"/>
    <w:rsid w:val="007E296A"/>
    <w:rsid w:val="007E2A9F"/>
    <w:rsid w:val="007E317C"/>
    <w:rsid w:val="007E3456"/>
    <w:rsid w:val="007E35D0"/>
    <w:rsid w:val="007E3A03"/>
    <w:rsid w:val="007E3E82"/>
    <w:rsid w:val="007E44F9"/>
    <w:rsid w:val="007E4701"/>
    <w:rsid w:val="007E47D5"/>
    <w:rsid w:val="007E4C3C"/>
    <w:rsid w:val="007E4DA6"/>
    <w:rsid w:val="007E4F53"/>
    <w:rsid w:val="007E502A"/>
    <w:rsid w:val="007E5268"/>
    <w:rsid w:val="007E53AF"/>
    <w:rsid w:val="007E5725"/>
    <w:rsid w:val="007E5937"/>
    <w:rsid w:val="007E5E82"/>
    <w:rsid w:val="007E5ED9"/>
    <w:rsid w:val="007E5EDC"/>
    <w:rsid w:val="007E6646"/>
    <w:rsid w:val="007E67D9"/>
    <w:rsid w:val="007E691D"/>
    <w:rsid w:val="007E6A96"/>
    <w:rsid w:val="007E6C51"/>
    <w:rsid w:val="007E6D20"/>
    <w:rsid w:val="007E7232"/>
    <w:rsid w:val="007E72AB"/>
    <w:rsid w:val="007E7D5D"/>
    <w:rsid w:val="007E7E0F"/>
    <w:rsid w:val="007E7EC0"/>
    <w:rsid w:val="007F0378"/>
    <w:rsid w:val="007F0684"/>
    <w:rsid w:val="007F06B6"/>
    <w:rsid w:val="007F06E8"/>
    <w:rsid w:val="007F0AF8"/>
    <w:rsid w:val="007F0E4C"/>
    <w:rsid w:val="007F1933"/>
    <w:rsid w:val="007F1B94"/>
    <w:rsid w:val="007F1F1C"/>
    <w:rsid w:val="007F219A"/>
    <w:rsid w:val="007F2444"/>
    <w:rsid w:val="007F2C78"/>
    <w:rsid w:val="007F3130"/>
    <w:rsid w:val="007F35B8"/>
    <w:rsid w:val="007F3D80"/>
    <w:rsid w:val="007F3F16"/>
    <w:rsid w:val="007F42F0"/>
    <w:rsid w:val="007F4748"/>
    <w:rsid w:val="007F4906"/>
    <w:rsid w:val="007F4981"/>
    <w:rsid w:val="007F4D34"/>
    <w:rsid w:val="007F62FD"/>
    <w:rsid w:val="007F6340"/>
    <w:rsid w:val="007F65DB"/>
    <w:rsid w:val="007F6761"/>
    <w:rsid w:val="007F6BC4"/>
    <w:rsid w:val="007F6C0E"/>
    <w:rsid w:val="007F6DA9"/>
    <w:rsid w:val="007F70D4"/>
    <w:rsid w:val="007F752E"/>
    <w:rsid w:val="007F76B6"/>
    <w:rsid w:val="007F7ABF"/>
    <w:rsid w:val="007F7CA1"/>
    <w:rsid w:val="0080059B"/>
    <w:rsid w:val="0080073F"/>
    <w:rsid w:val="00800917"/>
    <w:rsid w:val="00800DBB"/>
    <w:rsid w:val="00801607"/>
    <w:rsid w:val="00801713"/>
    <w:rsid w:val="0080176E"/>
    <w:rsid w:val="00801B94"/>
    <w:rsid w:val="00801CB1"/>
    <w:rsid w:val="00801DC9"/>
    <w:rsid w:val="0080238B"/>
    <w:rsid w:val="00802758"/>
    <w:rsid w:val="00802A50"/>
    <w:rsid w:val="00802A7A"/>
    <w:rsid w:val="00802AA7"/>
    <w:rsid w:val="00802B6F"/>
    <w:rsid w:val="00803003"/>
    <w:rsid w:val="008038AE"/>
    <w:rsid w:val="00803AAC"/>
    <w:rsid w:val="00803ACE"/>
    <w:rsid w:val="00803F4E"/>
    <w:rsid w:val="008057B1"/>
    <w:rsid w:val="00805834"/>
    <w:rsid w:val="00805B99"/>
    <w:rsid w:val="00805D3E"/>
    <w:rsid w:val="00805EEC"/>
    <w:rsid w:val="00806026"/>
    <w:rsid w:val="008061C2"/>
    <w:rsid w:val="00806E9B"/>
    <w:rsid w:val="00807090"/>
    <w:rsid w:val="00807926"/>
    <w:rsid w:val="0080796B"/>
    <w:rsid w:val="00807A15"/>
    <w:rsid w:val="00807AB5"/>
    <w:rsid w:val="00807EBB"/>
    <w:rsid w:val="008100A2"/>
    <w:rsid w:val="008100FE"/>
    <w:rsid w:val="008104A0"/>
    <w:rsid w:val="008107F5"/>
    <w:rsid w:val="00810A75"/>
    <w:rsid w:val="00810D27"/>
    <w:rsid w:val="00810E30"/>
    <w:rsid w:val="00810ED7"/>
    <w:rsid w:val="00810F56"/>
    <w:rsid w:val="00811057"/>
    <w:rsid w:val="0081169E"/>
    <w:rsid w:val="00811914"/>
    <w:rsid w:val="00811A86"/>
    <w:rsid w:val="00811EE2"/>
    <w:rsid w:val="008123D4"/>
    <w:rsid w:val="00812B2D"/>
    <w:rsid w:val="00812C4E"/>
    <w:rsid w:val="0081353B"/>
    <w:rsid w:val="0081378B"/>
    <w:rsid w:val="00813AEB"/>
    <w:rsid w:val="00814049"/>
    <w:rsid w:val="0081466A"/>
    <w:rsid w:val="00814CAD"/>
    <w:rsid w:val="00814E29"/>
    <w:rsid w:val="0081521D"/>
    <w:rsid w:val="0081580E"/>
    <w:rsid w:val="00815914"/>
    <w:rsid w:val="00815A49"/>
    <w:rsid w:val="00815BB1"/>
    <w:rsid w:val="00815BFA"/>
    <w:rsid w:val="00815CE0"/>
    <w:rsid w:val="0081623E"/>
    <w:rsid w:val="00816340"/>
    <w:rsid w:val="008177AE"/>
    <w:rsid w:val="00817C6C"/>
    <w:rsid w:val="00817D96"/>
    <w:rsid w:val="00817E6F"/>
    <w:rsid w:val="00817F9A"/>
    <w:rsid w:val="00820896"/>
    <w:rsid w:val="00820A62"/>
    <w:rsid w:val="00820C15"/>
    <w:rsid w:val="008211B5"/>
    <w:rsid w:val="00821912"/>
    <w:rsid w:val="0082194F"/>
    <w:rsid w:val="00821A07"/>
    <w:rsid w:val="0082222E"/>
    <w:rsid w:val="0082242F"/>
    <w:rsid w:val="008227FA"/>
    <w:rsid w:val="008229A2"/>
    <w:rsid w:val="00822CDF"/>
    <w:rsid w:val="008235B7"/>
    <w:rsid w:val="008236A9"/>
    <w:rsid w:val="00823AA9"/>
    <w:rsid w:val="00823FF7"/>
    <w:rsid w:val="008240FA"/>
    <w:rsid w:val="008242B3"/>
    <w:rsid w:val="0082443D"/>
    <w:rsid w:val="00824A9E"/>
    <w:rsid w:val="00824E44"/>
    <w:rsid w:val="00825966"/>
    <w:rsid w:val="00825ED1"/>
    <w:rsid w:val="00825EDB"/>
    <w:rsid w:val="00825F58"/>
    <w:rsid w:val="008264EB"/>
    <w:rsid w:val="00826635"/>
    <w:rsid w:val="008267E6"/>
    <w:rsid w:val="008268CF"/>
    <w:rsid w:val="00826DEF"/>
    <w:rsid w:val="008270EE"/>
    <w:rsid w:val="008273A3"/>
    <w:rsid w:val="0082744A"/>
    <w:rsid w:val="00827497"/>
    <w:rsid w:val="008275A9"/>
    <w:rsid w:val="0083026B"/>
    <w:rsid w:val="008307F9"/>
    <w:rsid w:val="00830845"/>
    <w:rsid w:val="0083098F"/>
    <w:rsid w:val="008309E1"/>
    <w:rsid w:val="00830DA4"/>
    <w:rsid w:val="00831472"/>
    <w:rsid w:val="00831ABE"/>
    <w:rsid w:val="008322DF"/>
    <w:rsid w:val="008327F0"/>
    <w:rsid w:val="00832922"/>
    <w:rsid w:val="008329FF"/>
    <w:rsid w:val="00832ECB"/>
    <w:rsid w:val="0083302B"/>
    <w:rsid w:val="00833526"/>
    <w:rsid w:val="008336EE"/>
    <w:rsid w:val="00833EDE"/>
    <w:rsid w:val="008340EC"/>
    <w:rsid w:val="00834B47"/>
    <w:rsid w:val="00835195"/>
    <w:rsid w:val="00835459"/>
    <w:rsid w:val="00835EE4"/>
    <w:rsid w:val="00836259"/>
    <w:rsid w:val="008365EC"/>
    <w:rsid w:val="00836AC7"/>
    <w:rsid w:val="00836C77"/>
    <w:rsid w:val="00836E1B"/>
    <w:rsid w:val="008376CD"/>
    <w:rsid w:val="0083793C"/>
    <w:rsid w:val="00837BB6"/>
    <w:rsid w:val="00837C92"/>
    <w:rsid w:val="00837F0F"/>
    <w:rsid w:val="00837FEE"/>
    <w:rsid w:val="008404E0"/>
    <w:rsid w:val="008416E5"/>
    <w:rsid w:val="00841A00"/>
    <w:rsid w:val="00841ED7"/>
    <w:rsid w:val="0084210C"/>
    <w:rsid w:val="00842BBA"/>
    <w:rsid w:val="00842D41"/>
    <w:rsid w:val="00842E56"/>
    <w:rsid w:val="00843029"/>
    <w:rsid w:val="00843420"/>
    <w:rsid w:val="00843B5D"/>
    <w:rsid w:val="00843BE2"/>
    <w:rsid w:val="00843C5D"/>
    <w:rsid w:val="00843F87"/>
    <w:rsid w:val="00844448"/>
    <w:rsid w:val="008447D4"/>
    <w:rsid w:val="0084506C"/>
    <w:rsid w:val="008454BD"/>
    <w:rsid w:val="0084570E"/>
    <w:rsid w:val="00845B66"/>
    <w:rsid w:val="00846126"/>
    <w:rsid w:val="008463AA"/>
    <w:rsid w:val="008463F3"/>
    <w:rsid w:val="00846509"/>
    <w:rsid w:val="008467CB"/>
    <w:rsid w:val="008467D3"/>
    <w:rsid w:val="00846845"/>
    <w:rsid w:val="00846D76"/>
    <w:rsid w:val="00847650"/>
    <w:rsid w:val="008476DC"/>
    <w:rsid w:val="00847829"/>
    <w:rsid w:val="008479B1"/>
    <w:rsid w:val="0085005F"/>
    <w:rsid w:val="008500F5"/>
    <w:rsid w:val="0085030C"/>
    <w:rsid w:val="0085062F"/>
    <w:rsid w:val="00850862"/>
    <w:rsid w:val="00850CBE"/>
    <w:rsid w:val="00851307"/>
    <w:rsid w:val="008515B1"/>
    <w:rsid w:val="008518F3"/>
    <w:rsid w:val="00851C40"/>
    <w:rsid w:val="00851F2D"/>
    <w:rsid w:val="00852239"/>
    <w:rsid w:val="00852508"/>
    <w:rsid w:val="00852578"/>
    <w:rsid w:val="008525B6"/>
    <w:rsid w:val="00852E5B"/>
    <w:rsid w:val="0085323E"/>
    <w:rsid w:val="008535EB"/>
    <w:rsid w:val="00853677"/>
    <w:rsid w:val="00853943"/>
    <w:rsid w:val="00853A88"/>
    <w:rsid w:val="00853ACD"/>
    <w:rsid w:val="00853ACF"/>
    <w:rsid w:val="00853F1F"/>
    <w:rsid w:val="008544D3"/>
    <w:rsid w:val="00854AD2"/>
    <w:rsid w:val="00855089"/>
    <w:rsid w:val="0085525C"/>
    <w:rsid w:val="008558A1"/>
    <w:rsid w:val="00855A1E"/>
    <w:rsid w:val="00855DEB"/>
    <w:rsid w:val="0085642F"/>
    <w:rsid w:val="00856554"/>
    <w:rsid w:val="0085717F"/>
    <w:rsid w:val="008573AF"/>
    <w:rsid w:val="008573F8"/>
    <w:rsid w:val="00857645"/>
    <w:rsid w:val="00857798"/>
    <w:rsid w:val="008577D9"/>
    <w:rsid w:val="00857BEA"/>
    <w:rsid w:val="00857D80"/>
    <w:rsid w:val="008602FC"/>
    <w:rsid w:val="0086045C"/>
    <w:rsid w:val="00860989"/>
    <w:rsid w:val="00860CF9"/>
    <w:rsid w:val="008614A8"/>
    <w:rsid w:val="00861DEF"/>
    <w:rsid w:val="008622D3"/>
    <w:rsid w:val="0086268A"/>
    <w:rsid w:val="00862BD4"/>
    <w:rsid w:val="00862BFA"/>
    <w:rsid w:val="00862D35"/>
    <w:rsid w:val="00862DC6"/>
    <w:rsid w:val="00862EE5"/>
    <w:rsid w:val="008639A2"/>
    <w:rsid w:val="00863BBB"/>
    <w:rsid w:val="008640FD"/>
    <w:rsid w:val="0086426C"/>
    <w:rsid w:val="00864321"/>
    <w:rsid w:val="008644D5"/>
    <w:rsid w:val="00864A96"/>
    <w:rsid w:val="00864E19"/>
    <w:rsid w:val="00864FDD"/>
    <w:rsid w:val="00865020"/>
    <w:rsid w:val="00865385"/>
    <w:rsid w:val="0086564F"/>
    <w:rsid w:val="00865676"/>
    <w:rsid w:val="00865681"/>
    <w:rsid w:val="00865AF5"/>
    <w:rsid w:val="00865C9A"/>
    <w:rsid w:val="00866618"/>
    <w:rsid w:val="00866770"/>
    <w:rsid w:val="00867578"/>
    <w:rsid w:val="008678FC"/>
    <w:rsid w:val="00867B6B"/>
    <w:rsid w:val="00867FDD"/>
    <w:rsid w:val="0087000F"/>
    <w:rsid w:val="008706D6"/>
    <w:rsid w:val="00870788"/>
    <w:rsid w:val="00870923"/>
    <w:rsid w:val="00870A8A"/>
    <w:rsid w:val="00870AFC"/>
    <w:rsid w:val="00870F67"/>
    <w:rsid w:val="00870F6E"/>
    <w:rsid w:val="00871028"/>
    <w:rsid w:val="008715CC"/>
    <w:rsid w:val="008717FE"/>
    <w:rsid w:val="00872589"/>
    <w:rsid w:val="00872770"/>
    <w:rsid w:val="00872A89"/>
    <w:rsid w:val="00872C07"/>
    <w:rsid w:val="00873125"/>
    <w:rsid w:val="008731F2"/>
    <w:rsid w:val="00873754"/>
    <w:rsid w:val="00873CF3"/>
    <w:rsid w:val="008746D7"/>
    <w:rsid w:val="00874D5D"/>
    <w:rsid w:val="0087502F"/>
    <w:rsid w:val="008752FC"/>
    <w:rsid w:val="008755BD"/>
    <w:rsid w:val="00875FA4"/>
    <w:rsid w:val="00876313"/>
    <w:rsid w:val="008763C8"/>
    <w:rsid w:val="0087656D"/>
    <w:rsid w:val="0087672D"/>
    <w:rsid w:val="00876902"/>
    <w:rsid w:val="00877745"/>
    <w:rsid w:val="008779E9"/>
    <w:rsid w:val="00877ADA"/>
    <w:rsid w:val="00877D2C"/>
    <w:rsid w:val="00877D6E"/>
    <w:rsid w:val="00877E35"/>
    <w:rsid w:val="0088014E"/>
    <w:rsid w:val="008807CE"/>
    <w:rsid w:val="00880AA4"/>
    <w:rsid w:val="00880B6B"/>
    <w:rsid w:val="00880BAB"/>
    <w:rsid w:val="008812A7"/>
    <w:rsid w:val="00881646"/>
    <w:rsid w:val="008817FF"/>
    <w:rsid w:val="0088239C"/>
    <w:rsid w:val="00882745"/>
    <w:rsid w:val="008828F7"/>
    <w:rsid w:val="00882946"/>
    <w:rsid w:val="00882A65"/>
    <w:rsid w:val="00882C4D"/>
    <w:rsid w:val="00882D67"/>
    <w:rsid w:val="00882E58"/>
    <w:rsid w:val="00882F94"/>
    <w:rsid w:val="0088318D"/>
    <w:rsid w:val="008835B1"/>
    <w:rsid w:val="00883B3F"/>
    <w:rsid w:val="00883EE0"/>
    <w:rsid w:val="00883EFA"/>
    <w:rsid w:val="008840AD"/>
    <w:rsid w:val="008846E2"/>
    <w:rsid w:val="00884A91"/>
    <w:rsid w:val="00884E92"/>
    <w:rsid w:val="008851BE"/>
    <w:rsid w:val="00885538"/>
    <w:rsid w:val="00885960"/>
    <w:rsid w:val="00885A63"/>
    <w:rsid w:val="00885ADA"/>
    <w:rsid w:val="00885B81"/>
    <w:rsid w:val="00886188"/>
    <w:rsid w:val="00886342"/>
    <w:rsid w:val="0088651F"/>
    <w:rsid w:val="00886632"/>
    <w:rsid w:val="00887063"/>
    <w:rsid w:val="008876D5"/>
    <w:rsid w:val="00887798"/>
    <w:rsid w:val="0088796B"/>
    <w:rsid w:val="00887D83"/>
    <w:rsid w:val="00887F1B"/>
    <w:rsid w:val="008900CF"/>
    <w:rsid w:val="008903F8"/>
    <w:rsid w:val="008905B9"/>
    <w:rsid w:val="00890709"/>
    <w:rsid w:val="00890F94"/>
    <w:rsid w:val="00891AE3"/>
    <w:rsid w:val="00891D67"/>
    <w:rsid w:val="0089203B"/>
    <w:rsid w:val="00892165"/>
    <w:rsid w:val="008922CF"/>
    <w:rsid w:val="008923D1"/>
    <w:rsid w:val="008925B9"/>
    <w:rsid w:val="00892827"/>
    <w:rsid w:val="00892AEE"/>
    <w:rsid w:val="008937AC"/>
    <w:rsid w:val="008937CB"/>
    <w:rsid w:val="00893EA3"/>
    <w:rsid w:val="00893FF7"/>
    <w:rsid w:val="0089427B"/>
    <w:rsid w:val="008942A5"/>
    <w:rsid w:val="008943FD"/>
    <w:rsid w:val="0089483C"/>
    <w:rsid w:val="00894A6B"/>
    <w:rsid w:val="00894A7F"/>
    <w:rsid w:val="00895214"/>
    <w:rsid w:val="00895670"/>
    <w:rsid w:val="00895DCC"/>
    <w:rsid w:val="00895E5A"/>
    <w:rsid w:val="008962BC"/>
    <w:rsid w:val="008973BA"/>
    <w:rsid w:val="00897502"/>
    <w:rsid w:val="00897602"/>
    <w:rsid w:val="0089773D"/>
    <w:rsid w:val="00897855"/>
    <w:rsid w:val="00897A17"/>
    <w:rsid w:val="00897BAC"/>
    <w:rsid w:val="008A03C3"/>
    <w:rsid w:val="008A045F"/>
    <w:rsid w:val="008A0555"/>
    <w:rsid w:val="008A097F"/>
    <w:rsid w:val="008A0994"/>
    <w:rsid w:val="008A0B6D"/>
    <w:rsid w:val="008A0E02"/>
    <w:rsid w:val="008A0E63"/>
    <w:rsid w:val="008A0F85"/>
    <w:rsid w:val="008A14BA"/>
    <w:rsid w:val="008A14F8"/>
    <w:rsid w:val="008A173F"/>
    <w:rsid w:val="008A1EFD"/>
    <w:rsid w:val="008A1F90"/>
    <w:rsid w:val="008A210B"/>
    <w:rsid w:val="008A211F"/>
    <w:rsid w:val="008A2385"/>
    <w:rsid w:val="008A2790"/>
    <w:rsid w:val="008A279B"/>
    <w:rsid w:val="008A2830"/>
    <w:rsid w:val="008A2987"/>
    <w:rsid w:val="008A2ACB"/>
    <w:rsid w:val="008A2C5D"/>
    <w:rsid w:val="008A30BD"/>
    <w:rsid w:val="008A34B6"/>
    <w:rsid w:val="008A3C32"/>
    <w:rsid w:val="008A444A"/>
    <w:rsid w:val="008A46CB"/>
    <w:rsid w:val="008A4876"/>
    <w:rsid w:val="008A4B83"/>
    <w:rsid w:val="008A4CFD"/>
    <w:rsid w:val="008A4F57"/>
    <w:rsid w:val="008A52CE"/>
    <w:rsid w:val="008A5432"/>
    <w:rsid w:val="008A544C"/>
    <w:rsid w:val="008A574C"/>
    <w:rsid w:val="008A5800"/>
    <w:rsid w:val="008A5BC7"/>
    <w:rsid w:val="008A5E2C"/>
    <w:rsid w:val="008A5E8C"/>
    <w:rsid w:val="008A67A1"/>
    <w:rsid w:val="008A6A25"/>
    <w:rsid w:val="008A6ED8"/>
    <w:rsid w:val="008A720F"/>
    <w:rsid w:val="008A77BD"/>
    <w:rsid w:val="008A7949"/>
    <w:rsid w:val="008A7A03"/>
    <w:rsid w:val="008A7B45"/>
    <w:rsid w:val="008B0BA7"/>
    <w:rsid w:val="008B0E9B"/>
    <w:rsid w:val="008B103F"/>
    <w:rsid w:val="008B12FC"/>
    <w:rsid w:val="008B1C8C"/>
    <w:rsid w:val="008B1DFA"/>
    <w:rsid w:val="008B1E06"/>
    <w:rsid w:val="008B200F"/>
    <w:rsid w:val="008B20A4"/>
    <w:rsid w:val="008B2520"/>
    <w:rsid w:val="008B2582"/>
    <w:rsid w:val="008B2720"/>
    <w:rsid w:val="008B2F1A"/>
    <w:rsid w:val="008B31AD"/>
    <w:rsid w:val="008B329A"/>
    <w:rsid w:val="008B331F"/>
    <w:rsid w:val="008B3960"/>
    <w:rsid w:val="008B3A87"/>
    <w:rsid w:val="008B3B8E"/>
    <w:rsid w:val="008B3C1B"/>
    <w:rsid w:val="008B3C1F"/>
    <w:rsid w:val="008B3D7A"/>
    <w:rsid w:val="008B4243"/>
    <w:rsid w:val="008B47F4"/>
    <w:rsid w:val="008B4953"/>
    <w:rsid w:val="008B4C60"/>
    <w:rsid w:val="008B4E19"/>
    <w:rsid w:val="008B4F72"/>
    <w:rsid w:val="008B58E4"/>
    <w:rsid w:val="008B5A61"/>
    <w:rsid w:val="008B5F19"/>
    <w:rsid w:val="008B5F58"/>
    <w:rsid w:val="008B6190"/>
    <w:rsid w:val="008B6231"/>
    <w:rsid w:val="008B6367"/>
    <w:rsid w:val="008B63AD"/>
    <w:rsid w:val="008B6939"/>
    <w:rsid w:val="008B6A05"/>
    <w:rsid w:val="008B6ADB"/>
    <w:rsid w:val="008B7546"/>
    <w:rsid w:val="008B757C"/>
    <w:rsid w:val="008B7C5A"/>
    <w:rsid w:val="008B7ECB"/>
    <w:rsid w:val="008C048E"/>
    <w:rsid w:val="008C052D"/>
    <w:rsid w:val="008C0557"/>
    <w:rsid w:val="008C0771"/>
    <w:rsid w:val="008C0845"/>
    <w:rsid w:val="008C0D3F"/>
    <w:rsid w:val="008C1779"/>
    <w:rsid w:val="008C1DC1"/>
    <w:rsid w:val="008C287C"/>
    <w:rsid w:val="008C28B3"/>
    <w:rsid w:val="008C292B"/>
    <w:rsid w:val="008C34C1"/>
    <w:rsid w:val="008C3591"/>
    <w:rsid w:val="008C3853"/>
    <w:rsid w:val="008C3982"/>
    <w:rsid w:val="008C3A88"/>
    <w:rsid w:val="008C3AC1"/>
    <w:rsid w:val="008C3B2A"/>
    <w:rsid w:val="008C3D73"/>
    <w:rsid w:val="008C41CD"/>
    <w:rsid w:val="008C4270"/>
    <w:rsid w:val="008C44FA"/>
    <w:rsid w:val="008C482E"/>
    <w:rsid w:val="008C4BB0"/>
    <w:rsid w:val="008C4E96"/>
    <w:rsid w:val="008C4EB8"/>
    <w:rsid w:val="008C4F08"/>
    <w:rsid w:val="008C4FFE"/>
    <w:rsid w:val="008C51AD"/>
    <w:rsid w:val="008C5A8B"/>
    <w:rsid w:val="008C5EAC"/>
    <w:rsid w:val="008C61B0"/>
    <w:rsid w:val="008C6BA6"/>
    <w:rsid w:val="008C6E3D"/>
    <w:rsid w:val="008C6FD3"/>
    <w:rsid w:val="008C70EB"/>
    <w:rsid w:val="008C71DE"/>
    <w:rsid w:val="008C7C23"/>
    <w:rsid w:val="008C7FA7"/>
    <w:rsid w:val="008D0E8E"/>
    <w:rsid w:val="008D155D"/>
    <w:rsid w:val="008D1566"/>
    <w:rsid w:val="008D15E6"/>
    <w:rsid w:val="008D229E"/>
    <w:rsid w:val="008D24C5"/>
    <w:rsid w:val="008D24FA"/>
    <w:rsid w:val="008D24FF"/>
    <w:rsid w:val="008D2F91"/>
    <w:rsid w:val="008D34B0"/>
    <w:rsid w:val="008D36D2"/>
    <w:rsid w:val="008D3E05"/>
    <w:rsid w:val="008D3FE4"/>
    <w:rsid w:val="008D415F"/>
    <w:rsid w:val="008D463D"/>
    <w:rsid w:val="008D5099"/>
    <w:rsid w:val="008D536E"/>
    <w:rsid w:val="008D5506"/>
    <w:rsid w:val="008D5659"/>
    <w:rsid w:val="008D57A3"/>
    <w:rsid w:val="008D5C9A"/>
    <w:rsid w:val="008D5D6F"/>
    <w:rsid w:val="008D5DAB"/>
    <w:rsid w:val="008D638E"/>
    <w:rsid w:val="008D6641"/>
    <w:rsid w:val="008D6847"/>
    <w:rsid w:val="008D6968"/>
    <w:rsid w:val="008D6C68"/>
    <w:rsid w:val="008D71F3"/>
    <w:rsid w:val="008D746A"/>
    <w:rsid w:val="008D75FA"/>
    <w:rsid w:val="008D7AFD"/>
    <w:rsid w:val="008D7DEB"/>
    <w:rsid w:val="008D7E3E"/>
    <w:rsid w:val="008D7EA6"/>
    <w:rsid w:val="008E0029"/>
    <w:rsid w:val="008E01BA"/>
    <w:rsid w:val="008E0219"/>
    <w:rsid w:val="008E03B3"/>
    <w:rsid w:val="008E0535"/>
    <w:rsid w:val="008E054A"/>
    <w:rsid w:val="008E08F2"/>
    <w:rsid w:val="008E0ABF"/>
    <w:rsid w:val="008E0DE2"/>
    <w:rsid w:val="008E0EF1"/>
    <w:rsid w:val="008E19E9"/>
    <w:rsid w:val="008E1A0B"/>
    <w:rsid w:val="008E1CA4"/>
    <w:rsid w:val="008E22E0"/>
    <w:rsid w:val="008E2338"/>
    <w:rsid w:val="008E260B"/>
    <w:rsid w:val="008E2BCC"/>
    <w:rsid w:val="008E2C40"/>
    <w:rsid w:val="008E2EE9"/>
    <w:rsid w:val="008E3A18"/>
    <w:rsid w:val="008E4E17"/>
    <w:rsid w:val="008E52E7"/>
    <w:rsid w:val="008E53DB"/>
    <w:rsid w:val="008E55C1"/>
    <w:rsid w:val="008E5909"/>
    <w:rsid w:val="008E5A4E"/>
    <w:rsid w:val="008E5C8F"/>
    <w:rsid w:val="008E5F66"/>
    <w:rsid w:val="008E646A"/>
    <w:rsid w:val="008E68B9"/>
    <w:rsid w:val="008E6D37"/>
    <w:rsid w:val="008E6E86"/>
    <w:rsid w:val="008E6F52"/>
    <w:rsid w:val="008E6F6B"/>
    <w:rsid w:val="008E702F"/>
    <w:rsid w:val="008E712B"/>
    <w:rsid w:val="008E7155"/>
    <w:rsid w:val="008E71FB"/>
    <w:rsid w:val="008E7365"/>
    <w:rsid w:val="008E78ED"/>
    <w:rsid w:val="008F0248"/>
    <w:rsid w:val="008F0288"/>
    <w:rsid w:val="008F0671"/>
    <w:rsid w:val="008F07B8"/>
    <w:rsid w:val="008F080D"/>
    <w:rsid w:val="008F0932"/>
    <w:rsid w:val="008F0945"/>
    <w:rsid w:val="008F0A86"/>
    <w:rsid w:val="008F0AB8"/>
    <w:rsid w:val="008F0BD8"/>
    <w:rsid w:val="008F0D11"/>
    <w:rsid w:val="008F0EF5"/>
    <w:rsid w:val="008F0F0D"/>
    <w:rsid w:val="008F1238"/>
    <w:rsid w:val="008F1351"/>
    <w:rsid w:val="008F14CA"/>
    <w:rsid w:val="008F14E8"/>
    <w:rsid w:val="008F20E0"/>
    <w:rsid w:val="008F24BD"/>
    <w:rsid w:val="008F257A"/>
    <w:rsid w:val="008F2A47"/>
    <w:rsid w:val="008F2FA5"/>
    <w:rsid w:val="008F35D9"/>
    <w:rsid w:val="008F3793"/>
    <w:rsid w:val="008F3F41"/>
    <w:rsid w:val="008F438C"/>
    <w:rsid w:val="008F43D6"/>
    <w:rsid w:val="008F45AC"/>
    <w:rsid w:val="008F45BC"/>
    <w:rsid w:val="008F48C6"/>
    <w:rsid w:val="008F49F3"/>
    <w:rsid w:val="008F525C"/>
    <w:rsid w:val="008F5309"/>
    <w:rsid w:val="008F540C"/>
    <w:rsid w:val="008F58A7"/>
    <w:rsid w:val="008F6060"/>
    <w:rsid w:val="008F6426"/>
    <w:rsid w:val="008F6AB0"/>
    <w:rsid w:val="008F6B8B"/>
    <w:rsid w:val="008F6BEC"/>
    <w:rsid w:val="00900077"/>
    <w:rsid w:val="0090097F"/>
    <w:rsid w:val="00900D92"/>
    <w:rsid w:val="0090146E"/>
    <w:rsid w:val="009015F4"/>
    <w:rsid w:val="00901E4D"/>
    <w:rsid w:val="0090296B"/>
    <w:rsid w:val="00902972"/>
    <w:rsid w:val="00903424"/>
    <w:rsid w:val="00904206"/>
    <w:rsid w:val="0090441B"/>
    <w:rsid w:val="00904551"/>
    <w:rsid w:val="0090516B"/>
    <w:rsid w:val="00905456"/>
    <w:rsid w:val="00905BE3"/>
    <w:rsid w:val="0090621C"/>
    <w:rsid w:val="00906618"/>
    <w:rsid w:val="0090662F"/>
    <w:rsid w:val="00906BB6"/>
    <w:rsid w:val="00906C4A"/>
    <w:rsid w:val="00907397"/>
    <w:rsid w:val="00907986"/>
    <w:rsid w:val="00907D90"/>
    <w:rsid w:val="00910078"/>
    <w:rsid w:val="0091026F"/>
    <w:rsid w:val="009104AB"/>
    <w:rsid w:val="00910866"/>
    <w:rsid w:val="0091095D"/>
    <w:rsid w:val="00910D99"/>
    <w:rsid w:val="00910E2C"/>
    <w:rsid w:val="009110AD"/>
    <w:rsid w:val="009111CC"/>
    <w:rsid w:val="009114FF"/>
    <w:rsid w:val="00911A79"/>
    <w:rsid w:val="00911D8B"/>
    <w:rsid w:val="00911DAD"/>
    <w:rsid w:val="0091244E"/>
    <w:rsid w:val="00912464"/>
    <w:rsid w:val="00912662"/>
    <w:rsid w:val="009127CC"/>
    <w:rsid w:val="00912D42"/>
    <w:rsid w:val="009133DD"/>
    <w:rsid w:val="00913BE6"/>
    <w:rsid w:val="00913FDD"/>
    <w:rsid w:val="009141D1"/>
    <w:rsid w:val="00914234"/>
    <w:rsid w:val="00914525"/>
    <w:rsid w:val="00914722"/>
    <w:rsid w:val="009151EB"/>
    <w:rsid w:val="00915465"/>
    <w:rsid w:val="009158B9"/>
    <w:rsid w:val="00915A71"/>
    <w:rsid w:val="009160F5"/>
    <w:rsid w:val="0091620A"/>
    <w:rsid w:val="00916242"/>
    <w:rsid w:val="00916301"/>
    <w:rsid w:val="00916863"/>
    <w:rsid w:val="0091688E"/>
    <w:rsid w:val="00916F1E"/>
    <w:rsid w:val="00917458"/>
    <w:rsid w:val="00917CA8"/>
    <w:rsid w:val="0092096D"/>
    <w:rsid w:val="00920975"/>
    <w:rsid w:val="009214FB"/>
    <w:rsid w:val="009217B9"/>
    <w:rsid w:val="00921D9C"/>
    <w:rsid w:val="00921E56"/>
    <w:rsid w:val="009221ED"/>
    <w:rsid w:val="0092259C"/>
    <w:rsid w:val="009228A9"/>
    <w:rsid w:val="00923385"/>
    <w:rsid w:val="009234E2"/>
    <w:rsid w:val="00923EDA"/>
    <w:rsid w:val="009243BC"/>
    <w:rsid w:val="009261AF"/>
    <w:rsid w:val="00926AD0"/>
    <w:rsid w:val="00926C83"/>
    <w:rsid w:val="00926F12"/>
    <w:rsid w:val="00927055"/>
    <w:rsid w:val="0092771A"/>
    <w:rsid w:val="009278B2"/>
    <w:rsid w:val="009278EB"/>
    <w:rsid w:val="00927984"/>
    <w:rsid w:val="00927C90"/>
    <w:rsid w:val="00927DE3"/>
    <w:rsid w:val="00930591"/>
    <w:rsid w:val="00930609"/>
    <w:rsid w:val="00930B72"/>
    <w:rsid w:val="0093110E"/>
    <w:rsid w:val="0093122C"/>
    <w:rsid w:val="009315FC"/>
    <w:rsid w:val="009316A9"/>
    <w:rsid w:val="009316C7"/>
    <w:rsid w:val="0093196E"/>
    <w:rsid w:val="00931A58"/>
    <w:rsid w:val="00932113"/>
    <w:rsid w:val="00932670"/>
    <w:rsid w:val="00932AD7"/>
    <w:rsid w:val="00932AFD"/>
    <w:rsid w:val="00932DAC"/>
    <w:rsid w:val="00932E71"/>
    <w:rsid w:val="009332E0"/>
    <w:rsid w:val="00933669"/>
    <w:rsid w:val="00933AC3"/>
    <w:rsid w:val="0093423C"/>
    <w:rsid w:val="00934641"/>
    <w:rsid w:val="00934DE7"/>
    <w:rsid w:val="00935130"/>
    <w:rsid w:val="00935153"/>
    <w:rsid w:val="009352C5"/>
    <w:rsid w:val="00935534"/>
    <w:rsid w:val="0093562F"/>
    <w:rsid w:val="00935727"/>
    <w:rsid w:val="0093573A"/>
    <w:rsid w:val="00935929"/>
    <w:rsid w:val="009359EE"/>
    <w:rsid w:val="00935D1C"/>
    <w:rsid w:val="00935F61"/>
    <w:rsid w:val="009360BB"/>
    <w:rsid w:val="00936493"/>
    <w:rsid w:val="00936981"/>
    <w:rsid w:val="00936B1F"/>
    <w:rsid w:val="0093775C"/>
    <w:rsid w:val="00937887"/>
    <w:rsid w:val="009379F0"/>
    <w:rsid w:val="00937A54"/>
    <w:rsid w:val="00937A67"/>
    <w:rsid w:val="00937BEC"/>
    <w:rsid w:val="00940463"/>
    <w:rsid w:val="0094055F"/>
    <w:rsid w:val="009405FA"/>
    <w:rsid w:val="00940757"/>
    <w:rsid w:val="009407D4"/>
    <w:rsid w:val="00940DC6"/>
    <w:rsid w:val="00941A0C"/>
    <w:rsid w:val="00941A8A"/>
    <w:rsid w:val="00941B4B"/>
    <w:rsid w:val="00941FF5"/>
    <w:rsid w:val="009424D8"/>
    <w:rsid w:val="00942B2E"/>
    <w:rsid w:val="00942DF0"/>
    <w:rsid w:val="00943238"/>
    <w:rsid w:val="00943429"/>
    <w:rsid w:val="00943463"/>
    <w:rsid w:val="00943464"/>
    <w:rsid w:val="009434EB"/>
    <w:rsid w:val="00943572"/>
    <w:rsid w:val="00943CFE"/>
    <w:rsid w:val="00943D56"/>
    <w:rsid w:val="00943F5C"/>
    <w:rsid w:val="00943F96"/>
    <w:rsid w:val="00943FA2"/>
    <w:rsid w:val="0094494D"/>
    <w:rsid w:val="00944BA5"/>
    <w:rsid w:val="00944E59"/>
    <w:rsid w:val="00944FD3"/>
    <w:rsid w:val="00945401"/>
    <w:rsid w:val="009456F4"/>
    <w:rsid w:val="009459F4"/>
    <w:rsid w:val="00945ABE"/>
    <w:rsid w:val="00945D0F"/>
    <w:rsid w:val="00945E58"/>
    <w:rsid w:val="00945F58"/>
    <w:rsid w:val="00946127"/>
    <w:rsid w:val="009465FE"/>
    <w:rsid w:val="0094689D"/>
    <w:rsid w:val="00946907"/>
    <w:rsid w:val="00946991"/>
    <w:rsid w:val="00947607"/>
    <w:rsid w:val="009477F9"/>
    <w:rsid w:val="00947F6B"/>
    <w:rsid w:val="009505EB"/>
    <w:rsid w:val="00950CAE"/>
    <w:rsid w:val="00951164"/>
    <w:rsid w:val="009512EC"/>
    <w:rsid w:val="009517B8"/>
    <w:rsid w:val="00951807"/>
    <w:rsid w:val="00952E7D"/>
    <w:rsid w:val="0095315A"/>
    <w:rsid w:val="009534DD"/>
    <w:rsid w:val="009535C2"/>
    <w:rsid w:val="0095369D"/>
    <w:rsid w:val="00953A73"/>
    <w:rsid w:val="0095432C"/>
    <w:rsid w:val="00954747"/>
    <w:rsid w:val="00954BB2"/>
    <w:rsid w:val="00954D5A"/>
    <w:rsid w:val="009551A8"/>
    <w:rsid w:val="00955540"/>
    <w:rsid w:val="00955665"/>
    <w:rsid w:val="00955A76"/>
    <w:rsid w:val="00955BFB"/>
    <w:rsid w:val="00955C1A"/>
    <w:rsid w:val="00956116"/>
    <w:rsid w:val="00956984"/>
    <w:rsid w:val="009569BE"/>
    <w:rsid w:val="009569E3"/>
    <w:rsid w:val="00956B6C"/>
    <w:rsid w:val="00957031"/>
    <w:rsid w:val="00957932"/>
    <w:rsid w:val="00957B5B"/>
    <w:rsid w:val="009601CB"/>
    <w:rsid w:val="00960349"/>
    <w:rsid w:val="0096059A"/>
    <w:rsid w:val="0096081E"/>
    <w:rsid w:val="0096095E"/>
    <w:rsid w:val="00960C64"/>
    <w:rsid w:val="00960D39"/>
    <w:rsid w:val="00960F7E"/>
    <w:rsid w:val="009611A5"/>
    <w:rsid w:val="00961279"/>
    <w:rsid w:val="0096193B"/>
    <w:rsid w:val="00961B25"/>
    <w:rsid w:val="00961BB2"/>
    <w:rsid w:val="009622A5"/>
    <w:rsid w:val="0096267A"/>
    <w:rsid w:val="009629FE"/>
    <w:rsid w:val="00963188"/>
    <w:rsid w:val="00963240"/>
    <w:rsid w:val="00963957"/>
    <w:rsid w:val="00963B82"/>
    <w:rsid w:val="00964475"/>
    <w:rsid w:val="00964A6E"/>
    <w:rsid w:val="00964FB4"/>
    <w:rsid w:val="00965713"/>
    <w:rsid w:val="0096582E"/>
    <w:rsid w:val="00965DAE"/>
    <w:rsid w:val="009662BB"/>
    <w:rsid w:val="00966514"/>
    <w:rsid w:val="009666BD"/>
    <w:rsid w:val="00966B91"/>
    <w:rsid w:val="00966BFB"/>
    <w:rsid w:val="00966CC2"/>
    <w:rsid w:val="00966FF8"/>
    <w:rsid w:val="0096744A"/>
    <w:rsid w:val="0096749A"/>
    <w:rsid w:val="00967CDA"/>
    <w:rsid w:val="00970048"/>
    <w:rsid w:val="00970549"/>
    <w:rsid w:val="00970999"/>
    <w:rsid w:val="009713C4"/>
    <w:rsid w:val="00971647"/>
    <w:rsid w:val="00971831"/>
    <w:rsid w:val="00971CAF"/>
    <w:rsid w:val="00971F8D"/>
    <w:rsid w:val="0097216D"/>
    <w:rsid w:val="0097218A"/>
    <w:rsid w:val="00972D8F"/>
    <w:rsid w:val="00973C2B"/>
    <w:rsid w:val="00974255"/>
    <w:rsid w:val="0097437B"/>
    <w:rsid w:val="0097441E"/>
    <w:rsid w:val="00975466"/>
    <w:rsid w:val="00975740"/>
    <w:rsid w:val="00975756"/>
    <w:rsid w:val="009758AA"/>
    <w:rsid w:val="00975990"/>
    <w:rsid w:val="00975B50"/>
    <w:rsid w:val="00975FB0"/>
    <w:rsid w:val="009762C7"/>
    <w:rsid w:val="0097670F"/>
    <w:rsid w:val="00976BD6"/>
    <w:rsid w:val="00976C61"/>
    <w:rsid w:val="00977057"/>
    <w:rsid w:val="0097710C"/>
    <w:rsid w:val="00977AA1"/>
    <w:rsid w:val="009801B1"/>
    <w:rsid w:val="009803EC"/>
    <w:rsid w:val="00980BC3"/>
    <w:rsid w:val="00980DC7"/>
    <w:rsid w:val="00981215"/>
    <w:rsid w:val="009812AC"/>
    <w:rsid w:val="009812FC"/>
    <w:rsid w:val="009813BF"/>
    <w:rsid w:val="009816E3"/>
    <w:rsid w:val="009819CD"/>
    <w:rsid w:val="00981AC2"/>
    <w:rsid w:val="00981EA0"/>
    <w:rsid w:val="00982032"/>
    <w:rsid w:val="009824DD"/>
    <w:rsid w:val="00982C0D"/>
    <w:rsid w:val="009834ED"/>
    <w:rsid w:val="00983D98"/>
    <w:rsid w:val="009844B4"/>
    <w:rsid w:val="0098453B"/>
    <w:rsid w:val="0098461D"/>
    <w:rsid w:val="009849BE"/>
    <w:rsid w:val="00984BB9"/>
    <w:rsid w:val="00984D82"/>
    <w:rsid w:val="00985587"/>
    <w:rsid w:val="0098568D"/>
    <w:rsid w:val="0098572B"/>
    <w:rsid w:val="00985CB0"/>
    <w:rsid w:val="00985CDA"/>
    <w:rsid w:val="0098603A"/>
    <w:rsid w:val="00986137"/>
    <w:rsid w:val="00986B96"/>
    <w:rsid w:val="0098740B"/>
    <w:rsid w:val="00987506"/>
    <w:rsid w:val="00987512"/>
    <w:rsid w:val="00987985"/>
    <w:rsid w:val="00987C6F"/>
    <w:rsid w:val="00990117"/>
    <w:rsid w:val="0099018C"/>
    <w:rsid w:val="00990708"/>
    <w:rsid w:val="00990718"/>
    <w:rsid w:val="00990C3D"/>
    <w:rsid w:val="00991200"/>
    <w:rsid w:val="009914A3"/>
    <w:rsid w:val="0099199D"/>
    <w:rsid w:val="00991AE9"/>
    <w:rsid w:val="00991B9A"/>
    <w:rsid w:val="00992110"/>
    <w:rsid w:val="0099238D"/>
    <w:rsid w:val="0099242C"/>
    <w:rsid w:val="009927D8"/>
    <w:rsid w:val="00992837"/>
    <w:rsid w:val="00992A01"/>
    <w:rsid w:val="00993499"/>
    <w:rsid w:val="009934DB"/>
    <w:rsid w:val="009939CB"/>
    <w:rsid w:val="00993B07"/>
    <w:rsid w:val="00993D95"/>
    <w:rsid w:val="00994409"/>
    <w:rsid w:val="009945C0"/>
    <w:rsid w:val="009948FE"/>
    <w:rsid w:val="009949AE"/>
    <w:rsid w:val="00994D20"/>
    <w:rsid w:val="00994D3D"/>
    <w:rsid w:val="00995267"/>
    <w:rsid w:val="009952F4"/>
    <w:rsid w:val="00995756"/>
    <w:rsid w:val="00995B58"/>
    <w:rsid w:val="00995B8C"/>
    <w:rsid w:val="00995C53"/>
    <w:rsid w:val="00995E08"/>
    <w:rsid w:val="00995E5A"/>
    <w:rsid w:val="00996468"/>
    <w:rsid w:val="009966AD"/>
    <w:rsid w:val="009967AF"/>
    <w:rsid w:val="00996D27"/>
    <w:rsid w:val="00997125"/>
    <w:rsid w:val="00997F39"/>
    <w:rsid w:val="009A0208"/>
    <w:rsid w:val="009A03AC"/>
    <w:rsid w:val="009A0574"/>
    <w:rsid w:val="009A0B05"/>
    <w:rsid w:val="009A0BE4"/>
    <w:rsid w:val="009A0C34"/>
    <w:rsid w:val="009A0DCD"/>
    <w:rsid w:val="009A1089"/>
    <w:rsid w:val="009A15C0"/>
    <w:rsid w:val="009A19DF"/>
    <w:rsid w:val="009A19F4"/>
    <w:rsid w:val="009A1B80"/>
    <w:rsid w:val="009A1D3F"/>
    <w:rsid w:val="009A1DCF"/>
    <w:rsid w:val="009A1F44"/>
    <w:rsid w:val="009A21EE"/>
    <w:rsid w:val="009A24A0"/>
    <w:rsid w:val="009A253B"/>
    <w:rsid w:val="009A2A20"/>
    <w:rsid w:val="009A3205"/>
    <w:rsid w:val="009A346F"/>
    <w:rsid w:val="009A3C6E"/>
    <w:rsid w:val="009A3CC7"/>
    <w:rsid w:val="009A3DA2"/>
    <w:rsid w:val="009A49BD"/>
    <w:rsid w:val="009A4B92"/>
    <w:rsid w:val="009A4E70"/>
    <w:rsid w:val="009A54A0"/>
    <w:rsid w:val="009A5F39"/>
    <w:rsid w:val="009A640C"/>
    <w:rsid w:val="009A671A"/>
    <w:rsid w:val="009A6A04"/>
    <w:rsid w:val="009A6A34"/>
    <w:rsid w:val="009A6D2F"/>
    <w:rsid w:val="009A707C"/>
    <w:rsid w:val="009A74C7"/>
    <w:rsid w:val="009A78A6"/>
    <w:rsid w:val="009A7BB0"/>
    <w:rsid w:val="009B01AE"/>
    <w:rsid w:val="009B04F2"/>
    <w:rsid w:val="009B0A43"/>
    <w:rsid w:val="009B0EAE"/>
    <w:rsid w:val="009B123D"/>
    <w:rsid w:val="009B12D4"/>
    <w:rsid w:val="009B19AB"/>
    <w:rsid w:val="009B1C1B"/>
    <w:rsid w:val="009B1DC8"/>
    <w:rsid w:val="009B1E55"/>
    <w:rsid w:val="009B1FF8"/>
    <w:rsid w:val="009B22AC"/>
    <w:rsid w:val="009B23BE"/>
    <w:rsid w:val="009B2486"/>
    <w:rsid w:val="009B35B9"/>
    <w:rsid w:val="009B35BF"/>
    <w:rsid w:val="009B4530"/>
    <w:rsid w:val="009B4C28"/>
    <w:rsid w:val="009B4C3E"/>
    <w:rsid w:val="009B4D2F"/>
    <w:rsid w:val="009B5038"/>
    <w:rsid w:val="009B56BE"/>
    <w:rsid w:val="009B573C"/>
    <w:rsid w:val="009B5C8F"/>
    <w:rsid w:val="009B6071"/>
    <w:rsid w:val="009B6563"/>
    <w:rsid w:val="009B65D5"/>
    <w:rsid w:val="009B6E0F"/>
    <w:rsid w:val="009B6EF9"/>
    <w:rsid w:val="009B7356"/>
    <w:rsid w:val="009B75BD"/>
    <w:rsid w:val="009B78A7"/>
    <w:rsid w:val="009B7A8A"/>
    <w:rsid w:val="009B7CFD"/>
    <w:rsid w:val="009C03A2"/>
    <w:rsid w:val="009C0439"/>
    <w:rsid w:val="009C099B"/>
    <w:rsid w:val="009C0B86"/>
    <w:rsid w:val="009C113F"/>
    <w:rsid w:val="009C1832"/>
    <w:rsid w:val="009C1937"/>
    <w:rsid w:val="009C1978"/>
    <w:rsid w:val="009C1ADB"/>
    <w:rsid w:val="009C21E3"/>
    <w:rsid w:val="009C27DB"/>
    <w:rsid w:val="009C353A"/>
    <w:rsid w:val="009C36D1"/>
    <w:rsid w:val="009C37BF"/>
    <w:rsid w:val="009C3803"/>
    <w:rsid w:val="009C38AD"/>
    <w:rsid w:val="009C398A"/>
    <w:rsid w:val="009C39D9"/>
    <w:rsid w:val="009C407C"/>
    <w:rsid w:val="009C4676"/>
    <w:rsid w:val="009C4ADF"/>
    <w:rsid w:val="009C5220"/>
    <w:rsid w:val="009C5263"/>
    <w:rsid w:val="009C576C"/>
    <w:rsid w:val="009C5BB9"/>
    <w:rsid w:val="009C5FC3"/>
    <w:rsid w:val="009C60E9"/>
    <w:rsid w:val="009C6629"/>
    <w:rsid w:val="009C671C"/>
    <w:rsid w:val="009C6EB9"/>
    <w:rsid w:val="009C77CA"/>
    <w:rsid w:val="009C7896"/>
    <w:rsid w:val="009C79FD"/>
    <w:rsid w:val="009C7E85"/>
    <w:rsid w:val="009D014A"/>
    <w:rsid w:val="009D0530"/>
    <w:rsid w:val="009D0843"/>
    <w:rsid w:val="009D0C23"/>
    <w:rsid w:val="009D0CF4"/>
    <w:rsid w:val="009D0D52"/>
    <w:rsid w:val="009D140A"/>
    <w:rsid w:val="009D16C5"/>
    <w:rsid w:val="009D1A74"/>
    <w:rsid w:val="009D1A85"/>
    <w:rsid w:val="009D1C65"/>
    <w:rsid w:val="009D1E9D"/>
    <w:rsid w:val="009D228D"/>
    <w:rsid w:val="009D2B87"/>
    <w:rsid w:val="009D2C76"/>
    <w:rsid w:val="009D2CDC"/>
    <w:rsid w:val="009D3079"/>
    <w:rsid w:val="009D313C"/>
    <w:rsid w:val="009D39E1"/>
    <w:rsid w:val="009D3D90"/>
    <w:rsid w:val="009D4060"/>
    <w:rsid w:val="009D43C4"/>
    <w:rsid w:val="009D4549"/>
    <w:rsid w:val="009D47C3"/>
    <w:rsid w:val="009D4831"/>
    <w:rsid w:val="009D4AF8"/>
    <w:rsid w:val="009D4C5D"/>
    <w:rsid w:val="009D5B6B"/>
    <w:rsid w:val="009D5C28"/>
    <w:rsid w:val="009D60AC"/>
    <w:rsid w:val="009D645F"/>
    <w:rsid w:val="009D6D3F"/>
    <w:rsid w:val="009D6FC5"/>
    <w:rsid w:val="009D7410"/>
    <w:rsid w:val="009D7601"/>
    <w:rsid w:val="009D7622"/>
    <w:rsid w:val="009E0004"/>
    <w:rsid w:val="009E055D"/>
    <w:rsid w:val="009E060E"/>
    <w:rsid w:val="009E085A"/>
    <w:rsid w:val="009E09DF"/>
    <w:rsid w:val="009E0AA4"/>
    <w:rsid w:val="009E0BE2"/>
    <w:rsid w:val="009E0BF9"/>
    <w:rsid w:val="009E0D0F"/>
    <w:rsid w:val="009E137C"/>
    <w:rsid w:val="009E188B"/>
    <w:rsid w:val="009E1908"/>
    <w:rsid w:val="009E1A9B"/>
    <w:rsid w:val="009E2463"/>
    <w:rsid w:val="009E2611"/>
    <w:rsid w:val="009E262E"/>
    <w:rsid w:val="009E2A52"/>
    <w:rsid w:val="009E2A77"/>
    <w:rsid w:val="009E2B4C"/>
    <w:rsid w:val="009E2C55"/>
    <w:rsid w:val="009E2E3F"/>
    <w:rsid w:val="009E2FAC"/>
    <w:rsid w:val="009E3E24"/>
    <w:rsid w:val="009E44A4"/>
    <w:rsid w:val="009E4A34"/>
    <w:rsid w:val="009E4DC4"/>
    <w:rsid w:val="009E4E3B"/>
    <w:rsid w:val="009E59F4"/>
    <w:rsid w:val="009E5C70"/>
    <w:rsid w:val="009E5DD3"/>
    <w:rsid w:val="009E5EDA"/>
    <w:rsid w:val="009E610A"/>
    <w:rsid w:val="009E61B0"/>
    <w:rsid w:val="009E622E"/>
    <w:rsid w:val="009E62A8"/>
    <w:rsid w:val="009E6387"/>
    <w:rsid w:val="009E63F0"/>
    <w:rsid w:val="009E7209"/>
    <w:rsid w:val="009E75F6"/>
    <w:rsid w:val="009E760A"/>
    <w:rsid w:val="009E7BB1"/>
    <w:rsid w:val="009E7BCD"/>
    <w:rsid w:val="009E7BFC"/>
    <w:rsid w:val="009E7CC4"/>
    <w:rsid w:val="009E7D13"/>
    <w:rsid w:val="009F012F"/>
    <w:rsid w:val="009F0217"/>
    <w:rsid w:val="009F05AC"/>
    <w:rsid w:val="009F0707"/>
    <w:rsid w:val="009F086C"/>
    <w:rsid w:val="009F09BE"/>
    <w:rsid w:val="009F1191"/>
    <w:rsid w:val="009F11E5"/>
    <w:rsid w:val="009F1443"/>
    <w:rsid w:val="009F1448"/>
    <w:rsid w:val="009F1778"/>
    <w:rsid w:val="009F1949"/>
    <w:rsid w:val="009F1EB0"/>
    <w:rsid w:val="009F1EEE"/>
    <w:rsid w:val="009F1F3F"/>
    <w:rsid w:val="009F2131"/>
    <w:rsid w:val="009F239C"/>
    <w:rsid w:val="009F274F"/>
    <w:rsid w:val="009F2E88"/>
    <w:rsid w:val="009F2F51"/>
    <w:rsid w:val="009F39A1"/>
    <w:rsid w:val="009F3EDA"/>
    <w:rsid w:val="009F3FE4"/>
    <w:rsid w:val="009F43DD"/>
    <w:rsid w:val="009F4740"/>
    <w:rsid w:val="009F4825"/>
    <w:rsid w:val="009F49FF"/>
    <w:rsid w:val="009F560B"/>
    <w:rsid w:val="009F583E"/>
    <w:rsid w:val="009F58DD"/>
    <w:rsid w:val="009F5AC4"/>
    <w:rsid w:val="009F5CE6"/>
    <w:rsid w:val="009F5DE2"/>
    <w:rsid w:val="009F60E0"/>
    <w:rsid w:val="009F68A3"/>
    <w:rsid w:val="009F6B75"/>
    <w:rsid w:val="009F6F03"/>
    <w:rsid w:val="009F6F3D"/>
    <w:rsid w:val="009F7178"/>
    <w:rsid w:val="009F71FD"/>
    <w:rsid w:val="009F74DB"/>
    <w:rsid w:val="009F77DF"/>
    <w:rsid w:val="009F7813"/>
    <w:rsid w:val="009F7930"/>
    <w:rsid w:val="009F7F8E"/>
    <w:rsid w:val="00A00140"/>
    <w:rsid w:val="00A00221"/>
    <w:rsid w:val="00A00437"/>
    <w:rsid w:val="00A00792"/>
    <w:rsid w:val="00A00BCB"/>
    <w:rsid w:val="00A00DDA"/>
    <w:rsid w:val="00A012A7"/>
    <w:rsid w:val="00A01385"/>
    <w:rsid w:val="00A016A9"/>
    <w:rsid w:val="00A01A18"/>
    <w:rsid w:val="00A01B9D"/>
    <w:rsid w:val="00A01E84"/>
    <w:rsid w:val="00A0201C"/>
    <w:rsid w:val="00A0231A"/>
    <w:rsid w:val="00A02C0A"/>
    <w:rsid w:val="00A03068"/>
    <w:rsid w:val="00A03652"/>
    <w:rsid w:val="00A03A2A"/>
    <w:rsid w:val="00A03E4B"/>
    <w:rsid w:val="00A03EB2"/>
    <w:rsid w:val="00A047DA"/>
    <w:rsid w:val="00A0480E"/>
    <w:rsid w:val="00A04844"/>
    <w:rsid w:val="00A04982"/>
    <w:rsid w:val="00A04AA0"/>
    <w:rsid w:val="00A051EA"/>
    <w:rsid w:val="00A0588A"/>
    <w:rsid w:val="00A05CA6"/>
    <w:rsid w:val="00A05CF4"/>
    <w:rsid w:val="00A063F5"/>
    <w:rsid w:val="00A06990"/>
    <w:rsid w:val="00A06ED8"/>
    <w:rsid w:val="00A06F9D"/>
    <w:rsid w:val="00A070D9"/>
    <w:rsid w:val="00A07301"/>
    <w:rsid w:val="00A0738D"/>
    <w:rsid w:val="00A07570"/>
    <w:rsid w:val="00A10103"/>
    <w:rsid w:val="00A1054B"/>
    <w:rsid w:val="00A10BC9"/>
    <w:rsid w:val="00A11137"/>
    <w:rsid w:val="00A111EA"/>
    <w:rsid w:val="00A1135E"/>
    <w:rsid w:val="00A11447"/>
    <w:rsid w:val="00A11555"/>
    <w:rsid w:val="00A1193E"/>
    <w:rsid w:val="00A11993"/>
    <w:rsid w:val="00A11A81"/>
    <w:rsid w:val="00A11B67"/>
    <w:rsid w:val="00A11D49"/>
    <w:rsid w:val="00A11DEE"/>
    <w:rsid w:val="00A120EE"/>
    <w:rsid w:val="00A12A38"/>
    <w:rsid w:val="00A12A97"/>
    <w:rsid w:val="00A12B28"/>
    <w:rsid w:val="00A1374B"/>
    <w:rsid w:val="00A13EAB"/>
    <w:rsid w:val="00A14E33"/>
    <w:rsid w:val="00A1520C"/>
    <w:rsid w:val="00A15545"/>
    <w:rsid w:val="00A1602B"/>
    <w:rsid w:val="00A162DF"/>
    <w:rsid w:val="00A16324"/>
    <w:rsid w:val="00A17013"/>
    <w:rsid w:val="00A17140"/>
    <w:rsid w:val="00A179FB"/>
    <w:rsid w:val="00A17AF1"/>
    <w:rsid w:val="00A17B4D"/>
    <w:rsid w:val="00A17B91"/>
    <w:rsid w:val="00A20220"/>
    <w:rsid w:val="00A2055E"/>
    <w:rsid w:val="00A20CAE"/>
    <w:rsid w:val="00A21676"/>
    <w:rsid w:val="00A21C7C"/>
    <w:rsid w:val="00A22532"/>
    <w:rsid w:val="00A225DB"/>
    <w:rsid w:val="00A23269"/>
    <w:rsid w:val="00A23DCC"/>
    <w:rsid w:val="00A23F95"/>
    <w:rsid w:val="00A24090"/>
    <w:rsid w:val="00A24C51"/>
    <w:rsid w:val="00A252DC"/>
    <w:rsid w:val="00A253BE"/>
    <w:rsid w:val="00A256A9"/>
    <w:rsid w:val="00A25A23"/>
    <w:rsid w:val="00A25DBE"/>
    <w:rsid w:val="00A25E6E"/>
    <w:rsid w:val="00A26159"/>
    <w:rsid w:val="00A26462"/>
    <w:rsid w:val="00A26700"/>
    <w:rsid w:val="00A26B21"/>
    <w:rsid w:val="00A26E73"/>
    <w:rsid w:val="00A274D4"/>
    <w:rsid w:val="00A274E2"/>
    <w:rsid w:val="00A27A34"/>
    <w:rsid w:val="00A27A8A"/>
    <w:rsid w:val="00A27BE4"/>
    <w:rsid w:val="00A303FB"/>
    <w:rsid w:val="00A30527"/>
    <w:rsid w:val="00A3072C"/>
    <w:rsid w:val="00A30B97"/>
    <w:rsid w:val="00A30DFC"/>
    <w:rsid w:val="00A31193"/>
    <w:rsid w:val="00A312FC"/>
    <w:rsid w:val="00A31361"/>
    <w:rsid w:val="00A3170B"/>
    <w:rsid w:val="00A31F9A"/>
    <w:rsid w:val="00A31FF4"/>
    <w:rsid w:val="00A32429"/>
    <w:rsid w:val="00A3288D"/>
    <w:rsid w:val="00A3300A"/>
    <w:rsid w:val="00A3307A"/>
    <w:rsid w:val="00A33111"/>
    <w:rsid w:val="00A33A21"/>
    <w:rsid w:val="00A33B8A"/>
    <w:rsid w:val="00A344D2"/>
    <w:rsid w:val="00A34BDA"/>
    <w:rsid w:val="00A35896"/>
    <w:rsid w:val="00A358DC"/>
    <w:rsid w:val="00A35A91"/>
    <w:rsid w:val="00A35C57"/>
    <w:rsid w:val="00A35DEC"/>
    <w:rsid w:val="00A35FDB"/>
    <w:rsid w:val="00A362FE"/>
    <w:rsid w:val="00A36EC0"/>
    <w:rsid w:val="00A37357"/>
    <w:rsid w:val="00A373D8"/>
    <w:rsid w:val="00A374BC"/>
    <w:rsid w:val="00A375B5"/>
    <w:rsid w:val="00A37704"/>
    <w:rsid w:val="00A37719"/>
    <w:rsid w:val="00A37D1B"/>
    <w:rsid w:val="00A37DD6"/>
    <w:rsid w:val="00A40089"/>
    <w:rsid w:val="00A40459"/>
    <w:rsid w:val="00A4088D"/>
    <w:rsid w:val="00A408A1"/>
    <w:rsid w:val="00A40E5F"/>
    <w:rsid w:val="00A411CC"/>
    <w:rsid w:val="00A4164A"/>
    <w:rsid w:val="00A41C3D"/>
    <w:rsid w:val="00A41F2E"/>
    <w:rsid w:val="00A42055"/>
    <w:rsid w:val="00A42883"/>
    <w:rsid w:val="00A432A0"/>
    <w:rsid w:val="00A4354B"/>
    <w:rsid w:val="00A4370C"/>
    <w:rsid w:val="00A43A5C"/>
    <w:rsid w:val="00A43F0A"/>
    <w:rsid w:val="00A43F61"/>
    <w:rsid w:val="00A43FF9"/>
    <w:rsid w:val="00A44220"/>
    <w:rsid w:val="00A45207"/>
    <w:rsid w:val="00A454DA"/>
    <w:rsid w:val="00A457C1"/>
    <w:rsid w:val="00A457E2"/>
    <w:rsid w:val="00A45944"/>
    <w:rsid w:val="00A46084"/>
    <w:rsid w:val="00A46305"/>
    <w:rsid w:val="00A465E9"/>
    <w:rsid w:val="00A468F2"/>
    <w:rsid w:val="00A46A4B"/>
    <w:rsid w:val="00A46AD0"/>
    <w:rsid w:val="00A46EDA"/>
    <w:rsid w:val="00A470C6"/>
    <w:rsid w:val="00A47757"/>
    <w:rsid w:val="00A47774"/>
    <w:rsid w:val="00A4784D"/>
    <w:rsid w:val="00A47BC1"/>
    <w:rsid w:val="00A47D14"/>
    <w:rsid w:val="00A50702"/>
    <w:rsid w:val="00A5077D"/>
    <w:rsid w:val="00A50899"/>
    <w:rsid w:val="00A50C78"/>
    <w:rsid w:val="00A50D1E"/>
    <w:rsid w:val="00A51049"/>
    <w:rsid w:val="00A51084"/>
    <w:rsid w:val="00A51124"/>
    <w:rsid w:val="00A512A2"/>
    <w:rsid w:val="00A5175F"/>
    <w:rsid w:val="00A51875"/>
    <w:rsid w:val="00A518F7"/>
    <w:rsid w:val="00A51996"/>
    <w:rsid w:val="00A51A4B"/>
    <w:rsid w:val="00A5216F"/>
    <w:rsid w:val="00A52254"/>
    <w:rsid w:val="00A52401"/>
    <w:rsid w:val="00A5287D"/>
    <w:rsid w:val="00A529D4"/>
    <w:rsid w:val="00A52C1C"/>
    <w:rsid w:val="00A52D7C"/>
    <w:rsid w:val="00A52E0E"/>
    <w:rsid w:val="00A52ECC"/>
    <w:rsid w:val="00A53131"/>
    <w:rsid w:val="00A5419C"/>
    <w:rsid w:val="00A54370"/>
    <w:rsid w:val="00A54C42"/>
    <w:rsid w:val="00A550F7"/>
    <w:rsid w:val="00A5567D"/>
    <w:rsid w:val="00A55BF7"/>
    <w:rsid w:val="00A562BE"/>
    <w:rsid w:val="00A568ED"/>
    <w:rsid w:val="00A56A4F"/>
    <w:rsid w:val="00A56DDE"/>
    <w:rsid w:val="00A5746C"/>
    <w:rsid w:val="00A5773B"/>
    <w:rsid w:val="00A5787F"/>
    <w:rsid w:val="00A57C06"/>
    <w:rsid w:val="00A57E73"/>
    <w:rsid w:val="00A600F7"/>
    <w:rsid w:val="00A601FA"/>
    <w:rsid w:val="00A603C5"/>
    <w:rsid w:val="00A60436"/>
    <w:rsid w:val="00A6052E"/>
    <w:rsid w:val="00A60601"/>
    <w:rsid w:val="00A607D9"/>
    <w:rsid w:val="00A6080A"/>
    <w:rsid w:val="00A60A03"/>
    <w:rsid w:val="00A60C3A"/>
    <w:rsid w:val="00A6104C"/>
    <w:rsid w:val="00A61C35"/>
    <w:rsid w:val="00A621B7"/>
    <w:rsid w:val="00A62DC7"/>
    <w:rsid w:val="00A63037"/>
    <w:rsid w:val="00A6323E"/>
    <w:rsid w:val="00A63277"/>
    <w:rsid w:val="00A6351C"/>
    <w:rsid w:val="00A638B4"/>
    <w:rsid w:val="00A63914"/>
    <w:rsid w:val="00A63ADC"/>
    <w:rsid w:val="00A63AF3"/>
    <w:rsid w:val="00A63C03"/>
    <w:rsid w:val="00A64173"/>
    <w:rsid w:val="00A6419E"/>
    <w:rsid w:val="00A64E32"/>
    <w:rsid w:val="00A64E8C"/>
    <w:rsid w:val="00A64EF8"/>
    <w:rsid w:val="00A65CE4"/>
    <w:rsid w:val="00A65E01"/>
    <w:rsid w:val="00A6619D"/>
    <w:rsid w:val="00A66203"/>
    <w:rsid w:val="00A664B6"/>
    <w:rsid w:val="00A6677B"/>
    <w:rsid w:val="00A66B3F"/>
    <w:rsid w:val="00A66CE9"/>
    <w:rsid w:val="00A67D1C"/>
    <w:rsid w:val="00A67F0E"/>
    <w:rsid w:val="00A702BB"/>
    <w:rsid w:val="00A703DF"/>
    <w:rsid w:val="00A70BB5"/>
    <w:rsid w:val="00A70F1D"/>
    <w:rsid w:val="00A70FB9"/>
    <w:rsid w:val="00A70FE6"/>
    <w:rsid w:val="00A710AC"/>
    <w:rsid w:val="00A71316"/>
    <w:rsid w:val="00A7177F"/>
    <w:rsid w:val="00A717AD"/>
    <w:rsid w:val="00A7186E"/>
    <w:rsid w:val="00A71CBF"/>
    <w:rsid w:val="00A71E09"/>
    <w:rsid w:val="00A71FC9"/>
    <w:rsid w:val="00A725DB"/>
    <w:rsid w:val="00A72980"/>
    <w:rsid w:val="00A729FA"/>
    <w:rsid w:val="00A72A6F"/>
    <w:rsid w:val="00A72C03"/>
    <w:rsid w:val="00A733FB"/>
    <w:rsid w:val="00A73738"/>
    <w:rsid w:val="00A73D7C"/>
    <w:rsid w:val="00A73E8F"/>
    <w:rsid w:val="00A747DC"/>
    <w:rsid w:val="00A74A82"/>
    <w:rsid w:val="00A74D4E"/>
    <w:rsid w:val="00A74DFA"/>
    <w:rsid w:val="00A752A2"/>
    <w:rsid w:val="00A75301"/>
    <w:rsid w:val="00A753BD"/>
    <w:rsid w:val="00A758EA"/>
    <w:rsid w:val="00A75D0C"/>
    <w:rsid w:val="00A75D7A"/>
    <w:rsid w:val="00A761EE"/>
    <w:rsid w:val="00A766DD"/>
    <w:rsid w:val="00A76A99"/>
    <w:rsid w:val="00A76B33"/>
    <w:rsid w:val="00A76FA4"/>
    <w:rsid w:val="00A777C4"/>
    <w:rsid w:val="00A7783C"/>
    <w:rsid w:val="00A77840"/>
    <w:rsid w:val="00A77933"/>
    <w:rsid w:val="00A77F98"/>
    <w:rsid w:val="00A77FCB"/>
    <w:rsid w:val="00A80559"/>
    <w:rsid w:val="00A80813"/>
    <w:rsid w:val="00A80EA4"/>
    <w:rsid w:val="00A8115F"/>
    <w:rsid w:val="00A819DD"/>
    <w:rsid w:val="00A81C95"/>
    <w:rsid w:val="00A81DE0"/>
    <w:rsid w:val="00A81F01"/>
    <w:rsid w:val="00A827D6"/>
    <w:rsid w:val="00A8297E"/>
    <w:rsid w:val="00A82D4D"/>
    <w:rsid w:val="00A8367F"/>
    <w:rsid w:val="00A83A16"/>
    <w:rsid w:val="00A83CA5"/>
    <w:rsid w:val="00A83DB3"/>
    <w:rsid w:val="00A83DCF"/>
    <w:rsid w:val="00A83ECA"/>
    <w:rsid w:val="00A84336"/>
    <w:rsid w:val="00A846D6"/>
    <w:rsid w:val="00A84863"/>
    <w:rsid w:val="00A84EAD"/>
    <w:rsid w:val="00A84EBD"/>
    <w:rsid w:val="00A84EDD"/>
    <w:rsid w:val="00A84F34"/>
    <w:rsid w:val="00A856EE"/>
    <w:rsid w:val="00A8620E"/>
    <w:rsid w:val="00A86499"/>
    <w:rsid w:val="00A864E9"/>
    <w:rsid w:val="00A86521"/>
    <w:rsid w:val="00A86827"/>
    <w:rsid w:val="00A86CC9"/>
    <w:rsid w:val="00A8730E"/>
    <w:rsid w:val="00A8749C"/>
    <w:rsid w:val="00A87673"/>
    <w:rsid w:val="00A87906"/>
    <w:rsid w:val="00A87958"/>
    <w:rsid w:val="00A87E75"/>
    <w:rsid w:val="00A87E9E"/>
    <w:rsid w:val="00A901BE"/>
    <w:rsid w:val="00A904E2"/>
    <w:rsid w:val="00A90D2E"/>
    <w:rsid w:val="00A911B5"/>
    <w:rsid w:val="00A912E7"/>
    <w:rsid w:val="00A91B6C"/>
    <w:rsid w:val="00A91E97"/>
    <w:rsid w:val="00A92BCF"/>
    <w:rsid w:val="00A92C1A"/>
    <w:rsid w:val="00A92E80"/>
    <w:rsid w:val="00A93095"/>
    <w:rsid w:val="00A93309"/>
    <w:rsid w:val="00A933C8"/>
    <w:rsid w:val="00A934AA"/>
    <w:rsid w:val="00A938A8"/>
    <w:rsid w:val="00A939EB"/>
    <w:rsid w:val="00A93C28"/>
    <w:rsid w:val="00A9448F"/>
    <w:rsid w:val="00A94F32"/>
    <w:rsid w:val="00A95326"/>
    <w:rsid w:val="00A9542D"/>
    <w:rsid w:val="00A954FD"/>
    <w:rsid w:val="00A95612"/>
    <w:rsid w:val="00A957DD"/>
    <w:rsid w:val="00A95C73"/>
    <w:rsid w:val="00A95E2B"/>
    <w:rsid w:val="00A96085"/>
    <w:rsid w:val="00A96151"/>
    <w:rsid w:val="00A96424"/>
    <w:rsid w:val="00A965A2"/>
    <w:rsid w:val="00A96734"/>
    <w:rsid w:val="00A96A1C"/>
    <w:rsid w:val="00A96E3A"/>
    <w:rsid w:val="00A97616"/>
    <w:rsid w:val="00A9797D"/>
    <w:rsid w:val="00A9798C"/>
    <w:rsid w:val="00A97AC3"/>
    <w:rsid w:val="00A97F12"/>
    <w:rsid w:val="00AA0125"/>
    <w:rsid w:val="00AA0297"/>
    <w:rsid w:val="00AA0C9E"/>
    <w:rsid w:val="00AA0D18"/>
    <w:rsid w:val="00AA139E"/>
    <w:rsid w:val="00AA170D"/>
    <w:rsid w:val="00AA19A6"/>
    <w:rsid w:val="00AA1AED"/>
    <w:rsid w:val="00AA1DA2"/>
    <w:rsid w:val="00AA1EE1"/>
    <w:rsid w:val="00AA20B1"/>
    <w:rsid w:val="00AA25BA"/>
    <w:rsid w:val="00AA262E"/>
    <w:rsid w:val="00AA2BA2"/>
    <w:rsid w:val="00AA2C89"/>
    <w:rsid w:val="00AA3451"/>
    <w:rsid w:val="00AA3C1A"/>
    <w:rsid w:val="00AA43BD"/>
    <w:rsid w:val="00AA46E6"/>
    <w:rsid w:val="00AA48B6"/>
    <w:rsid w:val="00AA48C1"/>
    <w:rsid w:val="00AA58C2"/>
    <w:rsid w:val="00AA5EC1"/>
    <w:rsid w:val="00AA60A4"/>
    <w:rsid w:val="00AA62BE"/>
    <w:rsid w:val="00AA63B1"/>
    <w:rsid w:val="00AA67C3"/>
    <w:rsid w:val="00AA6AB5"/>
    <w:rsid w:val="00AA6DDB"/>
    <w:rsid w:val="00AA714D"/>
    <w:rsid w:val="00AA73A8"/>
    <w:rsid w:val="00AA771D"/>
    <w:rsid w:val="00AA7ADF"/>
    <w:rsid w:val="00AA7C13"/>
    <w:rsid w:val="00AA7D1E"/>
    <w:rsid w:val="00AA7E0A"/>
    <w:rsid w:val="00AB006F"/>
    <w:rsid w:val="00AB0317"/>
    <w:rsid w:val="00AB0B41"/>
    <w:rsid w:val="00AB0BEA"/>
    <w:rsid w:val="00AB12F3"/>
    <w:rsid w:val="00AB171C"/>
    <w:rsid w:val="00AB1A9F"/>
    <w:rsid w:val="00AB200F"/>
    <w:rsid w:val="00AB3037"/>
    <w:rsid w:val="00AB3184"/>
    <w:rsid w:val="00AB33CF"/>
    <w:rsid w:val="00AB33F5"/>
    <w:rsid w:val="00AB33F9"/>
    <w:rsid w:val="00AB35B0"/>
    <w:rsid w:val="00AB3B50"/>
    <w:rsid w:val="00AB3CEC"/>
    <w:rsid w:val="00AB3E8B"/>
    <w:rsid w:val="00AB415A"/>
    <w:rsid w:val="00AB4A5A"/>
    <w:rsid w:val="00AB4AFF"/>
    <w:rsid w:val="00AB537C"/>
    <w:rsid w:val="00AB5487"/>
    <w:rsid w:val="00AB5887"/>
    <w:rsid w:val="00AB5B81"/>
    <w:rsid w:val="00AB5C13"/>
    <w:rsid w:val="00AB5CD5"/>
    <w:rsid w:val="00AB5D24"/>
    <w:rsid w:val="00AB617F"/>
    <w:rsid w:val="00AB6276"/>
    <w:rsid w:val="00AB64D6"/>
    <w:rsid w:val="00AB64E5"/>
    <w:rsid w:val="00AB65F3"/>
    <w:rsid w:val="00AB6C31"/>
    <w:rsid w:val="00AB707B"/>
    <w:rsid w:val="00AB7213"/>
    <w:rsid w:val="00AB7442"/>
    <w:rsid w:val="00AB74CF"/>
    <w:rsid w:val="00AC0717"/>
    <w:rsid w:val="00AC11ED"/>
    <w:rsid w:val="00AC1226"/>
    <w:rsid w:val="00AC146B"/>
    <w:rsid w:val="00AC1481"/>
    <w:rsid w:val="00AC1686"/>
    <w:rsid w:val="00AC179A"/>
    <w:rsid w:val="00AC18EF"/>
    <w:rsid w:val="00AC1DC3"/>
    <w:rsid w:val="00AC24F6"/>
    <w:rsid w:val="00AC2888"/>
    <w:rsid w:val="00AC299E"/>
    <w:rsid w:val="00AC2A25"/>
    <w:rsid w:val="00AC2A54"/>
    <w:rsid w:val="00AC2CAF"/>
    <w:rsid w:val="00AC3B0B"/>
    <w:rsid w:val="00AC44AF"/>
    <w:rsid w:val="00AC4838"/>
    <w:rsid w:val="00AC550D"/>
    <w:rsid w:val="00AC585F"/>
    <w:rsid w:val="00AC598F"/>
    <w:rsid w:val="00AC5C6A"/>
    <w:rsid w:val="00AC5CC5"/>
    <w:rsid w:val="00AC635D"/>
    <w:rsid w:val="00AC6484"/>
    <w:rsid w:val="00AC65AF"/>
    <w:rsid w:val="00AC679E"/>
    <w:rsid w:val="00AC7052"/>
    <w:rsid w:val="00AC7703"/>
    <w:rsid w:val="00AC7D7F"/>
    <w:rsid w:val="00AC7E57"/>
    <w:rsid w:val="00AC7F32"/>
    <w:rsid w:val="00AD00CD"/>
    <w:rsid w:val="00AD0558"/>
    <w:rsid w:val="00AD0FEB"/>
    <w:rsid w:val="00AD10E5"/>
    <w:rsid w:val="00AD1383"/>
    <w:rsid w:val="00AD13A8"/>
    <w:rsid w:val="00AD1A75"/>
    <w:rsid w:val="00AD1D97"/>
    <w:rsid w:val="00AD1FF4"/>
    <w:rsid w:val="00AD21D6"/>
    <w:rsid w:val="00AD23CC"/>
    <w:rsid w:val="00AD2479"/>
    <w:rsid w:val="00AD248F"/>
    <w:rsid w:val="00AD31EC"/>
    <w:rsid w:val="00AD32BE"/>
    <w:rsid w:val="00AD35A4"/>
    <w:rsid w:val="00AD37F0"/>
    <w:rsid w:val="00AD3C2A"/>
    <w:rsid w:val="00AD3E6B"/>
    <w:rsid w:val="00AD4028"/>
    <w:rsid w:val="00AD4379"/>
    <w:rsid w:val="00AD43A0"/>
    <w:rsid w:val="00AD4652"/>
    <w:rsid w:val="00AD4A21"/>
    <w:rsid w:val="00AD4DAE"/>
    <w:rsid w:val="00AD4FB3"/>
    <w:rsid w:val="00AD580F"/>
    <w:rsid w:val="00AD59D8"/>
    <w:rsid w:val="00AD5D1F"/>
    <w:rsid w:val="00AD5D67"/>
    <w:rsid w:val="00AD5D9A"/>
    <w:rsid w:val="00AD5E26"/>
    <w:rsid w:val="00AD6676"/>
    <w:rsid w:val="00AD6833"/>
    <w:rsid w:val="00AD6D41"/>
    <w:rsid w:val="00AD715B"/>
    <w:rsid w:val="00AD7356"/>
    <w:rsid w:val="00AD76B1"/>
    <w:rsid w:val="00AD7763"/>
    <w:rsid w:val="00AD77FA"/>
    <w:rsid w:val="00AE035E"/>
    <w:rsid w:val="00AE06F7"/>
    <w:rsid w:val="00AE0914"/>
    <w:rsid w:val="00AE0E20"/>
    <w:rsid w:val="00AE1220"/>
    <w:rsid w:val="00AE14B9"/>
    <w:rsid w:val="00AE1923"/>
    <w:rsid w:val="00AE1CFC"/>
    <w:rsid w:val="00AE1D4C"/>
    <w:rsid w:val="00AE203F"/>
    <w:rsid w:val="00AE23AB"/>
    <w:rsid w:val="00AE252A"/>
    <w:rsid w:val="00AE29AA"/>
    <w:rsid w:val="00AE2CFF"/>
    <w:rsid w:val="00AE30A1"/>
    <w:rsid w:val="00AE31C3"/>
    <w:rsid w:val="00AE329C"/>
    <w:rsid w:val="00AE3D0F"/>
    <w:rsid w:val="00AE3E1D"/>
    <w:rsid w:val="00AE3EC3"/>
    <w:rsid w:val="00AE41C8"/>
    <w:rsid w:val="00AE4513"/>
    <w:rsid w:val="00AE48A4"/>
    <w:rsid w:val="00AE4D24"/>
    <w:rsid w:val="00AE4F38"/>
    <w:rsid w:val="00AE507F"/>
    <w:rsid w:val="00AE5095"/>
    <w:rsid w:val="00AE521A"/>
    <w:rsid w:val="00AE5380"/>
    <w:rsid w:val="00AE5AEC"/>
    <w:rsid w:val="00AE600B"/>
    <w:rsid w:val="00AE6602"/>
    <w:rsid w:val="00AE6873"/>
    <w:rsid w:val="00AE6D21"/>
    <w:rsid w:val="00AE6D50"/>
    <w:rsid w:val="00AE7736"/>
    <w:rsid w:val="00AE7F9B"/>
    <w:rsid w:val="00AF03AA"/>
    <w:rsid w:val="00AF0D9E"/>
    <w:rsid w:val="00AF106D"/>
    <w:rsid w:val="00AF1099"/>
    <w:rsid w:val="00AF1220"/>
    <w:rsid w:val="00AF1DE2"/>
    <w:rsid w:val="00AF26A0"/>
    <w:rsid w:val="00AF278C"/>
    <w:rsid w:val="00AF2806"/>
    <w:rsid w:val="00AF3042"/>
    <w:rsid w:val="00AF34EA"/>
    <w:rsid w:val="00AF362D"/>
    <w:rsid w:val="00AF406C"/>
    <w:rsid w:val="00AF428A"/>
    <w:rsid w:val="00AF430F"/>
    <w:rsid w:val="00AF498E"/>
    <w:rsid w:val="00AF49D2"/>
    <w:rsid w:val="00AF4AF0"/>
    <w:rsid w:val="00AF4E90"/>
    <w:rsid w:val="00AF4FDE"/>
    <w:rsid w:val="00AF5391"/>
    <w:rsid w:val="00AF5912"/>
    <w:rsid w:val="00AF5D43"/>
    <w:rsid w:val="00AF5D8B"/>
    <w:rsid w:val="00AF62E0"/>
    <w:rsid w:val="00AF698E"/>
    <w:rsid w:val="00AF6A75"/>
    <w:rsid w:val="00AF6EE6"/>
    <w:rsid w:val="00AF7341"/>
    <w:rsid w:val="00AF7555"/>
    <w:rsid w:val="00AF7CBE"/>
    <w:rsid w:val="00B0063B"/>
    <w:rsid w:val="00B007F3"/>
    <w:rsid w:val="00B00A76"/>
    <w:rsid w:val="00B00C2F"/>
    <w:rsid w:val="00B00EA1"/>
    <w:rsid w:val="00B00F17"/>
    <w:rsid w:val="00B00FB6"/>
    <w:rsid w:val="00B0133A"/>
    <w:rsid w:val="00B01ABC"/>
    <w:rsid w:val="00B01DB9"/>
    <w:rsid w:val="00B01E36"/>
    <w:rsid w:val="00B01F6C"/>
    <w:rsid w:val="00B025A1"/>
    <w:rsid w:val="00B0264A"/>
    <w:rsid w:val="00B0308E"/>
    <w:rsid w:val="00B03DEE"/>
    <w:rsid w:val="00B04053"/>
    <w:rsid w:val="00B04BF9"/>
    <w:rsid w:val="00B04C10"/>
    <w:rsid w:val="00B04D6B"/>
    <w:rsid w:val="00B04F0F"/>
    <w:rsid w:val="00B05053"/>
    <w:rsid w:val="00B05330"/>
    <w:rsid w:val="00B0575B"/>
    <w:rsid w:val="00B068E4"/>
    <w:rsid w:val="00B068FF"/>
    <w:rsid w:val="00B069DE"/>
    <w:rsid w:val="00B06A46"/>
    <w:rsid w:val="00B06ED6"/>
    <w:rsid w:val="00B078AE"/>
    <w:rsid w:val="00B1063A"/>
    <w:rsid w:val="00B10802"/>
    <w:rsid w:val="00B10D68"/>
    <w:rsid w:val="00B10E88"/>
    <w:rsid w:val="00B11083"/>
    <w:rsid w:val="00B11114"/>
    <w:rsid w:val="00B1147E"/>
    <w:rsid w:val="00B115ED"/>
    <w:rsid w:val="00B117CB"/>
    <w:rsid w:val="00B117D7"/>
    <w:rsid w:val="00B11E1F"/>
    <w:rsid w:val="00B12047"/>
    <w:rsid w:val="00B1236B"/>
    <w:rsid w:val="00B12732"/>
    <w:rsid w:val="00B12859"/>
    <w:rsid w:val="00B12E82"/>
    <w:rsid w:val="00B12FD8"/>
    <w:rsid w:val="00B132A0"/>
    <w:rsid w:val="00B13785"/>
    <w:rsid w:val="00B13B16"/>
    <w:rsid w:val="00B13B75"/>
    <w:rsid w:val="00B13B8E"/>
    <w:rsid w:val="00B13BC6"/>
    <w:rsid w:val="00B13FB4"/>
    <w:rsid w:val="00B13FFE"/>
    <w:rsid w:val="00B142E0"/>
    <w:rsid w:val="00B14429"/>
    <w:rsid w:val="00B15237"/>
    <w:rsid w:val="00B156A9"/>
    <w:rsid w:val="00B1598D"/>
    <w:rsid w:val="00B15E04"/>
    <w:rsid w:val="00B1616E"/>
    <w:rsid w:val="00B16360"/>
    <w:rsid w:val="00B166F6"/>
    <w:rsid w:val="00B172FE"/>
    <w:rsid w:val="00B17A6F"/>
    <w:rsid w:val="00B17F5C"/>
    <w:rsid w:val="00B202F8"/>
    <w:rsid w:val="00B2074F"/>
    <w:rsid w:val="00B210CC"/>
    <w:rsid w:val="00B21E4C"/>
    <w:rsid w:val="00B22475"/>
    <w:rsid w:val="00B22831"/>
    <w:rsid w:val="00B22BC5"/>
    <w:rsid w:val="00B230D8"/>
    <w:rsid w:val="00B231BC"/>
    <w:rsid w:val="00B231EC"/>
    <w:rsid w:val="00B232FF"/>
    <w:rsid w:val="00B23573"/>
    <w:rsid w:val="00B23ABE"/>
    <w:rsid w:val="00B23B67"/>
    <w:rsid w:val="00B23F6D"/>
    <w:rsid w:val="00B24B78"/>
    <w:rsid w:val="00B24F9A"/>
    <w:rsid w:val="00B2537B"/>
    <w:rsid w:val="00B2547B"/>
    <w:rsid w:val="00B25FB1"/>
    <w:rsid w:val="00B26797"/>
    <w:rsid w:val="00B26C98"/>
    <w:rsid w:val="00B26E4F"/>
    <w:rsid w:val="00B26F77"/>
    <w:rsid w:val="00B27027"/>
    <w:rsid w:val="00B271E8"/>
    <w:rsid w:val="00B275D8"/>
    <w:rsid w:val="00B27981"/>
    <w:rsid w:val="00B27B3E"/>
    <w:rsid w:val="00B3007E"/>
    <w:rsid w:val="00B300C3"/>
    <w:rsid w:val="00B3024D"/>
    <w:rsid w:val="00B306F6"/>
    <w:rsid w:val="00B30871"/>
    <w:rsid w:val="00B30AD6"/>
    <w:rsid w:val="00B3135E"/>
    <w:rsid w:val="00B313F6"/>
    <w:rsid w:val="00B314BB"/>
    <w:rsid w:val="00B31DC7"/>
    <w:rsid w:val="00B31E63"/>
    <w:rsid w:val="00B32506"/>
    <w:rsid w:val="00B32920"/>
    <w:rsid w:val="00B32CCD"/>
    <w:rsid w:val="00B32F66"/>
    <w:rsid w:val="00B33678"/>
    <w:rsid w:val="00B33B9B"/>
    <w:rsid w:val="00B33E58"/>
    <w:rsid w:val="00B33FD6"/>
    <w:rsid w:val="00B3407B"/>
    <w:rsid w:val="00B340B5"/>
    <w:rsid w:val="00B348D2"/>
    <w:rsid w:val="00B34AFD"/>
    <w:rsid w:val="00B34CAA"/>
    <w:rsid w:val="00B3512D"/>
    <w:rsid w:val="00B354E2"/>
    <w:rsid w:val="00B358C1"/>
    <w:rsid w:val="00B35C85"/>
    <w:rsid w:val="00B361AC"/>
    <w:rsid w:val="00B36224"/>
    <w:rsid w:val="00B36705"/>
    <w:rsid w:val="00B36B2F"/>
    <w:rsid w:val="00B36F8C"/>
    <w:rsid w:val="00B37073"/>
    <w:rsid w:val="00B3708C"/>
    <w:rsid w:val="00B371B2"/>
    <w:rsid w:val="00B37391"/>
    <w:rsid w:val="00B3757C"/>
    <w:rsid w:val="00B37D98"/>
    <w:rsid w:val="00B40037"/>
    <w:rsid w:val="00B413F6"/>
    <w:rsid w:val="00B4141C"/>
    <w:rsid w:val="00B414E0"/>
    <w:rsid w:val="00B41861"/>
    <w:rsid w:val="00B41A1A"/>
    <w:rsid w:val="00B41D7E"/>
    <w:rsid w:val="00B42107"/>
    <w:rsid w:val="00B42704"/>
    <w:rsid w:val="00B427F8"/>
    <w:rsid w:val="00B43878"/>
    <w:rsid w:val="00B439E2"/>
    <w:rsid w:val="00B43A1C"/>
    <w:rsid w:val="00B43F14"/>
    <w:rsid w:val="00B440D1"/>
    <w:rsid w:val="00B442CD"/>
    <w:rsid w:val="00B443DF"/>
    <w:rsid w:val="00B4492B"/>
    <w:rsid w:val="00B44A28"/>
    <w:rsid w:val="00B45047"/>
    <w:rsid w:val="00B453BC"/>
    <w:rsid w:val="00B45538"/>
    <w:rsid w:val="00B457F9"/>
    <w:rsid w:val="00B45B91"/>
    <w:rsid w:val="00B45BA8"/>
    <w:rsid w:val="00B45BBA"/>
    <w:rsid w:val="00B462D8"/>
    <w:rsid w:val="00B46347"/>
    <w:rsid w:val="00B46444"/>
    <w:rsid w:val="00B46775"/>
    <w:rsid w:val="00B46C8E"/>
    <w:rsid w:val="00B47117"/>
    <w:rsid w:val="00B47236"/>
    <w:rsid w:val="00B475E1"/>
    <w:rsid w:val="00B4762E"/>
    <w:rsid w:val="00B47D1C"/>
    <w:rsid w:val="00B47D23"/>
    <w:rsid w:val="00B507E3"/>
    <w:rsid w:val="00B509ED"/>
    <w:rsid w:val="00B5155A"/>
    <w:rsid w:val="00B51800"/>
    <w:rsid w:val="00B51E22"/>
    <w:rsid w:val="00B51E5E"/>
    <w:rsid w:val="00B51F70"/>
    <w:rsid w:val="00B521AD"/>
    <w:rsid w:val="00B52425"/>
    <w:rsid w:val="00B52B7A"/>
    <w:rsid w:val="00B52E89"/>
    <w:rsid w:val="00B52EAD"/>
    <w:rsid w:val="00B52F36"/>
    <w:rsid w:val="00B542AE"/>
    <w:rsid w:val="00B5436B"/>
    <w:rsid w:val="00B543F1"/>
    <w:rsid w:val="00B546AB"/>
    <w:rsid w:val="00B5474A"/>
    <w:rsid w:val="00B54772"/>
    <w:rsid w:val="00B547C5"/>
    <w:rsid w:val="00B54851"/>
    <w:rsid w:val="00B54B97"/>
    <w:rsid w:val="00B54C7E"/>
    <w:rsid w:val="00B554B1"/>
    <w:rsid w:val="00B554EB"/>
    <w:rsid w:val="00B55825"/>
    <w:rsid w:val="00B55C56"/>
    <w:rsid w:val="00B55E02"/>
    <w:rsid w:val="00B55E9E"/>
    <w:rsid w:val="00B566ED"/>
    <w:rsid w:val="00B56B70"/>
    <w:rsid w:val="00B56CFF"/>
    <w:rsid w:val="00B56EB0"/>
    <w:rsid w:val="00B57168"/>
    <w:rsid w:val="00B57205"/>
    <w:rsid w:val="00B57320"/>
    <w:rsid w:val="00B574FC"/>
    <w:rsid w:val="00B603D4"/>
    <w:rsid w:val="00B604C7"/>
    <w:rsid w:val="00B60CC4"/>
    <w:rsid w:val="00B60D02"/>
    <w:rsid w:val="00B60E24"/>
    <w:rsid w:val="00B61068"/>
    <w:rsid w:val="00B6118D"/>
    <w:rsid w:val="00B61F6B"/>
    <w:rsid w:val="00B62104"/>
    <w:rsid w:val="00B6233A"/>
    <w:rsid w:val="00B62AFD"/>
    <w:rsid w:val="00B62CD1"/>
    <w:rsid w:val="00B6312A"/>
    <w:rsid w:val="00B63594"/>
    <w:rsid w:val="00B63815"/>
    <w:rsid w:val="00B6385C"/>
    <w:rsid w:val="00B63CE9"/>
    <w:rsid w:val="00B6435F"/>
    <w:rsid w:val="00B64FF2"/>
    <w:rsid w:val="00B650FB"/>
    <w:rsid w:val="00B651B7"/>
    <w:rsid w:val="00B65256"/>
    <w:rsid w:val="00B65553"/>
    <w:rsid w:val="00B65643"/>
    <w:rsid w:val="00B658B7"/>
    <w:rsid w:val="00B65B2F"/>
    <w:rsid w:val="00B66381"/>
    <w:rsid w:val="00B66D46"/>
    <w:rsid w:val="00B66D63"/>
    <w:rsid w:val="00B66E77"/>
    <w:rsid w:val="00B6719B"/>
    <w:rsid w:val="00B674BE"/>
    <w:rsid w:val="00B6777E"/>
    <w:rsid w:val="00B677C5"/>
    <w:rsid w:val="00B67953"/>
    <w:rsid w:val="00B6799D"/>
    <w:rsid w:val="00B67A5D"/>
    <w:rsid w:val="00B67BF5"/>
    <w:rsid w:val="00B67FDE"/>
    <w:rsid w:val="00B70240"/>
    <w:rsid w:val="00B702B7"/>
    <w:rsid w:val="00B7038A"/>
    <w:rsid w:val="00B706E0"/>
    <w:rsid w:val="00B70E68"/>
    <w:rsid w:val="00B71721"/>
    <w:rsid w:val="00B71BEA"/>
    <w:rsid w:val="00B71C5E"/>
    <w:rsid w:val="00B71D0E"/>
    <w:rsid w:val="00B71D57"/>
    <w:rsid w:val="00B71F43"/>
    <w:rsid w:val="00B7212F"/>
    <w:rsid w:val="00B7222F"/>
    <w:rsid w:val="00B72616"/>
    <w:rsid w:val="00B72695"/>
    <w:rsid w:val="00B726B9"/>
    <w:rsid w:val="00B72C21"/>
    <w:rsid w:val="00B730B7"/>
    <w:rsid w:val="00B7316F"/>
    <w:rsid w:val="00B73287"/>
    <w:rsid w:val="00B7338B"/>
    <w:rsid w:val="00B7351F"/>
    <w:rsid w:val="00B73814"/>
    <w:rsid w:val="00B7397F"/>
    <w:rsid w:val="00B73D20"/>
    <w:rsid w:val="00B73D5E"/>
    <w:rsid w:val="00B73F56"/>
    <w:rsid w:val="00B743DE"/>
    <w:rsid w:val="00B743DF"/>
    <w:rsid w:val="00B74B6F"/>
    <w:rsid w:val="00B752A3"/>
    <w:rsid w:val="00B752B1"/>
    <w:rsid w:val="00B7532F"/>
    <w:rsid w:val="00B75640"/>
    <w:rsid w:val="00B75690"/>
    <w:rsid w:val="00B759E3"/>
    <w:rsid w:val="00B75F97"/>
    <w:rsid w:val="00B76B9D"/>
    <w:rsid w:val="00B77355"/>
    <w:rsid w:val="00B776A8"/>
    <w:rsid w:val="00B77A84"/>
    <w:rsid w:val="00B77E94"/>
    <w:rsid w:val="00B80321"/>
    <w:rsid w:val="00B80573"/>
    <w:rsid w:val="00B8116E"/>
    <w:rsid w:val="00B8139C"/>
    <w:rsid w:val="00B815EB"/>
    <w:rsid w:val="00B81BCF"/>
    <w:rsid w:val="00B81C69"/>
    <w:rsid w:val="00B81ECB"/>
    <w:rsid w:val="00B821B7"/>
    <w:rsid w:val="00B82451"/>
    <w:rsid w:val="00B8298F"/>
    <w:rsid w:val="00B8299B"/>
    <w:rsid w:val="00B82B9A"/>
    <w:rsid w:val="00B82F98"/>
    <w:rsid w:val="00B83503"/>
    <w:rsid w:val="00B836B1"/>
    <w:rsid w:val="00B84095"/>
    <w:rsid w:val="00B84D02"/>
    <w:rsid w:val="00B84ED5"/>
    <w:rsid w:val="00B85018"/>
    <w:rsid w:val="00B858B4"/>
    <w:rsid w:val="00B8590E"/>
    <w:rsid w:val="00B8596D"/>
    <w:rsid w:val="00B863E7"/>
    <w:rsid w:val="00B86CD2"/>
    <w:rsid w:val="00B8778B"/>
    <w:rsid w:val="00B9031C"/>
    <w:rsid w:val="00B90348"/>
    <w:rsid w:val="00B903D1"/>
    <w:rsid w:val="00B90653"/>
    <w:rsid w:val="00B90FAF"/>
    <w:rsid w:val="00B912EE"/>
    <w:rsid w:val="00B91A75"/>
    <w:rsid w:val="00B925DB"/>
    <w:rsid w:val="00B928E5"/>
    <w:rsid w:val="00B93299"/>
    <w:rsid w:val="00B9333B"/>
    <w:rsid w:val="00B938E4"/>
    <w:rsid w:val="00B93D40"/>
    <w:rsid w:val="00B947BF"/>
    <w:rsid w:val="00B94811"/>
    <w:rsid w:val="00B94BC2"/>
    <w:rsid w:val="00B94E55"/>
    <w:rsid w:val="00B94F87"/>
    <w:rsid w:val="00B951C1"/>
    <w:rsid w:val="00B95414"/>
    <w:rsid w:val="00B9544A"/>
    <w:rsid w:val="00B9556E"/>
    <w:rsid w:val="00B95619"/>
    <w:rsid w:val="00B95DA7"/>
    <w:rsid w:val="00B95DC7"/>
    <w:rsid w:val="00B96335"/>
    <w:rsid w:val="00B96C53"/>
    <w:rsid w:val="00B975CF"/>
    <w:rsid w:val="00B97784"/>
    <w:rsid w:val="00B97EBA"/>
    <w:rsid w:val="00BA0103"/>
    <w:rsid w:val="00BA0587"/>
    <w:rsid w:val="00BA0DF2"/>
    <w:rsid w:val="00BA0E5B"/>
    <w:rsid w:val="00BA0F89"/>
    <w:rsid w:val="00BA1049"/>
    <w:rsid w:val="00BA108A"/>
    <w:rsid w:val="00BA179D"/>
    <w:rsid w:val="00BA181F"/>
    <w:rsid w:val="00BA1AFD"/>
    <w:rsid w:val="00BA217B"/>
    <w:rsid w:val="00BA2A85"/>
    <w:rsid w:val="00BA3074"/>
    <w:rsid w:val="00BA3094"/>
    <w:rsid w:val="00BA37F0"/>
    <w:rsid w:val="00BA3CC9"/>
    <w:rsid w:val="00BA4214"/>
    <w:rsid w:val="00BA42EA"/>
    <w:rsid w:val="00BA4418"/>
    <w:rsid w:val="00BA4525"/>
    <w:rsid w:val="00BA4AAE"/>
    <w:rsid w:val="00BA4BFB"/>
    <w:rsid w:val="00BA4D60"/>
    <w:rsid w:val="00BA4E2C"/>
    <w:rsid w:val="00BA509D"/>
    <w:rsid w:val="00BA51F6"/>
    <w:rsid w:val="00BA5B47"/>
    <w:rsid w:val="00BA5E43"/>
    <w:rsid w:val="00BA5ED6"/>
    <w:rsid w:val="00BA63D5"/>
    <w:rsid w:val="00BA648B"/>
    <w:rsid w:val="00BA6818"/>
    <w:rsid w:val="00BA6E28"/>
    <w:rsid w:val="00BA74ED"/>
    <w:rsid w:val="00BA771E"/>
    <w:rsid w:val="00BA77DE"/>
    <w:rsid w:val="00BA782E"/>
    <w:rsid w:val="00BA7A25"/>
    <w:rsid w:val="00BA7C2F"/>
    <w:rsid w:val="00BB0599"/>
    <w:rsid w:val="00BB05F4"/>
    <w:rsid w:val="00BB0630"/>
    <w:rsid w:val="00BB064E"/>
    <w:rsid w:val="00BB11B2"/>
    <w:rsid w:val="00BB12F6"/>
    <w:rsid w:val="00BB13AC"/>
    <w:rsid w:val="00BB14C3"/>
    <w:rsid w:val="00BB1CAB"/>
    <w:rsid w:val="00BB1DBF"/>
    <w:rsid w:val="00BB2322"/>
    <w:rsid w:val="00BB2333"/>
    <w:rsid w:val="00BB2405"/>
    <w:rsid w:val="00BB25E1"/>
    <w:rsid w:val="00BB2DFE"/>
    <w:rsid w:val="00BB3436"/>
    <w:rsid w:val="00BB3828"/>
    <w:rsid w:val="00BB3A7C"/>
    <w:rsid w:val="00BB3D9E"/>
    <w:rsid w:val="00BB4199"/>
    <w:rsid w:val="00BB48F9"/>
    <w:rsid w:val="00BB4D2D"/>
    <w:rsid w:val="00BB4D97"/>
    <w:rsid w:val="00BB51DC"/>
    <w:rsid w:val="00BB53DF"/>
    <w:rsid w:val="00BB56C4"/>
    <w:rsid w:val="00BB5776"/>
    <w:rsid w:val="00BB5B56"/>
    <w:rsid w:val="00BB6030"/>
    <w:rsid w:val="00BB6067"/>
    <w:rsid w:val="00BB6172"/>
    <w:rsid w:val="00BB6853"/>
    <w:rsid w:val="00BB6B0B"/>
    <w:rsid w:val="00BB6C0B"/>
    <w:rsid w:val="00BB6DEB"/>
    <w:rsid w:val="00BB6E7F"/>
    <w:rsid w:val="00BB6F1C"/>
    <w:rsid w:val="00BB716B"/>
    <w:rsid w:val="00BB7651"/>
    <w:rsid w:val="00BB772D"/>
    <w:rsid w:val="00BB7826"/>
    <w:rsid w:val="00BB78B8"/>
    <w:rsid w:val="00BB7E75"/>
    <w:rsid w:val="00BC0321"/>
    <w:rsid w:val="00BC04A5"/>
    <w:rsid w:val="00BC0725"/>
    <w:rsid w:val="00BC07F6"/>
    <w:rsid w:val="00BC091B"/>
    <w:rsid w:val="00BC0967"/>
    <w:rsid w:val="00BC13E1"/>
    <w:rsid w:val="00BC1A7C"/>
    <w:rsid w:val="00BC1BF9"/>
    <w:rsid w:val="00BC23C0"/>
    <w:rsid w:val="00BC25A3"/>
    <w:rsid w:val="00BC265E"/>
    <w:rsid w:val="00BC2932"/>
    <w:rsid w:val="00BC2978"/>
    <w:rsid w:val="00BC2E1D"/>
    <w:rsid w:val="00BC3140"/>
    <w:rsid w:val="00BC3563"/>
    <w:rsid w:val="00BC3677"/>
    <w:rsid w:val="00BC38CC"/>
    <w:rsid w:val="00BC3CF5"/>
    <w:rsid w:val="00BC4118"/>
    <w:rsid w:val="00BC466E"/>
    <w:rsid w:val="00BC47B9"/>
    <w:rsid w:val="00BC4D34"/>
    <w:rsid w:val="00BC4E08"/>
    <w:rsid w:val="00BC6335"/>
    <w:rsid w:val="00BC6794"/>
    <w:rsid w:val="00BC6862"/>
    <w:rsid w:val="00BC71C9"/>
    <w:rsid w:val="00BC730B"/>
    <w:rsid w:val="00BC7530"/>
    <w:rsid w:val="00BC77EA"/>
    <w:rsid w:val="00BC7B71"/>
    <w:rsid w:val="00BC7C23"/>
    <w:rsid w:val="00BD0264"/>
    <w:rsid w:val="00BD0297"/>
    <w:rsid w:val="00BD039C"/>
    <w:rsid w:val="00BD070A"/>
    <w:rsid w:val="00BD0750"/>
    <w:rsid w:val="00BD08AA"/>
    <w:rsid w:val="00BD0B7D"/>
    <w:rsid w:val="00BD0E33"/>
    <w:rsid w:val="00BD0F89"/>
    <w:rsid w:val="00BD14A8"/>
    <w:rsid w:val="00BD1D83"/>
    <w:rsid w:val="00BD26A7"/>
    <w:rsid w:val="00BD35F1"/>
    <w:rsid w:val="00BD369A"/>
    <w:rsid w:val="00BD37BA"/>
    <w:rsid w:val="00BD383C"/>
    <w:rsid w:val="00BD3A57"/>
    <w:rsid w:val="00BD410E"/>
    <w:rsid w:val="00BD4CCC"/>
    <w:rsid w:val="00BD51DF"/>
    <w:rsid w:val="00BD577E"/>
    <w:rsid w:val="00BD58C0"/>
    <w:rsid w:val="00BD58CD"/>
    <w:rsid w:val="00BD59F6"/>
    <w:rsid w:val="00BD5FD1"/>
    <w:rsid w:val="00BD601C"/>
    <w:rsid w:val="00BD6B3A"/>
    <w:rsid w:val="00BD6E31"/>
    <w:rsid w:val="00BD70AE"/>
    <w:rsid w:val="00BD7A78"/>
    <w:rsid w:val="00BE024B"/>
    <w:rsid w:val="00BE0254"/>
    <w:rsid w:val="00BE05AF"/>
    <w:rsid w:val="00BE0693"/>
    <w:rsid w:val="00BE0CB7"/>
    <w:rsid w:val="00BE0DCB"/>
    <w:rsid w:val="00BE14AB"/>
    <w:rsid w:val="00BE172B"/>
    <w:rsid w:val="00BE1859"/>
    <w:rsid w:val="00BE1C87"/>
    <w:rsid w:val="00BE24E9"/>
    <w:rsid w:val="00BE259F"/>
    <w:rsid w:val="00BE2BD5"/>
    <w:rsid w:val="00BE2D0C"/>
    <w:rsid w:val="00BE2E40"/>
    <w:rsid w:val="00BE2EA5"/>
    <w:rsid w:val="00BE2EBD"/>
    <w:rsid w:val="00BE2F37"/>
    <w:rsid w:val="00BE32A6"/>
    <w:rsid w:val="00BE3535"/>
    <w:rsid w:val="00BE39BD"/>
    <w:rsid w:val="00BE3A7B"/>
    <w:rsid w:val="00BE3D93"/>
    <w:rsid w:val="00BE3F30"/>
    <w:rsid w:val="00BE4090"/>
    <w:rsid w:val="00BE40B0"/>
    <w:rsid w:val="00BE428C"/>
    <w:rsid w:val="00BE4398"/>
    <w:rsid w:val="00BE4A81"/>
    <w:rsid w:val="00BE4CE9"/>
    <w:rsid w:val="00BE538C"/>
    <w:rsid w:val="00BE55E1"/>
    <w:rsid w:val="00BE5711"/>
    <w:rsid w:val="00BE5B2D"/>
    <w:rsid w:val="00BE6556"/>
    <w:rsid w:val="00BE65FA"/>
    <w:rsid w:val="00BE6738"/>
    <w:rsid w:val="00BE6DD4"/>
    <w:rsid w:val="00BE72B2"/>
    <w:rsid w:val="00BE756C"/>
    <w:rsid w:val="00BE7822"/>
    <w:rsid w:val="00BE7888"/>
    <w:rsid w:val="00BE7934"/>
    <w:rsid w:val="00BE79B8"/>
    <w:rsid w:val="00BE7AC2"/>
    <w:rsid w:val="00BE7C43"/>
    <w:rsid w:val="00BF003B"/>
    <w:rsid w:val="00BF00B4"/>
    <w:rsid w:val="00BF01F1"/>
    <w:rsid w:val="00BF04AD"/>
    <w:rsid w:val="00BF05A0"/>
    <w:rsid w:val="00BF07D6"/>
    <w:rsid w:val="00BF0BDC"/>
    <w:rsid w:val="00BF10ED"/>
    <w:rsid w:val="00BF12DD"/>
    <w:rsid w:val="00BF1740"/>
    <w:rsid w:val="00BF19B3"/>
    <w:rsid w:val="00BF2146"/>
    <w:rsid w:val="00BF2184"/>
    <w:rsid w:val="00BF2BBE"/>
    <w:rsid w:val="00BF2E19"/>
    <w:rsid w:val="00BF36F1"/>
    <w:rsid w:val="00BF381C"/>
    <w:rsid w:val="00BF3A74"/>
    <w:rsid w:val="00BF3C80"/>
    <w:rsid w:val="00BF3F81"/>
    <w:rsid w:val="00BF4606"/>
    <w:rsid w:val="00BF4733"/>
    <w:rsid w:val="00BF498B"/>
    <w:rsid w:val="00BF4ADB"/>
    <w:rsid w:val="00BF4E4A"/>
    <w:rsid w:val="00BF4EB8"/>
    <w:rsid w:val="00BF579B"/>
    <w:rsid w:val="00BF5D42"/>
    <w:rsid w:val="00BF6690"/>
    <w:rsid w:val="00BF6A28"/>
    <w:rsid w:val="00BF6D6E"/>
    <w:rsid w:val="00BF6E5D"/>
    <w:rsid w:val="00BF7E99"/>
    <w:rsid w:val="00C0021D"/>
    <w:rsid w:val="00C00469"/>
    <w:rsid w:val="00C0047B"/>
    <w:rsid w:val="00C00B5E"/>
    <w:rsid w:val="00C010FA"/>
    <w:rsid w:val="00C015EB"/>
    <w:rsid w:val="00C01A05"/>
    <w:rsid w:val="00C01AF6"/>
    <w:rsid w:val="00C01BB0"/>
    <w:rsid w:val="00C01C75"/>
    <w:rsid w:val="00C01E29"/>
    <w:rsid w:val="00C02121"/>
    <w:rsid w:val="00C02210"/>
    <w:rsid w:val="00C02714"/>
    <w:rsid w:val="00C027E2"/>
    <w:rsid w:val="00C037AE"/>
    <w:rsid w:val="00C037FC"/>
    <w:rsid w:val="00C03B7A"/>
    <w:rsid w:val="00C03BCA"/>
    <w:rsid w:val="00C03E34"/>
    <w:rsid w:val="00C03FC3"/>
    <w:rsid w:val="00C042FB"/>
    <w:rsid w:val="00C0440C"/>
    <w:rsid w:val="00C04568"/>
    <w:rsid w:val="00C04A9A"/>
    <w:rsid w:val="00C04B40"/>
    <w:rsid w:val="00C05057"/>
    <w:rsid w:val="00C05098"/>
    <w:rsid w:val="00C05267"/>
    <w:rsid w:val="00C05422"/>
    <w:rsid w:val="00C0546D"/>
    <w:rsid w:val="00C05541"/>
    <w:rsid w:val="00C05611"/>
    <w:rsid w:val="00C0564C"/>
    <w:rsid w:val="00C0591B"/>
    <w:rsid w:val="00C05CF7"/>
    <w:rsid w:val="00C0615B"/>
    <w:rsid w:val="00C0643E"/>
    <w:rsid w:val="00C06508"/>
    <w:rsid w:val="00C066F3"/>
    <w:rsid w:val="00C06A28"/>
    <w:rsid w:val="00C06BA7"/>
    <w:rsid w:val="00C06FD8"/>
    <w:rsid w:val="00C0728B"/>
    <w:rsid w:val="00C07889"/>
    <w:rsid w:val="00C07AE4"/>
    <w:rsid w:val="00C07DAF"/>
    <w:rsid w:val="00C07EE8"/>
    <w:rsid w:val="00C07FCA"/>
    <w:rsid w:val="00C1019C"/>
    <w:rsid w:val="00C1029D"/>
    <w:rsid w:val="00C10716"/>
    <w:rsid w:val="00C10E4A"/>
    <w:rsid w:val="00C10F84"/>
    <w:rsid w:val="00C1106B"/>
    <w:rsid w:val="00C111C4"/>
    <w:rsid w:val="00C115D3"/>
    <w:rsid w:val="00C11958"/>
    <w:rsid w:val="00C11E2F"/>
    <w:rsid w:val="00C11E76"/>
    <w:rsid w:val="00C121C4"/>
    <w:rsid w:val="00C1230A"/>
    <w:rsid w:val="00C1238B"/>
    <w:rsid w:val="00C125A7"/>
    <w:rsid w:val="00C129C1"/>
    <w:rsid w:val="00C13ACD"/>
    <w:rsid w:val="00C13E3A"/>
    <w:rsid w:val="00C13EC6"/>
    <w:rsid w:val="00C13FF1"/>
    <w:rsid w:val="00C14145"/>
    <w:rsid w:val="00C14C67"/>
    <w:rsid w:val="00C14D49"/>
    <w:rsid w:val="00C15220"/>
    <w:rsid w:val="00C15346"/>
    <w:rsid w:val="00C15E18"/>
    <w:rsid w:val="00C161A7"/>
    <w:rsid w:val="00C163E9"/>
    <w:rsid w:val="00C168AC"/>
    <w:rsid w:val="00C16DA8"/>
    <w:rsid w:val="00C17D16"/>
    <w:rsid w:val="00C202DC"/>
    <w:rsid w:val="00C20364"/>
    <w:rsid w:val="00C203F0"/>
    <w:rsid w:val="00C20431"/>
    <w:rsid w:val="00C20959"/>
    <w:rsid w:val="00C20977"/>
    <w:rsid w:val="00C20C2D"/>
    <w:rsid w:val="00C20D32"/>
    <w:rsid w:val="00C20DA8"/>
    <w:rsid w:val="00C20DF3"/>
    <w:rsid w:val="00C20E60"/>
    <w:rsid w:val="00C21022"/>
    <w:rsid w:val="00C21563"/>
    <w:rsid w:val="00C215CB"/>
    <w:rsid w:val="00C21792"/>
    <w:rsid w:val="00C21910"/>
    <w:rsid w:val="00C21DB6"/>
    <w:rsid w:val="00C21FED"/>
    <w:rsid w:val="00C2200C"/>
    <w:rsid w:val="00C221A6"/>
    <w:rsid w:val="00C224BA"/>
    <w:rsid w:val="00C224D0"/>
    <w:rsid w:val="00C22655"/>
    <w:rsid w:val="00C226DB"/>
    <w:rsid w:val="00C2285B"/>
    <w:rsid w:val="00C22E4B"/>
    <w:rsid w:val="00C22FD7"/>
    <w:rsid w:val="00C23397"/>
    <w:rsid w:val="00C233C0"/>
    <w:rsid w:val="00C23610"/>
    <w:rsid w:val="00C238FD"/>
    <w:rsid w:val="00C23ADC"/>
    <w:rsid w:val="00C23CB8"/>
    <w:rsid w:val="00C23E65"/>
    <w:rsid w:val="00C240D2"/>
    <w:rsid w:val="00C241C5"/>
    <w:rsid w:val="00C24368"/>
    <w:rsid w:val="00C2442D"/>
    <w:rsid w:val="00C24886"/>
    <w:rsid w:val="00C249C9"/>
    <w:rsid w:val="00C24A19"/>
    <w:rsid w:val="00C24A20"/>
    <w:rsid w:val="00C24D83"/>
    <w:rsid w:val="00C25361"/>
    <w:rsid w:val="00C25770"/>
    <w:rsid w:val="00C25931"/>
    <w:rsid w:val="00C25C60"/>
    <w:rsid w:val="00C2636E"/>
    <w:rsid w:val="00C268C6"/>
    <w:rsid w:val="00C26A2F"/>
    <w:rsid w:val="00C270A5"/>
    <w:rsid w:val="00C274F3"/>
    <w:rsid w:val="00C276CA"/>
    <w:rsid w:val="00C27EAE"/>
    <w:rsid w:val="00C27F83"/>
    <w:rsid w:val="00C3074B"/>
    <w:rsid w:val="00C30757"/>
    <w:rsid w:val="00C30904"/>
    <w:rsid w:val="00C30957"/>
    <w:rsid w:val="00C3188D"/>
    <w:rsid w:val="00C318A2"/>
    <w:rsid w:val="00C318AF"/>
    <w:rsid w:val="00C31A94"/>
    <w:rsid w:val="00C321FC"/>
    <w:rsid w:val="00C324F0"/>
    <w:rsid w:val="00C3267E"/>
    <w:rsid w:val="00C327BC"/>
    <w:rsid w:val="00C32D84"/>
    <w:rsid w:val="00C32E23"/>
    <w:rsid w:val="00C3327C"/>
    <w:rsid w:val="00C33498"/>
    <w:rsid w:val="00C336EC"/>
    <w:rsid w:val="00C3385B"/>
    <w:rsid w:val="00C33BE1"/>
    <w:rsid w:val="00C34193"/>
    <w:rsid w:val="00C342E8"/>
    <w:rsid w:val="00C34B20"/>
    <w:rsid w:val="00C35323"/>
    <w:rsid w:val="00C354FC"/>
    <w:rsid w:val="00C35747"/>
    <w:rsid w:val="00C35780"/>
    <w:rsid w:val="00C358CC"/>
    <w:rsid w:val="00C35A2D"/>
    <w:rsid w:val="00C3607D"/>
    <w:rsid w:val="00C36157"/>
    <w:rsid w:val="00C361B5"/>
    <w:rsid w:val="00C36394"/>
    <w:rsid w:val="00C3671C"/>
    <w:rsid w:val="00C368B2"/>
    <w:rsid w:val="00C369C5"/>
    <w:rsid w:val="00C36C40"/>
    <w:rsid w:val="00C36E59"/>
    <w:rsid w:val="00C36FB7"/>
    <w:rsid w:val="00C37102"/>
    <w:rsid w:val="00C378BB"/>
    <w:rsid w:val="00C37A49"/>
    <w:rsid w:val="00C37C66"/>
    <w:rsid w:val="00C4004B"/>
    <w:rsid w:val="00C400D6"/>
    <w:rsid w:val="00C40326"/>
    <w:rsid w:val="00C40584"/>
    <w:rsid w:val="00C40C65"/>
    <w:rsid w:val="00C40D7A"/>
    <w:rsid w:val="00C411C6"/>
    <w:rsid w:val="00C411E8"/>
    <w:rsid w:val="00C41B47"/>
    <w:rsid w:val="00C42009"/>
    <w:rsid w:val="00C42028"/>
    <w:rsid w:val="00C42089"/>
    <w:rsid w:val="00C4208C"/>
    <w:rsid w:val="00C42278"/>
    <w:rsid w:val="00C4227F"/>
    <w:rsid w:val="00C425B1"/>
    <w:rsid w:val="00C435A8"/>
    <w:rsid w:val="00C43733"/>
    <w:rsid w:val="00C43770"/>
    <w:rsid w:val="00C43996"/>
    <w:rsid w:val="00C43D1B"/>
    <w:rsid w:val="00C43DB2"/>
    <w:rsid w:val="00C43F3C"/>
    <w:rsid w:val="00C448AE"/>
    <w:rsid w:val="00C44997"/>
    <w:rsid w:val="00C44AD1"/>
    <w:rsid w:val="00C44B2F"/>
    <w:rsid w:val="00C44B92"/>
    <w:rsid w:val="00C44D9B"/>
    <w:rsid w:val="00C44E74"/>
    <w:rsid w:val="00C4508E"/>
    <w:rsid w:val="00C45CAE"/>
    <w:rsid w:val="00C45F1A"/>
    <w:rsid w:val="00C45FCA"/>
    <w:rsid w:val="00C4632E"/>
    <w:rsid w:val="00C46358"/>
    <w:rsid w:val="00C46905"/>
    <w:rsid w:val="00C46E0F"/>
    <w:rsid w:val="00C46FC4"/>
    <w:rsid w:val="00C47598"/>
    <w:rsid w:val="00C4786D"/>
    <w:rsid w:val="00C47A35"/>
    <w:rsid w:val="00C47CB1"/>
    <w:rsid w:val="00C47D8F"/>
    <w:rsid w:val="00C47DE2"/>
    <w:rsid w:val="00C503D7"/>
    <w:rsid w:val="00C50543"/>
    <w:rsid w:val="00C505BA"/>
    <w:rsid w:val="00C508DA"/>
    <w:rsid w:val="00C50ADB"/>
    <w:rsid w:val="00C50B3A"/>
    <w:rsid w:val="00C51470"/>
    <w:rsid w:val="00C5157D"/>
    <w:rsid w:val="00C519DA"/>
    <w:rsid w:val="00C51A3B"/>
    <w:rsid w:val="00C51BEA"/>
    <w:rsid w:val="00C51C54"/>
    <w:rsid w:val="00C522FC"/>
    <w:rsid w:val="00C5257B"/>
    <w:rsid w:val="00C52CEE"/>
    <w:rsid w:val="00C530B7"/>
    <w:rsid w:val="00C5356A"/>
    <w:rsid w:val="00C53C97"/>
    <w:rsid w:val="00C54490"/>
    <w:rsid w:val="00C54D41"/>
    <w:rsid w:val="00C54E20"/>
    <w:rsid w:val="00C5514C"/>
    <w:rsid w:val="00C5632C"/>
    <w:rsid w:val="00C56443"/>
    <w:rsid w:val="00C56DA3"/>
    <w:rsid w:val="00C56DA7"/>
    <w:rsid w:val="00C56EA1"/>
    <w:rsid w:val="00C5733B"/>
    <w:rsid w:val="00C57721"/>
    <w:rsid w:val="00C57A60"/>
    <w:rsid w:val="00C57C31"/>
    <w:rsid w:val="00C57D85"/>
    <w:rsid w:val="00C602E7"/>
    <w:rsid w:val="00C603F9"/>
    <w:rsid w:val="00C608DB"/>
    <w:rsid w:val="00C60AE1"/>
    <w:rsid w:val="00C60B88"/>
    <w:rsid w:val="00C61102"/>
    <w:rsid w:val="00C620C3"/>
    <w:rsid w:val="00C6241B"/>
    <w:rsid w:val="00C624A9"/>
    <w:rsid w:val="00C62B22"/>
    <w:rsid w:val="00C62C3F"/>
    <w:rsid w:val="00C62DFF"/>
    <w:rsid w:val="00C63304"/>
    <w:rsid w:val="00C63305"/>
    <w:rsid w:val="00C635F9"/>
    <w:rsid w:val="00C63926"/>
    <w:rsid w:val="00C63BC0"/>
    <w:rsid w:val="00C63D7F"/>
    <w:rsid w:val="00C63FCC"/>
    <w:rsid w:val="00C63FEC"/>
    <w:rsid w:val="00C6410E"/>
    <w:rsid w:val="00C644DE"/>
    <w:rsid w:val="00C64667"/>
    <w:rsid w:val="00C64AEF"/>
    <w:rsid w:val="00C64C69"/>
    <w:rsid w:val="00C64D09"/>
    <w:rsid w:val="00C6597D"/>
    <w:rsid w:val="00C65A73"/>
    <w:rsid w:val="00C65AE0"/>
    <w:rsid w:val="00C65E33"/>
    <w:rsid w:val="00C661CD"/>
    <w:rsid w:val="00C66203"/>
    <w:rsid w:val="00C66409"/>
    <w:rsid w:val="00C66523"/>
    <w:rsid w:val="00C66925"/>
    <w:rsid w:val="00C66FFA"/>
    <w:rsid w:val="00C671E2"/>
    <w:rsid w:val="00C67745"/>
    <w:rsid w:val="00C6779C"/>
    <w:rsid w:val="00C67881"/>
    <w:rsid w:val="00C67ADB"/>
    <w:rsid w:val="00C67BA4"/>
    <w:rsid w:val="00C67C07"/>
    <w:rsid w:val="00C67EC4"/>
    <w:rsid w:val="00C700B4"/>
    <w:rsid w:val="00C703AA"/>
    <w:rsid w:val="00C7112E"/>
    <w:rsid w:val="00C71A7E"/>
    <w:rsid w:val="00C71C06"/>
    <w:rsid w:val="00C7254D"/>
    <w:rsid w:val="00C7268E"/>
    <w:rsid w:val="00C72A44"/>
    <w:rsid w:val="00C72A72"/>
    <w:rsid w:val="00C72B54"/>
    <w:rsid w:val="00C72CA9"/>
    <w:rsid w:val="00C72CCE"/>
    <w:rsid w:val="00C72F5F"/>
    <w:rsid w:val="00C73184"/>
    <w:rsid w:val="00C7332A"/>
    <w:rsid w:val="00C733D9"/>
    <w:rsid w:val="00C73401"/>
    <w:rsid w:val="00C7346A"/>
    <w:rsid w:val="00C736A6"/>
    <w:rsid w:val="00C73906"/>
    <w:rsid w:val="00C73BEB"/>
    <w:rsid w:val="00C73DFE"/>
    <w:rsid w:val="00C73F09"/>
    <w:rsid w:val="00C744F3"/>
    <w:rsid w:val="00C74825"/>
    <w:rsid w:val="00C74AA4"/>
    <w:rsid w:val="00C7524C"/>
    <w:rsid w:val="00C7601D"/>
    <w:rsid w:val="00C76508"/>
    <w:rsid w:val="00C765DF"/>
    <w:rsid w:val="00C766FC"/>
    <w:rsid w:val="00C76735"/>
    <w:rsid w:val="00C76B4B"/>
    <w:rsid w:val="00C76BCA"/>
    <w:rsid w:val="00C76D6D"/>
    <w:rsid w:val="00C773AF"/>
    <w:rsid w:val="00C775FD"/>
    <w:rsid w:val="00C776FD"/>
    <w:rsid w:val="00C8020F"/>
    <w:rsid w:val="00C804E2"/>
    <w:rsid w:val="00C80562"/>
    <w:rsid w:val="00C808E2"/>
    <w:rsid w:val="00C80B8B"/>
    <w:rsid w:val="00C81705"/>
    <w:rsid w:val="00C81842"/>
    <w:rsid w:val="00C81CF0"/>
    <w:rsid w:val="00C82240"/>
    <w:rsid w:val="00C8225E"/>
    <w:rsid w:val="00C82B49"/>
    <w:rsid w:val="00C82BD2"/>
    <w:rsid w:val="00C82D8D"/>
    <w:rsid w:val="00C836FC"/>
    <w:rsid w:val="00C8376C"/>
    <w:rsid w:val="00C83948"/>
    <w:rsid w:val="00C83AF5"/>
    <w:rsid w:val="00C83C4A"/>
    <w:rsid w:val="00C83E7A"/>
    <w:rsid w:val="00C83FC0"/>
    <w:rsid w:val="00C84351"/>
    <w:rsid w:val="00C844D7"/>
    <w:rsid w:val="00C848BA"/>
    <w:rsid w:val="00C84F98"/>
    <w:rsid w:val="00C852CD"/>
    <w:rsid w:val="00C856EC"/>
    <w:rsid w:val="00C85810"/>
    <w:rsid w:val="00C85969"/>
    <w:rsid w:val="00C85CA7"/>
    <w:rsid w:val="00C85E14"/>
    <w:rsid w:val="00C8627D"/>
    <w:rsid w:val="00C86643"/>
    <w:rsid w:val="00C86A07"/>
    <w:rsid w:val="00C86B6F"/>
    <w:rsid w:val="00C8799A"/>
    <w:rsid w:val="00C900E3"/>
    <w:rsid w:val="00C9029B"/>
    <w:rsid w:val="00C903B9"/>
    <w:rsid w:val="00C909E3"/>
    <w:rsid w:val="00C90CD8"/>
    <w:rsid w:val="00C90DD2"/>
    <w:rsid w:val="00C9140D"/>
    <w:rsid w:val="00C91C46"/>
    <w:rsid w:val="00C92418"/>
    <w:rsid w:val="00C9269F"/>
    <w:rsid w:val="00C92C89"/>
    <w:rsid w:val="00C93087"/>
    <w:rsid w:val="00C93512"/>
    <w:rsid w:val="00C935FF"/>
    <w:rsid w:val="00C93944"/>
    <w:rsid w:val="00C93964"/>
    <w:rsid w:val="00C93BBF"/>
    <w:rsid w:val="00C94149"/>
    <w:rsid w:val="00C9424C"/>
    <w:rsid w:val="00C94660"/>
    <w:rsid w:val="00C94796"/>
    <w:rsid w:val="00C94C8D"/>
    <w:rsid w:val="00C9516A"/>
    <w:rsid w:val="00C9545B"/>
    <w:rsid w:val="00C955D7"/>
    <w:rsid w:val="00C95D0E"/>
    <w:rsid w:val="00C95F4E"/>
    <w:rsid w:val="00C964A6"/>
    <w:rsid w:val="00C96502"/>
    <w:rsid w:val="00C965F0"/>
    <w:rsid w:val="00C9681F"/>
    <w:rsid w:val="00C96C61"/>
    <w:rsid w:val="00C96D5B"/>
    <w:rsid w:val="00C971AB"/>
    <w:rsid w:val="00C9755E"/>
    <w:rsid w:val="00C97617"/>
    <w:rsid w:val="00C97D7C"/>
    <w:rsid w:val="00C97DCE"/>
    <w:rsid w:val="00C97E18"/>
    <w:rsid w:val="00CA00A8"/>
    <w:rsid w:val="00CA043B"/>
    <w:rsid w:val="00CA0503"/>
    <w:rsid w:val="00CA062B"/>
    <w:rsid w:val="00CA0CAC"/>
    <w:rsid w:val="00CA0CF1"/>
    <w:rsid w:val="00CA0CFC"/>
    <w:rsid w:val="00CA121B"/>
    <w:rsid w:val="00CA1283"/>
    <w:rsid w:val="00CA1510"/>
    <w:rsid w:val="00CA19A4"/>
    <w:rsid w:val="00CA1D40"/>
    <w:rsid w:val="00CA1E6F"/>
    <w:rsid w:val="00CA1EDA"/>
    <w:rsid w:val="00CA2076"/>
    <w:rsid w:val="00CA2D77"/>
    <w:rsid w:val="00CA2E6A"/>
    <w:rsid w:val="00CA301A"/>
    <w:rsid w:val="00CA3771"/>
    <w:rsid w:val="00CA3981"/>
    <w:rsid w:val="00CA3BE4"/>
    <w:rsid w:val="00CA429C"/>
    <w:rsid w:val="00CA461D"/>
    <w:rsid w:val="00CA46A4"/>
    <w:rsid w:val="00CA487F"/>
    <w:rsid w:val="00CA4B8E"/>
    <w:rsid w:val="00CA4CB1"/>
    <w:rsid w:val="00CA5644"/>
    <w:rsid w:val="00CA5A78"/>
    <w:rsid w:val="00CA5F9E"/>
    <w:rsid w:val="00CA5FEC"/>
    <w:rsid w:val="00CA62AE"/>
    <w:rsid w:val="00CA6830"/>
    <w:rsid w:val="00CA68B3"/>
    <w:rsid w:val="00CA68D4"/>
    <w:rsid w:val="00CA698A"/>
    <w:rsid w:val="00CA698E"/>
    <w:rsid w:val="00CA75EB"/>
    <w:rsid w:val="00CA7645"/>
    <w:rsid w:val="00CA776F"/>
    <w:rsid w:val="00CA7775"/>
    <w:rsid w:val="00CA7CF2"/>
    <w:rsid w:val="00CB0479"/>
    <w:rsid w:val="00CB0A16"/>
    <w:rsid w:val="00CB0A84"/>
    <w:rsid w:val="00CB0F0C"/>
    <w:rsid w:val="00CB10F5"/>
    <w:rsid w:val="00CB1696"/>
    <w:rsid w:val="00CB1C09"/>
    <w:rsid w:val="00CB1DCD"/>
    <w:rsid w:val="00CB1E3C"/>
    <w:rsid w:val="00CB2363"/>
    <w:rsid w:val="00CB2434"/>
    <w:rsid w:val="00CB2774"/>
    <w:rsid w:val="00CB2A32"/>
    <w:rsid w:val="00CB2A50"/>
    <w:rsid w:val="00CB2F05"/>
    <w:rsid w:val="00CB2FC2"/>
    <w:rsid w:val="00CB30CA"/>
    <w:rsid w:val="00CB3118"/>
    <w:rsid w:val="00CB3172"/>
    <w:rsid w:val="00CB4022"/>
    <w:rsid w:val="00CB4562"/>
    <w:rsid w:val="00CB471F"/>
    <w:rsid w:val="00CB47F9"/>
    <w:rsid w:val="00CB4FA0"/>
    <w:rsid w:val="00CB5679"/>
    <w:rsid w:val="00CB5713"/>
    <w:rsid w:val="00CB5AAB"/>
    <w:rsid w:val="00CB6792"/>
    <w:rsid w:val="00CB68A2"/>
    <w:rsid w:val="00CB7040"/>
    <w:rsid w:val="00CB70E1"/>
    <w:rsid w:val="00CB72B4"/>
    <w:rsid w:val="00CB731B"/>
    <w:rsid w:val="00CB73E5"/>
    <w:rsid w:val="00CB7F3B"/>
    <w:rsid w:val="00CC01EB"/>
    <w:rsid w:val="00CC0A7F"/>
    <w:rsid w:val="00CC0FCF"/>
    <w:rsid w:val="00CC10DE"/>
    <w:rsid w:val="00CC1147"/>
    <w:rsid w:val="00CC150E"/>
    <w:rsid w:val="00CC1768"/>
    <w:rsid w:val="00CC18AD"/>
    <w:rsid w:val="00CC1F89"/>
    <w:rsid w:val="00CC2314"/>
    <w:rsid w:val="00CC23A6"/>
    <w:rsid w:val="00CC2408"/>
    <w:rsid w:val="00CC258C"/>
    <w:rsid w:val="00CC25FD"/>
    <w:rsid w:val="00CC2CA2"/>
    <w:rsid w:val="00CC327F"/>
    <w:rsid w:val="00CC333C"/>
    <w:rsid w:val="00CC34CB"/>
    <w:rsid w:val="00CC385A"/>
    <w:rsid w:val="00CC3A15"/>
    <w:rsid w:val="00CC3EF1"/>
    <w:rsid w:val="00CC474A"/>
    <w:rsid w:val="00CC47D7"/>
    <w:rsid w:val="00CC4905"/>
    <w:rsid w:val="00CC49B9"/>
    <w:rsid w:val="00CC4C03"/>
    <w:rsid w:val="00CC60F5"/>
    <w:rsid w:val="00CC6145"/>
    <w:rsid w:val="00CC61AA"/>
    <w:rsid w:val="00CC6515"/>
    <w:rsid w:val="00CC6E85"/>
    <w:rsid w:val="00CC71A0"/>
    <w:rsid w:val="00CC7238"/>
    <w:rsid w:val="00CC75C2"/>
    <w:rsid w:val="00CC778A"/>
    <w:rsid w:val="00CC7E8F"/>
    <w:rsid w:val="00CC7F04"/>
    <w:rsid w:val="00CC7F41"/>
    <w:rsid w:val="00CD000D"/>
    <w:rsid w:val="00CD016C"/>
    <w:rsid w:val="00CD0246"/>
    <w:rsid w:val="00CD0253"/>
    <w:rsid w:val="00CD0842"/>
    <w:rsid w:val="00CD1074"/>
    <w:rsid w:val="00CD157B"/>
    <w:rsid w:val="00CD173D"/>
    <w:rsid w:val="00CD1A0D"/>
    <w:rsid w:val="00CD23D6"/>
    <w:rsid w:val="00CD2656"/>
    <w:rsid w:val="00CD3318"/>
    <w:rsid w:val="00CD365A"/>
    <w:rsid w:val="00CD3A18"/>
    <w:rsid w:val="00CD3B31"/>
    <w:rsid w:val="00CD3F18"/>
    <w:rsid w:val="00CD3FFB"/>
    <w:rsid w:val="00CD43B1"/>
    <w:rsid w:val="00CD45E3"/>
    <w:rsid w:val="00CD483F"/>
    <w:rsid w:val="00CD48E4"/>
    <w:rsid w:val="00CD49CC"/>
    <w:rsid w:val="00CD4A1D"/>
    <w:rsid w:val="00CD4B8D"/>
    <w:rsid w:val="00CD4FBF"/>
    <w:rsid w:val="00CD55A2"/>
    <w:rsid w:val="00CD55AF"/>
    <w:rsid w:val="00CD5857"/>
    <w:rsid w:val="00CD58E5"/>
    <w:rsid w:val="00CD5B2D"/>
    <w:rsid w:val="00CD5E1F"/>
    <w:rsid w:val="00CD5FFD"/>
    <w:rsid w:val="00CD6874"/>
    <w:rsid w:val="00CD688F"/>
    <w:rsid w:val="00CD7002"/>
    <w:rsid w:val="00CD7104"/>
    <w:rsid w:val="00CD72EA"/>
    <w:rsid w:val="00CD73A3"/>
    <w:rsid w:val="00CD7FB3"/>
    <w:rsid w:val="00CE0055"/>
    <w:rsid w:val="00CE00EB"/>
    <w:rsid w:val="00CE02A8"/>
    <w:rsid w:val="00CE02E6"/>
    <w:rsid w:val="00CE088E"/>
    <w:rsid w:val="00CE0912"/>
    <w:rsid w:val="00CE0B32"/>
    <w:rsid w:val="00CE0C8D"/>
    <w:rsid w:val="00CE1043"/>
    <w:rsid w:val="00CE1570"/>
    <w:rsid w:val="00CE1B40"/>
    <w:rsid w:val="00CE1CE6"/>
    <w:rsid w:val="00CE1DEC"/>
    <w:rsid w:val="00CE1F54"/>
    <w:rsid w:val="00CE22BC"/>
    <w:rsid w:val="00CE25E7"/>
    <w:rsid w:val="00CE270A"/>
    <w:rsid w:val="00CE29BD"/>
    <w:rsid w:val="00CE2BED"/>
    <w:rsid w:val="00CE2E1B"/>
    <w:rsid w:val="00CE301A"/>
    <w:rsid w:val="00CE31E5"/>
    <w:rsid w:val="00CE3234"/>
    <w:rsid w:val="00CE3428"/>
    <w:rsid w:val="00CE3564"/>
    <w:rsid w:val="00CE37F8"/>
    <w:rsid w:val="00CE39A7"/>
    <w:rsid w:val="00CE4204"/>
    <w:rsid w:val="00CE48FB"/>
    <w:rsid w:val="00CE4E97"/>
    <w:rsid w:val="00CE5085"/>
    <w:rsid w:val="00CE5186"/>
    <w:rsid w:val="00CE53AD"/>
    <w:rsid w:val="00CE5A59"/>
    <w:rsid w:val="00CE60F0"/>
    <w:rsid w:val="00CE629E"/>
    <w:rsid w:val="00CE62B8"/>
    <w:rsid w:val="00CE63A8"/>
    <w:rsid w:val="00CE6528"/>
    <w:rsid w:val="00CE6B16"/>
    <w:rsid w:val="00CE6BB0"/>
    <w:rsid w:val="00CE6F27"/>
    <w:rsid w:val="00CE6F96"/>
    <w:rsid w:val="00CE7672"/>
    <w:rsid w:val="00CE76B5"/>
    <w:rsid w:val="00CE79FE"/>
    <w:rsid w:val="00CE7A31"/>
    <w:rsid w:val="00CE7DD6"/>
    <w:rsid w:val="00CE7E16"/>
    <w:rsid w:val="00CF010F"/>
    <w:rsid w:val="00CF0423"/>
    <w:rsid w:val="00CF072B"/>
    <w:rsid w:val="00CF08F6"/>
    <w:rsid w:val="00CF0ADD"/>
    <w:rsid w:val="00CF0AFE"/>
    <w:rsid w:val="00CF0D20"/>
    <w:rsid w:val="00CF19EB"/>
    <w:rsid w:val="00CF19EE"/>
    <w:rsid w:val="00CF2753"/>
    <w:rsid w:val="00CF28EE"/>
    <w:rsid w:val="00CF2FA8"/>
    <w:rsid w:val="00CF3159"/>
    <w:rsid w:val="00CF3885"/>
    <w:rsid w:val="00CF402D"/>
    <w:rsid w:val="00CF431B"/>
    <w:rsid w:val="00CF4333"/>
    <w:rsid w:val="00CF5577"/>
    <w:rsid w:val="00CF5BE3"/>
    <w:rsid w:val="00CF6150"/>
    <w:rsid w:val="00CF620E"/>
    <w:rsid w:val="00CF62A8"/>
    <w:rsid w:val="00CF6CD1"/>
    <w:rsid w:val="00CF6DDA"/>
    <w:rsid w:val="00CF6DF4"/>
    <w:rsid w:val="00CF6EA7"/>
    <w:rsid w:val="00CF7684"/>
    <w:rsid w:val="00CF7A07"/>
    <w:rsid w:val="00CF7AF7"/>
    <w:rsid w:val="00D0063E"/>
    <w:rsid w:val="00D00680"/>
    <w:rsid w:val="00D00A23"/>
    <w:rsid w:val="00D00AB2"/>
    <w:rsid w:val="00D011FE"/>
    <w:rsid w:val="00D016AB"/>
    <w:rsid w:val="00D019FA"/>
    <w:rsid w:val="00D01CCF"/>
    <w:rsid w:val="00D0212E"/>
    <w:rsid w:val="00D0214A"/>
    <w:rsid w:val="00D026CD"/>
    <w:rsid w:val="00D02A25"/>
    <w:rsid w:val="00D0442E"/>
    <w:rsid w:val="00D04C15"/>
    <w:rsid w:val="00D04F7B"/>
    <w:rsid w:val="00D0512C"/>
    <w:rsid w:val="00D053C2"/>
    <w:rsid w:val="00D05FA5"/>
    <w:rsid w:val="00D06211"/>
    <w:rsid w:val="00D069A9"/>
    <w:rsid w:val="00D06E9F"/>
    <w:rsid w:val="00D06FFF"/>
    <w:rsid w:val="00D07871"/>
    <w:rsid w:val="00D07B7D"/>
    <w:rsid w:val="00D07D7B"/>
    <w:rsid w:val="00D07F74"/>
    <w:rsid w:val="00D113E7"/>
    <w:rsid w:val="00D116BB"/>
    <w:rsid w:val="00D116F0"/>
    <w:rsid w:val="00D11724"/>
    <w:rsid w:val="00D119B8"/>
    <w:rsid w:val="00D11A72"/>
    <w:rsid w:val="00D11B26"/>
    <w:rsid w:val="00D11B66"/>
    <w:rsid w:val="00D122BD"/>
    <w:rsid w:val="00D123EA"/>
    <w:rsid w:val="00D124C5"/>
    <w:rsid w:val="00D126F2"/>
    <w:rsid w:val="00D12A77"/>
    <w:rsid w:val="00D12C8C"/>
    <w:rsid w:val="00D12E24"/>
    <w:rsid w:val="00D134C5"/>
    <w:rsid w:val="00D13CD4"/>
    <w:rsid w:val="00D14332"/>
    <w:rsid w:val="00D144C6"/>
    <w:rsid w:val="00D14C3A"/>
    <w:rsid w:val="00D14D0D"/>
    <w:rsid w:val="00D15178"/>
    <w:rsid w:val="00D151AE"/>
    <w:rsid w:val="00D15979"/>
    <w:rsid w:val="00D159A3"/>
    <w:rsid w:val="00D15B0C"/>
    <w:rsid w:val="00D15F88"/>
    <w:rsid w:val="00D167E6"/>
    <w:rsid w:val="00D16C97"/>
    <w:rsid w:val="00D16F9B"/>
    <w:rsid w:val="00D174D0"/>
    <w:rsid w:val="00D17611"/>
    <w:rsid w:val="00D17A0C"/>
    <w:rsid w:val="00D17E0F"/>
    <w:rsid w:val="00D17E1D"/>
    <w:rsid w:val="00D17E36"/>
    <w:rsid w:val="00D203EE"/>
    <w:rsid w:val="00D211A0"/>
    <w:rsid w:val="00D21366"/>
    <w:rsid w:val="00D21A5A"/>
    <w:rsid w:val="00D21ADF"/>
    <w:rsid w:val="00D21E2C"/>
    <w:rsid w:val="00D21F33"/>
    <w:rsid w:val="00D22039"/>
    <w:rsid w:val="00D22381"/>
    <w:rsid w:val="00D22863"/>
    <w:rsid w:val="00D22A36"/>
    <w:rsid w:val="00D22D74"/>
    <w:rsid w:val="00D231EA"/>
    <w:rsid w:val="00D23502"/>
    <w:rsid w:val="00D23769"/>
    <w:rsid w:val="00D239B8"/>
    <w:rsid w:val="00D23D32"/>
    <w:rsid w:val="00D23D51"/>
    <w:rsid w:val="00D24778"/>
    <w:rsid w:val="00D259F3"/>
    <w:rsid w:val="00D25ADF"/>
    <w:rsid w:val="00D25BE6"/>
    <w:rsid w:val="00D25C2E"/>
    <w:rsid w:val="00D25FFA"/>
    <w:rsid w:val="00D264A4"/>
    <w:rsid w:val="00D268E0"/>
    <w:rsid w:val="00D26CEC"/>
    <w:rsid w:val="00D26E87"/>
    <w:rsid w:val="00D27086"/>
    <w:rsid w:val="00D274D5"/>
    <w:rsid w:val="00D274E2"/>
    <w:rsid w:val="00D27609"/>
    <w:rsid w:val="00D279F9"/>
    <w:rsid w:val="00D27BB8"/>
    <w:rsid w:val="00D27CDB"/>
    <w:rsid w:val="00D27D1C"/>
    <w:rsid w:val="00D27E92"/>
    <w:rsid w:val="00D30112"/>
    <w:rsid w:val="00D3018C"/>
    <w:rsid w:val="00D30458"/>
    <w:rsid w:val="00D30B67"/>
    <w:rsid w:val="00D30D2F"/>
    <w:rsid w:val="00D30E04"/>
    <w:rsid w:val="00D31529"/>
    <w:rsid w:val="00D3190D"/>
    <w:rsid w:val="00D31C33"/>
    <w:rsid w:val="00D326A2"/>
    <w:rsid w:val="00D32B9F"/>
    <w:rsid w:val="00D3345B"/>
    <w:rsid w:val="00D33974"/>
    <w:rsid w:val="00D33BA6"/>
    <w:rsid w:val="00D34629"/>
    <w:rsid w:val="00D346EB"/>
    <w:rsid w:val="00D348C5"/>
    <w:rsid w:val="00D34B45"/>
    <w:rsid w:val="00D35190"/>
    <w:rsid w:val="00D35A16"/>
    <w:rsid w:val="00D35DEF"/>
    <w:rsid w:val="00D36000"/>
    <w:rsid w:val="00D362D1"/>
    <w:rsid w:val="00D3648B"/>
    <w:rsid w:val="00D36D7D"/>
    <w:rsid w:val="00D36FEC"/>
    <w:rsid w:val="00D3723B"/>
    <w:rsid w:val="00D377B1"/>
    <w:rsid w:val="00D37996"/>
    <w:rsid w:val="00D37C81"/>
    <w:rsid w:val="00D37DF7"/>
    <w:rsid w:val="00D405B2"/>
    <w:rsid w:val="00D40BBB"/>
    <w:rsid w:val="00D4101C"/>
    <w:rsid w:val="00D411AB"/>
    <w:rsid w:val="00D41778"/>
    <w:rsid w:val="00D41B32"/>
    <w:rsid w:val="00D41BD7"/>
    <w:rsid w:val="00D41E32"/>
    <w:rsid w:val="00D42078"/>
    <w:rsid w:val="00D42CC1"/>
    <w:rsid w:val="00D42D59"/>
    <w:rsid w:val="00D42F6C"/>
    <w:rsid w:val="00D43663"/>
    <w:rsid w:val="00D43A1F"/>
    <w:rsid w:val="00D44755"/>
    <w:rsid w:val="00D4477C"/>
    <w:rsid w:val="00D44AA2"/>
    <w:rsid w:val="00D45524"/>
    <w:rsid w:val="00D45EDA"/>
    <w:rsid w:val="00D46126"/>
    <w:rsid w:val="00D46750"/>
    <w:rsid w:val="00D47CB3"/>
    <w:rsid w:val="00D47F43"/>
    <w:rsid w:val="00D47FC6"/>
    <w:rsid w:val="00D5004E"/>
    <w:rsid w:val="00D506A4"/>
    <w:rsid w:val="00D50D8F"/>
    <w:rsid w:val="00D50DFF"/>
    <w:rsid w:val="00D50F88"/>
    <w:rsid w:val="00D512A4"/>
    <w:rsid w:val="00D5135C"/>
    <w:rsid w:val="00D5138A"/>
    <w:rsid w:val="00D517A9"/>
    <w:rsid w:val="00D51A5D"/>
    <w:rsid w:val="00D51A7A"/>
    <w:rsid w:val="00D51B6D"/>
    <w:rsid w:val="00D51C63"/>
    <w:rsid w:val="00D521C2"/>
    <w:rsid w:val="00D52785"/>
    <w:rsid w:val="00D52B04"/>
    <w:rsid w:val="00D53401"/>
    <w:rsid w:val="00D5370C"/>
    <w:rsid w:val="00D537D1"/>
    <w:rsid w:val="00D539EF"/>
    <w:rsid w:val="00D53A72"/>
    <w:rsid w:val="00D54038"/>
    <w:rsid w:val="00D54213"/>
    <w:rsid w:val="00D542E7"/>
    <w:rsid w:val="00D544E4"/>
    <w:rsid w:val="00D54F96"/>
    <w:rsid w:val="00D54FF3"/>
    <w:rsid w:val="00D5509A"/>
    <w:rsid w:val="00D550A4"/>
    <w:rsid w:val="00D5556F"/>
    <w:rsid w:val="00D55656"/>
    <w:rsid w:val="00D55A61"/>
    <w:rsid w:val="00D55E63"/>
    <w:rsid w:val="00D5610F"/>
    <w:rsid w:val="00D5676F"/>
    <w:rsid w:val="00D567D7"/>
    <w:rsid w:val="00D56AE7"/>
    <w:rsid w:val="00D57027"/>
    <w:rsid w:val="00D573B0"/>
    <w:rsid w:val="00D57521"/>
    <w:rsid w:val="00D576B6"/>
    <w:rsid w:val="00D578DF"/>
    <w:rsid w:val="00D5792F"/>
    <w:rsid w:val="00D579E1"/>
    <w:rsid w:val="00D600EC"/>
    <w:rsid w:val="00D60147"/>
    <w:rsid w:val="00D60747"/>
    <w:rsid w:val="00D60CB8"/>
    <w:rsid w:val="00D60DEF"/>
    <w:rsid w:val="00D6110E"/>
    <w:rsid w:val="00D61D9D"/>
    <w:rsid w:val="00D61E8B"/>
    <w:rsid w:val="00D6217D"/>
    <w:rsid w:val="00D6231B"/>
    <w:rsid w:val="00D62439"/>
    <w:rsid w:val="00D62C17"/>
    <w:rsid w:val="00D62DFA"/>
    <w:rsid w:val="00D63ACC"/>
    <w:rsid w:val="00D63D29"/>
    <w:rsid w:val="00D63EDB"/>
    <w:rsid w:val="00D65C79"/>
    <w:rsid w:val="00D66421"/>
    <w:rsid w:val="00D66949"/>
    <w:rsid w:val="00D674AD"/>
    <w:rsid w:val="00D67A60"/>
    <w:rsid w:val="00D67A77"/>
    <w:rsid w:val="00D67E77"/>
    <w:rsid w:val="00D70016"/>
    <w:rsid w:val="00D70178"/>
    <w:rsid w:val="00D701CE"/>
    <w:rsid w:val="00D701D4"/>
    <w:rsid w:val="00D701D7"/>
    <w:rsid w:val="00D704D7"/>
    <w:rsid w:val="00D7069F"/>
    <w:rsid w:val="00D7083D"/>
    <w:rsid w:val="00D708A9"/>
    <w:rsid w:val="00D7100B"/>
    <w:rsid w:val="00D71188"/>
    <w:rsid w:val="00D7121B"/>
    <w:rsid w:val="00D71336"/>
    <w:rsid w:val="00D71461"/>
    <w:rsid w:val="00D71471"/>
    <w:rsid w:val="00D71B67"/>
    <w:rsid w:val="00D71BF6"/>
    <w:rsid w:val="00D71C56"/>
    <w:rsid w:val="00D71F09"/>
    <w:rsid w:val="00D72368"/>
    <w:rsid w:val="00D72BE6"/>
    <w:rsid w:val="00D72F25"/>
    <w:rsid w:val="00D737BA"/>
    <w:rsid w:val="00D73B2C"/>
    <w:rsid w:val="00D73C72"/>
    <w:rsid w:val="00D73DDB"/>
    <w:rsid w:val="00D7429D"/>
    <w:rsid w:val="00D745D7"/>
    <w:rsid w:val="00D7519D"/>
    <w:rsid w:val="00D75281"/>
    <w:rsid w:val="00D75378"/>
    <w:rsid w:val="00D75A53"/>
    <w:rsid w:val="00D75B25"/>
    <w:rsid w:val="00D76004"/>
    <w:rsid w:val="00D760B7"/>
    <w:rsid w:val="00D763AA"/>
    <w:rsid w:val="00D7657C"/>
    <w:rsid w:val="00D765FD"/>
    <w:rsid w:val="00D76BAD"/>
    <w:rsid w:val="00D76C97"/>
    <w:rsid w:val="00D76D95"/>
    <w:rsid w:val="00D76E8B"/>
    <w:rsid w:val="00D7706C"/>
    <w:rsid w:val="00D77433"/>
    <w:rsid w:val="00D779A5"/>
    <w:rsid w:val="00D77DAD"/>
    <w:rsid w:val="00D77F24"/>
    <w:rsid w:val="00D80C6B"/>
    <w:rsid w:val="00D80CCC"/>
    <w:rsid w:val="00D80F0E"/>
    <w:rsid w:val="00D810BB"/>
    <w:rsid w:val="00D81524"/>
    <w:rsid w:val="00D81801"/>
    <w:rsid w:val="00D81807"/>
    <w:rsid w:val="00D81ADA"/>
    <w:rsid w:val="00D81E26"/>
    <w:rsid w:val="00D81FBB"/>
    <w:rsid w:val="00D8205D"/>
    <w:rsid w:val="00D8222E"/>
    <w:rsid w:val="00D82A69"/>
    <w:rsid w:val="00D8352F"/>
    <w:rsid w:val="00D836E9"/>
    <w:rsid w:val="00D83760"/>
    <w:rsid w:val="00D8395B"/>
    <w:rsid w:val="00D83D93"/>
    <w:rsid w:val="00D83FBF"/>
    <w:rsid w:val="00D844C1"/>
    <w:rsid w:val="00D8456E"/>
    <w:rsid w:val="00D8462F"/>
    <w:rsid w:val="00D846FB"/>
    <w:rsid w:val="00D849D6"/>
    <w:rsid w:val="00D84E58"/>
    <w:rsid w:val="00D85504"/>
    <w:rsid w:val="00D8567A"/>
    <w:rsid w:val="00D86512"/>
    <w:rsid w:val="00D86695"/>
    <w:rsid w:val="00D867A8"/>
    <w:rsid w:val="00D86A06"/>
    <w:rsid w:val="00D86ABB"/>
    <w:rsid w:val="00D86AD8"/>
    <w:rsid w:val="00D87080"/>
    <w:rsid w:val="00D87115"/>
    <w:rsid w:val="00D8714F"/>
    <w:rsid w:val="00D8715C"/>
    <w:rsid w:val="00D8744F"/>
    <w:rsid w:val="00D879C1"/>
    <w:rsid w:val="00D87B29"/>
    <w:rsid w:val="00D87D0E"/>
    <w:rsid w:val="00D87D72"/>
    <w:rsid w:val="00D9035B"/>
    <w:rsid w:val="00D90444"/>
    <w:rsid w:val="00D90A77"/>
    <w:rsid w:val="00D90BA1"/>
    <w:rsid w:val="00D91492"/>
    <w:rsid w:val="00D9177C"/>
    <w:rsid w:val="00D917C8"/>
    <w:rsid w:val="00D91911"/>
    <w:rsid w:val="00D91A0A"/>
    <w:rsid w:val="00D91A82"/>
    <w:rsid w:val="00D91B5D"/>
    <w:rsid w:val="00D91B8A"/>
    <w:rsid w:val="00D91CB8"/>
    <w:rsid w:val="00D92EED"/>
    <w:rsid w:val="00D92F25"/>
    <w:rsid w:val="00D932E6"/>
    <w:rsid w:val="00D9376B"/>
    <w:rsid w:val="00D93878"/>
    <w:rsid w:val="00D93E53"/>
    <w:rsid w:val="00D9449B"/>
    <w:rsid w:val="00D94A33"/>
    <w:rsid w:val="00D94AD1"/>
    <w:rsid w:val="00D94B35"/>
    <w:rsid w:val="00D95A14"/>
    <w:rsid w:val="00D96232"/>
    <w:rsid w:val="00D96787"/>
    <w:rsid w:val="00D967A5"/>
    <w:rsid w:val="00D96B99"/>
    <w:rsid w:val="00D96D89"/>
    <w:rsid w:val="00D9732F"/>
    <w:rsid w:val="00D97CB3"/>
    <w:rsid w:val="00D97F7F"/>
    <w:rsid w:val="00DA00C4"/>
    <w:rsid w:val="00DA00E5"/>
    <w:rsid w:val="00DA032B"/>
    <w:rsid w:val="00DA037D"/>
    <w:rsid w:val="00DA114E"/>
    <w:rsid w:val="00DA1306"/>
    <w:rsid w:val="00DA182E"/>
    <w:rsid w:val="00DA1E23"/>
    <w:rsid w:val="00DA31BB"/>
    <w:rsid w:val="00DA32AF"/>
    <w:rsid w:val="00DA33EF"/>
    <w:rsid w:val="00DA35AD"/>
    <w:rsid w:val="00DA374B"/>
    <w:rsid w:val="00DA3EAD"/>
    <w:rsid w:val="00DA3EC2"/>
    <w:rsid w:val="00DA4370"/>
    <w:rsid w:val="00DA4479"/>
    <w:rsid w:val="00DA4694"/>
    <w:rsid w:val="00DA477A"/>
    <w:rsid w:val="00DA4820"/>
    <w:rsid w:val="00DA4973"/>
    <w:rsid w:val="00DA4F32"/>
    <w:rsid w:val="00DA5172"/>
    <w:rsid w:val="00DA5259"/>
    <w:rsid w:val="00DA545B"/>
    <w:rsid w:val="00DA585B"/>
    <w:rsid w:val="00DA5A3E"/>
    <w:rsid w:val="00DA5E69"/>
    <w:rsid w:val="00DA67B4"/>
    <w:rsid w:val="00DA68A5"/>
    <w:rsid w:val="00DA6B61"/>
    <w:rsid w:val="00DA6CF4"/>
    <w:rsid w:val="00DA70E8"/>
    <w:rsid w:val="00DA73AF"/>
    <w:rsid w:val="00DA7CFE"/>
    <w:rsid w:val="00DB0056"/>
    <w:rsid w:val="00DB016D"/>
    <w:rsid w:val="00DB0236"/>
    <w:rsid w:val="00DB09C0"/>
    <w:rsid w:val="00DB0DD9"/>
    <w:rsid w:val="00DB10A8"/>
    <w:rsid w:val="00DB111B"/>
    <w:rsid w:val="00DB11DF"/>
    <w:rsid w:val="00DB1431"/>
    <w:rsid w:val="00DB19CC"/>
    <w:rsid w:val="00DB1E5D"/>
    <w:rsid w:val="00DB25E3"/>
    <w:rsid w:val="00DB2C19"/>
    <w:rsid w:val="00DB30F4"/>
    <w:rsid w:val="00DB31E4"/>
    <w:rsid w:val="00DB3A12"/>
    <w:rsid w:val="00DB3C55"/>
    <w:rsid w:val="00DB3D95"/>
    <w:rsid w:val="00DB3D9F"/>
    <w:rsid w:val="00DB3F30"/>
    <w:rsid w:val="00DB436C"/>
    <w:rsid w:val="00DB4863"/>
    <w:rsid w:val="00DB49CD"/>
    <w:rsid w:val="00DB4EF9"/>
    <w:rsid w:val="00DB5435"/>
    <w:rsid w:val="00DB5698"/>
    <w:rsid w:val="00DB575F"/>
    <w:rsid w:val="00DB59FC"/>
    <w:rsid w:val="00DB5F7B"/>
    <w:rsid w:val="00DB63F0"/>
    <w:rsid w:val="00DB66AC"/>
    <w:rsid w:val="00DB6947"/>
    <w:rsid w:val="00DB6B48"/>
    <w:rsid w:val="00DB6D8A"/>
    <w:rsid w:val="00DB6E07"/>
    <w:rsid w:val="00DB7131"/>
    <w:rsid w:val="00DB7344"/>
    <w:rsid w:val="00DB73D7"/>
    <w:rsid w:val="00DB768C"/>
    <w:rsid w:val="00DB77CD"/>
    <w:rsid w:val="00DB7E20"/>
    <w:rsid w:val="00DB7E8D"/>
    <w:rsid w:val="00DB7ED2"/>
    <w:rsid w:val="00DB7FA2"/>
    <w:rsid w:val="00DC0050"/>
    <w:rsid w:val="00DC04B5"/>
    <w:rsid w:val="00DC08BF"/>
    <w:rsid w:val="00DC0D2B"/>
    <w:rsid w:val="00DC0EA9"/>
    <w:rsid w:val="00DC1061"/>
    <w:rsid w:val="00DC10F2"/>
    <w:rsid w:val="00DC1326"/>
    <w:rsid w:val="00DC143B"/>
    <w:rsid w:val="00DC1926"/>
    <w:rsid w:val="00DC1C01"/>
    <w:rsid w:val="00DC1E36"/>
    <w:rsid w:val="00DC2244"/>
    <w:rsid w:val="00DC22A2"/>
    <w:rsid w:val="00DC2860"/>
    <w:rsid w:val="00DC2886"/>
    <w:rsid w:val="00DC28B0"/>
    <w:rsid w:val="00DC2B13"/>
    <w:rsid w:val="00DC2C91"/>
    <w:rsid w:val="00DC390F"/>
    <w:rsid w:val="00DC3A85"/>
    <w:rsid w:val="00DC3C5E"/>
    <w:rsid w:val="00DC3E4A"/>
    <w:rsid w:val="00DC4CD9"/>
    <w:rsid w:val="00DC56E3"/>
    <w:rsid w:val="00DC5DB6"/>
    <w:rsid w:val="00DC5EC0"/>
    <w:rsid w:val="00DC6192"/>
    <w:rsid w:val="00DC6EC3"/>
    <w:rsid w:val="00DC77BD"/>
    <w:rsid w:val="00DC7ADB"/>
    <w:rsid w:val="00DC7B45"/>
    <w:rsid w:val="00DC7B88"/>
    <w:rsid w:val="00DC7C54"/>
    <w:rsid w:val="00DC7F49"/>
    <w:rsid w:val="00DD0179"/>
    <w:rsid w:val="00DD05D4"/>
    <w:rsid w:val="00DD09EB"/>
    <w:rsid w:val="00DD0BEA"/>
    <w:rsid w:val="00DD0C04"/>
    <w:rsid w:val="00DD0CED"/>
    <w:rsid w:val="00DD15F1"/>
    <w:rsid w:val="00DD1A9E"/>
    <w:rsid w:val="00DD2301"/>
    <w:rsid w:val="00DD2520"/>
    <w:rsid w:val="00DD28FB"/>
    <w:rsid w:val="00DD30CB"/>
    <w:rsid w:val="00DD323E"/>
    <w:rsid w:val="00DD32CC"/>
    <w:rsid w:val="00DD357B"/>
    <w:rsid w:val="00DD3791"/>
    <w:rsid w:val="00DD3A1E"/>
    <w:rsid w:val="00DD3AFE"/>
    <w:rsid w:val="00DD3D22"/>
    <w:rsid w:val="00DD3E41"/>
    <w:rsid w:val="00DD417C"/>
    <w:rsid w:val="00DD426D"/>
    <w:rsid w:val="00DD436B"/>
    <w:rsid w:val="00DD4752"/>
    <w:rsid w:val="00DD47E4"/>
    <w:rsid w:val="00DD488F"/>
    <w:rsid w:val="00DD4AFB"/>
    <w:rsid w:val="00DD4D46"/>
    <w:rsid w:val="00DD4DAF"/>
    <w:rsid w:val="00DD50A3"/>
    <w:rsid w:val="00DD5130"/>
    <w:rsid w:val="00DD5349"/>
    <w:rsid w:val="00DD5420"/>
    <w:rsid w:val="00DD5595"/>
    <w:rsid w:val="00DD56DD"/>
    <w:rsid w:val="00DD584B"/>
    <w:rsid w:val="00DD5928"/>
    <w:rsid w:val="00DD5948"/>
    <w:rsid w:val="00DD616C"/>
    <w:rsid w:val="00DD6294"/>
    <w:rsid w:val="00DD67E5"/>
    <w:rsid w:val="00DD6A57"/>
    <w:rsid w:val="00DD6DAA"/>
    <w:rsid w:val="00DD6DE4"/>
    <w:rsid w:val="00DD7848"/>
    <w:rsid w:val="00DD7EAF"/>
    <w:rsid w:val="00DE01F6"/>
    <w:rsid w:val="00DE0520"/>
    <w:rsid w:val="00DE0CD5"/>
    <w:rsid w:val="00DE0FBE"/>
    <w:rsid w:val="00DE1031"/>
    <w:rsid w:val="00DE13A3"/>
    <w:rsid w:val="00DE1B18"/>
    <w:rsid w:val="00DE1BF6"/>
    <w:rsid w:val="00DE1D5F"/>
    <w:rsid w:val="00DE1E8F"/>
    <w:rsid w:val="00DE1FD6"/>
    <w:rsid w:val="00DE1FDE"/>
    <w:rsid w:val="00DE20F1"/>
    <w:rsid w:val="00DE21F5"/>
    <w:rsid w:val="00DE2411"/>
    <w:rsid w:val="00DE2445"/>
    <w:rsid w:val="00DE2792"/>
    <w:rsid w:val="00DE2C16"/>
    <w:rsid w:val="00DE2EB4"/>
    <w:rsid w:val="00DE34E7"/>
    <w:rsid w:val="00DE357C"/>
    <w:rsid w:val="00DE375E"/>
    <w:rsid w:val="00DE38E9"/>
    <w:rsid w:val="00DE390B"/>
    <w:rsid w:val="00DE3A21"/>
    <w:rsid w:val="00DE3A6C"/>
    <w:rsid w:val="00DE3CE5"/>
    <w:rsid w:val="00DE3DDD"/>
    <w:rsid w:val="00DE4063"/>
    <w:rsid w:val="00DE4144"/>
    <w:rsid w:val="00DE42F3"/>
    <w:rsid w:val="00DE472C"/>
    <w:rsid w:val="00DE4B1A"/>
    <w:rsid w:val="00DE56AD"/>
    <w:rsid w:val="00DE56E8"/>
    <w:rsid w:val="00DE5A62"/>
    <w:rsid w:val="00DE6788"/>
    <w:rsid w:val="00DE686E"/>
    <w:rsid w:val="00DE6EB9"/>
    <w:rsid w:val="00DE722E"/>
    <w:rsid w:val="00DE76A7"/>
    <w:rsid w:val="00DE78CE"/>
    <w:rsid w:val="00DE7B6E"/>
    <w:rsid w:val="00DE7CCD"/>
    <w:rsid w:val="00DF021A"/>
    <w:rsid w:val="00DF027A"/>
    <w:rsid w:val="00DF02D6"/>
    <w:rsid w:val="00DF074F"/>
    <w:rsid w:val="00DF0B23"/>
    <w:rsid w:val="00DF0BD6"/>
    <w:rsid w:val="00DF0D67"/>
    <w:rsid w:val="00DF0EA2"/>
    <w:rsid w:val="00DF0ED5"/>
    <w:rsid w:val="00DF0ED7"/>
    <w:rsid w:val="00DF123F"/>
    <w:rsid w:val="00DF12B3"/>
    <w:rsid w:val="00DF17D8"/>
    <w:rsid w:val="00DF1A16"/>
    <w:rsid w:val="00DF1C08"/>
    <w:rsid w:val="00DF1CF9"/>
    <w:rsid w:val="00DF21F4"/>
    <w:rsid w:val="00DF2409"/>
    <w:rsid w:val="00DF2583"/>
    <w:rsid w:val="00DF26B1"/>
    <w:rsid w:val="00DF2865"/>
    <w:rsid w:val="00DF2CE5"/>
    <w:rsid w:val="00DF2E7F"/>
    <w:rsid w:val="00DF3158"/>
    <w:rsid w:val="00DF3219"/>
    <w:rsid w:val="00DF353A"/>
    <w:rsid w:val="00DF3814"/>
    <w:rsid w:val="00DF3BF6"/>
    <w:rsid w:val="00DF3DA5"/>
    <w:rsid w:val="00DF43D4"/>
    <w:rsid w:val="00DF4400"/>
    <w:rsid w:val="00DF480A"/>
    <w:rsid w:val="00DF4AC4"/>
    <w:rsid w:val="00DF4CAF"/>
    <w:rsid w:val="00DF4FB9"/>
    <w:rsid w:val="00DF52AB"/>
    <w:rsid w:val="00DF52D1"/>
    <w:rsid w:val="00DF56A1"/>
    <w:rsid w:val="00DF5789"/>
    <w:rsid w:val="00DF5984"/>
    <w:rsid w:val="00DF5A45"/>
    <w:rsid w:val="00DF6037"/>
    <w:rsid w:val="00DF630F"/>
    <w:rsid w:val="00DF663B"/>
    <w:rsid w:val="00DF6AC9"/>
    <w:rsid w:val="00DF6BBE"/>
    <w:rsid w:val="00DF6E21"/>
    <w:rsid w:val="00DF71D8"/>
    <w:rsid w:val="00DF7366"/>
    <w:rsid w:val="00E006FB"/>
    <w:rsid w:val="00E00719"/>
    <w:rsid w:val="00E0085F"/>
    <w:rsid w:val="00E00B43"/>
    <w:rsid w:val="00E0188B"/>
    <w:rsid w:val="00E0196D"/>
    <w:rsid w:val="00E01CA7"/>
    <w:rsid w:val="00E01DFE"/>
    <w:rsid w:val="00E020CB"/>
    <w:rsid w:val="00E02D07"/>
    <w:rsid w:val="00E02E95"/>
    <w:rsid w:val="00E03326"/>
    <w:rsid w:val="00E033BA"/>
    <w:rsid w:val="00E03504"/>
    <w:rsid w:val="00E03692"/>
    <w:rsid w:val="00E037C1"/>
    <w:rsid w:val="00E0382F"/>
    <w:rsid w:val="00E03980"/>
    <w:rsid w:val="00E03DA9"/>
    <w:rsid w:val="00E041EC"/>
    <w:rsid w:val="00E047AD"/>
    <w:rsid w:val="00E0489F"/>
    <w:rsid w:val="00E058EE"/>
    <w:rsid w:val="00E05C35"/>
    <w:rsid w:val="00E05F83"/>
    <w:rsid w:val="00E06676"/>
    <w:rsid w:val="00E0669F"/>
    <w:rsid w:val="00E066F5"/>
    <w:rsid w:val="00E06A0D"/>
    <w:rsid w:val="00E0716E"/>
    <w:rsid w:val="00E073BA"/>
    <w:rsid w:val="00E075DE"/>
    <w:rsid w:val="00E0775F"/>
    <w:rsid w:val="00E07AA3"/>
    <w:rsid w:val="00E07AB5"/>
    <w:rsid w:val="00E07DCD"/>
    <w:rsid w:val="00E10A5A"/>
    <w:rsid w:val="00E10E1B"/>
    <w:rsid w:val="00E10EC8"/>
    <w:rsid w:val="00E1117B"/>
    <w:rsid w:val="00E1135E"/>
    <w:rsid w:val="00E11C97"/>
    <w:rsid w:val="00E11D68"/>
    <w:rsid w:val="00E11DB0"/>
    <w:rsid w:val="00E120FC"/>
    <w:rsid w:val="00E1213E"/>
    <w:rsid w:val="00E1219F"/>
    <w:rsid w:val="00E1228B"/>
    <w:rsid w:val="00E12742"/>
    <w:rsid w:val="00E12A7B"/>
    <w:rsid w:val="00E12CBB"/>
    <w:rsid w:val="00E12D6C"/>
    <w:rsid w:val="00E12EDF"/>
    <w:rsid w:val="00E13408"/>
    <w:rsid w:val="00E1448C"/>
    <w:rsid w:val="00E14B7B"/>
    <w:rsid w:val="00E14CA0"/>
    <w:rsid w:val="00E14D04"/>
    <w:rsid w:val="00E14D30"/>
    <w:rsid w:val="00E15B76"/>
    <w:rsid w:val="00E15DA7"/>
    <w:rsid w:val="00E16431"/>
    <w:rsid w:val="00E16805"/>
    <w:rsid w:val="00E1695A"/>
    <w:rsid w:val="00E16B28"/>
    <w:rsid w:val="00E16CA5"/>
    <w:rsid w:val="00E16D2F"/>
    <w:rsid w:val="00E171C1"/>
    <w:rsid w:val="00E17961"/>
    <w:rsid w:val="00E17B40"/>
    <w:rsid w:val="00E17D6E"/>
    <w:rsid w:val="00E17F71"/>
    <w:rsid w:val="00E2094D"/>
    <w:rsid w:val="00E20DD3"/>
    <w:rsid w:val="00E2102D"/>
    <w:rsid w:val="00E21224"/>
    <w:rsid w:val="00E2148C"/>
    <w:rsid w:val="00E21A10"/>
    <w:rsid w:val="00E21C86"/>
    <w:rsid w:val="00E21CE8"/>
    <w:rsid w:val="00E21EAD"/>
    <w:rsid w:val="00E21F8A"/>
    <w:rsid w:val="00E223B3"/>
    <w:rsid w:val="00E22541"/>
    <w:rsid w:val="00E22D6F"/>
    <w:rsid w:val="00E22E87"/>
    <w:rsid w:val="00E2360B"/>
    <w:rsid w:val="00E23C52"/>
    <w:rsid w:val="00E23C67"/>
    <w:rsid w:val="00E23CEF"/>
    <w:rsid w:val="00E23D0D"/>
    <w:rsid w:val="00E23FAE"/>
    <w:rsid w:val="00E24064"/>
    <w:rsid w:val="00E245C3"/>
    <w:rsid w:val="00E246BA"/>
    <w:rsid w:val="00E247DE"/>
    <w:rsid w:val="00E24BC4"/>
    <w:rsid w:val="00E24F76"/>
    <w:rsid w:val="00E2631F"/>
    <w:rsid w:val="00E263EE"/>
    <w:rsid w:val="00E2648C"/>
    <w:rsid w:val="00E2675C"/>
    <w:rsid w:val="00E26A6B"/>
    <w:rsid w:val="00E26D12"/>
    <w:rsid w:val="00E26F6B"/>
    <w:rsid w:val="00E273C1"/>
    <w:rsid w:val="00E275B2"/>
    <w:rsid w:val="00E27665"/>
    <w:rsid w:val="00E278AC"/>
    <w:rsid w:val="00E27BEE"/>
    <w:rsid w:val="00E27CED"/>
    <w:rsid w:val="00E301CA"/>
    <w:rsid w:val="00E301F3"/>
    <w:rsid w:val="00E3052B"/>
    <w:rsid w:val="00E30EEA"/>
    <w:rsid w:val="00E31471"/>
    <w:rsid w:val="00E316BA"/>
    <w:rsid w:val="00E31710"/>
    <w:rsid w:val="00E32188"/>
    <w:rsid w:val="00E328AB"/>
    <w:rsid w:val="00E328D8"/>
    <w:rsid w:val="00E32CE2"/>
    <w:rsid w:val="00E32D37"/>
    <w:rsid w:val="00E32F10"/>
    <w:rsid w:val="00E33316"/>
    <w:rsid w:val="00E33B59"/>
    <w:rsid w:val="00E33C12"/>
    <w:rsid w:val="00E33F65"/>
    <w:rsid w:val="00E340C1"/>
    <w:rsid w:val="00E34142"/>
    <w:rsid w:val="00E3441A"/>
    <w:rsid w:val="00E34583"/>
    <w:rsid w:val="00E3460C"/>
    <w:rsid w:val="00E3489A"/>
    <w:rsid w:val="00E3495E"/>
    <w:rsid w:val="00E34C62"/>
    <w:rsid w:val="00E34E32"/>
    <w:rsid w:val="00E35CB7"/>
    <w:rsid w:val="00E35F92"/>
    <w:rsid w:val="00E3617F"/>
    <w:rsid w:val="00E3638F"/>
    <w:rsid w:val="00E368F9"/>
    <w:rsid w:val="00E36CE6"/>
    <w:rsid w:val="00E37094"/>
    <w:rsid w:val="00E37667"/>
    <w:rsid w:val="00E37DF4"/>
    <w:rsid w:val="00E4024F"/>
    <w:rsid w:val="00E406DA"/>
    <w:rsid w:val="00E40ADA"/>
    <w:rsid w:val="00E40B1E"/>
    <w:rsid w:val="00E415FC"/>
    <w:rsid w:val="00E4170E"/>
    <w:rsid w:val="00E41CB6"/>
    <w:rsid w:val="00E4246E"/>
    <w:rsid w:val="00E43398"/>
    <w:rsid w:val="00E43AA3"/>
    <w:rsid w:val="00E43EB0"/>
    <w:rsid w:val="00E43FB8"/>
    <w:rsid w:val="00E44214"/>
    <w:rsid w:val="00E44A83"/>
    <w:rsid w:val="00E44BFF"/>
    <w:rsid w:val="00E44C59"/>
    <w:rsid w:val="00E453AF"/>
    <w:rsid w:val="00E45478"/>
    <w:rsid w:val="00E4549D"/>
    <w:rsid w:val="00E45BF2"/>
    <w:rsid w:val="00E45DEA"/>
    <w:rsid w:val="00E4677E"/>
    <w:rsid w:val="00E46935"/>
    <w:rsid w:val="00E471D6"/>
    <w:rsid w:val="00E471FF"/>
    <w:rsid w:val="00E47684"/>
    <w:rsid w:val="00E47A76"/>
    <w:rsid w:val="00E500ED"/>
    <w:rsid w:val="00E50366"/>
    <w:rsid w:val="00E50C4C"/>
    <w:rsid w:val="00E51829"/>
    <w:rsid w:val="00E51A57"/>
    <w:rsid w:val="00E52D7D"/>
    <w:rsid w:val="00E52E0B"/>
    <w:rsid w:val="00E535AA"/>
    <w:rsid w:val="00E53651"/>
    <w:rsid w:val="00E5382B"/>
    <w:rsid w:val="00E53DCD"/>
    <w:rsid w:val="00E54066"/>
    <w:rsid w:val="00E540C1"/>
    <w:rsid w:val="00E54291"/>
    <w:rsid w:val="00E54585"/>
    <w:rsid w:val="00E5459C"/>
    <w:rsid w:val="00E545DA"/>
    <w:rsid w:val="00E5475E"/>
    <w:rsid w:val="00E549C2"/>
    <w:rsid w:val="00E54AB5"/>
    <w:rsid w:val="00E55266"/>
    <w:rsid w:val="00E55537"/>
    <w:rsid w:val="00E557B5"/>
    <w:rsid w:val="00E55814"/>
    <w:rsid w:val="00E55E1B"/>
    <w:rsid w:val="00E55FB3"/>
    <w:rsid w:val="00E56BD8"/>
    <w:rsid w:val="00E56F3C"/>
    <w:rsid w:val="00E574B1"/>
    <w:rsid w:val="00E57B6A"/>
    <w:rsid w:val="00E57D28"/>
    <w:rsid w:val="00E600B9"/>
    <w:rsid w:val="00E602BA"/>
    <w:rsid w:val="00E60952"/>
    <w:rsid w:val="00E60A3B"/>
    <w:rsid w:val="00E614A2"/>
    <w:rsid w:val="00E61819"/>
    <w:rsid w:val="00E61E23"/>
    <w:rsid w:val="00E61EA3"/>
    <w:rsid w:val="00E620A6"/>
    <w:rsid w:val="00E6210D"/>
    <w:rsid w:val="00E62171"/>
    <w:rsid w:val="00E62545"/>
    <w:rsid w:val="00E62656"/>
    <w:rsid w:val="00E62768"/>
    <w:rsid w:val="00E62781"/>
    <w:rsid w:val="00E62E62"/>
    <w:rsid w:val="00E62F0B"/>
    <w:rsid w:val="00E6448D"/>
    <w:rsid w:val="00E644E9"/>
    <w:rsid w:val="00E6462C"/>
    <w:rsid w:val="00E64745"/>
    <w:rsid w:val="00E64781"/>
    <w:rsid w:val="00E64A14"/>
    <w:rsid w:val="00E6593A"/>
    <w:rsid w:val="00E65BCA"/>
    <w:rsid w:val="00E65F73"/>
    <w:rsid w:val="00E65F80"/>
    <w:rsid w:val="00E660E4"/>
    <w:rsid w:val="00E66309"/>
    <w:rsid w:val="00E66365"/>
    <w:rsid w:val="00E664B9"/>
    <w:rsid w:val="00E66A92"/>
    <w:rsid w:val="00E66FF1"/>
    <w:rsid w:val="00E672A9"/>
    <w:rsid w:val="00E672DE"/>
    <w:rsid w:val="00E67380"/>
    <w:rsid w:val="00E70029"/>
    <w:rsid w:val="00E700B0"/>
    <w:rsid w:val="00E700C2"/>
    <w:rsid w:val="00E71702"/>
    <w:rsid w:val="00E7174F"/>
    <w:rsid w:val="00E718FA"/>
    <w:rsid w:val="00E719D3"/>
    <w:rsid w:val="00E71AE3"/>
    <w:rsid w:val="00E720FE"/>
    <w:rsid w:val="00E7210E"/>
    <w:rsid w:val="00E72339"/>
    <w:rsid w:val="00E72A3A"/>
    <w:rsid w:val="00E72A86"/>
    <w:rsid w:val="00E72C29"/>
    <w:rsid w:val="00E72D83"/>
    <w:rsid w:val="00E72DAB"/>
    <w:rsid w:val="00E73270"/>
    <w:rsid w:val="00E73583"/>
    <w:rsid w:val="00E73A50"/>
    <w:rsid w:val="00E73E05"/>
    <w:rsid w:val="00E740F1"/>
    <w:rsid w:val="00E7442B"/>
    <w:rsid w:val="00E748F5"/>
    <w:rsid w:val="00E74BD9"/>
    <w:rsid w:val="00E74DB2"/>
    <w:rsid w:val="00E74EE7"/>
    <w:rsid w:val="00E75023"/>
    <w:rsid w:val="00E75236"/>
    <w:rsid w:val="00E757D1"/>
    <w:rsid w:val="00E75D1A"/>
    <w:rsid w:val="00E764CF"/>
    <w:rsid w:val="00E76782"/>
    <w:rsid w:val="00E76956"/>
    <w:rsid w:val="00E76AE4"/>
    <w:rsid w:val="00E76B6E"/>
    <w:rsid w:val="00E76DB9"/>
    <w:rsid w:val="00E77030"/>
    <w:rsid w:val="00E773C5"/>
    <w:rsid w:val="00E77744"/>
    <w:rsid w:val="00E777AD"/>
    <w:rsid w:val="00E777D8"/>
    <w:rsid w:val="00E779CB"/>
    <w:rsid w:val="00E80036"/>
    <w:rsid w:val="00E808CB"/>
    <w:rsid w:val="00E80B80"/>
    <w:rsid w:val="00E814BC"/>
    <w:rsid w:val="00E81603"/>
    <w:rsid w:val="00E81756"/>
    <w:rsid w:val="00E818D6"/>
    <w:rsid w:val="00E81A4E"/>
    <w:rsid w:val="00E81A79"/>
    <w:rsid w:val="00E81FF0"/>
    <w:rsid w:val="00E82C70"/>
    <w:rsid w:val="00E82DC8"/>
    <w:rsid w:val="00E8320F"/>
    <w:rsid w:val="00E8398D"/>
    <w:rsid w:val="00E83C2D"/>
    <w:rsid w:val="00E83D1B"/>
    <w:rsid w:val="00E84AB4"/>
    <w:rsid w:val="00E84B48"/>
    <w:rsid w:val="00E84CC9"/>
    <w:rsid w:val="00E84EBF"/>
    <w:rsid w:val="00E8590A"/>
    <w:rsid w:val="00E85931"/>
    <w:rsid w:val="00E85F38"/>
    <w:rsid w:val="00E86062"/>
    <w:rsid w:val="00E861A8"/>
    <w:rsid w:val="00E8664F"/>
    <w:rsid w:val="00E86835"/>
    <w:rsid w:val="00E86E71"/>
    <w:rsid w:val="00E86ED2"/>
    <w:rsid w:val="00E87080"/>
    <w:rsid w:val="00E871DB"/>
    <w:rsid w:val="00E87629"/>
    <w:rsid w:val="00E87846"/>
    <w:rsid w:val="00E87853"/>
    <w:rsid w:val="00E90075"/>
    <w:rsid w:val="00E90423"/>
    <w:rsid w:val="00E9047F"/>
    <w:rsid w:val="00E90630"/>
    <w:rsid w:val="00E90C12"/>
    <w:rsid w:val="00E90F1F"/>
    <w:rsid w:val="00E91621"/>
    <w:rsid w:val="00E9187D"/>
    <w:rsid w:val="00E91C47"/>
    <w:rsid w:val="00E91D47"/>
    <w:rsid w:val="00E91FEE"/>
    <w:rsid w:val="00E92935"/>
    <w:rsid w:val="00E93810"/>
    <w:rsid w:val="00E94121"/>
    <w:rsid w:val="00E9426C"/>
    <w:rsid w:val="00E94784"/>
    <w:rsid w:val="00E949D3"/>
    <w:rsid w:val="00E94A10"/>
    <w:rsid w:val="00E95D01"/>
    <w:rsid w:val="00E95F11"/>
    <w:rsid w:val="00E95F82"/>
    <w:rsid w:val="00E96141"/>
    <w:rsid w:val="00E96473"/>
    <w:rsid w:val="00E96829"/>
    <w:rsid w:val="00E9686D"/>
    <w:rsid w:val="00E96A85"/>
    <w:rsid w:val="00E96D0C"/>
    <w:rsid w:val="00E9720F"/>
    <w:rsid w:val="00E974DB"/>
    <w:rsid w:val="00E9757C"/>
    <w:rsid w:val="00E9760E"/>
    <w:rsid w:val="00E97928"/>
    <w:rsid w:val="00E979A4"/>
    <w:rsid w:val="00E97A5E"/>
    <w:rsid w:val="00EA0071"/>
    <w:rsid w:val="00EA084B"/>
    <w:rsid w:val="00EA0D57"/>
    <w:rsid w:val="00EA0E45"/>
    <w:rsid w:val="00EA1EAD"/>
    <w:rsid w:val="00EA205B"/>
    <w:rsid w:val="00EA2279"/>
    <w:rsid w:val="00EA2E3F"/>
    <w:rsid w:val="00EA2E86"/>
    <w:rsid w:val="00EA3628"/>
    <w:rsid w:val="00EA36D3"/>
    <w:rsid w:val="00EA3702"/>
    <w:rsid w:val="00EA38FA"/>
    <w:rsid w:val="00EA3A96"/>
    <w:rsid w:val="00EA3C89"/>
    <w:rsid w:val="00EA446D"/>
    <w:rsid w:val="00EA460C"/>
    <w:rsid w:val="00EA4907"/>
    <w:rsid w:val="00EA4974"/>
    <w:rsid w:val="00EA4A2E"/>
    <w:rsid w:val="00EA4BB4"/>
    <w:rsid w:val="00EA4BCD"/>
    <w:rsid w:val="00EA4CE0"/>
    <w:rsid w:val="00EA4EE3"/>
    <w:rsid w:val="00EA52B7"/>
    <w:rsid w:val="00EA5618"/>
    <w:rsid w:val="00EA5AC7"/>
    <w:rsid w:val="00EA6303"/>
    <w:rsid w:val="00EA63E7"/>
    <w:rsid w:val="00EA66CA"/>
    <w:rsid w:val="00EA6795"/>
    <w:rsid w:val="00EA67FD"/>
    <w:rsid w:val="00EA6872"/>
    <w:rsid w:val="00EA69A8"/>
    <w:rsid w:val="00EA6B29"/>
    <w:rsid w:val="00EA6B90"/>
    <w:rsid w:val="00EA6DE9"/>
    <w:rsid w:val="00EA6EA1"/>
    <w:rsid w:val="00EA740F"/>
    <w:rsid w:val="00EA7587"/>
    <w:rsid w:val="00EA7A0F"/>
    <w:rsid w:val="00EB0310"/>
    <w:rsid w:val="00EB04B5"/>
    <w:rsid w:val="00EB06AF"/>
    <w:rsid w:val="00EB1023"/>
    <w:rsid w:val="00EB1073"/>
    <w:rsid w:val="00EB118A"/>
    <w:rsid w:val="00EB14B2"/>
    <w:rsid w:val="00EB199B"/>
    <w:rsid w:val="00EB1BC0"/>
    <w:rsid w:val="00EB210B"/>
    <w:rsid w:val="00EB2248"/>
    <w:rsid w:val="00EB2453"/>
    <w:rsid w:val="00EB269D"/>
    <w:rsid w:val="00EB26A0"/>
    <w:rsid w:val="00EB2979"/>
    <w:rsid w:val="00EB2A4D"/>
    <w:rsid w:val="00EB3434"/>
    <w:rsid w:val="00EB36CB"/>
    <w:rsid w:val="00EB37B0"/>
    <w:rsid w:val="00EB39B4"/>
    <w:rsid w:val="00EB39F9"/>
    <w:rsid w:val="00EB3BCE"/>
    <w:rsid w:val="00EB3FD7"/>
    <w:rsid w:val="00EB47E5"/>
    <w:rsid w:val="00EB5877"/>
    <w:rsid w:val="00EB5A86"/>
    <w:rsid w:val="00EB5CAD"/>
    <w:rsid w:val="00EB61ED"/>
    <w:rsid w:val="00EB621E"/>
    <w:rsid w:val="00EB65A1"/>
    <w:rsid w:val="00EB6633"/>
    <w:rsid w:val="00EB684B"/>
    <w:rsid w:val="00EB6F79"/>
    <w:rsid w:val="00EB730C"/>
    <w:rsid w:val="00EB7561"/>
    <w:rsid w:val="00EB7939"/>
    <w:rsid w:val="00EB7B45"/>
    <w:rsid w:val="00EB7C89"/>
    <w:rsid w:val="00EC01B1"/>
    <w:rsid w:val="00EC02CC"/>
    <w:rsid w:val="00EC0324"/>
    <w:rsid w:val="00EC0DD2"/>
    <w:rsid w:val="00EC0E73"/>
    <w:rsid w:val="00EC13B2"/>
    <w:rsid w:val="00EC1543"/>
    <w:rsid w:val="00EC23B5"/>
    <w:rsid w:val="00EC2BC2"/>
    <w:rsid w:val="00EC2C2F"/>
    <w:rsid w:val="00EC2CF2"/>
    <w:rsid w:val="00EC2D72"/>
    <w:rsid w:val="00EC2DE4"/>
    <w:rsid w:val="00EC3092"/>
    <w:rsid w:val="00EC3159"/>
    <w:rsid w:val="00EC323A"/>
    <w:rsid w:val="00EC34E3"/>
    <w:rsid w:val="00EC3700"/>
    <w:rsid w:val="00EC37CE"/>
    <w:rsid w:val="00EC3C14"/>
    <w:rsid w:val="00EC3D4A"/>
    <w:rsid w:val="00EC3FFF"/>
    <w:rsid w:val="00EC445B"/>
    <w:rsid w:val="00EC4820"/>
    <w:rsid w:val="00EC4F05"/>
    <w:rsid w:val="00EC5062"/>
    <w:rsid w:val="00EC53F0"/>
    <w:rsid w:val="00EC581C"/>
    <w:rsid w:val="00EC5DD1"/>
    <w:rsid w:val="00EC6927"/>
    <w:rsid w:val="00EC70F7"/>
    <w:rsid w:val="00EC7EB7"/>
    <w:rsid w:val="00EC7F4A"/>
    <w:rsid w:val="00ED0291"/>
    <w:rsid w:val="00ED0516"/>
    <w:rsid w:val="00ED053F"/>
    <w:rsid w:val="00ED0BC4"/>
    <w:rsid w:val="00ED163A"/>
    <w:rsid w:val="00ED198F"/>
    <w:rsid w:val="00ED1A2D"/>
    <w:rsid w:val="00ED1A3D"/>
    <w:rsid w:val="00ED1BFF"/>
    <w:rsid w:val="00ED241C"/>
    <w:rsid w:val="00ED26AE"/>
    <w:rsid w:val="00ED28D4"/>
    <w:rsid w:val="00ED296D"/>
    <w:rsid w:val="00ED2B38"/>
    <w:rsid w:val="00ED2F2E"/>
    <w:rsid w:val="00ED3A50"/>
    <w:rsid w:val="00ED4090"/>
    <w:rsid w:val="00ED4348"/>
    <w:rsid w:val="00ED43DA"/>
    <w:rsid w:val="00ED44E1"/>
    <w:rsid w:val="00ED46D7"/>
    <w:rsid w:val="00ED4C1B"/>
    <w:rsid w:val="00ED4FAC"/>
    <w:rsid w:val="00ED529E"/>
    <w:rsid w:val="00ED542F"/>
    <w:rsid w:val="00ED60BB"/>
    <w:rsid w:val="00ED66C5"/>
    <w:rsid w:val="00ED687C"/>
    <w:rsid w:val="00ED68AC"/>
    <w:rsid w:val="00ED6A8D"/>
    <w:rsid w:val="00ED6B2E"/>
    <w:rsid w:val="00ED6EBD"/>
    <w:rsid w:val="00ED710B"/>
    <w:rsid w:val="00ED7133"/>
    <w:rsid w:val="00ED746B"/>
    <w:rsid w:val="00ED7788"/>
    <w:rsid w:val="00ED7AA4"/>
    <w:rsid w:val="00ED7BF0"/>
    <w:rsid w:val="00ED7ED0"/>
    <w:rsid w:val="00EE0007"/>
    <w:rsid w:val="00EE11F8"/>
    <w:rsid w:val="00EE14A7"/>
    <w:rsid w:val="00EE190E"/>
    <w:rsid w:val="00EE1BEB"/>
    <w:rsid w:val="00EE1E35"/>
    <w:rsid w:val="00EE2033"/>
    <w:rsid w:val="00EE25B9"/>
    <w:rsid w:val="00EE27E2"/>
    <w:rsid w:val="00EE2819"/>
    <w:rsid w:val="00EE2EC4"/>
    <w:rsid w:val="00EE38B4"/>
    <w:rsid w:val="00EE392A"/>
    <w:rsid w:val="00EE3A60"/>
    <w:rsid w:val="00EE3B06"/>
    <w:rsid w:val="00EE3B46"/>
    <w:rsid w:val="00EE3EC6"/>
    <w:rsid w:val="00EE3F23"/>
    <w:rsid w:val="00EE59ED"/>
    <w:rsid w:val="00EE60A1"/>
    <w:rsid w:val="00EE6168"/>
    <w:rsid w:val="00EE6853"/>
    <w:rsid w:val="00EE6C9F"/>
    <w:rsid w:val="00EE7E5F"/>
    <w:rsid w:val="00EF01F1"/>
    <w:rsid w:val="00EF0345"/>
    <w:rsid w:val="00EF04B9"/>
    <w:rsid w:val="00EF067D"/>
    <w:rsid w:val="00EF0CF9"/>
    <w:rsid w:val="00EF0FFB"/>
    <w:rsid w:val="00EF105D"/>
    <w:rsid w:val="00EF1537"/>
    <w:rsid w:val="00EF16C6"/>
    <w:rsid w:val="00EF19FD"/>
    <w:rsid w:val="00EF1A9B"/>
    <w:rsid w:val="00EF1CF5"/>
    <w:rsid w:val="00EF2262"/>
    <w:rsid w:val="00EF2380"/>
    <w:rsid w:val="00EF2440"/>
    <w:rsid w:val="00EF24AA"/>
    <w:rsid w:val="00EF24F5"/>
    <w:rsid w:val="00EF2565"/>
    <w:rsid w:val="00EF270D"/>
    <w:rsid w:val="00EF2765"/>
    <w:rsid w:val="00EF27D0"/>
    <w:rsid w:val="00EF28B1"/>
    <w:rsid w:val="00EF2DE8"/>
    <w:rsid w:val="00EF32CD"/>
    <w:rsid w:val="00EF32F6"/>
    <w:rsid w:val="00EF3456"/>
    <w:rsid w:val="00EF4226"/>
    <w:rsid w:val="00EF4580"/>
    <w:rsid w:val="00EF4A0D"/>
    <w:rsid w:val="00EF4D4A"/>
    <w:rsid w:val="00EF4E98"/>
    <w:rsid w:val="00EF4EF1"/>
    <w:rsid w:val="00EF539F"/>
    <w:rsid w:val="00EF5925"/>
    <w:rsid w:val="00EF5D71"/>
    <w:rsid w:val="00EF662C"/>
    <w:rsid w:val="00EF6861"/>
    <w:rsid w:val="00EF6928"/>
    <w:rsid w:val="00EF69CD"/>
    <w:rsid w:val="00EF6DB5"/>
    <w:rsid w:val="00EF6FA9"/>
    <w:rsid w:val="00EF7405"/>
    <w:rsid w:val="00EF78EA"/>
    <w:rsid w:val="00EF7ED5"/>
    <w:rsid w:val="00F016E4"/>
    <w:rsid w:val="00F017DC"/>
    <w:rsid w:val="00F01CB5"/>
    <w:rsid w:val="00F01E6C"/>
    <w:rsid w:val="00F02075"/>
    <w:rsid w:val="00F031B6"/>
    <w:rsid w:val="00F03219"/>
    <w:rsid w:val="00F03702"/>
    <w:rsid w:val="00F03A67"/>
    <w:rsid w:val="00F03C06"/>
    <w:rsid w:val="00F03CE6"/>
    <w:rsid w:val="00F04097"/>
    <w:rsid w:val="00F045E2"/>
    <w:rsid w:val="00F04CAD"/>
    <w:rsid w:val="00F04EA7"/>
    <w:rsid w:val="00F051B0"/>
    <w:rsid w:val="00F05409"/>
    <w:rsid w:val="00F06034"/>
    <w:rsid w:val="00F06448"/>
    <w:rsid w:val="00F0689B"/>
    <w:rsid w:val="00F068E3"/>
    <w:rsid w:val="00F068FE"/>
    <w:rsid w:val="00F06B2F"/>
    <w:rsid w:val="00F06E52"/>
    <w:rsid w:val="00F06F62"/>
    <w:rsid w:val="00F077E9"/>
    <w:rsid w:val="00F078AE"/>
    <w:rsid w:val="00F07EC3"/>
    <w:rsid w:val="00F07FE8"/>
    <w:rsid w:val="00F100E0"/>
    <w:rsid w:val="00F10625"/>
    <w:rsid w:val="00F1079D"/>
    <w:rsid w:val="00F11081"/>
    <w:rsid w:val="00F11209"/>
    <w:rsid w:val="00F11547"/>
    <w:rsid w:val="00F11A95"/>
    <w:rsid w:val="00F11C39"/>
    <w:rsid w:val="00F11CEB"/>
    <w:rsid w:val="00F1248F"/>
    <w:rsid w:val="00F1264C"/>
    <w:rsid w:val="00F126D2"/>
    <w:rsid w:val="00F12C6A"/>
    <w:rsid w:val="00F12EF2"/>
    <w:rsid w:val="00F130A4"/>
    <w:rsid w:val="00F13573"/>
    <w:rsid w:val="00F1398B"/>
    <w:rsid w:val="00F139E1"/>
    <w:rsid w:val="00F13A4A"/>
    <w:rsid w:val="00F13EA0"/>
    <w:rsid w:val="00F140E4"/>
    <w:rsid w:val="00F14107"/>
    <w:rsid w:val="00F14388"/>
    <w:rsid w:val="00F1457D"/>
    <w:rsid w:val="00F14673"/>
    <w:rsid w:val="00F1469A"/>
    <w:rsid w:val="00F1480E"/>
    <w:rsid w:val="00F149A3"/>
    <w:rsid w:val="00F1501B"/>
    <w:rsid w:val="00F15443"/>
    <w:rsid w:val="00F1550B"/>
    <w:rsid w:val="00F15BD1"/>
    <w:rsid w:val="00F1643A"/>
    <w:rsid w:val="00F16440"/>
    <w:rsid w:val="00F16469"/>
    <w:rsid w:val="00F16554"/>
    <w:rsid w:val="00F1677E"/>
    <w:rsid w:val="00F16AC1"/>
    <w:rsid w:val="00F16ED0"/>
    <w:rsid w:val="00F172BD"/>
    <w:rsid w:val="00F174DB"/>
    <w:rsid w:val="00F1767B"/>
    <w:rsid w:val="00F17B2F"/>
    <w:rsid w:val="00F17DEB"/>
    <w:rsid w:val="00F20583"/>
    <w:rsid w:val="00F20797"/>
    <w:rsid w:val="00F20976"/>
    <w:rsid w:val="00F20B59"/>
    <w:rsid w:val="00F20E6E"/>
    <w:rsid w:val="00F20E97"/>
    <w:rsid w:val="00F21185"/>
    <w:rsid w:val="00F211C1"/>
    <w:rsid w:val="00F21539"/>
    <w:rsid w:val="00F217CB"/>
    <w:rsid w:val="00F21874"/>
    <w:rsid w:val="00F2199E"/>
    <w:rsid w:val="00F21B43"/>
    <w:rsid w:val="00F21D1A"/>
    <w:rsid w:val="00F21E65"/>
    <w:rsid w:val="00F21EEB"/>
    <w:rsid w:val="00F22268"/>
    <w:rsid w:val="00F2231E"/>
    <w:rsid w:val="00F2259E"/>
    <w:rsid w:val="00F22877"/>
    <w:rsid w:val="00F23077"/>
    <w:rsid w:val="00F234F2"/>
    <w:rsid w:val="00F236E1"/>
    <w:rsid w:val="00F23B1B"/>
    <w:rsid w:val="00F23BD9"/>
    <w:rsid w:val="00F240F6"/>
    <w:rsid w:val="00F24486"/>
    <w:rsid w:val="00F24755"/>
    <w:rsid w:val="00F25875"/>
    <w:rsid w:val="00F25DBB"/>
    <w:rsid w:val="00F25E7A"/>
    <w:rsid w:val="00F25F15"/>
    <w:rsid w:val="00F25FDD"/>
    <w:rsid w:val="00F266D9"/>
    <w:rsid w:val="00F26877"/>
    <w:rsid w:val="00F268BA"/>
    <w:rsid w:val="00F268C1"/>
    <w:rsid w:val="00F26E93"/>
    <w:rsid w:val="00F26F42"/>
    <w:rsid w:val="00F272E0"/>
    <w:rsid w:val="00F273BB"/>
    <w:rsid w:val="00F273EB"/>
    <w:rsid w:val="00F275D4"/>
    <w:rsid w:val="00F30302"/>
    <w:rsid w:val="00F30562"/>
    <w:rsid w:val="00F30952"/>
    <w:rsid w:val="00F30CB3"/>
    <w:rsid w:val="00F30CBE"/>
    <w:rsid w:val="00F3163A"/>
    <w:rsid w:val="00F317C9"/>
    <w:rsid w:val="00F31A97"/>
    <w:rsid w:val="00F31BB5"/>
    <w:rsid w:val="00F31DDB"/>
    <w:rsid w:val="00F3200C"/>
    <w:rsid w:val="00F3204F"/>
    <w:rsid w:val="00F320EB"/>
    <w:rsid w:val="00F32125"/>
    <w:rsid w:val="00F321E3"/>
    <w:rsid w:val="00F323D2"/>
    <w:rsid w:val="00F32665"/>
    <w:rsid w:val="00F32E30"/>
    <w:rsid w:val="00F32EE7"/>
    <w:rsid w:val="00F330A5"/>
    <w:rsid w:val="00F3344A"/>
    <w:rsid w:val="00F3372C"/>
    <w:rsid w:val="00F33FEC"/>
    <w:rsid w:val="00F3411B"/>
    <w:rsid w:val="00F34636"/>
    <w:rsid w:val="00F35842"/>
    <w:rsid w:val="00F359EB"/>
    <w:rsid w:val="00F36501"/>
    <w:rsid w:val="00F36694"/>
    <w:rsid w:val="00F36943"/>
    <w:rsid w:val="00F36CD4"/>
    <w:rsid w:val="00F3703F"/>
    <w:rsid w:val="00F3767D"/>
    <w:rsid w:val="00F37743"/>
    <w:rsid w:val="00F4012C"/>
    <w:rsid w:val="00F4063A"/>
    <w:rsid w:val="00F4093E"/>
    <w:rsid w:val="00F40A54"/>
    <w:rsid w:val="00F4170C"/>
    <w:rsid w:val="00F41879"/>
    <w:rsid w:val="00F41AD5"/>
    <w:rsid w:val="00F41CFF"/>
    <w:rsid w:val="00F41F8F"/>
    <w:rsid w:val="00F42129"/>
    <w:rsid w:val="00F42280"/>
    <w:rsid w:val="00F422EB"/>
    <w:rsid w:val="00F4243B"/>
    <w:rsid w:val="00F42646"/>
    <w:rsid w:val="00F42AC1"/>
    <w:rsid w:val="00F42EA6"/>
    <w:rsid w:val="00F42FD1"/>
    <w:rsid w:val="00F43598"/>
    <w:rsid w:val="00F43626"/>
    <w:rsid w:val="00F436D2"/>
    <w:rsid w:val="00F43A0D"/>
    <w:rsid w:val="00F43BF4"/>
    <w:rsid w:val="00F43C6F"/>
    <w:rsid w:val="00F43DAD"/>
    <w:rsid w:val="00F44001"/>
    <w:rsid w:val="00F4413B"/>
    <w:rsid w:val="00F44464"/>
    <w:rsid w:val="00F44E67"/>
    <w:rsid w:val="00F45032"/>
    <w:rsid w:val="00F45722"/>
    <w:rsid w:val="00F45F56"/>
    <w:rsid w:val="00F4606E"/>
    <w:rsid w:val="00F461EB"/>
    <w:rsid w:val="00F4667C"/>
    <w:rsid w:val="00F46963"/>
    <w:rsid w:val="00F47047"/>
    <w:rsid w:val="00F4761B"/>
    <w:rsid w:val="00F4786F"/>
    <w:rsid w:val="00F4792C"/>
    <w:rsid w:val="00F47B98"/>
    <w:rsid w:val="00F47C30"/>
    <w:rsid w:val="00F47F9B"/>
    <w:rsid w:val="00F50392"/>
    <w:rsid w:val="00F50828"/>
    <w:rsid w:val="00F50906"/>
    <w:rsid w:val="00F50AA7"/>
    <w:rsid w:val="00F50C49"/>
    <w:rsid w:val="00F515AB"/>
    <w:rsid w:val="00F517D6"/>
    <w:rsid w:val="00F51F1A"/>
    <w:rsid w:val="00F5211D"/>
    <w:rsid w:val="00F521F2"/>
    <w:rsid w:val="00F5288F"/>
    <w:rsid w:val="00F52C19"/>
    <w:rsid w:val="00F52CC2"/>
    <w:rsid w:val="00F53002"/>
    <w:rsid w:val="00F5365A"/>
    <w:rsid w:val="00F53743"/>
    <w:rsid w:val="00F53A09"/>
    <w:rsid w:val="00F53A33"/>
    <w:rsid w:val="00F53B8B"/>
    <w:rsid w:val="00F53C98"/>
    <w:rsid w:val="00F54714"/>
    <w:rsid w:val="00F54BA2"/>
    <w:rsid w:val="00F54C9C"/>
    <w:rsid w:val="00F54F6E"/>
    <w:rsid w:val="00F554CF"/>
    <w:rsid w:val="00F558D4"/>
    <w:rsid w:val="00F55FFC"/>
    <w:rsid w:val="00F56108"/>
    <w:rsid w:val="00F5612C"/>
    <w:rsid w:val="00F569DE"/>
    <w:rsid w:val="00F56BF3"/>
    <w:rsid w:val="00F56F60"/>
    <w:rsid w:val="00F571C3"/>
    <w:rsid w:val="00F576B5"/>
    <w:rsid w:val="00F577C6"/>
    <w:rsid w:val="00F57800"/>
    <w:rsid w:val="00F57A4E"/>
    <w:rsid w:val="00F57D96"/>
    <w:rsid w:val="00F57F76"/>
    <w:rsid w:val="00F603F5"/>
    <w:rsid w:val="00F6083E"/>
    <w:rsid w:val="00F60B70"/>
    <w:rsid w:val="00F61372"/>
    <w:rsid w:val="00F616A6"/>
    <w:rsid w:val="00F6185D"/>
    <w:rsid w:val="00F61D18"/>
    <w:rsid w:val="00F61FC9"/>
    <w:rsid w:val="00F62238"/>
    <w:rsid w:val="00F6223E"/>
    <w:rsid w:val="00F622FD"/>
    <w:rsid w:val="00F62391"/>
    <w:rsid w:val="00F62A2D"/>
    <w:rsid w:val="00F62AC7"/>
    <w:rsid w:val="00F63929"/>
    <w:rsid w:val="00F63A0E"/>
    <w:rsid w:val="00F63B07"/>
    <w:rsid w:val="00F63CED"/>
    <w:rsid w:val="00F63D62"/>
    <w:rsid w:val="00F6416D"/>
    <w:rsid w:val="00F641E6"/>
    <w:rsid w:val="00F642E8"/>
    <w:rsid w:val="00F64AD0"/>
    <w:rsid w:val="00F64B72"/>
    <w:rsid w:val="00F64FC3"/>
    <w:rsid w:val="00F64FE7"/>
    <w:rsid w:val="00F655DB"/>
    <w:rsid w:val="00F658DA"/>
    <w:rsid w:val="00F6592F"/>
    <w:rsid w:val="00F65A96"/>
    <w:rsid w:val="00F65B4B"/>
    <w:rsid w:val="00F65B8A"/>
    <w:rsid w:val="00F65E8C"/>
    <w:rsid w:val="00F663A0"/>
    <w:rsid w:val="00F664AF"/>
    <w:rsid w:val="00F66F43"/>
    <w:rsid w:val="00F678E8"/>
    <w:rsid w:val="00F706DC"/>
    <w:rsid w:val="00F70D4F"/>
    <w:rsid w:val="00F70FD0"/>
    <w:rsid w:val="00F7113A"/>
    <w:rsid w:val="00F71278"/>
    <w:rsid w:val="00F712F4"/>
    <w:rsid w:val="00F7132A"/>
    <w:rsid w:val="00F721EA"/>
    <w:rsid w:val="00F723C0"/>
    <w:rsid w:val="00F7257B"/>
    <w:rsid w:val="00F72B0E"/>
    <w:rsid w:val="00F72BF8"/>
    <w:rsid w:val="00F72D40"/>
    <w:rsid w:val="00F72D4F"/>
    <w:rsid w:val="00F72F42"/>
    <w:rsid w:val="00F731D2"/>
    <w:rsid w:val="00F735B5"/>
    <w:rsid w:val="00F73A5D"/>
    <w:rsid w:val="00F73AC5"/>
    <w:rsid w:val="00F73C9D"/>
    <w:rsid w:val="00F73E94"/>
    <w:rsid w:val="00F73F5D"/>
    <w:rsid w:val="00F747F7"/>
    <w:rsid w:val="00F74FA0"/>
    <w:rsid w:val="00F75181"/>
    <w:rsid w:val="00F75320"/>
    <w:rsid w:val="00F753CF"/>
    <w:rsid w:val="00F757DD"/>
    <w:rsid w:val="00F75913"/>
    <w:rsid w:val="00F75E1F"/>
    <w:rsid w:val="00F76222"/>
    <w:rsid w:val="00F767F2"/>
    <w:rsid w:val="00F76D63"/>
    <w:rsid w:val="00F76EF1"/>
    <w:rsid w:val="00F77075"/>
    <w:rsid w:val="00F772BD"/>
    <w:rsid w:val="00F77566"/>
    <w:rsid w:val="00F77748"/>
    <w:rsid w:val="00F77E2A"/>
    <w:rsid w:val="00F800C5"/>
    <w:rsid w:val="00F804B2"/>
    <w:rsid w:val="00F8050A"/>
    <w:rsid w:val="00F80C8A"/>
    <w:rsid w:val="00F81169"/>
    <w:rsid w:val="00F8119C"/>
    <w:rsid w:val="00F813AF"/>
    <w:rsid w:val="00F813E5"/>
    <w:rsid w:val="00F81CFA"/>
    <w:rsid w:val="00F82251"/>
    <w:rsid w:val="00F82403"/>
    <w:rsid w:val="00F82B0C"/>
    <w:rsid w:val="00F83339"/>
    <w:rsid w:val="00F83651"/>
    <w:rsid w:val="00F839FE"/>
    <w:rsid w:val="00F83D4F"/>
    <w:rsid w:val="00F8427A"/>
    <w:rsid w:val="00F84674"/>
    <w:rsid w:val="00F847FF"/>
    <w:rsid w:val="00F84A38"/>
    <w:rsid w:val="00F84A99"/>
    <w:rsid w:val="00F84CA9"/>
    <w:rsid w:val="00F84CDD"/>
    <w:rsid w:val="00F84E5D"/>
    <w:rsid w:val="00F85338"/>
    <w:rsid w:val="00F855E0"/>
    <w:rsid w:val="00F85A8A"/>
    <w:rsid w:val="00F85E5F"/>
    <w:rsid w:val="00F85FD0"/>
    <w:rsid w:val="00F866D0"/>
    <w:rsid w:val="00F8681C"/>
    <w:rsid w:val="00F86C07"/>
    <w:rsid w:val="00F87A7C"/>
    <w:rsid w:val="00F87D2B"/>
    <w:rsid w:val="00F87D58"/>
    <w:rsid w:val="00F90500"/>
    <w:rsid w:val="00F909B8"/>
    <w:rsid w:val="00F90ACA"/>
    <w:rsid w:val="00F912FF"/>
    <w:rsid w:val="00F913F4"/>
    <w:rsid w:val="00F91578"/>
    <w:rsid w:val="00F919A5"/>
    <w:rsid w:val="00F91C99"/>
    <w:rsid w:val="00F920DF"/>
    <w:rsid w:val="00F92166"/>
    <w:rsid w:val="00F9266C"/>
    <w:rsid w:val="00F92C5C"/>
    <w:rsid w:val="00F937BA"/>
    <w:rsid w:val="00F94078"/>
    <w:rsid w:val="00F9431A"/>
    <w:rsid w:val="00F94493"/>
    <w:rsid w:val="00F94CF3"/>
    <w:rsid w:val="00F94E6B"/>
    <w:rsid w:val="00F9509D"/>
    <w:rsid w:val="00F952DE"/>
    <w:rsid w:val="00F957C9"/>
    <w:rsid w:val="00F95A85"/>
    <w:rsid w:val="00F95E86"/>
    <w:rsid w:val="00F95F8D"/>
    <w:rsid w:val="00F96182"/>
    <w:rsid w:val="00F9639F"/>
    <w:rsid w:val="00F963DA"/>
    <w:rsid w:val="00F96403"/>
    <w:rsid w:val="00F9643D"/>
    <w:rsid w:val="00F967F7"/>
    <w:rsid w:val="00F9687E"/>
    <w:rsid w:val="00F96ACB"/>
    <w:rsid w:val="00F96C9A"/>
    <w:rsid w:val="00F972F3"/>
    <w:rsid w:val="00F9735E"/>
    <w:rsid w:val="00F973AF"/>
    <w:rsid w:val="00F973C6"/>
    <w:rsid w:val="00F97919"/>
    <w:rsid w:val="00F97C27"/>
    <w:rsid w:val="00FA09B0"/>
    <w:rsid w:val="00FA09B4"/>
    <w:rsid w:val="00FA0C7A"/>
    <w:rsid w:val="00FA106A"/>
    <w:rsid w:val="00FA1166"/>
    <w:rsid w:val="00FA2240"/>
    <w:rsid w:val="00FA27B3"/>
    <w:rsid w:val="00FA2FF6"/>
    <w:rsid w:val="00FA3120"/>
    <w:rsid w:val="00FA3396"/>
    <w:rsid w:val="00FA343C"/>
    <w:rsid w:val="00FA350E"/>
    <w:rsid w:val="00FA4023"/>
    <w:rsid w:val="00FA43A7"/>
    <w:rsid w:val="00FA44D9"/>
    <w:rsid w:val="00FA46C1"/>
    <w:rsid w:val="00FA49C3"/>
    <w:rsid w:val="00FA5B44"/>
    <w:rsid w:val="00FA623C"/>
    <w:rsid w:val="00FA68B5"/>
    <w:rsid w:val="00FA6B63"/>
    <w:rsid w:val="00FA6CF1"/>
    <w:rsid w:val="00FA6E08"/>
    <w:rsid w:val="00FA7753"/>
    <w:rsid w:val="00FA77BD"/>
    <w:rsid w:val="00FA7FCA"/>
    <w:rsid w:val="00FB01EC"/>
    <w:rsid w:val="00FB0985"/>
    <w:rsid w:val="00FB0AE6"/>
    <w:rsid w:val="00FB0CC7"/>
    <w:rsid w:val="00FB0CCE"/>
    <w:rsid w:val="00FB117B"/>
    <w:rsid w:val="00FB12A8"/>
    <w:rsid w:val="00FB14D4"/>
    <w:rsid w:val="00FB188E"/>
    <w:rsid w:val="00FB192B"/>
    <w:rsid w:val="00FB1935"/>
    <w:rsid w:val="00FB1A6B"/>
    <w:rsid w:val="00FB1D70"/>
    <w:rsid w:val="00FB20FB"/>
    <w:rsid w:val="00FB21C9"/>
    <w:rsid w:val="00FB240E"/>
    <w:rsid w:val="00FB246A"/>
    <w:rsid w:val="00FB280F"/>
    <w:rsid w:val="00FB2A0D"/>
    <w:rsid w:val="00FB2BE6"/>
    <w:rsid w:val="00FB2CA5"/>
    <w:rsid w:val="00FB3318"/>
    <w:rsid w:val="00FB3415"/>
    <w:rsid w:val="00FB35FD"/>
    <w:rsid w:val="00FB3A0C"/>
    <w:rsid w:val="00FB44B4"/>
    <w:rsid w:val="00FB463B"/>
    <w:rsid w:val="00FB4EAA"/>
    <w:rsid w:val="00FB5A06"/>
    <w:rsid w:val="00FB754F"/>
    <w:rsid w:val="00FB791F"/>
    <w:rsid w:val="00FB7943"/>
    <w:rsid w:val="00FB7C6D"/>
    <w:rsid w:val="00FB7F47"/>
    <w:rsid w:val="00FC04E5"/>
    <w:rsid w:val="00FC0734"/>
    <w:rsid w:val="00FC0957"/>
    <w:rsid w:val="00FC0FE0"/>
    <w:rsid w:val="00FC118B"/>
    <w:rsid w:val="00FC1B2C"/>
    <w:rsid w:val="00FC1CB7"/>
    <w:rsid w:val="00FC1FCE"/>
    <w:rsid w:val="00FC2034"/>
    <w:rsid w:val="00FC247E"/>
    <w:rsid w:val="00FC26AD"/>
    <w:rsid w:val="00FC2DF9"/>
    <w:rsid w:val="00FC317E"/>
    <w:rsid w:val="00FC328B"/>
    <w:rsid w:val="00FC3BF1"/>
    <w:rsid w:val="00FC3FA0"/>
    <w:rsid w:val="00FC4717"/>
    <w:rsid w:val="00FC49E2"/>
    <w:rsid w:val="00FC4B61"/>
    <w:rsid w:val="00FC503A"/>
    <w:rsid w:val="00FC5254"/>
    <w:rsid w:val="00FC56FB"/>
    <w:rsid w:val="00FC58F4"/>
    <w:rsid w:val="00FC5A8E"/>
    <w:rsid w:val="00FC625A"/>
    <w:rsid w:val="00FC62C3"/>
    <w:rsid w:val="00FC6949"/>
    <w:rsid w:val="00FC6D9B"/>
    <w:rsid w:val="00FC72FD"/>
    <w:rsid w:val="00FC7517"/>
    <w:rsid w:val="00FC799F"/>
    <w:rsid w:val="00FC7DDE"/>
    <w:rsid w:val="00FD0020"/>
    <w:rsid w:val="00FD005B"/>
    <w:rsid w:val="00FD04EE"/>
    <w:rsid w:val="00FD0DC4"/>
    <w:rsid w:val="00FD11D9"/>
    <w:rsid w:val="00FD11F8"/>
    <w:rsid w:val="00FD1613"/>
    <w:rsid w:val="00FD1638"/>
    <w:rsid w:val="00FD1ECC"/>
    <w:rsid w:val="00FD1F92"/>
    <w:rsid w:val="00FD2291"/>
    <w:rsid w:val="00FD251B"/>
    <w:rsid w:val="00FD2722"/>
    <w:rsid w:val="00FD272A"/>
    <w:rsid w:val="00FD36F8"/>
    <w:rsid w:val="00FD3A2A"/>
    <w:rsid w:val="00FD3C05"/>
    <w:rsid w:val="00FD4326"/>
    <w:rsid w:val="00FD4BC6"/>
    <w:rsid w:val="00FD5061"/>
    <w:rsid w:val="00FD5135"/>
    <w:rsid w:val="00FD55C5"/>
    <w:rsid w:val="00FD568D"/>
    <w:rsid w:val="00FD59E3"/>
    <w:rsid w:val="00FD5C7D"/>
    <w:rsid w:val="00FD5FF7"/>
    <w:rsid w:val="00FD61CF"/>
    <w:rsid w:val="00FD63C4"/>
    <w:rsid w:val="00FD6A99"/>
    <w:rsid w:val="00FD6AEA"/>
    <w:rsid w:val="00FD6FB2"/>
    <w:rsid w:val="00FD7C2E"/>
    <w:rsid w:val="00FD7D5C"/>
    <w:rsid w:val="00FD7DB4"/>
    <w:rsid w:val="00FD7EB6"/>
    <w:rsid w:val="00FE0963"/>
    <w:rsid w:val="00FE098C"/>
    <w:rsid w:val="00FE0AF5"/>
    <w:rsid w:val="00FE0CB9"/>
    <w:rsid w:val="00FE0D21"/>
    <w:rsid w:val="00FE10A9"/>
    <w:rsid w:val="00FE1199"/>
    <w:rsid w:val="00FE1425"/>
    <w:rsid w:val="00FE14ED"/>
    <w:rsid w:val="00FE162B"/>
    <w:rsid w:val="00FE18D8"/>
    <w:rsid w:val="00FE1E72"/>
    <w:rsid w:val="00FE21C9"/>
    <w:rsid w:val="00FE21E9"/>
    <w:rsid w:val="00FE2966"/>
    <w:rsid w:val="00FE2D16"/>
    <w:rsid w:val="00FE31B2"/>
    <w:rsid w:val="00FE3716"/>
    <w:rsid w:val="00FE37B3"/>
    <w:rsid w:val="00FE3D19"/>
    <w:rsid w:val="00FE3DAA"/>
    <w:rsid w:val="00FE3E0F"/>
    <w:rsid w:val="00FE40EE"/>
    <w:rsid w:val="00FE4192"/>
    <w:rsid w:val="00FE4D74"/>
    <w:rsid w:val="00FE4EBE"/>
    <w:rsid w:val="00FE559F"/>
    <w:rsid w:val="00FE5675"/>
    <w:rsid w:val="00FE5DDE"/>
    <w:rsid w:val="00FE6127"/>
    <w:rsid w:val="00FE6281"/>
    <w:rsid w:val="00FE667E"/>
    <w:rsid w:val="00FE6865"/>
    <w:rsid w:val="00FE6BDE"/>
    <w:rsid w:val="00FE6F3C"/>
    <w:rsid w:val="00FE7473"/>
    <w:rsid w:val="00FE74AB"/>
    <w:rsid w:val="00FE766E"/>
    <w:rsid w:val="00FE771D"/>
    <w:rsid w:val="00FE7783"/>
    <w:rsid w:val="00FE790B"/>
    <w:rsid w:val="00FE7AF1"/>
    <w:rsid w:val="00FF0007"/>
    <w:rsid w:val="00FF03A2"/>
    <w:rsid w:val="00FF0A01"/>
    <w:rsid w:val="00FF0CD1"/>
    <w:rsid w:val="00FF161B"/>
    <w:rsid w:val="00FF1653"/>
    <w:rsid w:val="00FF231D"/>
    <w:rsid w:val="00FF28FE"/>
    <w:rsid w:val="00FF2BC0"/>
    <w:rsid w:val="00FF2F39"/>
    <w:rsid w:val="00FF32A9"/>
    <w:rsid w:val="00FF33A2"/>
    <w:rsid w:val="00FF33A9"/>
    <w:rsid w:val="00FF3582"/>
    <w:rsid w:val="00FF3907"/>
    <w:rsid w:val="00FF3BC9"/>
    <w:rsid w:val="00FF3FAC"/>
    <w:rsid w:val="00FF4016"/>
    <w:rsid w:val="00FF421B"/>
    <w:rsid w:val="00FF4478"/>
    <w:rsid w:val="00FF4F68"/>
    <w:rsid w:val="00FF503C"/>
    <w:rsid w:val="00FF5044"/>
    <w:rsid w:val="00FF52DE"/>
    <w:rsid w:val="00FF55D8"/>
    <w:rsid w:val="00FF565C"/>
    <w:rsid w:val="00FF5A1D"/>
    <w:rsid w:val="00FF5F0C"/>
    <w:rsid w:val="00FF6002"/>
    <w:rsid w:val="00FF601C"/>
    <w:rsid w:val="00FF6341"/>
    <w:rsid w:val="00FF64BE"/>
    <w:rsid w:val="00FF66D1"/>
    <w:rsid w:val="00FF68EF"/>
    <w:rsid w:val="00FF70B5"/>
    <w:rsid w:val="00FF7189"/>
    <w:rsid w:val="00FF7721"/>
    <w:rsid w:val="00FF7E98"/>
    <w:rsid w:val="00FF7F30"/>
    <w:rsid w:val="01086C64"/>
    <w:rsid w:val="01145609"/>
    <w:rsid w:val="011A11A4"/>
    <w:rsid w:val="0127533C"/>
    <w:rsid w:val="012A2737"/>
    <w:rsid w:val="013637D1"/>
    <w:rsid w:val="01405559"/>
    <w:rsid w:val="014B5B44"/>
    <w:rsid w:val="01527EDF"/>
    <w:rsid w:val="016F02F7"/>
    <w:rsid w:val="017F5DEB"/>
    <w:rsid w:val="018207C5"/>
    <w:rsid w:val="0182219D"/>
    <w:rsid w:val="018C5F7F"/>
    <w:rsid w:val="01B666C0"/>
    <w:rsid w:val="01BE4069"/>
    <w:rsid w:val="01BE5800"/>
    <w:rsid w:val="01C0753F"/>
    <w:rsid w:val="01C81F50"/>
    <w:rsid w:val="01D60B10"/>
    <w:rsid w:val="01DB6007"/>
    <w:rsid w:val="01DB7ED5"/>
    <w:rsid w:val="01E46F65"/>
    <w:rsid w:val="01F62F61"/>
    <w:rsid w:val="01FA65AD"/>
    <w:rsid w:val="02105DD0"/>
    <w:rsid w:val="0213141D"/>
    <w:rsid w:val="02151639"/>
    <w:rsid w:val="023449E9"/>
    <w:rsid w:val="023E07D7"/>
    <w:rsid w:val="024E68F9"/>
    <w:rsid w:val="025008C3"/>
    <w:rsid w:val="026C6D7F"/>
    <w:rsid w:val="028B5457"/>
    <w:rsid w:val="02A76009"/>
    <w:rsid w:val="02A91D81"/>
    <w:rsid w:val="02CA2F1D"/>
    <w:rsid w:val="02DE7C7D"/>
    <w:rsid w:val="02E536DD"/>
    <w:rsid w:val="030E7E36"/>
    <w:rsid w:val="032C7819"/>
    <w:rsid w:val="034F46D6"/>
    <w:rsid w:val="03597303"/>
    <w:rsid w:val="035E737B"/>
    <w:rsid w:val="035F4948"/>
    <w:rsid w:val="037D3DF5"/>
    <w:rsid w:val="03A32C74"/>
    <w:rsid w:val="03AC7D7B"/>
    <w:rsid w:val="03C9092D"/>
    <w:rsid w:val="03DE5A5A"/>
    <w:rsid w:val="03E219EE"/>
    <w:rsid w:val="03F06C42"/>
    <w:rsid w:val="03FB485E"/>
    <w:rsid w:val="04036024"/>
    <w:rsid w:val="040E4592"/>
    <w:rsid w:val="04185410"/>
    <w:rsid w:val="041B3357"/>
    <w:rsid w:val="042027F8"/>
    <w:rsid w:val="042518DB"/>
    <w:rsid w:val="044F0706"/>
    <w:rsid w:val="047A1C27"/>
    <w:rsid w:val="04BA64C7"/>
    <w:rsid w:val="04C34346"/>
    <w:rsid w:val="04C410F4"/>
    <w:rsid w:val="04C74740"/>
    <w:rsid w:val="04D05CEB"/>
    <w:rsid w:val="04D53301"/>
    <w:rsid w:val="04E30437"/>
    <w:rsid w:val="051E25B2"/>
    <w:rsid w:val="053E4A03"/>
    <w:rsid w:val="05465FD3"/>
    <w:rsid w:val="054F4E62"/>
    <w:rsid w:val="05504736"/>
    <w:rsid w:val="058368B9"/>
    <w:rsid w:val="05850883"/>
    <w:rsid w:val="05997E8B"/>
    <w:rsid w:val="05D640FE"/>
    <w:rsid w:val="05D67331"/>
    <w:rsid w:val="05F41FAA"/>
    <w:rsid w:val="05F45E3B"/>
    <w:rsid w:val="06314567"/>
    <w:rsid w:val="063B78DC"/>
    <w:rsid w:val="066B5CCB"/>
    <w:rsid w:val="067526A6"/>
    <w:rsid w:val="068E3768"/>
    <w:rsid w:val="06971FEE"/>
    <w:rsid w:val="06B84730"/>
    <w:rsid w:val="06B84C89"/>
    <w:rsid w:val="06C123D8"/>
    <w:rsid w:val="06C929F2"/>
    <w:rsid w:val="06E65352"/>
    <w:rsid w:val="06FB1742"/>
    <w:rsid w:val="06FD269B"/>
    <w:rsid w:val="071719AF"/>
    <w:rsid w:val="073C1416"/>
    <w:rsid w:val="07416A2C"/>
    <w:rsid w:val="07634BF4"/>
    <w:rsid w:val="076E0F6D"/>
    <w:rsid w:val="077F626D"/>
    <w:rsid w:val="07893F2F"/>
    <w:rsid w:val="07AB20F7"/>
    <w:rsid w:val="07D57174"/>
    <w:rsid w:val="07E84F31"/>
    <w:rsid w:val="081E0B1B"/>
    <w:rsid w:val="083772CA"/>
    <w:rsid w:val="0839529D"/>
    <w:rsid w:val="084D31AF"/>
    <w:rsid w:val="086F4C96"/>
    <w:rsid w:val="0885365E"/>
    <w:rsid w:val="088969F0"/>
    <w:rsid w:val="0891753F"/>
    <w:rsid w:val="08BC1208"/>
    <w:rsid w:val="08CA13FE"/>
    <w:rsid w:val="08DD4532"/>
    <w:rsid w:val="08E753B1"/>
    <w:rsid w:val="08F80FFF"/>
    <w:rsid w:val="090D01E9"/>
    <w:rsid w:val="09300B06"/>
    <w:rsid w:val="09353A12"/>
    <w:rsid w:val="09412D13"/>
    <w:rsid w:val="096F2193"/>
    <w:rsid w:val="098E3A7F"/>
    <w:rsid w:val="09974C33"/>
    <w:rsid w:val="099948FD"/>
    <w:rsid w:val="09A3752A"/>
    <w:rsid w:val="09B07E99"/>
    <w:rsid w:val="09B6253B"/>
    <w:rsid w:val="09B82947"/>
    <w:rsid w:val="09C47803"/>
    <w:rsid w:val="09CB6A81"/>
    <w:rsid w:val="09CF47C3"/>
    <w:rsid w:val="09F2400E"/>
    <w:rsid w:val="0A0D7099"/>
    <w:rsid w:val="0A1C52DC"/>
    <w:rsid w:val="0A2763AD"/>
    <w:rsid w:val="0A2F7010"/>
    <w:rsid w:val="0A376D1E"/>
    <w:rsid w:val="0A3E226C"/>
    <w:rsid w:val="0A5F5B47"/>
    <w:rsid w:val="0A742C74"/>
    <w:rsid w:val="0A7C6B84"/>
    <w:rsid w:val="0A7E1D45"/>
    <w:rsid w:val="0A8C5FC6"/>
    <w:rsid w:val="0A8E1F88"/>
    <w:rsid w:val="0A96708F"/>
    <w:rsid w:val="0A99092D"/>
    <w:rsid w:val="0AC736EC"/>
    <w:rsid w:val="0AF3628F"/>
    <w:rsid w:val="0B0C7351"/>
    <w:rsid w:val="0B4D3BF1"/>
    <w:rsid w:val="0B5D7BAD"/>
    <w:rsid w:val="0B5E7FE2"/>
    <w:rsid w:val="0B756CA4"/>
    <w:rsid w:val="0B7D1FFD"/>
    <w:rsid w:val="0B9F3D21"/>
    <w:rsid w:val="0BBC2B25"/>
    <w:rsid w:val="0BC47C2C"/>
    <w:rsid w:val="0BF87EB0"/>
    <w:rsid w:val="0BF958C7"/>
    <w:rsid w:val="0C0D512F"/>
    <w:rsid w:val="0C1464BD"/>
    <w:rsid w:val="0C2561A2"/>
    <w:rsid w:val="0C394176"/>
    <w:rsid w:val="0C3F3332"/>
    <w:rsid w:val="0C5745FC"/>
    <w:rsid w:val="0C5A09A9"/>
    <w:rsid w:val="0C6433BC"/>
    <w:rsid w:val="0C7E7DDA"/>
    <w:rsid w:val="0C8E44C1"/>
    <w:rsid w:val="0CA710DF"/>
    <w:rsid w:val="0CC71781"/>
    <w:rsid w:val="0CD67C16"/>
    <w:rsid w:val="0CDB719E"/>
    <w:rsid w:val="0CF12CA2"/>
    <w:rsid w:val="0CF30129"/>
    <w:rsid w:val="0D366907"/>
    <w:rsid w:val="0D38442D"/>
    <w:rsid w:val="0D4A08AC"/>
    <w:rsid w:val="0D56019D"/>
    <w:rsid w:val="0DA83992"/>
    <w:rsid w:val="0DB735A4"/>
    <w:rsid w:val="0DDC125D"/>
    <w:rsid w:val="0DE325EB"/>
    <w:rsid w:val="0DF77E44"/>
    <w:rsid w:val="0E0358C8"/>
    <w:rsid w:val="0E0812B7"/>
    <w:rsid w:val="0E121122"/>
    <w:rsid w:val="0E407559"/>
    <w:rsid w:val="0E456E02"/>
    <w:rsid w:val="0E4A266A"/>
    <w:rsid w:val="0E547045"/>
    <w:rsid w:val="0E5C239D"/>
    <w:rsid w:val="0E6179B4"/>
    <w:rsid w:val="0E833DCE"/>
    <w:rsid w:val="0EAB6A73"/>
    <w:rsid w:val="0EAC50D3"/>
    <w:rsid w:val="0ED11762"/>
    <w:rsid w:val="0ED463D8"/>
    <w:rsid w:val="0EDE2DB2"/>
    <w:rsid w:val="0F1A576B"/>
    <w:rsid w:val="0F276507"/>
    <w:rsid w:val="0F334EAC"/>
    <w:rsid w:val="0F3D5D2B"/>
    <w:rsid w:val="0F4D0707"/>
    <w:rsid w:val="0F657030"/>
    <w:rsid w:val="0F8676D2"/>
    <w:rsid w:val="0F9D2C6D"/>
    <w:rsid w:val="0FBA2A45"/>
    <w:rsid w:val="0FC14BAE"/>
    <w:rsid w:val="0FC41654"/>
    <w:rsid w:val="0FCE1148"/>
    <w:rsid w:val="0FDE7285"/>
    <w:rsid w:val="0FEE5277"/>
    <w:rsid w:val="10042CED"/>
    <w:rsid w:val="10044A9B"/>
    <w:rsid w:val="100F5919"/>
    <w:rsid w:val="10142F30"/>
    <w:rsid w:val="10345380"/>
    <w:rsid w:val="1042721E"/>
    <w:rsid w:val="104C05B8"/>
    <w:rsid w:val="10545A22"/>
    <w:rsid w:val="1068327B"/>
    <w:rsid w:val="10B262A5"/>
    <w:rsid w:val="112E6273"/>
    <w:rsid w:val="1147532F"/>
    <w:rsid w:val="114C66F9"/>
    <w:rsid w:val="116A4DD1"/>
    <w:rsid w:val="117A0B97"/>
    <w:rsid w:val="11812847"/>
    <w:rsid w:val="11875983"/>
    <w:rsid w:val="118C2ED5"/>
    <w:rsid w:val="11977894"/>
    <w:rsid w:val="11B83D31"/>
    <w:rsid w:val="11D861DF"/>
    <w:rsid w:val="12040D82"/>
    <w:rsid w:val="121C256F"/>
    <w:rsid w:val="122356AC"/>
    <w:rsid w:val="123C65D5"/>
    <w:rsid w:val="124D4697"/>
    <w:rsid w:val="126F5DEF"/>
    <w:rsid w:val="1272218F"/>
    <w:rsid w:val="12795B29"/>
    <w:rsid w:val="12CA5B28"/>
    <w:rsid w:val="12CB18A0"/>
    <w:rsid w:val="12D55F11"/>
    <w:rsid w:val="12D71EE1"/>
    <w:rsid w:val="12E60488"/>
    <w:rsid w:val="12F62B63"/>
    <w:rsid w:val="13031039"/>
    <w:rsid w:val="130561AD"/>
    <w:rsid w:val="13165211"/>
    <w:rsid w:val="131A55F4"/>
    <w:rsid w:val="13280AA0"/>
    <w:rsid w:val="132A2A6A"/>
    <w:rsid w:val="13533D6F"/>
    <w:rsid w:val="1356385F"/>
    <w:rsid w:val="13696837"/>
    <w:rsid w:val="13743CE5"/>
    <w:rsid w:val="137E5804"/>
    <w:rsid w:val="13AA30FE"/>
    <w:rsid w:val="13B31AEC"/>
    <w:rsid w:val="13C44C6D"/>
    <w:rsid w:val="13DA7FEC"/>
    <w:rsid w:val="13F60B9E"/>
    <w:rsid w:val="13FE3FBA"/>
    <w:rsid w:val="140E1568"/>
    <w:rsid w:val="143533EF"/>
    <w:rsid w:val="143C2A55"/>
    <w:rsid w:val="14404369"/>
    <w:rsid w:val="147E4E1C"/>
    <w:rsid w:val="14926B19"/>
    <w:rsid w:val="149A3C1F"/>
    <w:rsid w:val="149E54BE"/>
    <w:rsid w:val="14C111AC"/>
    <w:rsid w:val="14CD18FF"/>
    <w:rsid w:val="14D37DB8"/>
    <w:rsid w:val="14D40EDF"/>
    <w:rsid w:val="14EA425F"/>
    <w:rsid w:val="15316332"/>
    <w:rsid w:val="15325C06"/>
    <w:rsid w:val="154A2F50"/>
    <w:rsid w:val="15516C20"/>
    <w:rsid w:val="156F29B6"/>
    <w:rsid w:val="1594241D"/>
    <w:rsid w:val="15C947BC"/>
    <w:rsid w:val="15CC7E09"/>
    <w:rsid w:val="16092E0B"/>
    <w:rsid w:val="16094541"/>
    <w:rsid w:val="161F43DC"/>
    <w:rsid w:val="16565924"/>
    <w:rsid w:val="16FF7D6A"/>
    <w:rsid w:val="17087AA2"/>
    <w:rsid w:val="171C4DC0"/>
    <w:rsid w:val="17312619"/>
    <w:rsid w:val="17433E6C"/>
    <w:rsid w:val="17536547"/>
    <w:rsid w:val="175D674F"/>
    <w:rsid w:val="175E7186"/>
    <w:rsid w:val="1776002C"/>
    <w:rsid w:val="179055A0"/>
    <w:rsid w:val="179D1A5D"/>
    <w:rsid w:val="17B1375A"/>
    <w:rsid w:val="17B53534"/>
    <w:rsid w:val="17B84AE8"/>
    <w:rsid w:val="17C33BC1"/>
    <w:rsid w:val="17CD2550"/>
    <w:rsid w:val="18027B12"/>
    <w:rsid w:val="18114189"/>
    <w:rsid w:val="18463EA2"/>
    <w:rsid w:val="1876405C"/>
    <w:rsid w:val="18C65B75"/>
    <w:rsid w:val="18EE4ED2"/>
    <w:rsid w:val="18F06F2D"/>
    <w:rsid w:val="19117739"/>
    <w:rsid w:val="191F46F3"/>
    <w:rsid w:val="19212A90"/>
    <w:rsid w:val="19212B8D"/>
    <w:rsid w:val="193006AE"/>
    <w:rsid w:val="19341F4D"/>
    <w:rsid w:val="19393A07"/>
    <w:rsid w:val="19403824"/>
    <w:rsid w:val="19566367"/>
    <w:rsid w:val="196F11D7"/>
    <w:rsid w:val="19706CFD"/>
    <w:rsid w:val="1998195B"/>
    <w:rsid w:val="19AD7F51"/>
    <w:rsid w:val="19AE61A3"/>
    <w:rsid w:val="19B90B8D"/>
    <w:rsid w:val="19E82D37"/>
    <w:rsid w:val="1A037B71"/>
    <w:rsid w:val="1A200723"/>
    <w:rsid w:val="1A350B18"/>
    <w:rsid w:val="1A352420"/>
    <w:rsid w:val="1A564145"/>
    <w:rsid w:val="1A6E76E0"/>
    <w:rsid w:val="1A835216"/>
    <w:rsid w:val="1A9E3747"/>
    <w:rsid w:val="1AA41354"/>
    <w:rsid w:val="1AF71484"/>
    <w:rsid w:val="1AF75928"/>
    <w:rsid w:val="1B0D450D"/>
    <w:rsid w:val="1B527002"/>
    <w:rsid w:val="1B724FAE"/>
    <w:rsid w:val="1B7E3953"/>
    <w:rsid w:val="1BA50D14"/>
    <w:rsid w:val="1BA677E7"/>
    <w:rsid w:val="1BC1139B"/>
    <w:rsid w:val="1C157D87"/>
    <w:rsid w:val="1C252021"/>
    <w:rsid w:val="1C352CA3"/>
    <w:rsid w:val="1C533032"/>
    <w:rsid w:val="1C5D3C4D"/>
    <w:rsid w:val="1C625D30"/>
    <w:rsid w:val="1C7671E3"/>
    <w:rsid w:val="1C777601"/>
    <w:rsid w:val="1C7B6556"/>
    <w:rsid w:val="1C7F5BD5"/>
    <w:rsid w:val="1C8A493E"/>
    <w:rsid w:val="1C8C20A0"/>
    <w:rsid w:val="1CB33AD0"/>
    <w:rsid w:val="1CCB6998"/>
    <w:rsid w:val="1CD6623F"/>
    <w:rsid w:val="1CDC3027"/>
    <w:rsid w:val="1CDF48C5"/>
    <w:rsid w:val="1CF90898"/>
    <w:rsid w:val="1CFA0FE7"/>
    <w:rsid w:val="1D167BBB"/>
    <w:rsid w:val="1D4824C2"/>
    <w:rsid w:val="1D484219"/>
    <w:rsid w:val="1D8B2357"/>
    <w:rsid w:val="1D8C69C4"/>
    <w:rsid w:val="1D986F81"/>
    <w:rsid w:val="1DB418AE"/>
    <w:rsid w:val="1DDC41AB"/>
    <w:rsid w:val="1DE657E0"/>
    <w:rsid w:val="1DF919B7"/>
    <w:rsid w:val="1E002D45"/>
    <w:rsid w:val="1E1C7C6C"/>
    <w:rsid w:val="1E206F43"/>
    <w:rsid w:val="1E4D4ADB"/>
    <w:rsid w:val="1E58492F"/>
    <w:rsid w:val="1E674B72"/>
    <w:rsid w:val="1E786D7F"/>
    <w:rsid w:val="1E786F00"/>
    <w:rsid w:val="1E7C1E81"/>
    <w:rsid w:val="1E8C6387"/>
    <w:rsid w:val="1EA16794"/>
    <w:rsid w:val="1EE26B01"/>
    <w:rsid w:val="1F147CCD"/>
    <w:rsid w:val="1F1F65F5"/>
    <w:rsid w:val="1F227F17"/>
    <w:rsid w:val="1F343C02"/>
    <w:rsid w:val="1F42113B"/>
    <w:rsid w:val="1FAC7E53"/>
    <w:rsid w:val="1FBB1D0E"/>
    <w:rsid w:val="1FD71884"/>
    <w:rsid w:val="200008B3"/>
    <w:rsid w:val="20012DA5"/>
    <w:rsid w:val="201A79C2"/>
    <w:rsid w:val="201B3E66"/>
    <w:rsid w:val="2020322B"/>
    <w:rsid w:val="20210D51"/>
    <w:rsid w:val="20336B1C"/>
    <w:rsid w:val="20452C91"/>
    <w:rsid w:val="20517FE3"/>
    <w:rsid w:val="205904EB"/>
    <w:rsid w:val="20597707"/>
    <w:rsid w:val="206C021E"/>
    <w:rsid w:val="207275CA"/>
    <w:rsid w:val="207D242B"/>
    <w:rsid w:val="20B41BC5"/>
    <w:rsid w:val="20C718F8"/>
    <w:rsid w:val="20CE0ED9"/>
    <w:rsid w:val="20CE2C18"/>
    <w:rsid w:val="20E24984"/>
    <w:rsid w:val="20EC75B1"/>
    <w:rsid w:val="20F12E19"/>
    <w:rsid w:val="20FA3A7C"/>
    <w:rsid w:val="210B3EDB"/>
    <w:rsid w:val="21143FF3"/>
    <w:rsid w:val="21261B0A"/>
    <w:rsid w:val="21470912"/>
    <w:rsid w:val="21577705"/>
    <w:rsid w:val="217C1DAF"/>
    <w:rsid w:val="218220DE"/>
    <w:rsid w:val="21843C8D"/>
    <w:rsid w:val="2192412A"/>
    <w:rsid w:val="219519F6"/>
    <w:rsid w:val="21BC3427"/>
    <w:rsid w:val="21FE096D"/>
    <w:rsid w:val="2208666C"/>
    <w:rsid w:val="2217065D"/>
    <w:rsid w:val="222C76C6"/>
    <w:rsid w:val="22451B26"/>
    <w:rsid w:val="22466CF3"/>
    <w:rsid w:val="2250591D"/>
    <w:rsid w:val="2253067F"/>
    <w:rsid w:val="227635D6"/>
    <w:rsid w:val="22A344E7"/>
    <w:rsid w:val="22C00CF5"/>
    <w:rsid w:val="22C500B9"/>
    <w:rsid w:val="22C9107A"/>
    <w:rsid w:val="22DE3197"/>
    <w:rsid w:val="22E91FFA"/>
    <w:rsid w:val="22F34A05"/>
    <w:rsid w:val="22F62969"/>
    <w:rsid w:val="230E0741"/>
    <w:rsid w:val="232E2103"/>
    <w:rsid w:val="233139A1"/>
    <w:rsid w:val="234436D4"/>
    <w:rsid w:val="235002CB"/>
    <w:rsid w:val="235A6A54"/>
    <w:rsid w:val="236A5949"/>
    <w:rsid w:val="23B459CF"/>
    <w:rsid w:val="23C7422D"/>
    <w:rsid w:val="23ED6BF0"/>
    <w:rsid w:val="23F63E16"/>
    <w:rsid w:val="24042E63"/>
    <w:rsid w:val="24156E1F"/>
    <w:rsid w:val="24174945"/>
    <w:rsid w:val="24390D5F"/>
    <w:rsid w:val="243A32C2"/>
    <w:rsid w:val="243F71F1"/>
    <w:rsid w:val="2446522A"/>
    <w:rsid w:val="24612064"/>
    <w:rsid w:val="24B2466D"/>
    <w:rsid w:val="24C26FA6"/>
    <w:rsid w:val="24EF141E"/>
    <w:rsid w:val="24F84776"/>
    <w:rsid w:val="24FB7DC2"/>
    <w:rsid w:val="25093A3B"/>
    <w:rsid w:val="25236D0D"/>
    <w:rsid w:val="252D39FD"/>
    <w:rsid w:val="252F645D"/>
    <w:rsid w:val="25333A00"/>
    <w:rsid w:val="253634F0"/>
    <w:rsid w:val="255E2F6B"/>
    <w:rsid w:val="256516E0"/>
    <w:rsid w:val="25787665"/>
    <w:rsid w:val="25801376"/>
    <w:rsid w:val="25877C21"/>
    <w:rsid w:val="258858A9"/>
    <w:rsid w:val="25A62424"/>
    <w:rsid w:val="25A92E69"/>
    <w:rsid w:val="25AB17E9"/>
    <w:rsid w:val="25B2690D"/>
    <w:rsid w:val="25B508B9"/>
    <w:rsid w:val="25E21C3F"/>
    <w:rsid w:val="25F64D5E"/>
    <w:rsid w:val="260768A1"/>
    <w:rsid w:val="260B2287"/>
    <w:rsid w:val="262F59FD"/>
    <w:rsid w:val="26757E2C"/>
    <w:rsid w:val="26790701"/>
    <w:rsid w:val="268B161A"/>
    <w:rsid w:val="26A56238"/>
    <w:rsid w:val="26E1386E"/>
    <w:rsid w:val="26E2748C"/>
    <w:rsid w:val="26E377B3"/>
    <w:rsid w:val="26E66850"/>
    <w:rsid w:val="26EA4592"/>
    <w:rsid w:val="26FB22FC"/>
    <w:rsid w:val="27064377"/>
    <w:rsid w:val="27283D88"/>
    <w:rsid w:val="2729330D"/>
    <w:rsid w:val="273508EE"/>
    <w:rsid w:val="27386FDF"/>
    <w:rsid w:val="274041B2"/>
    <w:rsid w:val="27483692"/>
    <w:rsid w:val="275D2FB6"/>
    <w:rsid w:val="2769195B"/>
    <w:rsid w:val="276F6E45"/>
    <w:rsid w:val="277A2E88"/>
    <w:rsid w:val="277F117F"/>
    <w:rsid w:val="278066D7"/>
    <w:rsid w:val="27827B0F"/>
    <w:rsid w:val="27886287"/>
    <w:rsid w:val="278B57CE"/>
    <w:rsid w:val="2792259F"/>
    <w:rsid w:val="27AF30E6"/>
    <w:rsid w:val="27B01338"/>
    <w:rsid w:val="27C70430"/>
    <w:rsid w:val="27EC7E96"/>
    <w:rsid w:val="27F53526"/>
    <w:rsid w:val="27F84A8D"/>
    <w:rsid w:val="27FA5E76"/>
    <w:rsid w:val="282B09BF"/>
    <w:rsid w:val="283C2BCC"/>
    <w:rsid w:val="28510862"/>
    <w:rsid w:val="285C6DCA"/>
    <w:rsid w:val="28642123"/>
    <w:rsid w:val="28690FE5"/>
    <w:rsid w:val="286B34B1"/>
    <w:rsid w:val="28706D19"/>
    <w:rsid w:val="288E2BD2"/>
    <w:rsid w:val="28A013AD"/>
    <w:rsid w:val="28B07116"/>
    <w:rsid w:val="28C36E49"/>
    <w:rsid w:val="28CB3F50"/>
    <w:rsid w:val="28D23530"/>
    <w:rsid w:val="28D42E04"/>
    <w:rsid w:val="28DA5593"/>
    <w:rsid w:val="28DC50AB"/>
    <w:rsid w:val="28E374EB"/>
    <w:rsid w:val="28E55271"/>
    <w:rsid w:val="28E7739E"/>
    <w:rsid w:val="28EF7C3E"/>
    <w:rsid w:val="29114058"/>
    <w:rsid w:val="2923374B"/>
    <w:rsid w:val="292F0982"/>
    <w:rsid w:val="293E0BC6"/>
    <w:rsid w:val="294A57BC"/>
    <w:rsid w:val="2961505D"/>
    <w:rsid w:val="299407E6"/>
    <w:rsid w:val="29A273A6"/>
    <w:rsid w:val="29B36EBE"/>
    <w:rsid w:val="29BD1AEA"/>
    <w:rsid w:val="29BD796F"/>
    <w:rsid w:val="29C25353"/>
    <w:rsid w:val="29C42E79"/>
    <w:rsid w:val="2A135BAE"/>
    <w:rsid w:val="2A4C4A62"/>
    <w:rsid w:val="2A636B36"/>
    <w:rsid w:val="2A6D1762"/>
    <w:rsid w:val="2A9A1E2C"/>
    <w:rsid w:val="2AAC3644"/>
    <w:rsid w:val="2AAD6003"/>
    <w:rsid w:val="2ABE1FBE"/>
    <w:rsid w:val="2ADB4165"/>
    <w:rsid w:val="2AF754D0"/>
    <w:rsid w:val="2B0626A5"/>
    <w:rsid w:val="2B585F6F"/>
    <w:rsid w:val="2B8946FF"/>
    <w:rsid w:val="2BD96984"/>
    <w:rsid w:val="2BDB094E"/>
    <w:rsid w:val="2BF22B27"/>
    <w:rsid w:val="2C0A4741"/>
    <w:rsid w:val="2C12290F"/>
    <w:rsid w:val="2C183950"/>
    <w:rsid w:val="2C1A3224"/>
    <w:rsid w:val="2C212804"/>
    <w:rsid w:val="2C3167C0"/>
    <w:rsid w:val="2C536736"/>
    <w:rsid w:val="2C7768C8"/>
    <w:rsid w:val="2CAD23A4"/>
    <w:rsid w:val="2CC338BC"/>
    <w:rsid w:val="2CEB2E12"/>
    <w:rsid w:val="2CF86E08"/>
    <w:rsid w:val="2CFC6DCE"/>
    <w:rsid w:val="2D0363AE"/>
    <w:rsid w:val="2D0B7011"/>
    <w:rsid w:val="2D502C75"/>
    <w:rsid w:val="2D6706EB"/>
    <w:rsid w:val="2D746964"/>
    <w:rsid w:val="2D9B15EF"/>
    <w:rsid w:val="2DB04E36"/>
    <w:rsid w:val="2DBA5111"/>
    <w:rsid w:val="2DCD42C6"/>
    <w:rsid w:val="2DD85145"/>
    <w:rsid w:val="2E304308"/>
    <w:rsid w:val="2E336D9D"/>
    <w:rsid w:val="2E422F06"/>
    <w:rsid w:val="2E920577"/>
    <w:rsid w:val="2E9530F4"/>
    <w:rsid w:val="2E9D1EEA"/>
    <w:rsid w:val="2EA86D20"/>
    <w:rsid w:val="2EAD4823"/>
    <w:rsid w:val="2EB26D79"/>
    <w:rsid w:val="2EEE0998"/>
    <w:rsid w:val="2EFF6701"/>
    <w:rsid w:val="2F097580"/>
    <w:rsid w:val="2F106B60"/>
    <w:rsid w:val="2F16026E"/>
    <w:rsid w:val="2F2B5748"/>
    <w:rsid w:val="2F48454C"/>
    <w:rsid w:val="2F601896"/>
    <w:rsid w:val="2F7145F4"/>
    <w:rsid w:val="2F834EF1"/>
    <w:rsid w:val="2F854E58"/>
    <w:rsid w:val="2FC11C09"/>
    <w:rsid w:val="2FCF4325"/>
    <w:rsid w:val="2FEC137B"/>
    <w:rsid w:val="3014442E"/>
    <w:rsid w:val="301C1F55"/>
    <w:rsid w:val="30276AE3"/>
    <w:rsid w:val="302C79CA"/>
    <w:rsid w:val="3034687E"/>
    <w:rsid w:val="30580298"/>
    <w:rsid w:val="30646F90"/>
    <w:rsid w:val="30874E94"/>
    <w:rsid w:val="30896BCA"/>
    <w:rsid w:val="308C0468"/>
    <w:rsid w:val="30CB0402"/>
    <w:rsid w:val="30E06F3B"/>
    <w:rsid w:val="30F77FD8"/>
    <w:rsid w:val="310955F2"/>
    <w:rsid w:val="31197E88"/>
    <w:rsid w:val="31464ABB"/>
    <w:rsid w:val="314805C3"/>
    <w:rsid w:val="317433D6"/>
    <w:rsid w:val="317C672F"/>
    <w:rsid w:val="31A55C86"/>
    <w:rsid w:val="31BC40F8"/>
    <w:rsid w:val="31C81974"/>
    <w:rsid w:val="31ED5AA1"/>
    <w:rsid w:val="321E42BD"/>
    <w:rsid w:val="32221084"/>
    <w:rsid w:val="324D2681"/>
    <w:rsid w:val="325356E2"/>
    <w:rsid w:val="32662363"/>
    <w:rsid w:val="327613D0"/>
    <w:rsid w:val="327B2543"/>
    <w:rsid w:val="329F0927"/>
    <w:rsid w:val="32C4034C"/>
    <w:rsid w:val="32D61E6F"/>
    <w:rsid w:val="330864CC"/>
    <w:rsid w:val="33291F9F"/>
    <w:rsid w:val="3353526D"/>
    <w:rsid w:val="33743B62"/>
    <w:rsid w:val="33784CD4"/>
    <w:rsid w:val="3381002D"/>
    <w:rsid w:val="33A81F62"/>
    <w:rsid w:val="33BE6B8B"/>
    <w:rsid w:val="33C63C91"/>
    <w:rsid w:val="341F5DD2"/>
    <w:rsid w:val="34457450"/>
    <w:rsid w:val="344828F8"/>
    <w:rsid w:val="34545741"/>
    <w:rsid w:val="345614B9"/>
    <w:rsid w:val="34627E5E"/>
    <w:rsid w:val="347D6A46"/>
    <w:rsid w:val="348A1163"/>
    <w:rsid w:val="34963664"/>
    <w:rsid w:val="34A22009"/>
    <w:rsid w:val="34BC749F"/>
    <w:rsid w:val="350B5E00"/>
    <w:rsid w:val="350E185E"/>
    <w:rsid w:val="3529097C"/>
    <w:rsid w:val="35373F98"/>
    <w:rsid w:val="353C0E2D"/>
    <w:rsid w:val="35431A3E"/>
    <w:rsid w:val="355D23D3"/>
    <w:rsid w:val="357A11D7"/>
    <w:rsid w:val="35871ED9"/>
    <w:rsid w:val="359A3628"/>
    <w:rsid w:val="35C44201"/>
    <w:rsid w:val="35C67F79"/>
    <w:rsid w:val="360F1920"/>
    <w:rsid w:val="36246068"/>
    <w:rsid w:val="362F1FC2"/>
    <w:rsid w:val="363B7932"/>
    <w:rsid w:val="36415851"/>
    <w:rsid w:val="364C4922"/>
    <w:rsid w:val="36851BE2"/>
    <w:rsid w:val="369342FF"/>
    <w:rsid w:val="36957FE6"/>
    <w:rsid w:val="36AD2EE7"/>
    <w:rsid w:val="36D15C2A"/>
    <w:rsid w:val="36FA4BBC"/>
    <w:rsid w:val="37100F5A"/>
    <w:rsid w:val="371D61FE"/>
    <w:rsid w:val="372C2CC7"/>
    <w:rsid w:val="374970B3"/>
    <w:rsid w:val="374B5AC3"/>
    <w:rsid w:val="374E6478"/>
    <w:rsid w:val="37B63C1C"/>
    <w:rsid w:val="37EB3CC7"/>
    <w:rsid w:val="380D00E1"/>
    <w:rsid w:val="38175E53"/>
    <w:rsid w:val="38187E4F"/>
    <w:rsid w:val="381F3845"/>
    <w:rsid w:val="3820445B"/>
    <w:rsid w:val="38210467"/>
    <w:rsid w:val="382A0C93"/>
    <w:rsid w:val="38401B73"/>
    <w:rsid w:val="384B1D2A"/>
    <w:rsid w:val="384D672F"/>
    <w:rsid w:val="385C4BC4"/>
    <w:rsid w:val="385C6972"/>
    <w:rsid w:val="38736649"/>
    <w:rsid w:val="38912AC0"/>
    <w:rsid w:val="38F24247"/>
    <w:rsid w:val="38FA68B7"/>
    <w:rsid w:val="391D3E4B"/>
    <w:rsid w:val="39333B77"/>
    <w:rsid w:val="39780BBB"/>
    <w:rsid w:val="398048E2"/>
    <w:rsid w:val="398268AC"/>
    <w:rsid w:val="3984547D"/>
    <w:rsid w:val="399267A7"/>
    <w:rsid w:val="39B0341A"/>
    <w:rsid w:val="39CE38A0"/>
    <w:rsid w:val="39D617F2"/>
    <w:rsid w:val="39D72754"/>
    <w:rsid w:val="39DA2245"/>
    <w:rsid w:val="39DF3CFF"/>
    <w:rsid w:val="39EF3F42"/>
    <w:rsid w:val="3A0177D1"/>
    <w:rsid w:val="3A192D6D"/>
    <w:rsid w:val="3A1A6AE5"/>
    <w:rsid w:val="3A1F5EA9"/>
    <w:rsid w:val="3A245508"/>
    <w:rsid w:val="3A3C6A5B"/>
    <w:rsid w:val="3A407CD2"/>
    <w:rsid w:val="3A540249"/>
    <w:rsid w:val="3A86417A"/>
    <w:rsid w:val="3A8D2BD6"/>
    <w:rsid w:val="3A9974DB"/>
    <w:rsid w:val="3A9A7CA6"/>
    <w:rsid w:val="3AC151B3"/>
    <w:rsid w:val="3AF77A09"/>
    <w:rsid w:val="3B0F1DF7"/>
    <w:rsid w:val="3B4E6F37"/>
    <w:rsid w:val="3B5A363D"/>
    <w:rsid w:val="3B731AB5"/>
    <w:rsid w:val="3B833738"/>
    <w:rsid w:val="3B874762"/>
    <w:rsid w:val="3B9D352A"/>
    <w:rsid w:val="3BC136BC"/>
    <w:rsid w:val="3BC767F9"/>
    <w:rsid w:val="3BDB3C47"/>
    <w:rsid w:val="3BEE647B"/>
    <w:rsid w:val="3BF13876"/>
    <w:rsid w:val="3C0E4427"/>
    <w:rsid w:val="3C2527C5"/>
    <w:rsid w:val="3C5C711F"/>
    <w:rsid w:val="3C795D45"/>
    <w:rsid w:val="3C814BF9"/>
    <w:rsid w:val="3C84642E"/>
    <w:rsid w:val="3C9B3F0D"/>
    <w:rsid w:val="3CD967E3"/>
    <w:rsid w:val="3D3D6D72"/>
    <w:rsid w:val="3D6F75C9"/>
    <w:rsid w:val="3D7603FA"/>
    <w:rsid w:val="3D8F3346"/>
    <w:rsid w:val="3D90279B"/>
    <w:rsid w:val="3D9372DA"/>
    <w:rsid w:val="3DB66B25"/>
    <w:rsid w:val="3DC92CFC"/>
    <w:rsid w:val="3DCE0312"/>
    <w:rsid w:val="3DE11DF4"/>
    <w:rsid w:val="3DE90F01"/>
    <w:rsid w:val="3E067AAC"/>
    <w:rsid w:val="3E0C379A"/>
    <w:rsid w:val="3E266E35"/>
    <w:rsid w:val="3E291EE8"/>
    <w:rsid w:val="3E2E0DB1"/>
    <w:rsid w:val="3E2E2B5F"/>
    <w:rsid w:val="3E353EED"/>
    <w:rsid w:val="3E3C34CE"/>
    <w:rsid w:val="3E7419A8"/>
    <w:rsid w:val="3E8F7AA2"/>
    <w:rsid w:val="3ED90D1D"/>
    <w:rsid w:val="3EE02EE4"/>
    <w:rsid w:val="3F23643C"/>
    <w:rsid w:val="3F2B150A"/>
    <w:rsid w:val="3F4829A1"/>
    <w:rsid w:val="3F6031EC"/>
    <w:rsid w:val="3F6A5E19"/>
    <w:rsid w:val="3F6F1681"/>
    <w:rsid w:val="3F7F04D5"/>
    <w:rsid w:val="3FC574F3"/>
    <w:rsid w:val="400022D9"/>
    <w:rsid w:val="40512B35"/>
    <w:rsid w:val="40526FD9"/>
    <w:rsid w:val="40703903"/>
    <w:rsid w:val="407F30CB"/>
    <w:rsid w:val="40916FFB"/>
    <w:rsid w:val="40A005F0"/>
    <w:rsid w:val="40BE641C"/>
    <w:rsid w:val="40E02535"/>
    <w:rsid w:val="40E816EB"/>
    <w:rsid w:val="40F938F8"/>
    <w:rsid w:val="41210759"/>
    <w:rsid w:val="41390199"/>
    <w:rsid w:val="41547E9B"/>
    <w:rsid w:val="41586871"/>
    <w:rsid w:val="415E375B"/>
    <w:rsid w:val="41601281"/>
    <w:rsid w:val="417D76A0"/>
    <w:rsid w:val="417E1386"/>
    <w:rsid w:val="41D103D1"/>
    <w:rsid w:val="41E40104"/>
    <w:rsid w:val="41F22E8D"/>
    <w:rsid w:val="42254279"/>
    <w:rsid w:val="422B6BF4"/>
    <w:rsid w:val="42324A15"/>
    <w:rsid w:val="42347713"/>
    <w:rsid w:val="423B584A"/>
    <w:rsid w:val="42426BD9"/>
    <w:rsid w:val="424D3EFC"/>
    <w:rsid w:val="425D3A13"/>
    <w:rsid w:val="42C83582"/>
    <w:rsid w:val="42D068DB"/>
    <w:rsid w:val="42DA1507"/>
    <w:rsid w:val="42E859D2"/>
    <w:rsid w:val="42FA74B4"/>
    <w:rsid w:val="42FE6FA4"/>
    <w:rsid w:val="4315253F"/>
    <w:rsid w:val="43201866"/>
    <w:rsid w:val="433230F1"/>
    <w:rsid w:val="433E0203"/>
    <w:rsid w:val="434A043B"/>
    <w:rsid w:val="43560B8E"/>
    <w:rsid w:val="435636B8"/>
    <w:rsid w:val="43664B49"/>
    <w:rsid w:val="43754D8C"/>
    <w:rsid w:val="43963680"/>
    <w:rsid w:val="43993170"/>
    <w:rsid w:val="43B00A8F"/>
    <w:rsid w:val="43BB6C43"/>
    <w:rsid w:val="440C749E"/>
    <w:rsid w:val="44136A7F"/>
    <w:rsid w:val="441F5424"/>
    <w:rsid w:val="44444E8A"/>
    <w:rsid w:val="444B4E82"/>
    <w:rsid w:val="44507CD3"/>
    <w:rsid w:val="44896D41"/>
    <w:rsid w:val="448E4357"/>
    <w:rsid w:val="44911354"/>
    <w:rsid w:val="4496320C"/>
    <w:rsid w:val="449A3AF2"/>
    <w:rsid w:val="44DC072C"/>
    <w:rsid w:val="452545FE"/>
    <w:rsid w:val="45350C77"/>
    <w:rsid w:val="453734C5"/>
    <w:rsid w:val="453E7B2C"/>
    <w:rsid w:val="454113CA"/>
    <w:rsid w:val="4545710C"/>
    <w:rsid w:val="454964D0"/>
    <w:rsid w:val="454B391C"/>
    <w:rsid w:val="45511B47"/>
    <w:rsid w:val="45561319"/>
    <w:rsid w:val="4557299B"/>
    <w:rsid w:val="455B692F"/>
    <w:rsid w:val="4568104C"/>
    <w:rsid w:val="45684BA8"/>
    <w:rsid w:val="459557D9"/>
    <w:rsid w:val="459B6D2C"/>
    <w:rsid w:val="45A15DDB"/>
    <w:rsid w:val="45A231BD"/>
    <w:rsid w:val="45A3513D"/>
    <w:rsid w:val="45B22926"/>
    <w:rsid w:val="45C538A4"/>
    <w:rsid w:val="45FB77CB"/>
    <w:rsid w:val="46206083"/>
    <w:rsid w:val="4681712C"/>
    <w:rsid w:val="468A6DA0"/>
    <w:rsid w:val="468B6718"/>
    <w:rsid w:val="46914DF1"/>
    <w:rsid w:val="46957C1F"/>
    <w:rsid w:val="46AC5600"/>
    <w:rsid w:val="46B900FD"/>
    <w:rsid w:val="46DB395C"/>
    <w:rsid w:val="470923BB"/>
    <w:rsid w:val="47215957"/>
    <w:rsid w:val="47392CA0"/>
    <w:rsid w:val="473B23EB"/>
    <w:rsid w:val="474E7DCE"/>
    <w:rsid w:val="476250CF"/>
    <w:rsid w:val="476F764D"/>
    <w:rsid w:val="47751B21"/>
    <w:rsid w:val="477743F2"/>
    <w:rsid w:val="47835CCA"/>
    <w:rsid w:val="47887784"/>
    <w:rsid w:val="47AA594C"/>
    <w:rsid w:val="47B32EAB"/>
    <w:rsid w:val="47BE6D02"/>
    <w:rsid w:val="47C40E8C"/>
    <w:rsid w:val="47F646ED"/>
    <w:rsid w:val="47F941DE"/>
    <w:rsid w:val="48036E0A"/>
    <w:rsid w:val="480A1F47"/>
    <w:rsid w:val="48390A7E"/>
    <w:rsid w:val="483D47E8"/>
    <w:rsid w:val="48651873"/>
    <w:rsid w:val="487B29C9"/>
    <w:rsid w:val="488066AD"/>
    <w:rsid w:val="48B1218F"/>
    <w:rsid w:val="48B14AB0"/>
    <w:rsid w:val="48BB286C"/>
    <w:rsid w:val="48CE566A"/>
    <w:rsid w:val="48D6123C"/>
    <w:rsid w:val="48D662CD"/>
    <w:rsid w:val="48DB38E3"/>
    <w:rsid w:val="48EB1D78"/>
    <w:rsid w:val="49080389"/>
    <w:rsid w:val="49150F51"/>
    <w:rsid w:val="492D715F"/>
    <w:rsid w:val="493059DD"/>
    <w:rsid w:val="49331971"/>
    <w:rsid w:val="49351245"/>
    <w:rsid w:val="493F3AE6"/>
    <w:rsid w:val="49480BD4"/>
    <w:rsid w:val="496E11C3"/>
    <w:rsid w:val="497A75A0"/>
    <w:rsid w:val="497B2EC3"/>
    <w:rsid w:val="498B5309"/>
    <w:rsid w:val="499F04DF"/>
    <w:rsid w:val="49B34890"/>
    <w:rsid w:val="49CB3BFF"/>
    <w:rsid w:val="4A0F1A96"/>
    <w:rsid w:val="4A227A1C"/>
    <w:rsid w:val="4A49144C"/>
    <w:rsid w:val="4A5D0A54"/>
    <w:rsid w:val="4A6A3171"/>
    <w:rsid w:val="4A8E17AE"/>
    <w:rsid w:val="4AA4619B"/>
    <w:rsid w:val="4AAA7A11"/>
    <w:rsid w:val="4AAE7A16"/>
    <w:rsid w:val="4AC62161"/>
    <w:rsid w:val="4ADA6548"/>
    <w:rsid w:val="4B0A79EF"/>
    <w:rsid w:val="4B133808"/>
    <w:rsid w:val="4B284D77"/>
    <w:rsid w:val="4B4734B2"/>
    <w:rsid w:val="4B4D612E"/>
    <w:rsid w:val="4B58746D"/>
    <w:rsid w:val="4B6D03D0"/>
    <w:rsid w:val="4B774FCB"/>
    <w:rsid w:val="4B7E5126"/>
    <w:rsid w:val="4B7F0E9E"/>
    <w:rsid w:val="4BA32DDE"/>
    <w:rsid w:val="4BBA1ED6"/>
    <w:rsid w:val="4BEC1507"/>
    <w:rsid w:val="4C206E66"/>
    <w:rsid w:val="4C287DAC"/>
    <w:rsid w:val="4C290139"/>
    <w:rsid w:val="4C2C4B82"/>
    <w:rsid w:val="4C5639AD"/>
    <w:rsid w:val="4C63256E"/>
    <w:rsid w:val="4C7B78B7"/>
    <w:rsid w:val="4C7E4CB1"/>
    <w:rsid w:val="4C883D82"/>
    <w:rsid w:val="4C975D73"/>
    <w:rsid w:val="4CA94424"/>
    <w:rsid w:val="4CAF57B3"/>
    <w:rsid w:val="4CD363C9"/>
    <w:rsid w:val="4CEF5BAF"/>
    <w:rsid w:val="4CF42B62"/>
    <w:rsid w:val="4CFE5DF2"/>
    <w:rsid w:val="4D3637DE"/>
    <w:rsid w:val="4D7F6702"/>
    <w:rsid w:val="4D826A23"/>
    <w:rsid w:val="4D8409ED"/>
    <w:rsid w:val="4D8B3B2A"/>
    <w:rsid w:val="4DB50BA7"/>
    <w:rsid w:val="4DC46900"/>
    <w:rsid w:val="4DCD4142"/>
    <w:rsid w:val="4DD27ACF"/>
    <w:rsid w:val="4DE60D60"/>
    <w:rsid w:val="4E037B64"/>
    <w:rsid w:val="4E143B1F"/>
    <w:rsid w:val="4E1A7ECD"/>
    <w:rsid w:val="4E217FEA"/>
    <w:rsid w:val="4E9F5502"/>
    <w:rsid w:val="4EB250E6"/>
    <w:rsid w:val="4ECE3A54"/>
    <w:rsid w:val="4F123950"/>
    <w:rsid w:val="4F134C73"/>
    <w:rsid w:val="4F240FED"/>
    <w:rsid w:val="4F610FE6"/>
    <w:rsid w:val="4F9C7D11"/>
    <w:rsid w:val="4FA01DB0"/>
    <w:rsid w:val="4FAB400F"/>
    <w:rsid w:val="4FC652ED"/>
    <w:rsid w:val="4FD320A7"/>
    <w:rsid w:val="4FD33566"/>
    <w:rsid w:val="4FF51BF7"/>
    <w:rsid w:val="50363EAE"/>
    <w:rsid w:val="505428F9"/>
    <w:rsid w:val="50616DC4"/>
    <w:rsid w:val="50744D49"/>
    <w:rsid w:val="507519D9"/>
    <w:rsid w:val="50B82E88"/>
    <w:rsid w:val="50C01D3C"/>
    <w:rsid w:val="50C335DB"/>
    <w:rsid w:val="50C57353"/>
    <w:rsid w:val="50EC442B"/>
    <w:rsid w:val="510936E3"/>
    <w:rsid w:val="51524269"/>
    <w:rsid w:val="515D57DD"/>
    <w:rsid w:val="51644DBE"/>
    <w:rsid w:val="51713037"/>
    <w:rsid w:val="517C422B"/>
    <w:rsid w:val="51824CF6"/>
    <w:rsid w:val="518A5EA7"/>
    <w:rsid w:val="51A61359"/>
    <w:rsid w:val="51BD002A"/>
    <w:rsid w:val="51BD44CE"/>
    <w:rsid w:val="51FF0643"/>
    <w:rsid w:val="520420FD"/>
    <w:rsid w:val="52127D7D"/>
    <w:rsid w:val="522400A9"/>
    <w:rsid w:val="52412A63"/>
    <w:rsid w:val="52426781"/>
    <w:rsid w:val="52483D98"/>
    <w:rsid w:val="525672F6"/>
    <w:rsid w:val="52650DED"/>
    <w:rsid w:val="526606C2"/>
    <w:rsid w:val="52A15B9E"/>
    <w:rsid w:val="52E57838"/>
    <w:rsid w:val="52F7756C"/>
    <w:rsid w:val="5322283B"/>
    <w:rsid w:val="53310CD0"/>
    <w:rsid w:val="534179D1"/>
    <w:rsid w:val="534741B0"/>
    <w:rsid w:val="536A5F90"/>
    <w:rsid w:val="53740BBC"/>
    <w:rsid w:val="53763D4D"/>
    <w:rsid w:val="53894668"/>
    <w:rsid w:val="53990C1F"/>
    <w:rsid w:val="53F341D7"/>
    <w:rsid w:val="540C7047"/>
    <w:rsid w:val="54120B01"/>
    <w:rsid w:val="54135280"/>
    <w:rsid w:val="542555C7"/>
    <w:rsid w:val="54280325"/>
    <w:rsid w:val="544F7A0D"/>
    <w:rsid w:val="545F79DE"/>
    <w:rsid w:val="54646E83"/>
    <w:rsid w:val="5474356A"/>
    <w:rsid w:val="547B176D"/>
    <w:rsid w:val="54E87AB4"/>
    <w:rsid w:val="54F77CF7"/>
    <w:rsid w:val="54FB77E7"/>
    <w:rsid w:val="550B72FE"/>
    <w:rsid w:val="55164621"/>
    <w:rsid w:val="5526139C"/>
    <w:rsid w:val="552B2D26"/>
    <w:rsid w:val="55452810"/>
    <w:rsid w:val="554E1470"/>
    <w:rsid w:val="557B0928"/>
    <w:rsid w:val="55983288"/>
    <w:rsid w:val="55986D51"/>
    <w:rsid w:val="559B4B26"/>
    <w:rsid w:val="55A150C3"/>
    <w:rsid w:val="55D42624"/>
    <w:rsid w:val="55F10BEA"/>
    <w:rsid w:val="55F12998"/>
    <w:rsid w:val="55F93BD0"/>
    <w:rsid w:val="55FE2A25"/>
    <w:rsid w:val="560F48D2"/>
    <w:rsid w:val="56133CA0"/>
    <w:rsid w:val="56494582"/>
    <w:rsid w:val="56530F5D"/>
    <w:rsid w:val="56737851"/>
    <w:rsid w:val="56772E9D"/>
    <w:rsid w:val="56C67981"/>
    <w:rsid w:val="56CD6F61"/>
    <w:rsid w:val="56DC71A4"/>
    <w:rsid w:val="56DD4ABD"/>
    <w:rsid w:val="5703231E"/>
    <w:rsid w:val="57116442"/>
    <w:rsid w:val="571B7CCD"/>
    <w:rsid w:val="57422315"/>
    <w:rsid w:val="57552E22"/>
    <w:rsid w:val="57684EDC"/>
    <w:rsid w:val="576D604E"/>
    <w:rsid w:val="57882E88"/>
    <w:rsid w:val="578D3493"/>
    <w:rsid w:val="57AC6B77"/>
    <w:rsid w:val="57C40364"/>
    <w:rsid w:val="57E417E0"/>
    <w:rsid w:val="580B5F93"/>
    <w:rsid w:val="58313520"/>
    <w:rsid w:val="583D3C73"/>
    <w:rsid w:val="5842572D"/>
    <w:rsid w:val="585D60C3"/>
    <w:rsid w:val="586A7A45"/>
    <w:rsid w:val="58914C8B"/>
    <w:rsid w:val="58A3441E"/>
    <w:rsid w:val="58A36892"/>
    <w:rsid w:val="58AD0DF8"/>
    <w:rsid w:val="58B24661"/>
    <w:rsid w:val="58CE16A4"/>
    <w:rsid w:val="58E3423E"/>
    <w:rsid w:val="58F23ED5"/>
    <w:rsid w:val="594C6863"/>
    <w:rsid w:val="5956205C"/>
    <w:rsid w:val="59592D2E"/>
    <w:rsid w:val="597B2CA5"/>
    <w:rsid w:val="597F4626"/>
    <w:rsid w:val="599E6CB8"/>
    <w:rsid w:val="59A165A1"/>
    <w:rsid w:val="59AA5338"/>
    <w:rsid w:val="59DB52F3"/>
    <w:rsid w:val="59E031E2"/>
    <w:rsid w:val="5A0E3B19"/>
    <w:rsid w:val="5A1D3D5C"/>
    <w:rsid w:val="5A317807"/>
    <w:rsid w:val="5A33357F"/>
    <w:rsid w:val="5A5B5FB9"/>
    <w:rsid w:val="5A5C0D28"/>
    <w:rsid w:val="5A5D75A1"/>
    <w:rsid w:val="5A725BE8"/>
    <w:rsid w:val="5AA974E8"/>
    <w:rsid w:val="5AC46DD5"/>
    <w:rsid w:val="5AC661A1"/>
    <w:rsid w:val="5ACB7C5C"/>
    <w:rsid w:val="5AD0387F"/>
    <w:rsid w:val="5AEA6FF0"/>
    <w:rsid w:val="5AF820D3"/>
    <w:rsid w:val="5AFC6067"/>
    <w:rsid w:val="5AFF3461"/>
    <w:rsid w:val="5B130E01"/>
    <w:rsid w:val="5B2E56C1"/>
    <w:rsid w:val="5B591DBE"/>
    <w:rsid w:val="5B694D7F"/>
    <w:rsid w:val="5B8340E7"/>
    <w:rsid w:val="5B8D0599"/>
    <w:rsid w:val="5B920779"/>
    <w:rsid w:val="5B937814"/>
    <w:rsid w:val="5B940305"/>
    <w:rsid w:val="5BA33419"/>
    <w:rsid w:val="5BA627EA"/>
    <w:rsid w:val="5BAA125C"/>
    <w:rsid w:val="5BC477D2"/>
    <w:rsid w:val="5BF07808"/>
    <w:rsid w:val="5BF84A80"/>
    <w:rsid w:val="5C254E10"/>
    <w:rsid w:val="5C295A43"/>
    <w:rsid w:val="5C6E79F1"/>
    <w:rsid w:val="5C8657B1"/>
    <w:rsid w:val="5CA73484"/>
    <w:rsid w:val="5CB66DDB"/>
    <w:rsid w:val="5CC61D78"/>
    <w:rsid w:val="5CD8040E"/>
    <w:rsid w:val="5CE5499C"/>
    <w:rsid w:val="5CE60D7D"/>
    <w:rsid w:val="5D310D37"/>
    <w:rsid w:val="5D46181B"/>
    <w:rsid w:val="5D5850AB"/>
    <w:rsid w:val="5D5932FD"/>
    <w:rsid w:val="5D77243C"/>
    <w:rsid w:val="5D8F6D1E"/>
    <w:rsid w:val="5D916D7B"/>
    <w:rsid w:val="5DAB5B22"/>
    <w:rsid w:val="5DB26EB1"/>
    <w:rsid w:val="5DD60CDA"/>
    <w:rsid w:val="5E006AC4"/>
    <w:rsid w:val="5E2F13E4"/>
    <w:rsid w:val="5E8E6FD6"/>
    <w:rsid w:val="5E9465B6"/>
    <w:rsid w:val="5EB32EE1"/>
    <w:rsid w:val="5EC21376"/>
    <w:rsid w:val="5EC546B7"/>
    <w:rsid w:val="5ED03A93"/>
    <w:rsid w:val="5EE01513"/>
    <w:rsid w:val="5F1A2F60"/>
    <w:rsid w:val="5F4955F3"/>
    <w:rsid w:val="5F515511"/>
    <w:rsid w:val="5F593A88"/>
    <w:rsid w:val="5F5B1A97"/>
    <w:rsid w:val="5F661D01"/>
    <w:rsid w:val="5F6E6E08"/>
    <w:rsid w:val="5F7E615B"/>
    <w:rsid w:val="5F881C77"/>
    <w:rsid w:val="5FA9036D"/>
    <w:rsid w:val="5FB20CF3"/>
    <w:rsid w:val="5FB24F46"/>
    <w:rsid w:val="5FC058B5"/>
    <w:rsid w:val="5FE20A6A"/>
    <w:rsid w:val="5FE80DF1"/>
    <w:rsid w:val="5FED079B"/>
    <w:rsid w:val="5FF90DC7"/>
    <w:rsid w:val="602B08B8"/>
    <w:rsid w:val="60367925"/>
    <w:rsid w:val="60394F33"/>
    <w:rsid w:val="604A15B9"/>
    <w:rsid w:val="606F1089"/>
    <w:rsid w:val="607A028C"/>
    <w:rsid w:val="607E5A53"/>
    <w:rsid w:val="60A26D69"/>
    <w:rsid w:val="60A9459B"/>
    <w:rsid w:val="60B13450"/>
    <w:rsid w:val="60B62814"/>
    <w:rsid w:val="60C767CF"/>
    <w:rsid w:val="60D22077"/>
    <w:rsid w:val="60E455D3"/>
    <w:rsid w:val="60E70C20"/>
    <w:rsid w:val="60E9572D"/>
    <w:rsid w:val="612E72BF"/>
    <w:rsid w:val="613320B7"/>
    <w:rsid w:val="613D1187"/>
    <w:rsid w:val="614D13CA"/>
    <w:rsid w:val="618172C6"/>
    <w:rsid w:val="618B1EF3"/>
    <w:rsid w:val="61904268"/>
    <w:rsid w:val="61922827"/>
    <w:rsid w:val="61946FF9"/>
    <w:rsid w:val="61985AAE"/>
    <w:rsid w:val="619B21A0"/>
    <w:rsid w:val="61A13A37"/>
    <w:rsid w:val="61A24375"/>
    <w:rsid w:val="61AD486F"/>
    <w:rsid w:val="61C95215"/>
    <w:rsid w:val="61CF4043"/>
    <w:rsid w:val="61E67129"/>
    <w:rsid w:val="61F061FA"/>
    <w:rsid w:val="620863D2"/>
    <w:rsid w:val="62197E84"/>
    <w:rsid w:val="62210161"/>
    <w:rsid w:val="62516C98"/>
    <w:rsid w:val="626058BD"/>
    <w:rsid w:val="62B114E5"/>
    <w:rsid w:val="62D70238"/>
    <w:rsid w:val="62E541D8"/>
    <w:rsid w:val="62FF4946"/>
    <w:rsid w:val="630014F2"/>
    <w:rsid w:val="63323DA4"/>
    <w:rsid w:val="634E5810"/>
    <w:rsid w:val="63554566"/>
    <w:rsid w:val="635B164D"/>
    <w:rsid w:val="636310DD"/>
    <w:rsid w:val="637270EC"/>
    <w:rsid w:val="638061F7"/>
    <w:rsid w:val="6384309D"/>
    <w:rsid w:val="638906B4"/>
    <w:rsid w:val="63972DD1"/>
    <w:rsid w:val="639C03E7"/>
    <w:rsid w:val="63A81226"/>
    <w:rsid w:val="63B079EF"/>
    <w:rsid w:val="63F1617A"/>
    <w:rsid w:val="640B10C9"/>
    <w:rsid w:val="64162ACB"/>
    <w:rsid w:val="642F4DB7"/>
    <w:rsid w:val="64504D2E"/>
    <w:rsid w:val="649E018F"/>
    <w:rsid w:val="64A91920"/>
    <w:rsid w:val="64BE613B"/>
    <w:rsid w:val="64CC2606"/>
    <w:rsid w:val="6502427A"/>
    <w:rsid w:val="650A079C"/>
    <w:rsid w:val="65366619"/>
    <w:rsid w:val="657809E0"/>
    <w:rsid w:val="65A672FB"/>
    <w:rsid w:val="65B03CD6"/>
    <w:rsid w:val="65C161A6"/>
    <w:rsid w:val="65DD6A95"/>
    <w:rsid w:val="65E5355A"/>
    <w:rsid w:val="66083B12"/>
    <w:rsid w:val="663F32AC"/>
    <w:rsid w:val="665925BF"/>
    <w:rsid w:val="665E3005"/>
    <w:rsid w:val="667C1E0A"/>
    <w:rsid w:val="66B23A7E"/>
    <w:rsid w:val="66BA6EC8"/>
    <w:rsid w:val="66F81DD8"/>
    <w:rsid w:val="66F83B86"/>
    <w:rsid w:val="66FD119D"/>
    <w:rsid w:val="670342D9"/>
    <w:rsid w:val="67050051"/>
    <w:rsid w:val="670A5668"/>
    <w:rsid w:val="672F3320"/>
    <w:rsid w:val="673C65F0"/>
    <w:rsid w:val="67472418"/>
    <w:rsid w:val="674A3D4F"/>
    <w:rsid w:val="67582877"/>
    <w:rsid w:val="675A65EF"/>
    <w:rsid w:val="67717495"/>
    <w:rsid w:val="6780215A"/>
    <w:rsid w:val="679006E0"/>
    <w:rsid w:val="67955879"/>
    <w:rsid w:val="67A41618"/>
    <w:rsid w:val="67B35CFF"/>
    <w:rsid w:val="67DF08A2"/>
    <w:rsid w:val="67E60D91"/>
    <w:rsid w:val="67EF7B8E"/>
    <w:rsid w:val="68121A65"/>
    <w:rsid w:val="685017A0"/>
    <w:rsid w:val="686231A1"/>
    <w:rsid w:val="6864772D"/>
    <w:rsid w:val="6865617D"/>
    <w:rsid w:val="68896A60"/>
    <w:rsid w:val="688D47A2"/>
    <w:rsid w:val="689D149E"/>
    <w:rsid w:val="68BC6A3B"/>
    <w:rsid w:val="68D45F2D"/>
    <w:rsid w:val="68D93544"/>
    <w:rsid w:val="68F44821"/>
    <w:rsid w:val="690600B1"/>
    <w:rsid w:val="691E364C"/>
    <w:rsid w:val="69290CE5"/>
    <w:rsid w:val="692C3FBB"/>
    <w:rsid w:val="69781B4C"/>
    <w:rsid w:val="69C45FA2"/>
    <w:rsid w:val="69F745C9"/>
    <w:rsid w:val="69FF347E"/>
    <w:rsid w:val="6A121AD7"/>
    <w:rsid w:val="6A310A46"/>
    <w:rsid w:val="6A3C248C"/>
    <w:rsid w:val="6A413A96"/>
    <w:rsid w:val="6A4610AD"/>
    <w:rsid w:val="6A582B8E"/>
    <w:rsid w:val="6A745C1A"/>
    <w:rsid w:val="6A7A48B2"/>
    <w:rsid w:val="6A9736B6"/>
    <w:rsid w:val="6A9C2A7B"/>
    <w:rsid w:val="6AAB0F10"/>
    <w:rsid w:val="6ABA024E"/>
    <w:rsid w:val="6AD23B35"/>
    <w:rsid w:val="6AE10DD5"/>
    <w:rsid w:val="6AEC1C54"/>
    <w:rsid w:val="6B17540A"/>
    <w:rsid w:val="6B4355EC"/>
    <w:rsid w:val="6B8F438D"/>
    <w:rsid w:val="6BA50055"/>
    <w:rsid w:val="6C1F1BB5"/>
    <w:rsid w:val="6C3226C6"/>
    <w:rsid w:val="6C360CAD"/>
    <w:rsid w:val="6C423AF6"/>
    <w:rsid w:val="6C545FF5"/>
    <w:rsid w:val="6C591BE2"/>
    <w:rsid w:val="6C661592"/>
    <w:rsid w:val="6C97063E"/>
    <w:rsid w:val="6C9A748E"/>
    <w:rsid w:val="6C9F6852"/>
    <w:rsid w:val="6CB87914"/>
    <w:rsid w:val="6CC85DA9"/>
    <w:rsid w:val="6CF03552"/>
    <w:rsid w:val="6CF90658"/>
    <w:rsid w:val="6CFA1CDB"/>
    <w:rsid w:val="6D0B205B"/>
    <w:rsid w:val="6D0B3EE8"/>
    <w:rsid w:val="6D125276"/>
    <w:rsid w:val="6D140FEE"/>
    <w:rsid w:val="6D1F7993"/>
    <w:rsid w:val="6D554232"/>
    <w:rsid w:val="6D58333F"/>
    <w:rsid w:val="6D6F26C8"/>
    <w:rsid w:val="6D7221B9"/>
    <w:rsid w:val="6D7E46BA"/>
    <w:rsid w:val="6DBE0F5A"/>
    <w:rsid w:val="6DC02F24"/>
    <w:rsid w:val="6DC76061"/>
    <w:rsid w:val="6DD24A05"/>
    <w:rsid w:val="6DD62748"/>
    <w:rsid w:val="6DE50BDD"/>
    <w:rsid w:val="6E0A4A26"/>
    <w:rsid w:val="6E105319"/>
    <w:rsid w:val="6E3B6A4F"/>
    <w:rsid w:val="6E453429"/>
    <w:rsid w:val="6E5A4385"/>
    <w:rsid w:val="6E5E1B6C"/>
    <w:rsid w:val="6E873A42"/>
    <w:rsid w:val="6E8A131C"/>
    <w:rsid w:val="6EA77C40"/>
    <w:rsid w:val="6EBC7574"/>
    <w:rsid w:val="6EDF57BC"/>
    <w:rsid w:val="6EE3511C"/>
    <w:rsid w:val="6EEF71D1"/>
    <w:rsid w:val="6EF04F82"/>
    <w:rsid w:val="6F021A16"/>
    <w:rsid w:val="6F1D40CE"/>
    <w:rsid w:val="6F1E43A6"/>
    <w:rsid w:val="6F306F62"/>
    <w:rsid w:val="6F51652A"/>
    <w:rsid w:val="6F7246F2"/>
    <w:rsid w:val="6FA0237A"/>
    <w:rsid w:val="70001CFE"/>
    <w:rsid w:val="7004359C"/>
    <w:rsid w:val="70076BE8"/>
    <w:rsid w:val="7051517A"/>
    <w:rsid w:val="705F4C76"/>
    <w:rsid w:val="70626515"/>
    <w:rsid w:val="707A1AB0"/>
    <w:rsid w:val="70A647A4"/>
    <w:rsid w:val="70AD4428"/>
    <w:rsid w:val="70B12FF8"/>
    <w:rsid w:val="70B2124A"/>
    <w:rsid w:val="70B41968"/>
    <w:rsid w:val="70BD199D"/>
    <w:rsid w:val="70D016D0"/>
    <w:rsid w:val="70D85BD1"/>
    <w:rsid w:val="70F71627"/>
    <w:rsid w:val="71001AF0"/>
    <w:rsid w:val="7108129A"/>
    <w:rsid w:val="71105F71"/>
    <w:rsid w:val="71193077"/>
    <w:rsid w:val="711C66C3"/>
    <w:rsid w:val="714D4BF6"/>
    <w:rsid w:val="715370D8"/>
    <w:rsid w:val="715B338A"/>
    <w:rsid w:val="7161057A"/>
    <w:rsid w:val="716342F2"/>
    <w:rsid w:val="71695F18"/>
    <w:rsid w:val="716A7ADC"/>
    <w:rsid w:val="71752277"/>
    <w:rsid w:val="71A32941"/>
    <w:rsid w:val="71B2527A"/>
    <w:rsid w:val="71B763EC"/>
    <w:rsid w:val="71DE2E53"/>
    <w:rsid w:val="721F39FF"/>
    <w:rsid w:val="72255A4C"/>
    <w:rsid w:val="722D66AE"/>
    <w:rsid w:val="72457E9C"/>
    <w:rsid w:val="727856BF"/>
    <w:rsid w:val="7289422C"/>
    <w:rsid w:val="72901E96"/>
    <w:rsid w:val="72915F53"/>
    <w:rsid w:val="72964253"/>
    <w:rsid w:val="72966949"/>
    <w:rsid w:val="729E121E"/>
    <w:rsid w:val="72AA7CFF"/>
    <w:rsid w:val="72E01973"/>
    <w:rsid w:val="72E23A7A"/>
    <w:rsid w:val="72F6179B"/>
    <w:rsid w:val="733252F0"/>
    <w:rsid w:val="73443DA9"/>
    <w:rsid w:val="735B2E64"/>
    <w:rsid w:val="738003CA"/>
    <w:rsid w:val="73AB01D2"/>
    <w:rsid w:val="73C56EED"/>
    <w:rsid w:val="73C6500C"/>
    <w:rsid w:val="73D160B0"/>
    <w:rsid w:val="73E91F10"/>
    <w:rsid w:val="74180D50"/>
    <w:rsid w:val="741C69DA"/>
    <w:rsid w:val="741E3A74"/>
    <w:rsid w:val="742E508B"/>
    <w:rsid w:val="744E2B52"/>
    <w:rsid w:val="74732A9E"/>
    <w:rsid w:val="74BD1F6B"/>
    <w:rsid w:val="74C619ED"/>
    <w:rsid w:val="74CC56DC"/>
    <w:rsid w:val="74F00593"/>
    <w:rsid w:val="75330480"/>
    <w:rsid w:val="75422471"/>
    <w:rsid w:val="754E7067"/>
    <w:rsid w:val="7581743D"/>
    <w:rsid w:val="758D4AB4"/>
    <w:rsid w:val="75947170"/>
    <w:rsid w:val="75BA46FD"/>
    <w:rsid w:val="75C37A55"/>
    <w:rsid w:val="75D12961"/>
    <w:rsid w:val="75D73501"/>
    <w:rsid w:val="75F92AF3"/>
    <w:rsid w:val="7608190C"/>
    <w:rsid w:val="760D3186"/>
    <w:rsid w:val="761756AB"/>
    <w:rsid w:val="76206C56"/>
    <w:rsid w:val="762F31F6"/>
    <w:rsid w:val="764364A0"/>
    <w:rsid w:val="76486327"/>
    <w:rsid w:val="765661D4"/>
    <w:rsid w:val="765941C5"/>
    <w:rsid w:val="765B5EE0"/>
    <w:rsid w:val="766A1C7F"/>
    <w:rsid w:val="76726D86"/>
    <w:rsid w:val="767A4DF9"/>
    <w:rsid w:val="76944F4E"/>
    <w:rsid w:val="76B15B00"/>
    <w:rsid w:val="76BB24DB"/>
    <w:rsid w:val="76BB697E"/>
    <w:rsid w:val="76D02F9A"/>
    <w:rsid w:val="76E01F41"/>
    <w:rsid w:val="773B6CD4"/>
    <w:rsid w:val="773D2DAD"/>
    <w:rsid w:val="773E1935"/>
    <w:rsid w:val="776D5ECB"/>
    <w:rsid w:val="776E39F1"/>
    <w:rsid w:val="7789082B"/>
    <w:rsid w:val="778A2F0E"/>
    <w:rsid w:val="77AD3AB2"/>
    <w:rsid w:val="77B77146"/>
    <w:rsid w:val="77D01FB6"/>
    <w:rsid w:val="77D23F80"/>
    <w:rsid w:val="77E30949"/>
    <w:rsid w:val="77EB5041"/>
    <w:rsid w:val="77F16A53"/>
    <w:rsid w:val="780D320A"/>
    <w:rsid w:val="783525A0"/>
    <w:rsid w:val="7847671C"/>
    <w:rsid w:val="784B5AE0"/>
    <w:rsid w:val="785339BD"/>
    <w:rsid w:val="78570929"/>
    <w:rsid w:val="7858162C"/>
    <w:rsid w:val="786E3B53"/>
    <w:rsid w:val="786F12BD"/>
    <w:rsid w:val="786F1AA9"/>
    <w:rsid w:val="7872551D"/>
    <w:rsid w:val="787943FB"/>
    <w:rsid w:val="787F7F36"/>
    <w:rsid w:val="78930456"/>
    <w:rsid w:val="78A0129A"/>
    <w:rsid w:val="78B86EE8"/>
    <w:rsid w:val="78B92705"/>
    <w:rsid w:val="78BB3770"/>
    <w:rsid w:val="78D83818"/>
    <w:rsid w:val="79002D6F"/>
    <w:rsid w:val="790C34C1"/>
    <w:rsid w:val="79154CC1"/>
    <w:rsid w:val="79181E66"/>
    <w:rsid w:val="7920071D"/>
    <w:rsid w:val="79B56BC5"/>
    <w:rsid w:val="79BC0A44"/>
    <w:rsid w:val="79C52BC7"/>
    <w:rsid w:val="79C57617"/>
    <w:rsid w:val="79C747F6"/>
    <w:rsid w:val="79C8388C"/>
    <w:rsid w:val="79D8521D"/>
    <w:rsid w:val="7A044199"/>
    <w:rsid w:val="7A1C5982"/>
    <w:rsid w:val="7A1C5986"/>
    <w:rsid w:val="7A2861E8"/>
    <w:rsid w:val="7A2B3E1B"/>
    <w:rsid w:val="7A36659D"/>
    <w:rsid w:val="7A552B46"/>
    <w:rsid w:val="7A6027C1"/>
    <w:rsid w:val="7A6D7F90"/>
    <w:rsid w:val="7A716556"/>
    <w:rsid w:val="7A854A12"/>
    <w:rsid w:val="7A88301C"/>
    <w:rsid w:val="7AA00365"/>
    <w:rsid w:val="7ABD2CC5"/>
    <w:rsid w:val="7ADE49EA"/>
    <w:rsid w:val="7AF16E13"/>
    <w:rsid w:val="7AF91823"/>
    <w:rsid w:val="7B116B6D"/>
    <w:rsid w:val="7B237820"/>
    <w:rsid w:val="7B2C7902"/>
    <w:rsid w:val="7B3D5BB4"/>
    <w:rsid w:val="7B503B39"/>
    <w:rsid w:val="7B5F1FCE"/>
    <w:rsid w:val="7B735A7A"/>
    <w:rsid w:val="7B866F34"/>
    <w:rsid w:val="7B932F98"/>
    <w:rsid w:val="7B970729"/>
    <w:rsid w:val="7B971768"/>
    <w:rsid w:val="7B974622"/>
    <w:rsid w:val="7B9F47D4"/>
    <w:rsid w:val="7BA048E4"/>
    <w:rsid w:val="7BB120FE"/>
    <w:rsid w:val="7BDF6C6B"/>
    <w:rsid w:val="7BEC1388"/>
    <w:rsid w:val="7BF32D47"/>
    <w:rsid w:val="7C016BE2"/>
    <w:rsid w:val="7C175F5D"/>
    <w:rsid w:val="7C183F2B"/>
    <w:rsid w:val="7C191FBE"/>
    <w:rsid w:val="7C211032"/>
    <w:rsid w:val="7C321491"/>
    <w:rsid w:val="7C3A6597"/>
    <w:rsid w:val="7C3C1587"/>
    <w:rsid w:val="7C594C70"/>
    <w:rsid w:val="7C624B36"/>
    <w:rsid w:val="7C6B3F7A"/>
    <w:rsid w:val="7C701FB9"/>
    <w:rsid w:val="7C8F68E3"/>
    <w:rsid w:val="7C907F65"/>
    <w:rsid w:val="7CA52AE4"/>
    <w:rsid w:val="7CB579CC"/>
    <w:rsid w:val="7CC96DDD"/>
    <w:rsid w:val="7CCD25FE"/>
    <w:rsid w:val="7CCD4D16"/>
    <w:rsid w:val="7D0F17D2"/>
    <w:rsid w:val="7D124C9D"/>
    <w:rsid w:val="7D4E72F0"/>
    <w:rsid w:val="7D5D078F"/>
    <w:rsid w:val="7D605B8A"/>
    <w:rsid w:val="7D860B69"/>
    <w:rsid w:val="7D965A4F"/>
    <w:rsid w:val="7D9F37E1"/>
    <w:rsid w:val="7DA93EBE"/>
    <w:rsid w:val="7DAA32A9"/>
    <w:rsid w:val="7DB73D0D"/>
    <w:rsid w:val="7DD15417"/>
    <w:rsid w:val="7DDB0EDD"/>
    <w:rsid w:val="7DED1691"/>
    <w:rsid w:val="7DF764EE"/>
    <w:rsid w:val="7E246996"/>
    <w:rsid w:val="7E260B81"/>
    <w:rsid w:val="7E4075FF"/>
    <w:rsid w:val="7E662EAD"/>
    <w:rsid w:val="7E892F73"/>
    <w:rsid w:val="7E8B2598"/>
    <w:rsid w:val="7E8B4E88"/>
    <w:rsid w:val="7E9219F9"/>
    <w:rsid w:val="7E9F0934"/>
    <w:rsid w:val="7EA6506C"/>
    <w:rsid w:val="7EA67F14"/>
    <w:rsid w:val="7EB048EF"/>
    <w:rsid w:val="7EC14C30"/>
    <w:rsid w:val="7ED56104"/>
    <w:rsid w:val="7ED97EFB"/>
    <w:rsid w:val="7EEB5927"/>
    <w:rsid w:val="7EF87B3E"/>
    <w:rsid w:val="7F0A04A3"/>
    <w:rsid w:val="7F141322"/>
    <w:rsid w:val="7F195B20"/>
    <w:rsid w:val="7F1E3F4E"/>
    <w:rsid w:val="7F25708B"/>
    <w:rsid w:val="7F474277"/>
    <w:rsid w:val="7F52348C"/>
    <w:rsid w:val="7F792F33"/>
    <w:rsid w:val="7F924DA0"/>
    <w:rsid w:val="7FC02E5E"/>
    <w:rsid w:val="7FD840FD"/>
    <w:rsid w:val="7F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iPriority="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tabs>
        <w:tab w:val="left" w:pos="1160"/>
      </w:tabs>
      <w:spacing w:line="360" w:lineRule="auto"/>
      <w:jc w:val="both"/>
    </w:pPr>
    <w:rPr>
      <w:rFonts w:ascii="宋体" w:hAnsi="宋体" w:eastAsia="宋体" w:cs="宋体"/>
      <w:kern w:val="2"/>
      <w:sz w:val="21"/>
      <w:szCs w:val="21"/>
      <w:lang w:val="en-US" w:eastAsia="zh-CN" w:bidi="ar-SA"/>
    </w:rPr>
  </w:style>
  <w:style w:type="paragraph" w:styleId="3">
    <w:name w:val="heading 1"/>
    <w:basedOn w:val="1"/>
    <w:next w:val="1"/>
    <w:link w:val="224"/>
    <w:autoRedefine/>
    <w:qFormat/>
    <w:uiPriority w:val="9"/>
    <w:pPr>
      <w:keepNext/>
      <w:keepLines/>
      <w:spacing w:before="340" w:after="330" w:line="576" w:lineRule="auto"/>
      <w:outlineLvl w:val="0"/>
    </w:pPr>
    <w:rPr>
      <w:b/>
      <w:bCs/>
      <w:kern w:val="44"/>
      <w:sz w:val="44"/>
      <w:szCs w:val="44"/>
    </w:rPr>
  </w:style>
  <w:style w:type="paragraph" w:styleId="4">
    <w:name w:val="heading 2"/>
    <w:basedOn w:val="1"/>
    <w:next w:val="1"/>
    <w:link w:val="123"/>
    <w:autoRedefine/>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70"/>
    <w:autoRedefine/>
    <w:qFormat/>
    <w:uiPriority w:val="0"/>
    <w:pPr>
      <w:keepNext/>
      <w:keepLines/>
      <w:spacing w:before="260" w:after="260" w:line="413" w:lineRule="auto"/>
      <w:outlineLvl w:val="2"/>
    </w:pPr>
    <w:rPr>
      <w:b/>
      <w:bCs/>
      <w:sz w:val="32"/>
      <w:szCs w:val="32"/>
    </w:rPr>
  </w:style>
  <w:style w:type="paragraph" w:styleId="6">
    <w:name w:val="heading 4"/>
    <w:basedOn w:val="1"/>
    <w:next w:val="1"/>
    <w:link w:val="231"/>
    <w:autoRedefine/>
    <w:qFormat/>
    <w:uiPriority w:val="0"/>
    <w:pPr>
      <w:keepNext/>
      <w:keepLines/>
      <w:widowControl/>
      <w:spacing w:before="120" w:after="120"/>
      <w:jc w:val="center"/>
      <w:outlineLvl w:val="3"/>
    </w:pPr>
    <w:rPr>
      <w:rFonts w:ascii="Arial" w:hAnsi="Arial" w:eastAsia="黑体"/>
      <w:kern w:val="0"/>
      <w:sz w:val="28"/>
      <w:szCs w:val="20"/>
    </w:rPr>
  </w:style>
  <w:style w:type="paragraph" w:styleId="7">
    <w:name w:val="heading 5"/>
    <w:basedOn w:val="1"/>
    <w:next w:val="8"/>
    <w:link w:val="122"/>
    <w:autoRedefine/>
    <w:qFormat/>
    <w:uiPriority w:val="0"/>
    <w:pPr>
      <w:keepNext/>
      <w:keepLines/>
      <w:spacing w:before="280" w:after="290" w:line="372" w:lineRule="auto"/>
      <w:outlineLvl w:val="4"/>
    </w:pPr>
    <w:rPr>
      <w:b/>
      <w:sz w:val="28"/>
    </w:rPr>
  </w:style>
  <w:style w:type="paragraph" w:styleId="9">
    <w:name w:val="heading 6"/>
    <w:basedOn w:val="1"/>
    <w:next w:val="8"/>
    <w:link w:val="126"/>
    <w:autoRedefine/>
    <w:qFormat/>
    <w:uiPriority w:val="0"/>
    <w:pPr>
      <w:keepNext/>
      <w:keepLines/>
      <w:spacing w:before="240" w:after="64" w:line="317" w:lineRule="auto"/>
      <w:outlineLvl w:val="5"/>
    </w:pPr>
    <w:rPr>
      <w:rFonts w:ascii="Arial" w:hAnsi="Arial" w:eastAsia="黑体"/>
      <w:b/>
      <w:sz w:val="24"/>
    </w:rPr>
  </w:style>
  <w:style w:type="paragraph" w:styleId="10">
    <w:name w:val="heading 7"/>
    <w:basedOn w:val="1"/>
    <w:next w:val="8"/>
    <w:link w:val="82"/>
    <w:autoRedefine/>
    <w:qFormat/>
    <w:uiPriority w:val="0"/>
    <w:pPr>
      <w:keepNext/>
      <w:keepLines/>
      <w:spacing w:before="240" w:after="64" w:line="317" w:lineRule="auto"/>
      <w:outlineLvl w:val="6"/>
    </w:pPr>
    <w:rPr>
      <w:b/>
      <w:sz w:val="24"/>
    </w:rPr>
  </w:style>
  <w:style w:type="paragraph" w:styleId="11">
    <w:name w:val="heading 8"/>
    <w:basedOn w:val="1"/>
    <w:next w:val="8"/>
    <w:link w:val="77"/>
    <w:autoRedefine/>
    <w:qFormat/>
    <w:uiPriority w:val="0"/>
    <w:pPr>
      <w:keepNext/>
      <w:keepLines/>
      <w:spacing w:before="240" w:after="64" w:line="317" w:lineRule="auto"/>
      <w:outlineLvl w:val="7"/>
    </w:pPr>
    <w:rPr>
      <w:rFonts w:ascii="Arial" w:hAnsi="Arial" w:eastAsia="黑体"/>
      <w:sz w:val="24"/>
    </w:rPr>
  </w:style>
  <w:style w:type="paragraph" w:styleId="12">
    <w:name w:val="heading 9"/>
    <w:basedOn w:val="1"/>
    <w:next w:val="8"/>
    <w:link w:val="145"/>
    <w:autoRedefine/>
    <w:qFormat/>
    <w:uiPriority w:val="0"/>
    <w:pPr>
      <w:keepNext/>
      <w:keepLines/>
      <w:spacing w:before="240" w:after="64" w:line="317" w:lineRule="auto"/>
      <w:outlineLvl w:val="8"/>
    </w:pPr>
    <w:rPr>
      <w:rFonts w:ascii="Arial" w:hAnsi="Arial" w:eastAsia="黑体"/>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8"/>
    <w:autoRedefine/>
    <w:qFormat/>
    <w:uiPriority w:val="99"/>
    <w:pPr>
      <w:spacing w:line="380" w:lineRule="exact"/>
    </w:pPr>
    <w:rPr>
      <w:sz w:val="24"/>
    </w:rPr>
  </w:style>
  <w:style w:type="paragraph" w:styleId="8">
    <w:name w:val="Normal Indent"/>
    <w:basedOn w:val="1"/>
    <w:autoRedefine/>
    <w:qFormat/>
    <w:uiPriority w:val="0"/>
    <w:pPr>
      <w:ind w:firstLine="420"/>
    </w:pPr>
    <w:rPr>
      <w:szCs w:val="20"/>
    </w:rPr>
  </w:style>
  <w:style w:type="paragraph" w:styleId="13">
    <w:name w:val="List 3"/>
    <w:basedOn w:val="1"/>
    <w:qFormat/>
    <w:uiPriority w:val="0"/>
    <w:pPr>
      <w:ind w:left="100" w:leftChars="400" w:hanging="200" w:hangingChars="200"/>
    </w:pPr>
  </w:style>
  <w:style w:type="paragraph" w:styleId="14">
    <w:name w:val="toc 7"/>
    <w:basedOn w:val="1"/>
    <w:next w:val="1"/>
    <w:autoRedefine/>
    <w:qFormat/>
    <w:uiPriority w:val="0"/>
    <w:pPr>
      <w:tabs>
        <w:tab w:val="right" w:leader="dot" w:pos="9185"/>
      </w:tabs>
      <w:adjustRightInd w:val="0"/>
      <w:spacing w:line="312" w:lineRule="atLeast"/>
      <w:ind w:left="2520"/>
      <w:textAlignment w:val="baseline"/>
    </w:pPr>
    <w:rPr>
      <w:kern w:val="0"/>
      <w:szCs w:val="20"/>
    </w:rPr>
  </w:style>
  <w:style w:type="paragraph" w:styleId="15">
    <w:name w:val="List Number"/>
    <w:basedOn w:val="1"/>
    <w:autoRedefine/>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autoRedefine/>
    <w:qFormat/>
    <w:uiPriority w:val="0"/>
    <w:pPr>
      <w:spacing w:before="152" w:after="160"/>
    </w:pPr>
    <w:rPr>
      <w:rFonts w:ascii="Arial" w:hAnsi="Arial" w:eastAsia="黑体" w:cs="Arial"/>
      <w:sz w:val="20"/>
      <w:szCs w:val="20"/>
    </w:rPr>
  </w:style>
  <w:style w:type="paragraph" w:styleId="17">
    <w:name w:val="Document Map"/>
    <w:basedOn w:val="1"/>
    <w:link w:val="136"/>
    <w:autoRedefine/>
    <w:qFormat/>
    <w:uiPriority w:val="0"/>
    <w:pPr>
      <w:shd w:val="clear" w:color="auto" w:fill="000080"/>
      <w:adjustRightInd w:val="0"/>
      <w:spacing w:line="312" w:lineRule="atLeast"/>
      <w:textAlignment w:val="baseline"/>
    </w:pPr>
    <w:rPr>
      <w:kern w:val="0"/>
      <w:szCs w:val="20"/>
    </w:rPr>
  </w:style>
  <w:style w:type="paragraph" w:styleId="18">
    <w:name w:val="annotation text"/>
    <w:basedOn w:val="1"/>
    <w:link w:val="139"/>
    <w:qFormat/>
    <w:uiPriority w:val="0"/>
    <w:pPr>
      <w:jc w:val="left"/>
    </w:pPr>
  </w:style>
  <w:style w:type="paragraph" w:styleId="19">
    <w:name w:val="Body Text 3"/>
    <w:basedOn w:val="1"/>
    <w:link w:val="71"/>
    <w:autoRedefine/>
    <w:qFormat/>
    <w:uiPriority w:val="0"/>
    <w:pPr>
      <w:spacing w:line="500" w:lineRule="exact"/>
    </w:pPr>
    <w:rPr>
      <w:b/>
      <w:bCs/>
      <w:sz w:val="24"/>
    </w:rPr>
  </w:style>
  <w:style w:type="paragraph" w:styleId="20">
    <w:name w:val="Body Text Indent"/>
    <w:basedOn w:val="1"/>
    <w:next w:val="21"/>
    <w:link w:val="72"/>
    <w:autoRedefine/>
    <w:qFormat/>
    <w:uiPriority w:val="99"/>
    <w:pPr>
      <w:ind w:firstLine="830" w:firstLineChars="352"/>
    </w:pPr>
    <w:rPr>
      <w:rFonts w:ascii="仿宋_GB2312" w:eastAsia="仿宋_GB2312"/>
      <w:sz w:val="32"/>
      <w:szCs w:val="20"/>
    </w:rPr>
  </w:style>
  <w:style w:type="paragraph" w:styleId="21">
    <w:name w:val="envelope return"/>
    <w:basedOn w:val="1"/>
    <w:qFormat/>
    <w:uiPriority w:val="0"/>
    <w:pPr>
      <w:snapToGrid w:val="0"/>
    </w:pPr>
    <w:rPr>
      <w:rFonts w:ascii="Arial" w:hAnsi="Arial"/>
      <w:szCs w:val="20"/>
    </w:rPr>
  </w:style>
  <w:style w:type="paragraph" w:styleId="22">
    <w:name w:val="List Number 3"/>
    <w:basedOn w:val="1"/>
    <w:autoRedefine/>
    <w:qFormat/>
    <w:uiPriority w:val="0"/>
    <w:pPr>
      <w:tabs>
        <w:tab w:val="left" w:pos="1200"/>
      </w:tabs>
      <w:ind w:left="1200" w:leftChars="400" w:hanging="360" w:hangingChars="200"/>
    </w:pPr>
  </w:style>
  <w:style w:type="paragraph" w:styleId="23">
    <w:name w:val="List 2"/>
    <w:basedOn w:val="1"/>
    <w:autoRedefine/>
    <w:qFormat/>
    <w:uiPriority w:val="0"/>
    <w:pPr>
      <w:ind w:left="100" w:leftChars="200" w:hanging="200" w:hangingChars="200"/>
    </w:pPr>
    <w:rPr>
      <w:sz w:val="28"/>
    </w:rPr>
  </w:style>
  <w:style w:type="paragraph" w:styleId="24">
    <w:name w:val="Block Text"/>
    <w:basedOn w:val="1"/>
    <w:autoRedefine/>
    <w:qFormat/>
    <w:uiPriority w:val="0"/>
    <w:pPr>
      <w:adjustRightInd w:val="0"/>
      <w:ind w:left="420" w:right="33"/>
      <w:jc w:val="left"/>
      <w:textAlignment w:val="baseline"/>
    </w:pPr>
    <w:rPr>
      <w:kern w:val="0"/>
      <w:sz w:val="24"/>
      <w:szCs w:val="20"/>
    </w:rPr>
  </w:style>
  <w:style w:type="paragraph" w:styleId="25">
    <w:name w:val="toc 5"/>
    <w:basedOn w:val="1"/>
    <w:next w:val="1"/>
    <w:autoRedefine/>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autoRedefine/>
    <w:qFormat/>
    <w:uiPriority w:val="39"/>
    <w:pPr>
      <w:ind w:left="840" w:leftChars="400"/>
    </w:pPr>
  </w:style>
  <w:style w:type="paragraph" w:styleId="27">
    <w:name w:val="Plain Text"/>
    <w:basedOn w:val="1"/>
    <w:next w:val="1"/>
    <w:link w:val="225"/>
    <w:autoRedefine/>
    <w:qFormat/>
    <w:uiPriority w:val="0"/>
    <w:rPr>
      <w:rFonts w:hAnsi="Courier New" w:cs="Courier New"/>
    </w:rPr>
  </w:style>
  <w:style w:type="paragraph" w:styleId="28">
    <w:name w:val="toc 8"/>
    <w:basedOn w:val="1"/>
    <w:next w:val="1"/>
    <w:autoRedefine/>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76"/>
    <w:autoRedefine/>
    <w:qFormat/>
    <w:uiPriority w:val="0"/>
    <w:pPr>
      <w:ind w:left="100" w:leftChars="2500"/>
    </w:pPr>
    <w:rPr>
      <w:rFonts w:hAnsi="Courier New"/>
    </w:rPr>
  </w:style>
  <w:style w:type="paragraph" w:styleId="30">
    <w:name w:val="Body Text Indent 2"/>
    <w:basedOn w:val="1"/>
    <w:link w:val="144"/>
    <w:qFormat/>
    <w:uiPriority w:val="0"/>
    <w:pPr>
      <w:ind w:firstLine="630"/>
    </w:pPr>
    <w:rPr>
      <w:sz w:val="32"/>
      <w:szCs w:val="20"/>
    </w:rPr>
  </w:style>
  <w:style w:type="paragraph" w:styleId="31">
    <w:name w:val="Balloon Text"/>
    <w:basedOn w:val="1"/>
    <w:link w:val="103"/>
    <w:autoRedefine/>
    <w:qFormat/>
    <w:uiPriority w:val="0"/>
    <w:rPr>
      <w:sz w:val="18"/>
      <w:szCs w:val="18"/>
    </w:rPr>
  </w:style>
  <w:style w:type="paragraph" w:styleId="32">
    <w:name w:val="footer"/>
    <w:basedOn w:val="1"/>
    <w:link w:val="104"/>
    <w:autoRedefine/>
    <w:qFormat/>
    <w:uiPriority w:val="99"/>
    <w:pPr>
      <w:tabs>
        <w:tab w:val="center" w:pos="4153"/>
        <w:tab w:val="right" w:pos="8306"/>
      </w:tabs>
      <w:snapToGrid w:val="0"/>
      <w:jc w:val="left"/>
    </w:pPr>
    <w:rPr>
      <w:sz w:val="18"/>
      <w:szCs w:val="18"/>
    </w:rPr>
  </w:style>
  <w:style w:type="paragraph" w:styleId="33">
    <w:name w:val="header"/>
    <w:basedOn w:val="1"/>
    <w:link w:val="229"/>
    <w:autoRedefine/>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autoRedefine/>
    <w:qFormat/>
    <w:uiPriority w:val="39"/>
    <w:pPr>
      <w:tabs>
        <w:tab w:val="right" w:leader="dot" w:pos="8398"/>
      </w:tabs>
      <w:spacing w:before="120" w:after="120"/>
      <w:ind w:firstLine="240" w:firstLineChars="100"/>
      <w:jc w:val="left"/>
    </w:pPr>
    <w:rPr>
      <w:b/>
      <w:bCs/>
      <w:caps/>
      <w:sz w:val="24"/>
    </w:rPr>
  </w:style>
  <w:style w:type="paragraph" w:styleId="35">
    <w:name w:val="toc 4"/>
    <w:basedOn w:val="1"/>
    <w:next w:val="1"/>
    <w:autoRedefine/>
    <w:qFormat/>
    <w:uiPriority w:val="0"/>
    <w:pPr>
      <w:tabs>
        <w:tab w:val="right" w:leader="dot" w:pos="9185"/>
      </w:tabs>
      <w:adjustRightInd w:val="0"/>
      <w:spacing w:line="312" w:lineRule="atLeast"/>
      <w:ind w:left="1260"/>
      <w:textAlignment w:val="baseline"/>
    </w:pPr>
    <w:rPr>
      <w:kern w:val="0"/>
      <w:szCs w:val="20"/>
    </w:rPr>
  </w:style>
  <w:style w:type="paragraph" w:styleId="36">
    <w:name w:val="List"/>
    <w:basedOn w:val="1"/>
    <w:autoRedefine/>
    <w:qFormat/>
    <w:uiPriority w:val="0"/>
    <w:pPr>
      <w:ind w:left="200" w:hanging="200" w:hangingChars="200"/>
    </w:pPr>
    <w:rPr>
      <w:sz w:val="28"/>
    </w:rPr>
  </w:style>
  <w:style w:type="paragraph" w:styleId="37">
    <w:name w:val="toc 6"/>
    <w:basedOn w:val="1"/>
    <w:next w:val="1"/>
    <w:autoRedefine/>
    <w:qFormat/>
    <w:uiPriority w:val="0"/>
    <w:pPr>
      <w:tabs>
        <w:tab w:val="right" w:leader="dot" w:pos="9185"/>
      </w:tabs>
      <w:adjustRightInd w:val="0"/>
      <w:spacing w:line="312" w:lineRule="atLeast"/>
      <w:ind w:left="2100"/>
      <w:textAlignment w:val="baseline"/>
    </w:pPr>
    <w:rPr>
      <w:kern w:val="0"/>
      <w:szCs w:val="20"/>
    </w:rPr>
  </w:style>
  <w:style w:type="paragraph" w:styleId="38">
    <w:name w:val="List 5"/>
    <w:basedOn w:val="1"/>
    <w:autoRedefine/>
    <w:qFormat/>
    <w:uiPriority w:val="0"/>
    <w:pPr>
      <w:ind w:left="2100" w:hanging="420"/>
    </w:pPr>
    <w:rPr>
      <w:szCs w:val="20"/>
    </w:rPr>
  </w:style>
  <w:style w:type="paragraph" w:styleId="39">
    <w:name w:val="Body Text Indent 3"/>
    <w:basedOn w:val="1"/>
    <w:link w:val="118"/>
    <w:autoRedefine/>
    <w:qFormat/>
    <w:uiPriority w:val="0"/>
    <w:pPr>
      <w:spacing w:after="120"/>
      <w:ind w:left="420" w:leftChars="200"/>
    </w:pPr>
    <w:rPr>
      <w:sz w:val="16"/>
      <w:szCs w:val="16"/>
    </w:rPr>
  </w:style>
  <w:style w:type="paragraph" w:styleId="40">
    <w:name w:val="toc 2"/>
    <w:basedOn w:val="1"/>
    <w:next w:val="1"/>
    <w:autoRedefine/>
    <w:qFormat/>
    <w:uiPriority w:val="39"/>
    <w:pPr>
      <w:ind w:left="420" w:leftChars="200"/>
    </w:pPr>
  </w:style>
  <w:style w:type="paragraph" w:styleId="41">
    <w:name w:val="toc 9"/>
    <w:basedOn w:val="1"/>
    <w:next w:val="1"/>
    <w:autoRedefine/>
    <w:qFormat/>
    <w:uiPriority w:val="0"/>
    <w:pPr>
      <w:tabs>
        <w:tab w:val="right" w:leader="dot" w:pos="9185"/>
      </w:tabs>
      <w:adjustRightInd w:val="0"/>
      <w:spacing w:line="312" w:lineRule="atLeast"/>
      <w:ind w:left="3360"/>
      <w:textAlignment w:val="baseline"/>
    </w:pPr>
    <w:rPr>
      <w:kern w:val="0"/>
      <w:szCs w:val="20"/>
    </w:rPr>
  </w:style>
  <w:style w:type="paragraph" w:styleId="42">
    <w:name w:val="Body Text 2"/>
    <w:basedOn w:val="1"/>
    <w:link w:val="230"/>
    <w:autoRedefine/>
    <w:qFormat/>
    <w:uiPriority w:val="0"/>
    <w:pPr>
      <w:spacing w:after="120" w:line="480" w:lineRule="auto"/>
    </w:pPr>
  </w:style>
  <w:style w:type="paragraph" w:styleId="43">
    <w:name w:val="List 4"/>
    <w:basedOn w:val="1"/>
    <w:autoRedefine/>
    <w:qFormat/>
    <w:uiPriority w:val="0"/>
    <w:pPr>
      <w:ind w:left="100" w:leftChars="600" w:hanging="200" w:hangingChars="200"/>
    </w:pPr>
  </w:style>
  <w:style w:type="paragraph" w:styleId="44">
    <w:name w:val="List Continue 2"/>
    <w:basedOn w:val="1"/>
    <w:autoRedefine/>
    <w:qFormat/>
    <w:uiPriority w:val="0"/>
    <w:pPr>
      <w:spacing w:after="120"/>
      <w:ind w:left="840" w:leftChars="400"/>
    </w:pPr>
  </w:style>
  <w:style w:type="paragraph" w:styleId="45">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6">
    <w:name w:val="Normal (Web)"/>
    <w:basedOn w:val="1"/>
    <w:autoRedefine/>
    <w:qFormat/>
    <w:uiPriority w:val="99"/>
    <w:pPr>
      <w:widowControl/>
      <w:spacing w:before="100" w:beforeAutospacing="1" w:after="100" w:afterAutospacing="1"/>
      <w:jc w:val="left"/>
    </w:pPr>
    <w:rPr>
      <w:kern w:val="0"/>
      <w:sz w:val="24"/>
    </w:rPr>
  </w:style>
  <w:style w:type="paragraph" w:styleId="47">
    <w:name w:val="index 1"/>
    <w:basedOn w:val="1"/>
    <w:next w:val="1"/>
    <w:autoRedefine/>
    <w:qFormat/>
    <w:uiPriority w:val="0"/>
    <w:pPr>
      <w:spacing w:line="400" w:lineRule="exact"/>
      <w:ind w:firstLine="420" w:firstLineChars="200"/>
    </w:pPr>
    <w:rPr>
      <w:rFonts w:hAnsi="Courier New"/>
      <w:b/>
      <w:szCs w:val="20"/>
    </w:rPr>
  </w:style>
  <w:style w:type="paragraph" w:styleId="48">
    <w:name w:val="Title"/>
    <w:basedOn w:val="1"/>
    <w:link w:val="111"/>
    <w:autoRedefine/>
    <w:qFormat/>
    <w:uiPriority w:val="0"/>
    <w:pPr>
      <w:jc w:val="center"/>
    </w:pPr>
    <w:rPr>
      <w:sz w:val="30"/>
    </w:rPr>
  </w:style>
  <w:style w:type="paragraph" w:styleId="49">
    <w:name w:val="annotation subject"/>
    <w:basedOn w:val="18"/>
    <w:next w:val="18"/>
    <w:link w:val="93"/>
    <w:autoRedefine/>
    <w:qFormat/>
    <w:uiPriority w:val="0"/>
    <w:rPr>
      <w:b/>
      <w:bCs/>
    </w:rPr>
  </w:style>
  <w:style w:type="paragraph" w:styleId="50">
    <w:name w:val="Body Text First Indent"/>
    <w:basedOn w:val="2"/>
    <w:link w:val="137"/>
    <w:autoRedefine/>
    <w:qFormat/>
    <w:uiPriority w:val="0"/>
    <w:pPr>
      <w:spacing w:after="120" w:line="240" w:lineRule="auto"/>
      <w:ind w:firstLine="420" w:firstLineChars="100"/>
    </w:pPr>
    <w:rPr>
      <w:sz w:val="21"/>
    </w:rPr>
  </w:style>
  <w:style w:type="paragraph" w:styleId="51">
    <w:name w:val="Body Text First Indent 2"/>
    <w:basedOn w:val="20"/>
    <w:link w:val="88"/>
    <w:autoRedefine/>
    <w:qFormat/>
    <w:uiPriority w:val="0"/>
    <w:pPr>
      <w:spacing w:after="120"/>
      <w:ind w:left="420" w:leftChars="200" w:firstLine="420" w:firstLineChars="200"/>
    </w:pPr>
    <w:rPr>
      <w:rFonts w:ascii="Times New Roman" w:eastAsia="宋体"/>
      <w:sz w:val="21"/>
      <w:szCs w:val="24"/>
    </w:rPr>
  </w:style>
  <w:style w:type="table" w:styleId="53">
    <w:name w:val="Table Grid"/>
    <w:basedOn w:val="5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autoRedefine/>
    <w:qFormat/>
    <w:uiPriority w:val="22"/>
    <w:rPr>
      <w:b/>
      <w:bCs/>
    </w:rPr>
  </w:style>
  <w:style w:type="character" w:styleId="56">
    <w:name w:val="page number"/>
    <w:basedOn w:val="54"/>
    <w:autoRedefine/>
    <w:qFormat/>
    <w:uiPriority w:val="0"/>
  </w:style>
  <w:style w:type="character" w:styleId="57">
    <w:name w:val="FollowedHyperlink"/>
    <w:autoRedefine/>
    <w:qFormat/>
    <w:uiPriority w:val="99"/>
    <w:rPr>
      <w:color w:val="800080"/>
      <w:u w:val="single"/>
    </w:rPr>
  </w:style>
  <w:style w:type="character" w:styleId="58">
    <w:name w:val="Emphasis"/>
    <w:basedOn w:val="54"/>
    <w:autoRedefine/>
    <w:qFormat/>
    <w:uiPriority w:val="0"/>
    <w:rPr>
      <w:b/>
      <w:bCs/>
    </w:rPr>
  </w:style>
  <w:style w:type="character" w:styleId="59">
    <w:name w:val="HTML Definition"/>
    <w:basedOn w:val="54"/>
    <w:autoRedefine/>
    <w:qFormat/>
    <w:uiPriority w:val="0"/>
  </w:style>
  <w:style w:type="character" w:styleId="60">
    <w:name w:val="HTML Typewriter"/>
    <w:basedOn w:val="54"/>
    <w:autoRedefine/>
    <w:qFormat/>
    <w:uiPriority w:val="0"/>
    <w:rPr>
      <w:rFonts w:hint="default" w:ascii="monospace" w:hAnsi="monospace" w:eastAsia="monospace" w:cs="monospace"/>
      <w:sz w:val="20"/>
    </w:rPr>
  </w:style>
  <w:style w:type="character" w:styleId="61">
    <w:name w:val="HTML Acronym"/>
    <w:basedOn w:val="54"/>
    <w:autoRedefine/>
    <w:qFormat/>
    <w:uiPriority w:val="0"/>
    <w:rPr>
      <w:color w:val="FFFFFF"/>
      <w:shd w:val="clear" w:color="auto" w:fill="76C0E3"/>
    </w:rPr>
  </w:style>
  <w:style w:type="character" w:styleId="62">
    <w:name w:val="HTML Variable"/>
    <w:basedOn w:val="54"/>
    <w:autoRedefine/>
    <w:semiHidden/>
    <w:unhideWhenUsed/>
    <w:qFormat/>
    <w:uiPriority w:val="0"/>
  </w:style>
  <w:style w:type="character" w:styleId="63">
    <w:name w:val="Hyperlink"/>
    <w:autoRedefine/>
    <w:qFormat/>
    <w:uiPriority w:val="99"/>
    <w:rPr>
      <w:color w:val="0000FF"/>
      <w:u w:val="single"/>
    </w:rPr>
  </w:style>
  <w:style w:type="character" w:styleId="64">
    <w:name w:val="HTML Code"/>
    <w:basedOn w:val="54"/>
    <w:autoRedefine/>
    <w:qFormat/>
    <w:uiPriority w:val="0"/>
    <w:rPr>
      <w:rFonts w:hint="default" w:ascii="monospace" w:hAnsi="monospace" w:eastAsia="monospace" w:cs="monospace"/>
      <w:sz w:val="20"/>
    </w:rPr>
  </w:style>
  <w:style w:type="character" w:styleId="65">
    <w:name w:val="annotation reference"/>
    <w:autoRedefine/>
    <w:qFormat/>
    <w:uiPriority w:val="0"/>
    <w:rPr>
      <w:sz w:val="21"/>
      <w:szCs w:val="21"/>
    </w:rPr>
  </w:style>
  <w:style w:type="character" w:styleId="66">
    <w:name w:val="HTML Cite"/>
    <w:basedOn w:val="54"/>
    <w:autoRedefine/>
    <w:qFormat/>
    <w:uiPriority w:val="0"/>
  </w:style>
  <w:style w:type="character" w:styleId="67">
    <w:name w:val="HTML Keyboard"/>
    <w:basedOn w:val="54"/>
    <w:autoRedefine/>
    <w:semiHidden/>
    <w:unhideWhenUsed/>
    <w:qFormat/>
    <w:uiPriority w:val="0"/>
    <w:rPr>
      <w:rFonts w:hint="default" w:ascii="monospace" w:hAnsi="monospace" w:eastAsia="monospace" w:cs="monospace"/>
      <w:sz w:val="20"/>
      <w:bdr w:val="single" w:color="F1F1F1" w:sz="4" w:space="0"/>
      <w:shd w:val="clear" w:color="auto" w:fill="F1F1F1"/>
    </w:rPr>
  </w:style>
  <w:style w:type="character" w:styleId="68">
    <w:name w:val="HTML Sample"/>
    <w:basedOn w:val="54"/>
    <w:autoRedefine/>
    <w:qFormat/>
    <w:uiPriority w:val="0"/>
    <w:rPr>
      <w:rFonts w:ascii="monospace" w:hAnsi="monospace" w:eastAsia="monospace" w:cs="monospace"/>
    </w:rPr>
  </w:style>
  <w:style w:type="paragraph" w:customStyle="1" w:styleId="6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0">
    <w:name w:val="标题 3 字符1"/>
    <w:link w:val="5"/>
    <w:autoRedefine/>
    <w:qFormat/>
    <w:uiPriority w:val="0"/>
    <w:rPr>
      <w:b/>
      <w:bCs/>
      <w:kern w:val="2"/>
      <w:sz w:val="32"/>
      <w:szCs w:val="32"/>
    </w:rPr>
  </w:style>
  <w:style w:type="character" w:customStyle="1" w:styleId="71">
    <w:name w:val="正文文本 3 字符1"/>
    <w:link w:val="19"/>
    <w:autoRedefine/>
    <w:qFormat/>
    <w:uiPriority w:val="0"/>
    <w:rPr>
      <w:b/>
      <w:bCs/>
      <w:kern w:val="2"/>
      <w:sz w:val="24"/>
      <w:szCs w:val="24"/>
    </w:rPr>
  </w:style>
  <w:style w:type="character" w:customStyle="1" w:styleId="72">
    <w:name w:val="正文文本缩进 字符1"/>
    <w:link w:val="20"/>
    <w:autoRedefine/>
    <w:qFormat/>
    <w:uiPriority w:val="99"/>
    <w:rPr>
      <w:rFonts w:ascii="仿宋_GB2312" w:eastAsia="仿宋_GB2312"/>
      <w:kern w:val="2"/>
      <w:sz w:val="32"/>
    </w:rPr>
  </w:style>
  <w:style w:type="character" w:customStyle="1" w:styleId="73">
    <w:name w:val="标题 4 字符"/>
    <w:autoRedefine/>
    <w:semiHidden/>
    <w:qFormat/>
    <w:uiPriority w:val="9"/>
    <w:rPr>
      <w:rFonts w:ascii="等线 Light" w:hAnsi="等线 Light" w:eastAsia="等线 Light" w:cs="Times New Roman"/>
      <w:b/>
      <w:bCs/>
      <w:kern w:val="2"/>
      <w:sz w:val="28"/>
      <w:szCs w:val="28"/>
    </w:rPr>
  </w:style>
  <w:style w:type="character" w:customStyle="1" w:styleId="74">
    <w:name w:val="HTML 预设格式 字符"/>
    <w:autoRedefine/>
    <w:semiHidden/>
    <w:qFormat/>
    <w:uiPriority w:val="99"/>
    <w:rPr>
      <w:rFonts w:ascii="Courier New" w:hAnsi="Courier New" w:cs="Courier New"/>
      <w:kern w:val="2"/>
    </w:rPr>
  </w:style>
  <w:style w:type="character" w:customStyle="1" w:styleId="75">
    <w:name w:val="graytext1"/>
    <w:autoRedefine/>
    <w:qFormat/>
    <w:uiPriority w:val="0"/>
    <w:rPr>
      <w:color w:val="666666"/>
    </w:rPr>
  </w:style>
  <w:style w:type="character" w:customStyle="1" w:styleId="76">
    <w:name w:val="日期 字符1"/>
    <w:link w:val="29"/>
    <w:autoRedefine/>
    <w:qFormat/>
    <w:uiPriority w:val="0"/>
    <w:rPr>
      <w:rFonts w:ascii="宋体" w:hAnsi="Courier New" w:cs="Courier New"/>
      <w:kern w:val="2"/>
      <w:sz w:val="21"/>
      <w:szCs w:val="21"/>
    </w:rPr>
  </w:style>
  <w:style w:type="character" w:customStyle="1" w:styleId="77">
    <w:name w:val="标题 8 字符1"/>
    <w:link w:val="11"/>
    <w:autoRedefine/>
    <w:qFormat/>
    <w:uiPriority w:val="0"/>
    <w:rPr>
      <w:rFonts w:ascii="Arial" w:hAnsi="Arial" w:eastAsia="黑体"/>
      <w:kern w:val="2"/>
      <w:sz w:val="24"/>
      <w:szCs w:val="24"/>
    </w:rPr>
  </w:style>
  <w:style w:type="character" w:customStyle="1" w:styleId="78">
    <w:name w:val="标题 6 字符"/>
    <w:autoRedefine/>
    <w:semiHidden/>
    <w:qFormat/>
    <w:uiPriority w:val="9"/>
    <w:rPr>
      <w:rFonts w:ascii="等线 Light" w:hAnsi="等线 Light" w:eastAsia="等线 Light" w:cs="Times New Roman"/>
      <w:b/>
      <w:bCs/>
      <w:kern w:val="2"/>
      <w:sz w:val="24"/>
      <w:szCs w:val="24"/>
    </w:rPr>
  </w:style>
  <w:style w:type="character" w:customStyle="1" w:styleId="79">
    <w:name w:val="white"/>
    <w:basedOn w:val="54"/>
    <w:autoRedefine/>
    <w:qFormat/>
    <w:uiPriority w:val="0"/>
  </w:style>
  <w:style w:type="character" w:customStyle="1" w:styleId="80">
    <w:name w:val="text11"/>
    <w:autoRedefine/>
    <w:qFormat/>
    <w:uiPriority w:val="0"/>
    <w:rPr>
      <w:rFonts w:hint="default" w:ascii="Verdana" w:hAnsi="Verdana"/>
      <w:color w:val="4E4E4E"/>
      <w:sz w:val="18"/>
      <w:szCs w:val="18"/>
    </w:rPr>
  </w:style>
  <w:style w:type="character" w:customStyle="1" w:styleId="81">
    <w:name w:val="gray12"/>
    <w:basedOn w:val="54"/>
    <w:autoRedefine/>
    <w:qFormat/>
    <w:uiPriority w:val="0"/>
  </w:style>
  <w:style w:type="character" w:customStyle="1" w:styleId="82">
    <w:name w:val="标题 7 字符1"/>
    <w:link w:val="10"/>
    <w:autoRedefine/>
    <w:qFormat/>
    <w:uiPriority w:val="0"/>
    <w:rPr>
      <w:b/>
      <w:kern w:val="2"/>
      <w:sz w:val="24"/>
      <w:szCs w:val="24"/>
    </w:rPr>
  </w:style>
  <w:style w:type="character" w:customStyle="1" w:styleId="83">
    <w:name w:val="font01"/>
    <w:autoRedefine/>
    <w:qFormat/>
    <w:uiPriority w:val="0"/>
    <w:rPr>
      <w:rFonts w:hint="eastAsia" w:ascii="宋体" w:hAnsi="宋体" w:eastAsia="宋体"/>
      <w:color w:val="000000"/>
      <w:sz w:val="22"/>
      <w:szCs w:val="22"/>
      <w:u w:val="none"/>
    </w:rPr>
  </w:style>
  <w:style w:type="character" w:customStyle="1" w:styleId="84">
    <w:name w:val="mark8"/>
    <w:autoRedefine/>
    <w:qFormat/>
    <w:uiPriority w:val="0"/>
    <w:rPr>
      <w:b/>
      <w:bCs/>
      <w:sz w:val="21"/>
      <w:szCs w:val="21"/>
    </w:rPr>
  </w:style>
  <w:style w:type="character" w:customStyle="1" w:styleId="85">
    <w:name w:val="纯文本 Char1"/>
    <w:autoRedefine/>
    <w:qFormat/>
    <w:uiPriority w:val="0"/>
    <w:rPr>
      <w:rFonts w:ascii="宋体" w:hAnsi="Courier New" w:eastAsia="宋体" w:cs="Courier New"/>
      <w:kern w:val="2"/>
      <w:sz w:val="21"/>
      <w:szCs w:val="21"/>
      <w:lang w:val="en-US" w:eastAsia="zh-CN" w:bidi="ar-SA"/>
    </w:rPr>
  </w:style>
  <w:style w:type="character" w:customStyle="1" w:styleId="86">
    <w:name w:val="标题 4 字符1"/>
    <w:autoRedefine/>
    <w:qFormat/>
    <w:uiPriority w:val="0"/>
    <w:rPr>
      <w:rFonts w:ascii="Arial" w:hAnsi="Arial" w:eastAsia="黑体"/>
      <w:sz w:val="28"/>
    </w:rPr>
  </w:style>
  <w:style w:type="character" w:customStyle="1" w:styleId="87">
    <w:name w:val="short_text1"/>
    <w:autoRedefine/>
    <w:qFormat/>
    <w:uiPriority w:val="0"/>
    <w:rPr>
      <w:sz w:val="26"/>
    </w:rPr>
  </w:style>
  <w:style w:type="character" w:customStyle="1" w:styleId="88">
    <w:name w:val="正文文本首行缩进 2 字符1"/>
    <w:link w:val="51"/>
    <w:autoRedefine/>
    <w:qFormat/>
    <w:uiPriority w:val="0"/>
    <w:rPr>
      <w:kern w:val="2"/>
      <w:sz w:val="21"/>
      <w:szCs w:val="24"/>
    </w:rPr>
  </w:style>
  <w:style w:type="character" w:customStyle="1" w:styleId="89">
    <w:name w:val="1ji Char"/>
    <w:link w:val="90"/>
    <w:autoRedefine/>
    <w:qFormat/>
    <w:uiPriority w:val="0"/>
    <w:rPr>
      <w:rFonts w:ascii="宋体" w:hAnsi="宋体" w:eastAsia="宋体"/>
      <w:b/>
      <w:bCs/>
      <w:kern w:val="44"/>
      <w:sz w:val="36"/>
      <w:szCs w:val="44"/>
      <w:lang w:val="en-US" w:eastAsia="zh-CN" w:bidi="ar-SA"/>
    </w:rPr>
  </w:style>
  <w:style w:type="paragraph" w:customStyle="1" w:styleId="90">
    <w:name w:val="1ji"/>
    <w:basedOn w:val="3"/>
    <w:link w:val="89"/>
    <w:autoRedefine/>
    <w:qFormat/>
    <w:uiPriority w:val="0"/>
    <w:pPr>
      <w:keepLines w:val="0"/>
      <w:widowControl/>
      <w:spacing w:before="0" w:after="0" w:line="240" w:lineRule="auto"/>
      <w:jc w:val="center"/>
    </w:pPr>
    <w:rPr>
      <w:sz w:val="36"/>
    </w:rPr>
  </w:style>
  <w:style w:type="character" w:customStyle="1" w:styleId="91">
    <w:name w:val="标题 7 字符"/>
    <w:autoRedefine/>
    <w:semiHidden/>
    <w:qFormat/>
    <w:uiPriority w:val="9"/>
    <w:rPr>
      <w:b/>
      <w:bCs/>
      <w:kern w:val="2"/>
      <w:sz w:val="24"/>
      <w:szCs w:val="24"/>
    </w:rPr>
  </w:style>
  <w:style w:type="character" w:customStyle="1" w:styleId="92">
    <w:name w:val="批注主题 字符"/>
    <w:autoRedefine/>
    <w:semiHidden/>
    <w:qFormat/>
    <w:uiPriority w:val="99"/>
    <w:rPr>
      <w:b/>
      <w:bCs/>
      <w:kern w:val="2"/>
      <w:sz w:val="21"/>
      <w:szCs w:val="24"/>
    </w:rPr>
  </w:style>
  <w:style w:type="character" w:customStyle="1" w:styleId="93">
    <w:name w:val="批注主题 字符1"/>
    <w:link w:val="49"/>
    <w:autoRedefine/>
    <w:qFormat/>
    <w:uiPriority w:val="0"/>
    <w:rPr>
      <w:b/>
      <w:bCs/>
      <w:kern w:val="2"/>
      <w:sz w:val="21"/>
      <w:szCs w:val="24"/>
    </w:rPr>
  </w:style>
  <w:style w:type="character" w:customStyle="1" w:styleId="94">
    <w:name w:val="正文文本首行缩进 字符"/>
    <w:autoRedefine/>
    <w:semiHidden/>
    <w:qFormat/>
    <w:uiPriority w:val="99"/>
  </w:style>
  <w:style w:type="character" w:customStyle="1" w:styleId="95">
    <w:name w:val="f151"/>
    <w:autoRedefine/>
    <w:qFormat/>
    <w:uiPriority w:val="0"/>
    <w:rPr>
      <w:sz w:val="23"/>
      <w:szCs w:val="23"/>
    </w:rPr>
  </w:style>
  <w:style w:type="character" w:customStyle="1" w:styleId="96">
    <w:name w:val="标题 5 字符"/>
    <w:autoRedefine/>
    <w:semiHidden/>
    <w:qFormat/>
    <w:uiPriority w:val="9"/>
    <w:rPr>
      <w:b/>
      <w:bCs/>
      <w:kern w:val="2"/>
      <w:sz w:val="28"/>
      <w:szCs w:val="28"/>
    </w:rPr>
  </w:style>
  <w:style w:type="character" w:customStyle="1" w:styleId="97">
    <w:name w:val="content2"/>
    <w:basedOn w:val="54"/>
    <w:autoRedefine/>
    <w:qFormat/>
    <w:uiPriority w:val="0"/>
  </w:style>
  <w:style w:type="character" w:customStyle="1" w:styleId="98">
    <w:name w:val="062"/>
    <w:autoRedefine/>
    <w:qFormat/>
    <w:uiPriority w:val="0"/>
    <w:rPr>
      <w:rFonts w:ascii="宋体" w:hAnsi="宋体"/>
      <w:b/>
      <w:bCs/>
      <w:sz w:val="32"/>
    </w:rPr>
  </w:style>
  <w:style w:type="character" w:customStyle="1" w:styleId="99">
    <w:name w:val="正文文本缩进 字符"/>
    <w:autoRedefine/>
    <w:semiHidden/>
    <w:qFormat/>
    <w:uiPriority w:val="99"/>
    <w:rPr>
      <w:kern w:val="2"/>
      <w:sz w:val="21"/>
      <w:szCs w:val="24"/>
    </w:rPr>
  </w:style>
  <w:style w:type="character" w:customStyle="1" w:styleId="100">
    <w:name w:val="small"/>
    <w:basedOn w:val="54"/>
    <w:autoRedefine/>
    <w:qFormat/>
    <w:uiPriority w:val="0"/>
  </w:style>
  <w:style w:type="character" w:customStyle="1" w:styleId="101">
    <w:name w:val="页眉 字符"/>
    <w:autoRedefine/>
    <w:semiHidden/>
    <w:qFormat/>
    <w:uiPriority w:val="99"/>
    <w:rPr>
      <w:kern w:val="2"/>
      <w:sz w:val="18"/>
      <w:szCs w:val="18"/>
    </w:rPr>
  </w:style>
  <w:style w:type="character" w:customStyle="1" w:styleId="102">
    <w:name w:val="标题 字符"/>
    <w:autoRedefine/>
    <w:qFormat/>
    <w:uiPriority w:val="10"/>
    <w:rPr>
      <w:rFonts w:ascii="等线 Light" w:hAnsi="等线 Light" w:eastAsia="等线 Light" w:cs="Times New Roman"/>
      <w:b/>
      <w:bCs/>
      <w:kern w:val="2"/>
      <w:sz w:val="32"/>
      <w:szCs w:val="32"/>
    </w:rPr>
  </w:style>
  <w:style w:type="character" w:customStyle="1" w:styleId="103">
    <w:name w:val="批注框文本 字符1"/>
    <w:link w:val="31"/>
    <w:autoRedefine/>
    <w:qFormat/>
    <w:uiPriority w:val="0"/>
    <w:rPr>
      <w:kern w:val="2"/>
      <w:sz w:val="18"/>
      <w:szCs w:val="18"/>
    </w:rPr>
  </w:style>
  <w:style w:type="character" w:customStyle="1" w:styleId="104">
    <w:name w:val="页脚 字符1"/>
    <w:link w:val="32"/>
    <w:autoRedefine/>
    <w:qFormat/>
    <w:uiPriority w:val="0"/>
    <w:rPr>
      <w:kern w:val="2"/>
      <w:sz w:val="18"/>
      <w:szCs w:val="18"/>
    </w:rPr>
  </w:style>
  <w:style w:type="character" w:customStyle="1" w:styleId="105">
    <w:name w:val="批注文字 字符"/>
    <w:autoRedefine/>
    <w:qFormat/>
    <w:uiPriority w:val="0"/>
    <w:rPr>
      <w:kern w:val="2"/>
      <w:sz w:val="21"/>
      <w:szCs w:val="24"/>
    </w:rPr>
  </w:style>
  <w:style w:type="character" w:customStyle="1" w:styleId="106">
    <w:name w:val="标题 2 字符"/>
    <w:autoRedefine/>
    <w:semiHidden/>
    <w:qFormat/>
    <w:uiPriority w:val="9"/>
    <w:rPr>
      <w:rFonts w:ascii="等线 Light" w:hAnsi="等线 Light" w:eastAsia="等线 Light" w:cs="Times New Roman"/>
      <w:b/>
      <w:bCs/>
      <w:kern w:val="2"/>
      <w:sz w:val="32"/>
      <w:szCs w:val="32"/>
    </w:rPr>
  </w:style>
  <w:style w:type="character" w:customStyle="1" w:styleId="107">
    <w:name w:val="文档结构图 字符"/>
    <w:autoRedefine/>
    <w:semiHidden/>
    <w:qFormat/>
    <w:uiPriority w:val="99"/>
    <w:rPr>
      <w:rFonts w:ascii="Microsoft YaHei UI" w:eastAsia="Microsoft YaHei UI"/>
      <w:kern w:val="2"/>
      <w:sz w:val="18"/>
      <w:szCs w:val="18"/>
    </w:rPr>
  </w:style>
  <w:style w:type="character" w:customStyle="1" w:styleId="108">
    <w:name w:val="z-窗体顶端 字符1"/>
    <w:link w:val="109"/>
    <w:autoRedefine/>
    <w:qFormat/>
    <w:uiPriority w:val="0"/>
    <w:rPr>
      <w:rFonts w:ascii="Arial"/>
      <w:vanish/>
      <w:kern w:val="2"/>
      <w:sz w:val="16"/>
      <w:szCs w:val="24"/>
    </w:rPr>
  </w:style>
  <w:style w:type="paragraph" w:customStyle="1" w:styleId="109">
    <w:name w:val="z-窗体顶端1"/>
    <w:basedOn w:val="1"/>
    <w:next w:val="1"/>
    <w:link w:val="108"/>
    <w:autoRedefine/>
    <w:qFormat/>
    <w:uiPriority w:val="0"/>
    <w:pPr>
      <w:pBdr>
        <w:bottom w:val="single" w:color="auto" w:sz="6" w:space="1"/>
      </w:pBdr>
      <w:jc w:val="center"/>
    </w:pPr>
    <w:rPr>
      <w:rFonts w:ascii="Arial"/>
      <w:vanish/>
      <w:sz w:val="16"/>
    </w:rPr>
  </w:style>
  <w:style w:type="character" w:customStyle="1" w:styleId="110">
    <w:name w:val="highlight"/>
    <w:autoRedefine/>
    <w:qFormat/>
    <w:uiPriority w:val="0"/>
  </w:style>
  <w:style w:type="character" w:customStyle="1" w:styleId="111">
    <w:name w:val="标题 字符1"/>
    <w:link w:val="48"/>
    <w:autoRedefine/>
    <w:qFormat/>
    <w:uiPriority w:val="0"/>
    <w:rPr>
      <w:kern w:val="2"/>
      <w:sz w:val="30"/>
      <w:szCs w:val="24"/>
    </w:rPr>
  </w:style>
  <w:style w:type="character" w:customStyle="1" w:styleId="112">
    <w:name w:val="标题 1 字符1"/>
    <w:autoRedefine/>
    <w:qFormat/>
    <w:uiPriority w:val="9"/>
    <w:rPr>
      <w:rFonts w:eastAsia="宋体"/>
      <w:b/>
      <w:bCs/>
      <w:kern w:val="44"/>
      <w:sz w:val="44"/>
      <w:szCs w:val="44"/>
      <w:lang w:val="en-US" w:eastAsia="zh-CN" w:bidi="ar-SA"/>
    </w:rPr>
  </w:style>
  <w:style w:type="character" w:customStyle="1" w:styleId="113">
    <w:name w:val="1051"/>
    <w:autoRedefine/>
    <w:qFormat/>
    <w:uiPriority w:val="0"/>
    <w:rPr>
      <w:sz w:val="21"/>
      <w:szCs w:val="21"/>
    </w:rPr>
  </w:style>
  <w:style w:type="character" w:customStyle="1" w:styleId="114">
    <w:name w:val="HTML 预设格式 字符1"/>
    <w:link w:val="45"/>
    <w:autoRedefine/>
    <w:qFormat/>
    <w:uiPriority w:val="0"/>
    <w:rPr>
      <w:rFonts w:ascii="黑体" w:hAnsi="Courier New" w:eastAsia="黑体" w:cs="Courier New"/>
    </w:rPr>
  </w:style>
  <w:style w:type="character" w:customStyle="1" w:styleId="115">
    <w:name w:val="批注框文本 字符"/>
    <w:autoRedefine/>
    <w:semiHidden/>
    <w:qFormat/>
    <w:uiPriority w:val="99"/>
    <w:rPr>
      <w:kern w:val="2"/>
      <w:sz w:val="18"/>
      <w:szCs w:val="18"/>
    </w:rPr>
  </w:style>
  <w:style w:type="character" w:customStyle="1" w:styleId="116">
    <w:name w:val="style21"/>
    <w:autoRedefine/>
    <w:qFormat/>
    <w:uiPriority w:val="0"/>
    <w:rPr>
      <w:sz w:val="17"/>
      <w:szCs w:val="17"/>
    </w:rPr>
  </w:style>
  <w:style w:type="character" w:customStyle="1" w:styleId="117">
    <w:name w:val="正文文本 3 字符"/>
    <w:autoRedefine/>
    <w:semiHidden/>
    <w:qFormat/>
    <w:uiPriority w:val="99"/>
    <w:rPr>
      <w:kern w:val="2"/>
      <w:sz w:val="16"/>
      <w:szCs w:val="16"/>
    </w:rPr>
  </w:style>
  <w:style w:type="character" w:customStyle="1" w:styleId="118">
    <w:name w:val="正文文本缩进 3 字符1"/>
    <w:link w:val="39"/>
    <w:autoRedefine/>
    <w:qFormat/>
    <w:uiPriority w:val="0"/>
    <w:rPr>
      <w:kern w:val="2"/>
      <w:sz w:val="16"/>
      <w:szCs w:val="16"/>
    </w:rPr>
  </w:style>
  <w:style w:type="character" w:customStyle="1" w:styleId="119">
    <w:name w:val="unnamed3"/>
    <w:basedOn w:val="54"/>
    <w:autoRedefine/>
    <w:qFormat/>
    <w:uiPriority w:val="0"/>
  </w:style>
  <w:style w:type="character" w:customStyle="1" w:styleId="120">
    <w:name w:val="fd"/>
    <w:autoRedefine/>
    <w:qFormat/>
    <w:uiPriority w:val="0"/>
  </w:style>
  <w:style w:type="character" w:customStyle="1" w:styleId="121">
    <w:name w:val="标题 9 字符"/>
    <w:autoRedefine/>
    <w:semiHidden/>
    <w:qFormat/>
    <w:uiPriority w:val="9"/>
    <w:rPr>
      <w:rFonts w:ascii="等线 Light" w:hAnsi="等线 Light" w:eastAsia="等线 Light" w:cs="Times New Roman"/>
      <w:kern w:val="2"/>
      <w:sz w:val="21"/>
      <w:szCs w:val="21"/>
    </w:rPr>
  </w:style>
  <w:style w:type="character" w:customStyle="1" w:styleId="122">
    <w:name w:val="标题 5 字符1"/>
    <w:link w:val="7"/>
    <w:autoRedefine/>
    <w:qFormat/>
    <w:uiPriority w:val="0"/>
    <w:rPr>
      <w:b/>
      <w:kern w:val="2"/>
      <w:sz w:val="28"/>
      <w:szCs w:val="24"/>
    </w:rPr>
  </w:style>
  <w:style w:type="character" w:customStyle="1" w:styleId="123">
    <w:name w:val="标题 2 字符1"/>
    <w:link w:val="4"/>
    <w:autoRedefine/>
    <w:qFormat/>
    <w:uiPriority w:val="0"/>
    <w:rPr>
      <w:rFonts w:ascii="Arial" w:hAnsi="Arial" w:eastAsia="黑体"/>
      <w:b/>
      <w:bCs/>
      <w:kern w:val="2"/>
      <w:sz w:val="32"/>
      <w:szCs w:val="32"/>
    </w:rPr>
  </w:style>
  <w:style w:type="character" w:customStyle="1" w:styleId="124">
    <w:name w:val="正文文本缩进 2 字符"/>
    <w:autoRedefine/>
    <w:semiHidden/>
    <w:qFormat/>
    <w:uiPriority w:val="99"/>
    <w:rPr>
      <w:kern w:val="2"/>
      <w:sz w:val="21"/>
      <w:szCs w:val="24"/>
    </w:rPr>
  </w:style>
  <w:style w:type="character" w:customStyle="1" w:styleId="125">
    <w:name w:val="z-窗体顶端 字符"/>
    <w:autoRedefine/>
    <w:semiHidden/>
    <w:qFormat/>
    <w:uiPriority w:val="99"/>
    <w:rPr>
      <w:rFonts w:ascii="Arial" w:hAnsi="Arial" w:cs="Arial"/>
      <w:vanish/>
      <w:kern w:val="2"/>
      <w:sz w:val="16"/>
      <w:szCs w:val="16"/>
    </w:rPr>
  </w:style>
  <w:style w:type="character" w:customStyle="1" w:styleId="126">
    <w:name w:val="标题 6 字符1"/>
    <w:link w:val="9"/>
    <w:autoRedefine/>
    <w:qFormat/>
    <w:uiPriority w:val="0"/>
    <w:rPr>
      <w:rFonts w:ascii="Arial" w:hAnsi="Arial" w:eastAsia="黑体"/>
      <w:b/>
      <w:kern w:val="2"/>
      <w:sz w:val="24"/>
      <w:szCs w:val="24"/>
    </w:rPr>
  </w:style>
  <w:style w:type="character" w:customStyle="1" w:styleId="127">
    <w:name w:val="case31"/>
    <w:autoRedefine/>
    <w:qFormat/>
    <w:uiPriority w:val="0"/>
    <w:rPr>
      <w:rFonts w:hint="default"/>
      <w:sz w:val="21"/>
      <w:szCs w:val="21"/>
    </w:rPr>
  </w:style>
  <w:style w:type="character" w:customStyle="1" w:styleId="128">
    <w:name w:val="标题3 Char"/>
    <w:link w:val="129"/>
    <w:autoRedefine/>
    <w:qFormat/>
    <w:uiPriority w:val="0"/>
    <w:rPr>
      <w:rFonts w:ascii="宋体" w:hAnsi="宋体"/>
      <w:b/>
      <w:bCs/>
      <w:kern w:val="44"/>
      <w:sz w:val="24"/>
      <w:szCs w:val="24"/>
    </w:rPr>
  </w:style>
  <w:style w:type="paragraph" w:customStyle="1" w:styleId="129">
    <w:name w:val="标题3"/>
    <w:basedOn w:val="3"/>
    <w:link w:val="128"/>
    <w:autoRedefine/>
    <w:qFormat/>
    <w:uiPriority w:val="0"/>
    <w:pPr>
      <w:spacing w:before="0" w:beforeLines="50" w:after="0" w:afterLines="50" w:line="400" w:lineRule="exact"/>
    </w:pPr>
    <w:rPr>
      <w:sz w:val="24"/>
      <w:szCs w:val="24"/>
    </w:rPr>
  </w:style>
  <w:style w:type="character" w:customStyle="1" w:styleId="130">
    <w:name w:val="正文文本 2 字符1"/>
    <w:autoRedefine/>
    <w:qFormat/>
    <w:uiPriority w:val="0"/>
    <w:rPr>
      <w:kern w:val="2"/>
      <w:sz w:val="21"/>
      <w:szCs w:val="24"/>
    </w:rPr>
  </w:style>
  <w:style w:type="character" w:customStyle="1" w:styleId="131">
    <w:name w:val="标题 3 字符"/>
    <w:autoRedefine/>
    <w:semiHidden/>
    <w:qFormat/>
    <w:uiPriority w:val="9"/>
    <w:rPr>
      <w:b/>
      <w:bCs/>
      <w:kern w:val="2"/>
      <w:sz w:val="32"/>
      <w:szCs w:val="32"/>
    </w:rPr>
  </w:style>
  <w:style w:type="character" w:customStyle="1" w:styleId="132">
    <w:name w:val="正文文本 2 字符"/>
    <w:autoRedefine/>
    <w:semiHidden/>
    <w:qFormat/>
    <w:uiPriority w:val="99"/>
    <w:rPr>
      <w:kern w:val="2"/>
      <w:sz w:val="21"/>
      <w:szCs w:val="24"/>
    </w:rPr>
  </w:style>
  <w:style w:type="character" w:customStyle="1" w:styleId="133">
    <w:name w:val="标题 1 字符"/>
    <w:autoRedefine/>
    <w:qFormat/>
    <w:uiPriority w:val="9"/>
    <w:rPr>
      <w:b/>
      <w:bCs/>
      <w:kern w:val="44"/>
      <w:sz w:val="44"/>
      <w:szCs w:val="44"/>
    </w:rPr>
  </w:style>
  <w:style w:type="character" w:customStyle="1" w:styleId="134">
    <w:name w:val="页脚 字符"/>
    <w:autoRedefine/>
    <w:qFormat/>
    <w:uiPriority w:val="99"/>
    <w:rPr>
      <w:kern w:val="2"/>
      <w:sz w:val="18"/>
      <w:szCs w:val="18"/>
    </w:rPr>
  </w:style>
  <w:style w:type="character" w:customStyle="1" w:styleId="135">
    <w:name w:val="正文文本首行缩进 2 字符"/>
    <w:autoRedefine/>
    <w:semiHidden/>
    <w:qFormat/>
    <w:uiPriority w:val="99"/>
  </w:style>
  <w:style w:type="character" w:customStyle="1" w:styleId="136">
    <w:name w:val="文档结构图 字符1"/>
    <w:link w:val="17"/>
    <w:autoRedefine/>
    <w:qFormat/>
    <w:uiPriority w:val="0"/>
    <w:rPr>
      <w:sz w:val="21"/>
      <w:shd w:val="clear" w:color="auto" w:fill="000080"/>
    </w:rPr>
  </w:style>
  <w:style w:type="character" w:customStyle="1" w:styleId="137">
    <w:name w:val="正文文本首行缩进 字符1"/>
    <w:link w:val="50"/>
    <w:autoRedefine/>
    <w:qFormat/>
    <w:uiPriority w:val="0"/>
    <w:rPr>
      <w:kern w:val="2"/>
      <w:sz w:val="21"/>
      <w:szCs w:val="24"/>
    </w:rPr>
  </w:style>
  <w:style w:type="character" w:customStyle="1" w:styleId="138">
    <w:name w:val="apple-converted-space"/>
    <w:autoRedefine/>
    <w:qFormat/>
    <w:uiPriority w:val="0"/>
  </w:style>
  <w:style w:type="character" w:customStyle="1" w:styleId="139">
    <w:name w:val="批注文字 字符1"/>
    <w:link w:val="18"/>
    <w:autoRedefine/>
    <w:qFormat/>
    <w:uiPriority w:val="0"/>
    <w:rPr>
      <w:kern w:val="2"/>
      <w:sz w:val="21"/>
      <w:szCs w:val="24"/>
    </w:rPr>
  </w:style>
  <w:style w:type="character" w:customStyle="1" w:styleId="140">
    <w:name w:val="纯文本 字符1"/>
    <w:autoRedefine/>
    <w:qFormat/>
    <w:uiPriority w:val="99"/>
    <w:rPr>
      <w:rFonts w:ascii="宋体" w:hAnsi="Courier New" w:eastAsia="宋体" w:cs="Courier New"/>
      <w:kern w:val="2"/>
      <w:sz w:val="21"/>
      <w:szCs w:val="21"/>
      <w:lang w:val="en-US" w:eastAsia="zh-CN" w:bidi="ar-SA"/>
    </w:rPr>
  </w:style>
  <w:style w:type="character" w:customStyle="1" w:styleId="141">
    <w:name w:val="正文文本 字符1"/>
    <w:autoRedefine/>
    <w:qFormat/>
    <w:uiPriority w:val="99"/>
    <w:rPr>
      <w:kern w:val="2"/>
      <w:sz w:val="24"/>
      <w:szCs w:val="24"/>
    </w:rPr>
  </w:style>
  <w:style w:type="character" w:customStyle="1" w:styleId="142">
    <w:name w:val="日期 字符"/>
    <w:autoRedefine/>
    <w:semiHidden/>
    <w:qFormat/>
    <w:uiPriority w:val="99"/>
    <w:rPr>
      <w:kern w:val="2"/>
      <w:sz w:val="21"/>
      <w:szCs w:val="24"/>
    </w:rPr>
  </w:style>
  <w:style w:type="character" w:customStyle="1" w:styleId="143">
    <w:name w:val="纯文本 字符"/>
    <w:autoRedefine/>
    <w:qFormat/>
    <w:uiPriority w:val="0"/>
    <w:rPr>
      <w:rFonts w:ascii="等线" w:hAnsi="Courier New" w:eastAsia="等线" w:cs="Courier New"/>
      <w:kern w:val="2"/>
      <w:sz w:val="21"/>
      <w:szCs w:val="24"/>
    </w:rPr>
  </w:style>
  <w:style w:type="character" w:customStyle="1" w:styleId="144">
    <w:name w:val="正文文本缩进 2 字符1"/>
    <w:link w:val="30"/>
    <w:autoRedefine/>
    <w:qFormat/>
    <w:uiPriority w:val="0"/>
    <w:rPr>
      <w:kern w:val="2"/>
      <w:sz w:val="32"/>
    </w:rPr>
  </w:style>
  <w:style w:type="character" w:customStyle="1" w:styleId="145">
    <w:name w:val="标题 9 字符1"/>
    <w:link w:val="12"/>
    <w:autoRedefine/>
    <w:qFormat/>
    <w:uiPriority w:val="0"/>
    <w:rPr>
      <w:rFonts w:ascii="Arial" w:hAnsi="Arial" w:eastAsia="黑体"/>
      <w:kern w:val="2"/>
      <w:sz w:val="21"/>
      <w:szCs w:val="24"/>
    </w:rPr>
  </w:style>
  <w:style w:type="character" w:customStyle="1" w:styleId="146">
    <w:name w:val="style11"/>
    <w:autoRedefine/>
    <w:qFormat/>
    <w:uiPriority w:val="0"/>
    <w:rPr>
      <w:rFonts w:hint="default" w:ascii="Arial" w:hAnsi="Arial" w:cs="Arial"/>
    </w:rPr>
  </w:style>
  <w:style w:type="character" w:customStyle="1" w:styleId="147">
    <w:name w:val="页眉 字符1"/>
    <w:autoRedefine/>
    <w:qFormat/>
    <w:uiPriority w:val="99"/>
    <w:rPr>
      <w:kern w:val="2"/>
      <w:sz w:val="18"/>
      <w:szCs w:val="18"/>
    </w:rPr>
  </w:style>
  <w:style w:type="character" w:customStyle="1" w:styleId="148">
    <w:name w:val="标题 8 字符"/>
    <w:autoRedefine/>
    <w:semiHidden/>
    <w:qFormat/>
    <w:uiPriority w:val="9"/>
    <w:rPr>
      <w:rFonts w:ascii="等线 Light" w:hAnsi="等线 Light" w:eastAsia="等线 Light" w:cs="Times New Roman"/>
      <w:kern w:val="2"/>
      <w:sz w:val="24"/>
      <w:szCs w:val="24"/>
    </w:rPr>
  </w:style>
  <w:style w:type="character" w:customStyle="1" w:styleId="149">
    <w:name w:val="正文文本缩进 3 字符"/>
    <w:autoRedefine/>
    <w:semiHidden/>
    <w:qFormat/>
    <w:uiPriority w:val="99"/>
    <w:rPr>
      <w:kern w:val="2"/>
      <w:sz w:val="16"/>
      <w:szCs w:val="16"/>
    </w:rPr>
  </w:style>
  <w:style w:type="character" w:customStyle="1" w:styleId="150">
    <w:name w:val="正文文本 字符"/>
    <w:autoRedefine/>
    <w:semiHidden/>
    <w:qFormat/>
    <w:uiPriority w:val="99"/>
    <w:rPr>
      <w:kern w:val="2"/>
      <w:sz w:val="21"/>
      <w:szCs w:val="24"/>
    </w:rPr>
  </w:style>
  <w:style w:type="paragraph" w:customStyle="1" w:styleId="151">
    <w:name w:val="Char Char Char Char Char Char Char"/>
    <w:basedOn w:val="1"/>
    <w:autoRedefine/>
    <w:qFormat/>
    <w:uiPriority w:val="0"/>
  </w:style>
  <w:style w:type="paragraph" w:customStyle="1" w:styleId="152">
    <w:name w:val="缺省文本"/>
    <w:basedOn w:val="1"/>
    <w:autoRedefine/>
    <w:qFormat/>
    <w:uiPriority w:val="0"/>
    <w:pPr>
      <w:autoSpaceDE w:val="0"/>
      <w:autoSpaceDN w:val="0"/>
      <w:adjustRightInd w:val="0"/>
      <w:jc w:val="left"/>
    </w:pPr>
    <w:rPr>
      <w:kern w:val="0"/>
      <w:sz w:val="24"/>
      <w:szCs w:val="20"/>
    </w:rPr>
  </w:style>
  <w:style w:type="paragraph" w:customStyle="1" w:styleId="153">
    <w:name w:val="TOC 标题1"/>
    <w:basedOn w:val="3"/>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54">
    <w:name w:val="paragraphindent"/>
    <w:basedOn w:val="1"/>
    <w:autoRedefine/>
    <w:qFormat/>
    <w:uiPriority w:val="0"/>
    <w:pPr>
      <w:widowControl/>
      <w:spacing w:before="100" w:beforeAutospacing="1" w:after="100" w:afterAutospacing="1"/>
      <w:jc w:val="left"/>
    </w:pPr>
    <w:rPr>
      <w:kern w:val="0"/>
      <w:sz w:val="24"/>
    </w:rPr>
  </w:style>
  <w:style w:type="paragraph" w:customStyle="1" w:styleId="155">
    <w:name w:val="默认段落字体 Para Char1"/>
    <w:next w:val="1"/>
    <w:autoRedefine/>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56">
    <w:name w:val="Char Char Char"/>
    <w:basedOn w:val="17"/>
    <w:autoRedefine/>
    <w:qFormat/>
    <w:uiPriority w:val="0"/>
    <w:pPr>
      <w:adjustRightInd/>
      <w:spacing w:line="240" w:lineRule="auto"/>
      <w:textAlignment w:val="auto"/>
    </w:pPr>
    <w:rPr>
      <w:rFonts w:ascii="Tahoma" w:hAnsi="Tahoma"/>
      <w:kern w:val="2"/>
      <w:sz w:val="24"/>
      <w:szCs w:val="24"/>
    </w:rPr>
  </w:style>
  <w:style w:type="paragraph" w:customStyle="1" w:styleId="157">
    <w:name w:val="Char Char Char Char Char Char Char Char Char Char Char Char Char Char Char Char"/>
    <w:basedOn w:val="1"/>
    <w:autoRedefine/>
    <w:qFormat/>
    <w:uiPriority w:val="0"/>
    <w:pPr>
      <w:tabs>
        <w:tab w:val="left" w:pos="360"/>
      </w:tabs>
      <w:ind w:left="482" w:firstLine="200" w:firstLineChars="200"/>
    </w:pPr>
    <w:rPr>
      <w:sz w:val="24"/>
    </w:rPr>
  </w:style>
  <w:style w:type="paragraph" w:customStyle="1" w:styleId="158">
    <w:name w:val="_Style 109"/>
    <w:basedOn w:val="1"/>
    <w:next w:val="159"/>
    <w:autoRedefine/>
    <w:qFormat/>
    <w:uiPriority w:val="34"/>
    <w:pPr>
      <w:ind w:firstLine="420" w:firstLineChars="200"/>
    </w:pPr>
    <w:rPr>
      <w:rFonts w:ascii="Calibri" w:hAnsi="Calibri"/>
      <w:szCs w:val="22"/>
    </w:rPr>
  </w:style>
  <w:style w:type="paragraph" w:styleId="159">
    <w:name w:val="List Paragraph"/>
    <w:basedOn w:val="1"/>
    <w:autoRedefine/>
    <w:qFormat/>
    <w:uiPriority w:val="34"/>
    <w:pPr>
      <w:ind w:firstLine="420" w:firstLineChars="200"/>
    </w:pPr>
    <w:rPr>
      <w:rFonts w:ascii="Calibri" w:hAnsi="Calibri"/>
      <w:szCs w:val="22"/>
    </w:rPr>
  </w:style>
  <w:style w:type="paragraph" w:customStyle="1" w:styleId="160">
    <w:name w:val="Default Paragraph Font Para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61">
    <w:name w:val="图"/>
    <w:basedOn w:val="1"/>
    <w:autoRedefine/>
    <w:qFormat/>
    <w:uiPriority w:val="0"/>
    <w:pPr>
      <w:keepNext/>
      <w:adjustRightInd w:val="0"/>
      <w:snapToGrid w:val="0"/>
      <w:spacing w:before="60" w:after="60" w:line="300" w:lineRule="auto"/>
      <w:jc w:val="center"/>
    </w:pPr>
    <w:rPr>
      <w:spacing w:val="20"/>
      <w:kern w:val="0"/>
      <w:sz w:val="24"/>
      <w:szCs w:val="20"/>
    </w:rPr>
  </w:style>
  <w:style w:type="paragraph" w:customStyle="1" w:styleId="162">
    <w:name w:val="2-2ji"/>
    <w:basedOn w:val="4"/>
    <w:autoRedefine/>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63">
    <w:name w:val="Char"/>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64">
    <w:name w:val="Char Char Char Char Char Char Char1"/>
    <w:basedOn w:val="1"/>
    <w:autoRedefine/>
    <w:qFormat/>
    <w:uiPriority w:val="0"/>
  </w:style>
  <w:style w:type="paragraph" w:customStyle="1" w:styleId="165">
    <w:name w:val="Char2"/>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66">
    <w:name w:val="xl31"/>
    <w:basedOn w:val="1"/>
    <w:autoRedefine/>
    <w:qFormat/>
    <w:uiPriority w:val="0"/>
    <w:pPr>
      <w:widowControl/>
      <w:pBdr>
        <w:bottom w:val="single" w:color="auto" w:sz="4" w:space="0"/>
        <w:right w:val="single" w:color="auto" w:sz="4" w:space="0"/>
      </w:pBdr>
      <w:spacing w:before="100" w:beforeAutospacing="1" w:after="100" w:afterAutospacing="1"/>
      <w:jc w:val="center"/>
    </w:pPr>
    <w:rPr>
      <w:kern w:val="0"/>
    </w:rPr>
  </w:style>
  <w:style w:type="paragraph" w:customStyle="1" w:styleId="167">
    <w:name w:val="tgt1"/>
    <w:basedOn w:val="1"/>
    <w:autoRedefine/>
    <w:qFormat/>
    <w:uiPriority w:val="0"/>
    <w:pPr>
      <w:widowControl/>
      <w:spacing w:after="150"/>
      <w:jc w:val="left"/>
    </w:pPr>
    <w:rPr>
      <w:kern w:val="0"/>
      <w:sz w:val="24"/>
    </w:rPr>
  </w:style>
  <w:style w:type="paragraph" w:customStyle="1" w:styleId="168">
    <w:name w:val="444"/>
    <w:basedOn w:val="1"/>
    <w:autoRedefine/>
    <w:qFormat/>
    <w:uiPriority w:val="0"/>
    <w:pPr>
      <w:adjustRightInd w:val="0"/>
      <w:spacing w:line="312" w:lineRule="atLeast"/>
      <w:jc w:val="center"/>
      <w:textAlignment w:val="baseline"/>
    </w:pPr>
    <w:rPr>
      <w:b/>
      <w:kern w:val="0"/>
      <w:sz w:val="36"/>
      <w:szCs w:val="36"/>
    </w:rPr>
  </w:style>
  <w:style w:type="paragraph" w:customStyle="1" w:styleId="169">
    <w:name w:val="表格"/>
    <w:basedOn w:val="1"/>
    <w:autoRedefine/>
    <w:qFormat/>
    <w:uiPriority w:val="0"/>
    <w:pPr>
      <w:spacing w:line="400" w:lineRule="exact"/>
    </w:pPr>
    <w:rPr>
      <w:sz w:val="24"/>
    </w:rPr>
  </w:style>
  <w:style w:type="paragraph" w:customStyle="1" w:styleId="170">
    <w:name w:val="F2"/>
    <w:basedOn w:val="1"/>
    <w:autoRedefine/>
    <w:qFormat/>
    <w:uiPriority w:val="0"/>
    <w:pPr>
      <w:autoSpaceDE w:val="0"/>
      <w:autoSpaceDN w:val="0"/>
      <w:adjustRightInd w:val="0"/>
      <w:ind w:firstLine="601"/>
      <w:textAlignment w:val="baseline"/>
    </w:pPr>
    <w:rPr>
      <w:kern w:val="0"/>
      <w:sz w:val="24"/>
      <w:szCs w:val="20"/>
    </w:rPr>
  </w:style>
  <w:style w:type="paragraph" w:customStyle="1" w:styleId="171">
    <w:name w:val="2ji"/>
    <w:basedOn w:val="4"/>
    <w:autoRedefine/>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72">
    <w:name w:val="Char Char Char1"/>
    <w:basedOn w:val="17"/>
    <w:autoRedefine/>
    <w:qFormat/>
    <w:uiPriority w:val="0"/>
    <w:pPr>
      <w:adjustRightInd/>
      <w:spacing w:line="240" w:lineRule="auto"/>
      <w:textAlignment w:val="auto"/>
    </w:pPr>
    <w:rPr>
      <w:rFonts w:ascii="Tahoma" w:hAnsi="Tahoma"/>
      <w:kern w:val="2"/>
      <w:sz w:val="24"/>
      <w:szCs w:val="24"/>
    </w:rPr>
  </w:style>
  <w:style w:type="paragraph" w:customStyle="1" w:styleId="173">
    <w:name w:val="样式 标题 3 + (中文) 黑体 小四 非加粗 段前: 7.8 磅 段后: 0 磅 行距: 固定值 20 磅"/>
    <w:basedOn w:val="5"/>
    <w:autoRedefine/>
    <w:qFormat/>
    <w:uiPriority w:val="0"/>
    <w:pPr>
      <w:spacing w:before="0" w:after="0" w:line="400" w:lineRule="exact"/>
    </w:pPr>
    <w:rPr>
      <w:rFonts w:eastAsia="黑体"/>
      <w:b w:val="0"/>
      <w:bCs w:val="0"/>
      <w:sz w:val="24"/>
      <w:szCs w:val="20"/>
    </w:rPr>
  </w:style>
  <w:style w:type="paragraph" w:customStyle="1" w:styleId="174">
    <w:name w:val="Char2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75">
    <w:name w:val="次小点说明 Char"/>
    <w:basedOn w:val="8"/>
    <w:autoRedefine/>
    <w:qFormat/>
    <w:uiPriority w:val="0"/>
    <w:pPr>
      <w:ind w:firstLine="0"/>
    </w:pPr>
    <w:rPr>
      <w:sz w:val="24"/>
      <w:szCs w:val="24"/>
    </w:rPr>
  </w:style>
  <w:style w:type="paragraph" w:customStyle="1" w:styleId="176">
    <w:name w:val="Char3"/>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7">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pPr>
    <w:rPr>
      <w:kern w:val="0"/>
    </w:rPr>
  </w:style>
  <w:style w:type="paragraph" w:customStyle="1" w:styleId="178">
    <w:name w:val="Char Char Char Char Char Char Char Char Char Char Char Char Char"/>
    <w:basedOn w:val="17"/>
    <w:autoRedefine/>
    <w:qFormat/>
    <w:uiPriority w:val="0"/>
    <w:pPr>
      <w:adjustRightInd/>
      <w:spacing w:line="240" w:lineRule="auto"/>
      <w:textAlignment w:val="auto"/>
    </w:pPr>
    <w:rPr>
      <w:rFonts w:ascii="Tahoma" w:hAnsi="Tahoma"/>
      <w:kern w:val="2"/>
      <w:sz w:val="24"/>
      <w:szCs w:val="24"/>
    </w:rPr>
  </w:style>
  <w:style w:type="paragraph" w:customStyle="1" w:styleId="179">
    <w:name w:val="Char Char Char Char Char Char Char Char Char Char Char Char Char Char Char Char1"/>
    <w:basedOn w:val="1"/>
    <w:autoRedefine/>
    <w:qFormat/>
    <w:uiPriority w:val="0"/>
    <w:pPr>
      <w:tabs>
        <w:tab w:val="left" w:pos="360"/>
      </w:tabs>
      <w:ind w:left="482" w:firstLine="200" w:firstLineChars="200"/>
    </w:pPr>
    <w:rPr>
      <w:sz w:val="24"/>
    </w:rPr>
  </w:style>
  <w:style w:type="paragraph" w:customStyle="1" w:styleId="180">
    <w:name w:val="xl3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rPr>
  </w:style>
  <w:style w:type="paragraph" w:customStyle="1" w:styleId="181">
    <w:name w:val="样式1"/>
    <w:basedOn w:val="1"/>
    <w:autoRedefine/>
    <w:qFormat/>
    <w:uiPriority w:val="0"/>
    <w:pPr>
      <w:spacing w:before="120" w:after="120" w:line="300" w:lineRule="auto"/>
    </w:pPr>
    <w:rPr>
      <w:b/>
      <w:sz w:val="24"/>
      <w:szCs w:val="20"/>
    </w:rPr>
  </w:style>
  <w:style w:type="paragraph" w:customStyle="1" w:styleId="182">
    <w:name w:val="Char Char Char Char Char Char Char Char Char Char Char Char Char1"/>
    <w:basedOn w:val="17"/>
    <w:autoRedefine/>
    <w:qFormat/>
    <w:uiPriority w:val="0"/>
    <w:pPr>
      <w:adjustRightInd/>
      <w:spacing w:line="240" w:lineRule="auto"/>
      <w:textAlignment w:val="auto"/>
    </w:pPr>
    <w:rPr>
      <w:rFonts w:ascii="Tahoma" w:hAnsi="Tahoma"/>
      <w:kern w:val="2"/>
      <w:sz w:val="24"/>
      <w:szCs w:val="24"/>
    </w:rPr>
  </w:style>
  <w:style w:type="paragraph" w:customStyle="1" w:styleId="183">
    <w:name w:val="默认段落字体 Para Char"/>
    <w:basedOn w:val="1"/>
    <w:autoRedefine/>
    <w:qFormat/>
    <w:uiPriority w:val="0"/>
    <w:pPr>
      <w:adjustRightInd w:val="0"/>
    </w:pPr>
    <w:rPr>
      <w:kern w:val="0"/>
      <w:sz w:val="24"/>
      <w:szCs w:val="20"/>
    </w:rPr>
  </w:style>
  <w:style w:type="paragraph" w:customStyle="1" w:styleId="184">
    <w:name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
    <w:name w:val="a9"/>
    <w:basedOn w:val="1"/>
    <w:autoRedefine/>
    <w:qFormat/>
    <w:uiPriority w:val="0"/>
    <w:pPr>
      <w:widowControl/>
      <w:spacing w:before="100" w:beforeAutospacing="1" w:after="100" w:afterAutospacing="1"/>
      <w:jc w:val="left"/>
    </w:pPr>
    <w:rPr>
      <w:kern w:val="0"/>
      <w:sz w:val="24"/>
    </w:rPr>
  </w:style>
  <w:style w:type="paragraph" w:customStyle="1" w:styleId="186">
    <w:name w:val="xl21"/>
    <w:basedOn w:val="1"/>
    <w:autoRedefine/>
    <w:qFormat/>
    <w:uiPriority w:val="0"/>
    <w:pPr>
      <w:widowControl/>
      <w:spacing w:before="100" w:beforeAutospacing="1" w:after="100" w:afterAutospacing="1"/>
      <w:jc w:val="center"/>
    </w:pPr>
    <w:rPr>
      <w:b/>
      <w:bCs/>
      <w:kern w:val="0"/>
      <w:sz w:val="28"/>
      <w:szCs w:val="28"/>
    </w:rPr>
  </w:style>
  <w:style w:type="paragraph" w:customStyle="1" w:styleId="187">
    <w:name w:val="Char4"/>
    <w:basedOn w:val="1"/>
    <w:autoRedefine/>
    <w:qFormat/>
    <w:uiPriority w:val="0"/>
    <w:pPr>
      <w:tabs>
        <w:tab w:val="left" w:pos="360"/>
      </w:tabs>
      <w:ind w:left="252" w:hanging="252" w:hangingChars="140"/>
    </w:pPr>
    <w:rPr>
      <w:sz w:val="18"/>
      <w:szCs w:val="18"/>
    </w:rPr>
  </w:style>
  <w:style w:type="paragraph" w:customStyle="1" w:styleId="188">
    <w:name w:val="Char Char Char Char Char Char1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89">
    <w:name w:val="表内文字"/>
    <w:basedOn w:val="1"/>
    <w:autoRedefine/>
    <w:qFormat/>
    <w:uiPriority w:val="0"/>
    <w:pPr>
      <w:snapToGrid w:val="0"/>
      <w:spacing w:before="50" w:after="50"/>
      <w:jc w:val="center"/>
    </w:pPr>
    <w:rPr>
      <w:rFonts w:ascii="仿宋_GB2312" w:eastAsia="仿宋_GB2312"/>
      <w:b/>
      <w:color w:val="000000"/>
      <w:sz w:val="32"/>
      <w:szCs w:val="32"/>
    </w:rPr>
  </w:style>
  <w:style w:type="paragraph" w:customStyle="1" w:styleId="190">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91">
    <w:name w:val="正文首行缩进两字符"/>
    <w:basedOn w:val="1"/>
    <w:autoRedefine/>
    <w:qFormat/>
    <w:uiPriority w:val="0"/>
    <w:pPr>
      <w:ind w:firstLine="200" w:firstLineChars="200"/>
    </w:pPr>
  </w:style>
  <w:style w:type="paragraph" w:customStyle="1" w:styleId="192">
    <w:name w:val="正文段"/>
    <w:basedOn w:val="1"/>
    <w:autoRedefine/>
    <w:qFormat/>
    <w:uiPriority w:val="0"/>
    <w:pPr>
      <w:widowControl/>
      <w:snapToGrid w:val="0"/>
      <w:spacing w:after="156" w:afterLines="50"/>
      <w:ind w:firstLine="200" w:firstLineChars="200"/>
    </w:pPr>
    <w:rPr>
      <w:kern w:val="0"/>
      <w:sz w:val="24"/>
      <w:szCs w:val="20"/>
    </w:rPr>
  </w:style>
  <w:style w:type="paragraph" w:customStyle="1" w:styleId="193">
    <w:name w:val="默认段落字体 Para Char Char Char Char Char Char Char Char Char1 Char Char Char Char"/>
    <w:basedOn w:val="1"/>
    <w:autoRedefine/>
    <w:qFormat/>
    <w:uiPriority w:val="0"/>
    <w:rPr>
      <w:rFonts w:ascii="Tahoma" w:hAnsi="Tahoma"/>
      <w:sz w:val="24"/>
      <w:szCs w:val="20"/>
    </w:rPr>
  </w:style>
  <w:style w:type="paragraph" w:customStyle="1" w:styleId="194">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b w:val="0"/>
      <w:bCs w:val="0"/>
      <w:sz w:val="28"/>
      <w:szCs w:val="20"/>
    </w:rPr>
  </w:style>
  <w:style w:type="paragraph" w:customStyle="1" w:styleId="195">
    <w:name w:val="1"/>
    <w:basedOn w:val="1"/>
    <w:next w:val="27"/>
    <w:autoRedefine/>
    <w:qFormat/>
    <w:uiPriority w:val="0"/>
    <w:rPr>
      <w:rFonts w:hAnsi="Courier New"/>
      <w:szCs w:val="20"/>
    </w:rPr>
  </w:style>
  <w:style w:type="paragraph" w:customStyle="1" w:styleId="196">
    <w:name w:val="Char1"/>
    <w:basedOn w:val="1"/>
    <w:autoRedefine/>
    <w:qFormat/>
    <w:uiPriority w:val="0"/>
  </w:style>
  <w:style w:type="paragraph" w:customStyle="1" w:styleId="197">
    <w:name w:val="五号正文（标准）"/>
    <w:basedOn w:val="1"/>
    <w:autoRedefine/>
    <w:qFormat/>
    <w:uiPriority w:val="0"/>
    <w:pPr>
      <w:ind w:right="55" w:firstLine="560" w:firstLineChars="200"/>
    </w:pPr>
    <w:rPr>
      <w:rFonts w:eastAsia="仿宋_GB2312"/>
      <w:sz w:val="28"/>
      <w:szCs w:val="20"/>
    </w:rPr>
  </w:style>
  <w:style w:type="paragraph" w:customStyle="1" w:styleId="198">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9">
    <w:name w:val="Char Char Char2"/>
    <w:basedOn w:val="1"/>
    <w:autoRedefine/>
    <w:qFormat/>
    <w:uiPriority w:val="0"/>
    <w:rPr>
      <w:rFonts w:ascii="Tahoma" w:hAnsi="Tahoma"/>
      <w:sz w:val="24"/>
      <w:szCs w:val="20"/>
    </w:rPr>
  </w:style>
  <w:style w:type="paragraph" w:customStyle="1" w:styleId="200">
    <w:name w:val="xl2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201">
    <w:name w:val="List Paragraph1"/>
    <w:basedOn w:val="1"/>
    <w:autoRedefine/>
    <w:qFormat/>
    <w:uiPriority w:val="0"/>
    <w:pPr>
      <w:ind w:firstLine="420" w:firstLineChars="200"/>
    </w:pPr>
    <w:rPr>
      <w:rFonts w:ascii="Calibri" w:hAnsi="Calibri"/>
      <w:szCs w:val="22"/>
    </w:rPr>
  </w:style>
  <w:style w:type="paragraph" w:customStyle="1" w:styleId="202">
    <w:name w:val="样式 首行缩进:  2 字符"/>
    <w:basedOn w:val="1"/>
    <w:autoRedefine/>
    <w:qFormat/>
    <w:uiPriority w:val="0"/>
    <w:pPr>
      <w:spacing w:line="400" w:lineRule="exact"/>
      <w:ind w:firstLine="200" w:firstLineChars="200"/>
    </w:pPr>
    <w:rPr>
      <w:sz w:val="24"/>
    </w:rPr>
  </w:style>
  <w:style w:type="paragraph" w:customStyle="1" w:styleId="203">
    <w:name w:val="普通 (Web)"/>
    <w:basedOn w:val="1"/>
    <w:autoRedefine/>
    <w:qFormat/>
    <w:uiPriority w:val="0"/>
    <w:pPr>
      <w:widowControl/>
      <w:spacing w:before="100" w:beforeAutospacing="1" w:after="100" w:afterAutospacing="1"/>
      <w:jc w:val="left"/>
    </w:pPr>
    <w:rPr>
      <w:kern w:val="0"/>
      <w:sz w:val="24"/>
    </w:rPr>
  </w:style>
  <w:style w:type="paragraph" w:customStyle="1" w:styleId="204">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5">
    <w:name w:val="Char Char Char Char Char Char1 Char1"/>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06">
    <w:name w:val="修订1"/>
    <w:autoRedefine/>
    <w:unhideWhenUsed/>
    <w:qFormat/>
    <w:uiPriority w:val="99"/>
    <w:rPr>
      <w:rFonts w:ascii="Times New Roman" w:hAnsi="Times New Roman" w:eastAsia="宋体" w:cs="Times New Roman"/>
      <w:kern w:val="2"/>
      <w:sz w:val="21"/>
      <w:szCs w:val="24"/>
      <w:lang w:val="en-US" w:eastAsia="zh-CN" w:bidi="ar-SA"/>
    </w:rPr>
  </w:style>
  <w:style w:type="character" w:customStyle="1" w:styleId="207">
    <w:name w:val="未处理的提及1"/>
    <w:autoRedefine/>
    <w:semiHidden/>
    <w:unhideWhenUsed/>
    <w:qFormat/>
    <w:uiPriority w:val="99"/>
    <w:rPr>
      <w:color w:val="605E5C"/>
      <w:shd w:val="clear" w:color="auto" w:fill="E1DFDD"/>
    </w:rPr>
  </w:style>
  <w:style w:type="character" w:customStyle="1" w:styleId="208">
    <w:name w:val="批注文字 Char"/>
    <w:autoRedefine/>
    <w:qFormat/>
    <w:uiPriority w:val="0"/>
    <w:rPr>
      <w:kern w:val="2"/>
      <w:sz w:val="21"/>
      <w:szCs w:val="24"/>
    </w:rPr>
  </w:style>
  <w:style w:type="character" w:styleId="209">
    <w:name w:val="Placeholder Text"/>
    <w:basedOn w:val="54"/>
    <w:autoRedefine/>
    <w:unhideWhenUsed/>
    <w:qFormat/>
    <w:uiPriority w:val="99"/>
    <w:rPr>
      <w:color w:val="808080"/>
    </w:rPr>
  </w:style>
  <w:style w:type="paragraph" w:customStyle="1" w:styleId="210">
    <w:name w:val="正文-2字符首行缩进"/>
    <w:basedOn w:val="1"/>
    <w:link w:val="211"/>
    <w:autoRedefine/>
    <w:qFormat/>
    <w:uiPriority w:val="0"/>
    <w:pPr>
      <w:widowControl/>
      <w:ind w:firstLine="200" w:firstLineChars="200"/>
    </w:pPr>
    <w:rPr>
      <w:rFonts w:ascii="仿宋_GB2312" w:hAnsi="Calibri" w:eastAsia="仿宋_GB2312"/>
      <w:kern w:val="0"/>
      <w:sz w:val="28"/>
      <w:szCs w:val="22"/>
    </w:rPr>
  </w:style>
  <w:style w:type="character" w:customStyle="1" w:styleId="211">
    <w:name w:val="正文-2字符首行缩进 Char"/>
    <w:link w:val="210"/>
    <w:autoRedefine/>
    <w:qFormat/>
    <w:uiPriority w:val="0"/>
    <w:rPr>
      <w:rFonts w:ascii="仿宋_GB2312" w:hAnsi="Calibri" w:eastAsia="仿宋_GB2312"/>
      <w:sz w:val="28"/>
      <w:szCs w:val="22"/>
    </w:rPr>
  </w:style>
  <w:style w:type="paragraph" w:customStyle="1" w:styleId="212">
    <w:name w:val="列出段落1"/>
    <w:basedOn w:val="1"/>
    <w:autoRedefine/>
    <w:qFormat/>
    <w:uiPriority w:val="99"/>
    <w:pPr>
      <w:ind w:firstLine="420" w:firstLineChars="200"/>
    </w:pPr>
    <w:rPr>
      <w:rFonts w:asciiTheme="minorHAnsi" w:hAnsiTheme="minorHAnsi" w:eastAsiaTheme="minorEastAsia" w:cstheme="minorBidi"/>
    </w:rPr>
  </w:style>
  <w:style w:type="character" w:customStyle="1" w:styleId="213">
    <w:name w:val="未处理的提及2"/>
    <w:basedOn w:val="54"/>
    <w:autoRedefine/>
    <w:semiHidden/>
    <w:unhideWhenUsed/>
    <w:qFormat/>
    <w:uiPriority w:val="99"/>
    <w:rPr>
      <w:color w:val="605E5C"/>
      <w:shd w:val="clear" w:color="auto" w:fill="E1DFDD"/>
    </w:rPr>
  </w:style>
  <w:style w:type="character" w:customStyle="1" w:styleId="214">
    <w:name w:val="标题 2 Char"/>
    <w:autoRedefine/>
    <w:qFormat/>
    <w:uiPriority w:val="0"/>
    <w:rPr>
      <w:rFonts w:ascii="Arial" w:hAnsi="Arial" w:eastAsia="黑体"/>
      <w:b/>
      <w:bCs/>
      <w:kern w:val="2"/>
      <w:sz w:val="32"/>
      <w:szCs w:val="32"/>
    </w:rPr>
  </w:style>
  <w:style w:type="character" w:customStyle="1" w:styleId="215">
    <w:name w:val="15"/>
    <w:basedOn w:val="54"/>
    <w:autoRedefine/>
    <w:qFormat/>
    <w:uiPriority w:val="0"/>
    <w:rPr>
      <w:rFonts w:hint="eastAsia" w:ascii="宋体" w:hAnsi="宋体" w:eastAsia="宋体"/>
      <w:color w:val="000000"/>
      <w:spacing w:val="0"/>
      <w:sz w:val="22"/>
      <w:szCs w:val="22"/>
    </w:rPr>
  </w:style>
  <w:style w:type="character" w:customStyle="1" w:styleId="216">
    <w:name w:val="批注文字 字符2"/>
    <w:autoRedefine/>
    <w:qFormat/>
    <w:uiPriority w:val="0"/>
    <w:rPr>
      <w:kern w:val="2"/>
      <w:sz w:val="21"/>
      <w:szCs w:val="24"/>
    </w:rPr>
  </w:style>
  <w:style w:type="character" w:customStyle="1" w:styleId="217">
    <w:name w:val="font31"/>
    <w:basedOn w:val="54"/>
    <w:autoRedefine/>
    <w:qFormat/>
    <w:uiPriority w:val="0"/>
    <w:rPr>
      <w:rFonts w:ascii="等线" w:hAnsi="等线" w:eastAsia="等线" w:cs="等线"/>
      <w:color w:val="000000"/>
      <w:sz w:val="21"/>
      <w:szCs w:val="21"/>
      <w:u w:val="none"/>
    </w:rPr>
  </w:style>
  <w:style w:type="paragraph" w:customStyle="1" w:styleId="218">
    <w:name w:val="表格文字"/>
    <w:basedOn w:val="1"/>
    <w:next w:val="2"/>
    <w:autoRedefine/>
    <w:qFormat/>
    <w:uiPriority w:val="0"/>
    <w:pPr>
      <w:spacing w:before="25" w:after="25"/>
      <w:jc w:val="left"/>
    </w:pPr>
    <w:rPr>
      <w:bCs/>
      <w:spacing w:val="10"/>
      <w:kern w:val="0"/>
      <w:sz w:val="24"/>
    </w:rPr>
  </w:style>
  <w:style w:type="character" w:customStyle="1" w:styleId="219">
    <w:name w:val="hover"/>
    <w:basedOn w:val="54"/>
    <w:autoRedefine/>
    <w:qFormat/>
    <w:uiPriority w:val="0"/>
    <w:rPr>
      <w:color w:val="2590EB"/>
    </w:rPr>
  </w:style>
  <w:style w:type="character" w:customStyle="1" w:styleId="220">
    <w:name w:val="hover1"/>
    <w:basedOn w:val="54"/>
    <w:autoRedefine/>
    <w:qFormat/>
    <w:uiPriority w:val="0"/>
  </w:style>
  <w:style w:type="character" w:customStyle="1" w:styleId="221">
    <w:name w:val="hover2"/>
    <w:basedOn w:val="54"/>
    <w:autoRedefine/>
    <w:qFormat/>
    <w:uiPriority w:val="0"/>
    <w:rPr>
      <w:color w:val="2590EB"/>
    </w:rPr>
  </w:style>
  <w:style w:type="character" w:customStyle="1" w:styleId="222">
    <w:name w:val="hover3"/>
    <w:basedOn w:val="54"/>
    <w:autoRedefine/>
    <w:qFormat/>
    <w:uiPriority w:val="0"/>
  </w:style>
  <w:style w:type="character" w:customStyle="1" w:styleId="223">
    <w:name w:val="纯文本 Char"/>
    <w:basedOn w:val="54"/>
    <w:autoRedefine/>
    <w:qFormat/>
    <w:uiPriority w:val="0"/>
    <w:rPr>
      <w:rFonts w:hint="eastAsia" w:ascii="宋体" w:hAnsi="Courier New" w:eastAsia="宋体" w:cs="Courier New"/>
      <w:kern w:val="2"/>
      <w:sz w:val="21"/>
      <w:szCs w:val="21"/>
    </w:rPr>
  </w:style>
  <w:style w:type="character" w:customStyle="1" w:styleId="224">
    <w:name w:val="标题 1 字符2"/>
    <w:basedOn w:val="54"/>
    <w:link w:val="3"/>
    <w:autoRedefine/>
    <w:qFormat/>
    <w:uiPriority w:val="0"/>
    <w:rPr>
      <w:b/>
      <w:bCs/>
      <w:kern w:val="44"/>
      <w:sz w:val="44"/>
      <w:szCs w:val="44"/>
    </w:rPr>
  </w:style>
  <w:style w:type="character" w:customStyle="1" w:styleId="225">
    <w:name w:val="纯文本 字符2"/>
    <w:basedOn w:val="54"/>
    <w:link w:val="27"/>
    <w:autoRedefine/>
    <w:qFormat/>
    <w:uiPriority w:val="0"/>
    <w:rPr>
      <w:rFonts w:hint="eastAsia" w:ascii="宋体" w:hAnsi="Courier New" w:eastAsia="宋体" w:cs="宋体"/>
      <w:szCs w:val="21"/>
    </w:rPr>
  </w:style>
  <w:style w:type="paragraph" w:customStyle="1" w:styleId="226">
    <w:name w:val="Table Text"/>
    <w:basedOn w:val="1"/>
    <w:autoRedefine/>
    <w:semiHidden/>
    <w:qFormat/>
    <w:uiPriority w:val="0"/>
    <w:rPr>
      <w:lang w:eastAsia="en-US"/>
    </w:rPr>
  </w:style>
  <w:style w:type="table" w:customStyle="1" w:styleId="227">
    <w:name w:val="Table Normal"/>
    <w:autoRedefine/>
    <w:semiHidden/>
    <w:unhideWhenUsed/>
    <w:qFormat/>
    <w:uiPriority w:val="0"/>
    <w:tblPr>
      <w:tblCellMar>
        <w:top w:w="0" w:type="dxa"/>
        <w:left w:w="0" w:type="dxa"/>
        <w:bottom w:w="0" w:type="dxa"/>
        <w:right w:w="0" w:type="dxa"/>
      </w:tblCellMar>
    </w:tblPr>
  </w:style>
  <w:style w:type="character" w:customStyle="1" w:styleId="228">
    <w:name w:val="正文文本 字符2"/>
    <w:basedOn w:val="54"/>
    <w:link w:val="2"/>
    <w:autoRedefine/>
    <w:qFormat/>
    <w:uiPriority w:val="0"/>
    <w:rPr>
      <w:sz w:val="24"/>
      <w:szCs w:val="24"/>
    </w:rPr>
  </w:style>
  <w:style w:type="character" w:customStyle="1" w:styleId="229">
    <w:name w:val="页眉 字符2"/>
    <w:basedOn w:val="54"/>
    <w:link w:val="33"/>
    <w:autoRedefine/>
    <w:qFormat/>
    <w:uiPriority w:val="0"/>
    <w:rPr>
      <w:rFonts w:hint="default" w:ascii="Calibri" w:hAnsi="Calibri" w:cs="Calibri"/>
      <w:kern w:val="2"/>
      <w:sz w:val="18"/>
      <w:szCs w:val="18"/>
    </w:rPr>
  </w:style>
  <w:style w:type="character" w:customStyle="1" w:styleId="230">
    <w:name w:val="正文文本 2 字符2"/>
    <w:basedOn w:val="54"/>
    <w:link w:val="42"/>
    <w:autoRedefine/>
    <w:qFormat/>
    <w:uiPriority w:val="0"/>
    <w:rPr>
      <w:kern w:val="2"/>
      <w:sz w:val="21"/>
      <w:szCs w:val="24"/>
    </w:rPr>
  </w:style>
  <w:style w:type="character" w:customStyle="1" w:styleId="231">
    <w:name w:val="标题 4 字符2"/>
    <w:basedOn w:val="54"/>
    <w:link w:val="6"/>
    <w:autoRedefine/>
    <w:qFormat/>
    <w:uiPriority w:val="0"/>
    <w:rPr>
      <w:rFonts w:ascii="Cambria" w:hAnsi="Cambria" w:eastAsia="宋体" w:cs="Times New Roman"/>
      <w:b/>
      <w:bCs/>
      <w:kern w:val="2"/>
      <w:sz w:val="28"/>
      <w:szCs w:val="28"/>
    </w:rPr>
  </w:style>
  <w:style w:type="character" w:customStyle="1" w:styleId="232">
    <w:name w:val="font91"/>
    <w:basedOn w:val="54"/>
    <w:qFormat/>
    <w:uiPriority w:val="0"/>
    <w:rPr>
      <w:rFonts w:hint="eastAsia" w:ascii="宋体" w:hAnsi="宋体" w:eastAsia="宋体" w:cs="宋体"/>
      <w:color w:val="000000"/>
      <w:sz w:val="20"/>
      <w:szCs w:val="20"/>
      <w:u w:val="none"/>
    </w:rPr>
  </w:style>
  <w:style w:type="character" w:customStyle="1" w:styleId="233">
    <w:name w:val="font71"/>
    <w:basedOn w:val="5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253B06-8040-433C-BDBE-5655D5F697E9}">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101</Pages>
  <Words>3274</Words>
  <Characters>3911</Characters>
  <Lines>599</Lines>
  <Paragraphs>168</Paragraphs>
  <TotalTime>16</TotalTime>
  <ScaleCrop>false</ScaleCrop>
  <LinksUpToDate>false</LinksUpToDate>
  <CharactersWithSpaces>4030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2024-08-28T01:21:00Z</dcterms:created>
  <dc:creator>微软用户</dc:creator>
  <cp:lastModifiedBy>songqingping</cp:lastModifiedBy>
  <cp:lastPrinted>2024-08-26T03:47:00Z</cp:lastPrinted>
  <dcterms:modified xsi:type="dcterms:W3CDTF">2026-06-12T10:06:50Z</dcterms:modified>
  <dc:title>桂财采〔2009〕 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1AC40902E0BE4EF8886ABD7D4C2BECB7_13</vt:lpwstr>
  </property>
  <property fmtid="{D5CDD505-2E9C-101B-9397-08002B2CF9AE}" pid="14" name="KSOTemplateDocerSaveRecord">
    <vt:lpwstr>eyJoZGlkIjoiYmEzYWQ0ODFkOThjN2I2MDY4NzFhNzI0YjA5OTRmODQiLCJ1c2VySWQiOiI0NTg3MjgwNjcifQ==</vt:lpwstr>
  </property>
</Properties>
</file>