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814E6">
      <w:pPr>
        <w:spacing w:before="165" w:beforeLines="50" w:line="360" w:lineRule="auto"/>
        <w:jc w:val="center"/>
        <w:rPr>
          <w:rFonts w:hint="eastAsia" w:ascii="宋体" w:hAnsi="宋体"/>
          <w:color w:val="auto"/>
          <w:sz w:val="52"/>
          <w:szCs w:val="52"/>
          <w:highlight w:val="none"/>
        </w:rPr>
      </w:pPr>
    </w:p>
    <w:p w14:paraId="36934562">
      <w:pPr>
        <w:pStyle w:val="10"/>
        <w:snapToGrid w:val="0"/>
        <w:spacing w:before="50" w:after="120" w:line="360" w:lineRule="auto"/>
        <w:jc w:val="center"/>
        <w:rPr>
          <w:rFonts w:ascii="Times New Roman" w:hAnsi="Times New Roman"/>
          <w:b/>
          <w:color w:val="auto"/>
          <w:sz w:val="48"/>
          <w:szCs w:val="48"/>
          <w:highlight w:val="none"/>
        </w:rPr>
      </w:pPr>
      <w:r>
        <w:drawing>
          <wp:inline distT="0" distB="0" distL="114300" distR="114300">
            <wp:extent cx="5505450" cy="763905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27"/>
                    <a:stretch>
                      <a:fillRect/>
                    </a:stretch>
                  </pic:blipFill>
                  <pic:spPr>
                    <a:xfrm>
                      <a:off x="0" y="0"/>
                      <a:ext cx="5505450" cy="7639050"/>
                    </a:xfrm>
                    <a:prstGeom prst="rect">
                      <a:avLst/>
                    </a:prstGeom>
                    <a:noFill/>
                    <a:ln>
                      <a:noFill/>
                    </a:ln>
                  </pic:spPr>
                </pic:pic>
              </a:graphicData>
            </a:graphic>
          </wp:inline>
        </w:drawing>
      </w:r>
      <w:r>
        <w:rPr>
          <w:rFonts w:hint="eastAsia" w:hAnsi="宋体"/>
          <w:color w:val="auto"/>
          <w:sz w:val="52"/>
          <w:szCs w:val="52"/>
          <w:highlight w:val="none"/>
        </w:rPr>
        <w:br w:type="page"/>
      </w:r>
    </w:p>
    <w:p w14:paraId="4AD9968B">
      <w:pPr>
        <w:pStyle w:val="10"/>
        <w:jc w:val="center"/>
        <w:rPr>
          <w:rFonts w:ascii="Times New Roman" w:hAnsi="Times New Roman"/>
          <w:b/>
          <w:color w:val="auto"/>
          <w:sz w:val="48"/>
          <w:szCs w:val="48"/>
          <w:highlight w:val="none"/>
        </w:rPr>
      </w:pPr>
      <w:r>
        <w:rPr>
          <w:rFonts w:hint="eastAsia" w:ascii="Times New Roman" w:hAnsi="Times New Roman"/>
          <w:b/>
          <w:color w:val="auto"/>
          <w:sz w:val="48"/>
          <w:szCs w:val="48"/>
          <w:highlight w:val="none"/>
        </w:rPr>
        <w:t>目</w:t>
      </w:r>
      <w:r>
        <w:rPr>
          <w:rFonts w:ascii="Times New Roman" w:hAnsi="Times New Roman"/>
          <w:b/>
          <w:color w:val="auto"/>
          <w:sz w:val="48"/>
          <w:szCs w:val="48"/>
          <w:highlight w:val="none"/>
        </w:rPr>
        <w:t xml:space="preserve">     </w:t>
      </w:r>
      <w:r>
        <w:rPr>
          <w:rFonts w:hint="eastAsia" w:ascii="Times New Roman" w:hAnsi="Times New Roman"/>
          <w:b/>
          <w:color w:val="auto"/>
          <w:sz w:val="48"/>
          <w:szCs w:val="48"/>
          <w:highlight w:val="none"/>
        </w:rPr>
        <w:t>录</w:t>
      </w:r>
    </w:p>
    <w:p w14:paraId="18713973">
      <w:pPr>
        <w:rPr>
          <w:color w:val="auto"/>
          <w:highlight w:val="none"/>
        </w:rPr>
      </w:pPr>
    </w:p>
    <w:p w14:paraId="5BFE6566">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0" w:after="0" w:line="240" w:lineRule="auto"/>
        <w:textAlignment w:val="auto"/>
        <w:rPr>
          <w:sz w:val="28"/>
          <w:szCs w:val="28"/>
        </w:rPr>
      </w:pPr>
      <w:r>
        <w:rPr>
          <w:rFonts w:hint="eastAsia" w:ascii="宋体" w:hAnsi="宋体" w:cs="宋体"/>
          <w:b w:val="0"/>
          <w:bCs w:val="0"/>
          <w:caps w:val="0"/>
          <w:color w:val="auto"/>
          <w:sz w:val="28"/>
          <w:szCs w:val="28"/>
          <w:highlight w:val="none"/>
        </w:rPr>
        <w:fldChar w:fldCharType="begin"/>
      </w:r>
      <w:r>
        <w:rPr>
          <w:rFonts w:hint="eastAsia" w:ascii="宋体" w:hAnsi="宋体" w:cs="宋体"/>
          <w:b w:val="0"/>
          <w:bCs w:val="0"/>
          <w:caps w:val="0"/>
          <w:color w:val="auto"/>
          <w:sz w:val="28"/>
          <w:szCs w:val="28"/>
          <w:highlight w:val="none"/>
        </w:rPr>
        <w:instrText xml:space="preserve"> TOC \o "1-3" \h \z \u </w:instrText>
      </w:r>
      <w:r>
        <w:rPr>
          <w:rFonts w:hint="eastAsia" w:ascii="宋体" w:hAnsi="宋体" w:cs="宋体"/>
          <w:b w:val="0"/>
          <w:bCs w:val="0"/>
          <w:caps w:val="0"/>
          <w:color w:val="auto"/>
          <w:sz w:val="28"/>
          <w:szCs w:val="28"/>
          <w:highlight w:val="none"/>
        </w:rPr>
        <w:fldChar w:fldCharType="separate"/>
      </w:r>
      <w:r>
        <w:rPr>
          <w:rFonts w:hint="eastAsia" w:ascii="宋体" w:hAnsi="宋体" w:cs="宋体"/>
          <w:bCs w:val="0"/>
          <w:caps w:val="0"/>
          <w:color w:val="auto"/>
          <w:sz w:val="28"/>
          <w:szCs w:val="28"/>
          <w:highlight w:val="none"/>
        </w:rPr>
        <w:fldChar w:fldCharType="begin"/>
      </w:r>
      <w:r>
        <w:rPr>
          <w:rFonts w:hint="eastAsia" w:ascii="宋体" w:hAnsi="宋体" w:cs="宋体"/>
          <w:bCs w:val="0"/>
          <w:caps w:val="0"/>
          <w:sz w:val="28"/>
          <w:szCs w:val="28"/>
          <w:highlight w:val="none"/>
        </w:rPr>
        <w:instrText xml:space="preserve"> HYPERLINK \l _Toc28574 </w:instrText>
      </w:r>
      <w:r>
        <w:rPr>
          <w:rFonts w:hint="eastAsia" w:ascii="宋体" w:hAnsi="宋体" w:cs="宋体"/>
          <w:bCs w:val="0"/>
          <w:caps w:val="0"/>
          <w:sz w:val="28"/>
          <w:szCs w:val="28"/>
          <w:highlight w:val="none"/>
        </w:rPr>
        <w:fldChar w:fldCharType="separate"/>
      </w:r>
      <w:r>
        <w:rPr>
          <w:rFonts w:hint="eastAsia" w:ascii="Times New Roman" w:hAnsi="Times New Roman"/>
          <w:sz w:val="28"/>
          <w:szCs w:val="28"/>
          <w:highlight w:val="none"/>
        </w:rPr>
        <w:t>第一章</w:t>
      </w:r>
      <w:r>
        <w:rPr>
          <w:rFonts w:ascii="Times New Roman" w:hAnsi="Times New Roman"/>
          <w:sz w:val="28"/>
          <w:szCs w:val="28"/>
          <w:highlight w:val="none"/>
        </w:rPr>
        <w:t xml:space="preserve">  </w:t>
      </w:r>
      <w:r>
        <w:rPr>
          <w:rFonts w:hint="eastAsia" w:ascii="Times New Roman" w:hAnsi="Times New Roman"/>
          <w:sz w:val="28"/>
          <w:szCs w:val="28"/>
          <w:highlight w:val="none"/>
        </w:rPr>
        <w:t>招标公告</w:t>
      </w:r>
      <w:r>
        <w:rPr>
          <w:sz w:val="28"/>
          <w:szCs w:val="28"/>
        </w:rPr>
        <w:tab/>
      </w:r>
      <w:r>
        <w:rPr>
          <w:sz w:val="28"/>
          <w:szCs w:val="28"/>
        </w:rPr>
        <w:fldChar w:fldCharType="begin"/>
      </w:r>
      <w:r>
        <w:rPr>
          <w:sz w:val="28"/>
          <w:szCs w:val="28"/>
        </w:rPr>
        <w:instrText xml:space="preserve"> PAGEREF _Toc28574 \h </w:instrText>
      </w:r>
      <w:r>
        <w:rPr>
          <w:sz w:val="28"/>
          <w:szCs w:val="28"/>
        </w:rPr>
        <w:fldChar w:fldCharType="separate"/>
      </w:r>
      <w:r>
        <w:rPr>
          <w:sz w:val="28"/>
          <w:szCs w:val="28"/>
        </w:rPr>
        <w:t>1</w:t>
      </w:r>
      <w:r>
        <w:rPr>
          <w:sz w:val="28"/>
          <w:szCs w:val="28"/>
        </w:rPr>
        <w:fldChar w:fldCharType="end"/>
      </w:r>
      <w:r>
        <w:rPr>
          <w:rFonts w:hint="eastAsia" w:ascii="宋体" w:hAnsi="宋体" w:cs="宋体"/>
          <w:bCs w:val="0"/>
          <w:caps w:val="0"/>
          <w:color w:val="auto"/>
          <w:sz w:val="28"/>
          <w:szCs w:val="28"/>
          <w:highlight w:val="none"/>
        </w:rPr>
        <w:fldChar w:fldCharType="end"/>
      </w:r>
    </w:p>
    <w:p w14:paraId="21E97C8A">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0" w:after="0" w:line="240" w:lineRule="auto"/>
        <w:textAlignment w:val="auto"/>
        <w:rPr>
          <w:sz w:val="28"/>
          <w:szCs w:val="28"/>
        </w:rPr>
      </w:pPr>
      <w:r>
        <w:rPr>
          <w:rFonts w:hint="eastAsia" w:hAnsi="宋体" w:cs="宋体"/>
          <w:bCs/>
          <w:caps/>
          <w:color w:val="auto"/>
          <w:sz w:val="28"/>
          <w:szCs w:val="28"/>
          <w:highlight w:val="none"/>
          <w:u w:val="single"/>
        </w:rPr>
        <w:fldChar w:fldCharType="begin"/>
      </w:r>
      <w:r>
        <w:rPr>
          <w:rFonts w:hint="eastAsia" w:hAnsi="宋体" w:cs="宋体"/>
          <w:bCs/>
          <w:caps/>
          <w:sz w:val="28"/>
          <w:szCs w:val="28"/>
          <w:highlight w:val="none"/>
        </w:rPr>
        <w:instrText xml:space="preserve"> HYPERLINK \l _Toc22651 </w:instrText>
      </w:r>
      <w:r>
        <w:rPr>
          <w:rFonts w:hint="eastAsia" w:hAnsi="宋体" w:cs="宋体"/>
          <w:bCs/>
          <w:caps/>
          <w:sz w:val="28"/>
          <w:szCs w:val="28"/>
          <w:highlight w:val="none"/>
        </w:rPr>
        <w:fldChar w:fldCharType="separate"/>
      </w:r>
      <w:r>
        <w:rPr>
          <w:rFonts w:hint="eastAsia" w:ascii="Times New Roman" w:hAnsi="Times New Roman"/>
          <w:sz w:val="28"/>
          <w:szCs w:val="28"/>
          <w:highlight w:val="none"/>
        </w:rPr>
        <w:t>第二章</w:t>
      </w:r>
      <w:r>
        <w:rPr>
          <w:rFonts w:ascii="Times New Roman" w:hAnsi="Times New Roman"/>
          <w:sz w:val="28"/>
          <w:szCs w:val="28"/>
          <w:highlight w:val="none"/>
        </w:rPr>
        <w:t xml:space="preserve">  </w:t>
      </w:r>
      <w:r>
        <w:rPr>
          <w:rFonts w:hint="eastAsia" w:ascii="Times New Roman" w:hAnsi="Times New Roman"/>
          <w:sz w:val="28"/>
          <w:szCs w:val="28"/>
          <w:highlight w:val="none"/>
        </w:rPr>
        <w:t>采购需求</w:t>
      </w:r>
      <w:r>
        <w:rPr>
          <w:sz w:val="28"/>
          <w:szCs w:val="28"/>
        </w:rPr>
        <w:tab/>
      </w:r>
      <w:r>
        <w:rPr>
          <w:sz w:val="28"/>
          <w:szCs w:val="28"/>
        </w:rPr>
        <w:fldChar w:fldCharType="begin"/>
      </w:r>
      <w:r>
        <w:rPr>
          <w:sz w:val="28"/>
          <w:szCs w:val="28"/>
        </w:rPr>
        <w:instrText xml:space="preserve"> PAGEREF _Toc22651 \h </w:instrText>
      </w:r>
      <w:r>
        <w:rPr>
          <w:sz w:val="28"/>
          <w:szCs w:val="28"/>
        </w:rPr>
        <w:fldChar w:fldCharType="separate"/>
      </w:r>
      <w:r>
        <w:rPr>
          <w:sz w:val="28"/>
          <w:szCs w:val="28"/>
        </w:rPr>
        <w:t>5</w:t>
      </w:r>
      <w:r>
        <w:rPr>
          <w:sz w:val="28"/>
          <w:szCs w:val="28"/>
        </w:rPr>
        <w:fldChar w:fldCharType="end"/>
      </w:r>
      <w:r>
        <w:rPr>
          <w:rFonts w:hint="eastAsia" w:hAnsi="宋体" w:cs="宋体"/>
          <w:bCs/>
          <w:caps/>
          <w:color w:val="auto"/>
          <w:sz w:val="28"/>
          <w:szCs w:val="28"/>
          <w:highlight w:val="none"/>
          <w:u w:val="single"/>
        </w:rPr>
        <w:fldChar w:fldCharType="end"/>
      </w:r>
    </w:p>
    <w:p w14:paraId="2A84DAE7">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0" w:after="0" w:line="240" w:lineRule="auto"/>
        <w:textAlignment w:val="auto"/>
        <w:rPr>
          <w:sz w:val="28"/>
          <w:szCs w:val="28"/>
        </w:rPr>
      </w:pPr>
      <w:r>
        <w:rPr>
          <w:rFonts w:hint="eastAsia" w:hAnsi="宋体" w:cs="宋体"/>
          <w:bCs/>
          <w:caps/>
          <w:color w:val="auto"/>
          <w:sz w:val="28"/>
          <w:szCs w:val="28"/>
          <w:highlight w:val="none"/>
          <w:u w:val="single"/>
        </w:rPr>
        <w:fldChar w:fldCharType="begin"/>
      </w:r>
      <w:r>
        <w:rPr>
          <w:rFonts w:hint="eastAsia" w:hAnsi="宋体" w:cs="宋体"/>
          <w:bCs/>
          <w:caps/>
          <w:sz w:val="28"/>
          <w:szCs w:val="28"/>
          <w:highlight w:val="none"/>
        </w:rPr>
        <w:instrText xml:space="preserve"> HYPERLINK \l _Toc19169 </w:instrText>
      </w:r>
      <w:r>
        <w:rPr>
          <w:rFonts w:hint="eastAsia" w:hAnsi="宋体" w:cs="宋体"/>
          <w:bCs/>
          <w:caps/>
          <w:sz w:val="28"/>
          <w:szCs w:val="28"/>
          <w:highlight w:val="none"/>
        </w:rPr>
        <w:fldChar w:fldCharType="separate"/>
      </w:r>
      <w:r>
        <w:rPr>
          <w:rFonts w:hint="eastAsia" w:ascii="Times New Roman" w:hAnsi="Times New Roman"/>
          <w:sz w:val="28"/>
          <w:szCs w:val="28"/>
          <w:highlight w:val="none"/>
        </w:rPr>
        <w:t>第三章  投标人须知</w:t>
      </w:r>
      <w:r>
        <w:rPr>
          <w:sz w:val="28"/>
          <w:szCs w:val="28"/>
        </w:rPr>
        <w:tab/>
      </w:r>
      <w:r>
        <w:rPr>
          <w:sz w:val="28"/>
          <w:szCs w:val="28"/>
        </w:rPr>
        <w:fldChar w:fldCharType="begin"/>
      </w:r>
      <w:r>
        <w:rPr>
          <w:sz w:val="28"/>
          <w:szCs w:val="28"/>
        </w:rPr>
        <w:instrText xml:space="preserve"> PAGEREF _Toc19169 \h </w:instrText>
      </w:r>
      <w:r>
        <w:rPr>
          <w:sz w:val="28"/>
          <w:szCs w:val="28"/>
        </w:rPr>
        <w:fldChar w:fldCharType="separate"/>
      </w:r>
      <w:r>
        <w:rPr>
          <w:sz w:val="28"/>
          <w:szCs w:val="28"/>
        </w:rPr>
        <w:t>13</w:t>
      </w:r>
      <w:r>
        <w:rPr>
          <w:sz w:val="28"/>
          <w:szCs w:val="28"/>
        </w:rPr>
        <w:fldChar w:fldCharType="end"/>
      </w:r>
      <w:r>
        <w:rPr>
          <w:rFonts w:hint="eastAsia" w:hAnsi="宋体" w:cs="宋体"/>
          <w:bCs/>
          <w:caps/>
          <w:color w:val="auto"/>
          <w:sz w:val="28"/>
          <w:szCs w:val="28"/>
          <w:highlight w:val="none"/>
          <w:u w:val="single"/>
        </w:rPr>
        <w:fldChar w:fldCharType="end"/>
      </w:r>
    </w:p>
    <w:p w14:paraId="350BDAA9">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0" w:after="0" w:line="240" w:lineRule="auto"/>
        <w:textAlignment w:val="auto"/>
        <w:rPr>
          <w:sz w:val="28"/>
          <w:szCs w:val="28"/>
        </w:rPr>
      </w:pPr>
      <w:r>
        <w:rPr>
          <w:rFonts w:hint="eastAsia" w:hAnsi="宋体" w:cs="宋体"/>
          <w:bCs/>
          <w:caps/>
          <w:color w:val="auto"/>
          <w:sz w:val="28"/>
          <w:szCs w:val="28"/>
          <w:highlight w:val="none"/>
          <w:u w:val="single"/>
        </w:rPr>
        <w:fldChar w:fldCharType="begin"/>
      </w:r>
      <w:r>
        <w:rPr>
          <w:rFonts w:hint="eastAsia" w:hAnsi="宋体" w:cs="宋体"/>
          <w:bCs/>
          <w:caps/>
          <w:sz w:val="28"/>
          <w:szCs w:val="28"/>
          <w:highlight w:val="none"/>
        </w:rPr>
        <w:instrText xml:space="preserve"> HYPERLINK \l _Toc1550 </w:instrText>
      </w:r>
      <w:r>
        <w:rPr>
          <w:rFonts w:hint="eastAsia" w:hAnsi="宋体" w:cs="宋体"/>
          <w:bCs/>
          <w:caps/>
          <w:sz w:val="28"/>
          <w:szCs w:val="28"/>
          <w:highlight w:val="none"/>
        </w:rPr>
        <w:fldChar w:fldCharType="separate"/>
      </w:r>
      <w:r>
        <w:rPr>
          <w:rFonts w:hint="eastAsia" w:ascii="Times New Roman" w:hAnsi="Times New Roman"/>
          <w:sz w:val="28"/>
          <w:szCs w:val="28"/>
          <w:highlight w:val="none"/>
        </w:rPr>
        <w:t>第四章</w:t>
      </w:r>
      <w:r>
        <w:rPr>
          <w:rFonts w:ascii="Times New Roman" w:hAnsi="Times New Roman"/>
          <w:sz w:val="28"/>
          <w:szCs w:val="28"/>
          <w:highlight w:val="none"/>
        </w:rPr>
        <w:t xml:space="preserve">  </w:t>
      </w:r>
      <w:r>
        <w:rPr>
          <w:rFonts w:hint="eastAsia" w:ascii="Times New Roman" w:hAnsi="Times New Roman"/>
          <w:sz w:val="28"/>
          <w:szCs w:val="28"/>
          <w:highlight w:val="none"/>
        </w:rPr>
        <w:t>评标方法及评分标准</w:t>
      </w:r>
      <w:r>
        <w:rPr>
          <w:sz w:val="28"/>
          <w:szCs w:val="28"/>
        </w:rPr>
        <w:tab/>
      </w:r>
      <w:r>
        <w:rPr>
          <w:sz w:val="28"/>
          <w:szCs w:val="28"/>
        </w:rPr>
        <w:fldChar w:fldCharType="begin"/>
      </w:r>
      <w:r>
        <w:rPr>
          <w:sz w:val="28"/>
          <w:szCs w:val="28"/>
        </w:rPr>
        <w:instrText xml:space="preserve"> PAGEREF _Toc1550 \h </w:instrText>
      </w:r>
      <w:r>
        <w:rPr>
          <w:sz w:val="28"/>
          <w:szCs w:val="28"/>
        </w:rPr>
        <w:fldChar w:fldCharType="separate"/>
      </w:r>
      <w:r>
        <w:rPr>
          <w:sz w:val="28"/>
          <w:szCs w:val="28"/>
        </w:rPr>
        <w:t>35</w:t>
      </w:r>
      <w:r>
        <w:rPr>
          <w:sz w:val="28"/>
          <w:szCs w:val="28"/>
        </w:rPr>
        <w:fldChar w:fldCharType="end"/>
      </w:r>
      <w:r>
        <w:rPr>
          <w:rFonts w:hint="eastAsia" w:hAnsi="宋体" w:cs="宋体"/>
          <w:bCs/>
          <w:caps/>
          <w:color w:val="auto"/>
          <w:sz w:val="28"/>
          <w:szCs w:val="28"/>
          <w:highlight w:val="none"/>
          <w:u w:val="single"/>
        </w:rPr>
        <w:fldChar w:fldCharType="end"/>
      </w:r>
    </w:p>
    <w:p w14:paraId="2A1BD9D7">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0" w:after="0" w:line="240" w:lineRule="auto"/>
        <w:textAlignment w:val="auto"/>
        <w:rPr>
          <w:sz w:val="28"/>
          <w:szCs w:val="28"/>
        </w:rPr>
      </w:pPr>
      <w:r>
        <w:rPr>
          <w:rFonts w:hint="eastAsia" w:hAnsi="宋体" w:cs="宋体"/>
          <w:bCs/>
          <w:caps/>
          <w:color w:val="auto"/>
          <w:sz w:val="28"/>
          <w:szCs w:val="28"/>
          <w:highlight w:val="none"/>
          <w:u w:val="single"/>
        </w:rPr>
        <w:fldChar w:fldCharType="begin"/>
      </w:r>
      <w:r>
        <w:rPr>
          <w:rFonts w:hint="eastAsia" w:hAnsi="宋体" w:cs="宋体"/>
          <w:bCs/>
          <w:caps/>
          <w:sz w:val="28"/>
          <w:szCs w:val="28"/>
          <w:highlight w:val="none"/>
        </w:rPr>
        <w:instrText xml:space="preserve"> HYPERLINK \l _Toc12678 </w:instrText>
      </w:r>
      <w:r>
        <w:rPr>
          <w:rFonts w:hint="eastAsia" w:hAnsi="宋体" w:cs="宋体"/>
          <w:bCs/>
          <w:caps/>
          <w:sz w:val="28"/>
          <w:szCs w:val="28"/>
          <w:highlight w:val="none"/>
        </w:rPr>
        <w:fldChar w:fldCharType="separate"/>
      </w:r>
      <w:r>
        <w:rPr>
          <w:rFonts w:hint="eastAsia" w:ascii="Times New Roman" w:hAnsi="Times New Roman"/>
          <w:sz w:val="28"/>
          <w:szCs w:val="28"/>
          <w:highlight w:val="none"/>
        </w:rPr>
        <w:t>第五章 拟签订的合同文本</w:t>
      </w:r>
      <w:r>
        <w:rPr>
          <w:sz w:val="28"/>
          <w:szCs w:val="28"/>
        </w:rPr>
        <w:tab/>
      </w:r>
      <w:r>
        <w:rPr>
          <w:sz w:val="28"/>
          <w:szCs w:val="28"/>
        </w:rPr>
        <w:fldChar w:fldCharType="begin"/>
      </w:r>
      <w:r>
        <w:rPr>
          <w:sz w:val="28"/>
          <w:szCs w:val="28"/>
        </w:rPr>
        <w:instrText xml:space="preserve"> PAGEREF _Toc12678 \h </w:instrText>
      </w:r>
      <w:r>
        <w:rPr>
          <w:sz w:val="28"/>
          <w:szCs w:val="28"/>
        </w:rPr>
        <w:fldChar w:fldCharType="separate"/>
      </w:r>
      <w:r>
        <w:rPr>
          <w:sz w:val="28"/>
          <w:szCs w:val="28"/>
        </w:rPr>
        <w:t>44</w:t>
      </w:r>
      <w:r>
        <w:rPr>
          <w:sz w:val="28"/>
          <w:szCs w:val="28"/>
        </w:rPr>
        <w:fldChar w:fldCharType="end"/>
      </w:r>
      <w:r>
        <w:rPr>
          <w:rFonts w:hint="eastAsia" w:hAnsi="宋体" w:cs="宋体"/>
          <w:bCs/>
          <w:caps/>
          <w:color w:val="auto"/>
          <w:sz w:val="28"/>
          <w:szCs w:val="28"/>
          <w:highlight w:val="none"/>
          <w:u w:val="single"/>
        </w:rPr>
        <w:fldChar w:fldCharType="end"/>
      </w:r>
    </w:p>
    <w:p w14:paraId="143D4CB7">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0" w:after="0" w:line="240" w:lineRule="auto"/>
        <w:textAlignment w:val="auto"/>
        <w:rPr>
          <w:sz w:val="28"/>
          <w:szCs w:val="28"/>
        </w:rPr>
      </w:pPr>
      <w:r>
        <w:rPr>
          <w:rFonts w:hint="eastAsia" w:hAnsi="宋体" w:cs="宋体"/>
          <w:bCs/>
          <w:caps/>
          <w:color w:val="auto"/>
          <w:sz w:val="28"/>
          <w:szCs w:val="28"/>
          <w:highlight w:val="none"/>
          <w:u w:val="single"/>
        </w:rPr>
        <w:fldChar w:fldCharType="begin"/>
      </w:r>
      <w:r>
        <w:rPr>
          <w:rFonts w:hint="eastAsia" w:hAnsi="宋体" w:cs="宋体"/>
          <w:bCs/>
          <w:caps/>
          <w:sz w:val="28"/>
          <w:szCs w:val="28"/>
          <w:highlight w:val="none"/>
        </w:rPr>
        <w:instrText xml:space="preserve"> HYPERLINK \l _Toc27266 </w:instrText>
      </w:r>
      <w:r>
        <w:rPr>
          <w:rFonts w:hint="eastAsia" w:hAnsi="宋体" w:cs="宋体"/>
          <w:bCs/>
          <w:caps/>
          <w:sz w:val="28"/>
          <w:szCs w:val="28"/>
          <w:highlight w:val="none"/>
        </w:rPr>
        <w:fldChar w:fldCharType="separate"/>
      </w:r>
      <w:r>
        <w:rPr>
          <w:rFonts w:hint="eastAsia" w:ascii="Times New Roman" w:hAnsi="Times New Roman"/>
          <w:sz w:val="28"/>
          <w:szCs w:val="28"/>
          <w:highlight w:val="none"/>
        </w:rPr>
        <w:t>第六章 投标文件格式</w:t>
      </w:r>
      <w:r>
        <w:rPr>
          <w:sz w:val="28"/>
          <w:szCs w:val="28"/>
        </w:rPr>
        <w:tab/>
      </w:r>
      <w:r>
        <w:rPr>
          <w:sz w:val="28"/>
          <w:szCs w:val="28"/>
        </w:rPr>
        <w:fldChar w:fldCharType="begin"/>
      </w:r>
      <w:r>
        <w:rPr>
          <w:sz w:val="28"/>
          <w:szCs w:val="28"/>
        </w:rPr>
        <w:instrText xml:space="preserve"> PAGEREF _Toc27266 \h </w:instrText>
      </w:r>
      <w:r>
        <w:rPr>
          <w:sz w:val="28"/>
          <w:szCs w:val="28"/>
        </w:rPr>
        <w:fldChar w:fldCharType="separate"/>
      </w:r>
      <w:r>
        <w:rPr>
          <w:sz w:val="28"/>
          <w:szCs w:val="28"/>
        </w:rPr>
        <w:t>57</w:t>
      </w:r>
      <w:r>
        <w:rPr>
          <w:sz w:val="28"/>
          <w:szCs w:val="28"/>
        </w:rPr>
        <w:fldChar w:fldCharType="end"/>
      </w:r>
      <w:r>
        <w:rPr>
          <w:rFonts w:hint="eastAsia" w:hAnsi="宋体" w:cs="宋体"/>
          <w:bCs/>
          <w:caps/>
          <w:color w:val="auto"/>
          <w:sz w:val="28"/>
          <w:szCs w:val="28"/>
          <w:highlight w:val="none"/>
          <w:u w:val="single"/>
        </w:rPr>
        <w:fldChar w:fldCharType="end"/>
      </w:r>
    </w:p>
    <w:p w14:paraId="6F21CB64">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0" w:after="0" w:line="240" w:lineRule="auto"/>
        <w:textAlignment w:val="auto"/>
        <w:rPr>
          <w:sz w:val="28"/>
          <w:szCs w:val="28"/>
        </w:rPr>
      </w:pPr>
      <w:r>
        <w:rPr>
          <w:rFonts w:hint="eastAsia" w:hAnsi="宋体" w:cs="宋体"/>
          <w:bCs/>
          <w:caps/>
          <w:color w:val="auto"/>
          <w:sz w:val="28"/>
          <w:szCs w:val="28"/>
          <w:highlight w:val="none"/>
          <w:u w:val="single"/>
        </w:rPr>
        <w:fldChar w:fldCharType="begin"/>
      </w:r>
      <w:r>
        <w:rPr>
          <w:rFonts w:hint="eastAsia" w:hAnsi="宋体" w:cs="宋体"/>
          <w:bCs/>
          <w:caps/>
          <w:sz w:val="28"/>
          <w:szCs w:val="28"/>
          <w:highlight w:val="none"/>
        </w:rPr>
        <w:instrText xml:space="preserve"> HYPERLINK \l _Toc3854 </w:instrText>
      </w:r>
      <w:r>
        <w:rPr>
          <w:rFonts w:hint="eastAsia" w:hAnsi="宋体" w:cs="宋体"/>
          <w:bCs/>
          <w:caps/>
          <w:sz w:val="28"/>
          <w:szCs w:val="28"/>
          <w:highlight w:val="none"/>
        </w:rPr>
        <w:fldChar w:fldCharType="separate"/>
      </w:r>
      <w:r>
        <w:rPr>
          <w:rFonts w:hint="eastAsia" w:ascii="Times New Roman" w:hAnsi="Times New Roman"/>
          <w:sz w:val="28"/>
          <w:szCs w:val="28"/>
          <w:highlight w:val="none"/>
        </w:rPr>
        <w:t>第七章 质疑、投诉证明材料格式</w:t>
      </w:r>
      <w:r>
        <w:rPr>
          <w:sz w:val="28"/>
          <w:szCs w:val="28"/>
        </w:rPr>
        <w:tab/>
      </w:r>
      <w:r>
        <w:rPr>
          <w:sz w:val="28"/>
          <w:szCs w:val="28"/>
        </w:rPr>
        <w:fldChar w:fldCharType="begin"/>
      </w:r>
      <w:r>
        <w:rPr>
          <w:sz w:val="28"/>
          <w:szCs w:val="28"/>
        </w:rPr>
        <w:instrText xml:space="preserve"> PAGEREF _Toc3854 \h </w:instrText>
      </w:r>
      <w:r>
        <w:rPr>
          <w:sz w:val="28"/>
          <w:szCs w:val="28"/>
        </w:rPr>
        <w:fldChar w:fldCharType="separate"/>
      </w:r>
      <w:r>
        <w:rPr>
          <w:sz w:val="28"/>
          <w:szCs w:val="28"/>
        </w:rPr>
        <w:t>94</w:t>
      </w:r>
      <w:r>
        <w:rPr>
          <w:sz w:val="28"/>
          <w:szCs w:val="28"/>
        </w:rPr>
        <w:fldChar w:fldCharType="end"/>
      </w:r>
      <w:r>
        <w:rPr>
          <w:rFonts w:hint="eastAsia" w:hAnsi="宋体" w:cs="宋体"/>
          <w:bCs/>
          <w:caps/>
          <w:color w:val="auto"/>
          <w:sz w:val="28"/>
          <w:szCs w:val="28"/>
          <w:highlight w:val="none"/>
          <w:u w:val="single"/>
        </w:rPr>
        <w:fldChar w:fldCharType="end"/>
      </w:r>
    </w:p>
    <w:p w14:paraId="08A16FE1">
      <w:pPr>
        <w:pStyle w:val="10"/>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ascii="Calibri" w:hAnsi="宋体"/>
          <w:bCs/>
          <w:caps/>
          <w:color w:val="auto"/>
          <w:szCs w:val="28"/>
          <w:highlight w:val="none"/>
          <w:u w:val="single"/>
        </w:rPr>
      </w:pPr>
      <w:r>
        <w:rPr>
          <w:rFonts w:hint="eastAsia" w:hAnsi="宋体" w:cs="宋体"/>
          <w:bCs/>
          <w:caps/>
          <w:color w:val="auto"/>
          <w:sz w:val="28"/>
          <w:szCs w:val="28"/>
          <w:highlight w:val="none"/>
          <w:u w:val="single"/>
        </w:rPr>
        <w:fldChar w:fldCharType="end"/>
      </w:r>
    </w:p>
    <w:p w14:paraId="344DB706">
      <w:pPr>
        <w:pStyle w:val="10"/>
        <w:jc w:val="center"/>
        <w:outlineLvl w:val="0"/>
        <w:rPr>
          <w:rFonts w:ascii="Times New Roman" w:hAnsi="Times New Roman"/>
          <w:b/>
          <w:color w:val="auto"/>
          <w:sz w:val="36"/>
          <w:highlight w:val="none"/>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bookmarkStart w:id="108" w:name="_GoBack"/>
      <w:bookmarkEnd w:id="108"/>
    </w:p>
    <w:p w14:paraId="24732212">
      <w:pPr>
        <w:pStyle w:val="10"/>
        <w:jc w:val="center"/>
        <w:outlineLvl w:val="0"/>
        <w:rPr>
          <w:rFonts w:hAnsi="宋体"/>
          <w:b/>
          <w:color w:val="auto"/>
          <w:sz w:val="36"/>
          <w:szCs w:val="36"/>
          <w:highlight w:val="none"/>
        </w:rPr>
      </w:pPr>
      <w:bookmarkStart w:id="0" w:name="_Toc28574"/>
      <w:r>
        <w:rPr>
          <w:rFonts w:hint="eastAsia" w:ascii="Times New Roman" w:hAnsi="Times New Roman"/>
          <w:b/>
          <w:color w:val="auto"/>
          <w:sz w:val="36"/>
          <w:highlight w:val="none"/>
        </w:rPr>
        <w:t>第一章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招标公告</w:t>
      </w:r>
      <w:bookmarkEnd w:id="0"/>
    </w:p>
    <w:p w14:paraId="6FEECB8D">
      <w:pPr>
        <w:pStyle w:val="10"/>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公开招标公告</w:t>
      </w:r>
    </w:p>
    <w:p w14:paraId="3703D736">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2963F72E">
      <w:pPr>
        <w:pBdr>
          <w:top w:val="single" w:color="auto" w:sz="4" w:space="1"/>
          <w:left w:val="single" w:color="auto" w:sz="4" w:space="4"/>
          <w:bottom w:val="single" w:color="auto" w:sz="4" w:space="1"/>
          <w:right w:val="single" w:color="auto" w:sz="4" w:space="4"/>
        </w:pBdr>
        <w:spacing w:line="400" w:lineRule="exact"/>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 xml:space="preserve">南宁市国土空间总体规划动态维护工作 </w:t>
      </w:r>
      <w:r>
        <w:rPr>
          <w:rFonts w:hint="eastAsia" w:ascii="宋体" w:hAnsi="宋体" w:cs="宋体"/>
          <w:color w:val="auto"/>
          <w:szCs w:val="21"/>
          <w:highlight w:val="none"/>
        </w:rPr>
        <w:t>招标项目的潜在投标人应在“广西政府采购云平台”（https：//www.gcy.zfcg.gxzf.gov.cn/）获取（下载）招标文件，并于</w:t>
      </w:r>
      <w:r>
        <w:rPr>
          <w:rFonts w:hint="eastAsia" w:ascii="宋体" w:hAnsi="宋体" w:cs="宋体"/>
          <w:color w:val="auto"/>
          <w:szCs w:val="21"/>
          <w:highlight w:val="none"/>
          <w:u w:val="single"/>
        </w:rPr>
        <w:t>2026年06月</w:t>
      </w:r>
      <w:r>
        <w:rPr>
          <w:rFonts w:hint="eastAsia" w:ascii="宋体" w:hAnsi="宋体" w:cs="宋体"/>
          <w:color w:val="auto"/>
          <w:szCs w:val="21"/>
          <w:highlight w:val="none"/>
          <w:u w:val="single"/>
          <w:lang w:val="en-US" w:eastAsia="zh-CN"/>
        </w:rPr>
        <w:t>22</w:t>
      </w:r>
      <w:r>
        <w:rPr>
          <w:rFonts w:hint="eastAsia" w:ascii="宋体" w:hAnsi="宋体" w:cs="宋体"/>
          <w:color w:val="auto"/>
          <w:szCs w:val="21"/>
          <w:highlight w:val="none"/>
          <w:u w:val="single"/>
        </w:rPr>
        <w:t>日9</w:t>
      </w:r>
      <w:r>
        <w:rPr>
          <w:rFonts w:hint="eastAsia" w:ascii="宋体" w:hAnsi="宋体" w:cs="宋体"/>
          <w:bCs/>
          <w:color w:val="auto"/>
          <w:szCs w:val="21"/>
          <w:highlight w:val="none"/>
          <w:u w:val="single"/>
        </w:rPr>
        <w:t>点30分00秒</w:t>
      </w:r>
      <w:r>
        <w:rPr>
          <w:rFonts w:hint="eastAsia" w:ascii="宋体" w:hAnsi="宋体" w:cs="宋体"/>
          <w:bCs/>
          <w:color w:val="auto"/>
          <w:szCs w:val="21"/>
          <w:highlight w:val="none"/>
        </w:rPr>
        <w:t>（北京时间）前</w:t>
      </w:r>
      <w:r>
        <w:rPr>
          <w:rFonts w:hint="eastAsia" w:ascii="宋体" w:hAnsi="宋体" w:cs="宋体"/>
          <w:color w:val="auto"/>
          <w:szCs w:val="21"/>
          <w:highlight w:val="none"/>
        </w:rPr>
        <w:t>递交（上传）投标文件。</w:t>
      </w:r>
    </w:p>
    <w:p w14:paraId="7B0E5AE7">
      <w:pPr>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一、项目基本情况</w:t>
      </w:r>
    </w:p>
    <w:p w14:paraId="70C23CC9">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NNZC2026-G3-990369-GXGG</w:t>
      </w:r>
    </w:p>
    <w:p w14:paraId="66A2E85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项目名称：</w:t>
      </w:r>
      <w:r>
        <w:rPr>
          <w:rFonts w:hint="eastAsia" w:ascii="宋体" w:hAnsi="宋体" w:cs="宋体"/>
          <w:color w:val="auto"/>
          <w:szCs w:val="21"/>
          <w:highlight w:val="none"/>
        </w:rPr>
        <w:t>南宁市国土空间总体规划动态维护工作</w:t>
      </w:r>
    </w:p>
    <w:p w14:paraId="12B9805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预算金额：2000000.00元</w:t>
      </w:r>
    </w:p>
    <w:p w14:paraId="717E79A7">
      <w:pPr>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采购需求：</w:t>
      </w:r>
    </w:p>
    <w:p w14:paraId="1C0DDDE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标项名称：南宁市国土空间总体规划动态维护工作</w:t>
      </w:r>
    </w:p>
    <w:p w14:paraId="5B069F7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数量：1</w:t>
      </w:r>
    </w:p>
    <w:p w14:paraId="28215D9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预算金额（元）：2000000.00元</w:t>
      </w:r>
    </w:p>
    <w:p w14:paraId="230F77BE">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在充分衔接南宁市“十五五”发展规划和专项规划以及对南宁市国土空间规划总体规划实施情况进行综合评估的前提下，结合新的发展形势需求，对南宁市国土空间总体规划的三条控制线、规划分区、中心城区用地用海规划布局、城市重要控制线布局、重点建设项目清单等进行动态维护。</w:t>
      </w:r>
      <w:r>
        <w:rPr>
          <w:rFonts w:hint="eastAsia" w:ascii="宋体" w:cs="宋体"/>
          <w:color w:val="auto"/>
          <w:szCs w:val="21"/>
          <w:highlight w:val="none"/>
        </w:rPr>
        <w:t>如需进一步了解详细内容，详见招标文件。</w:t>
      </w:r>
    </w:p>
    <w:p w14:paraId="2371755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最高限价（元）：2000000.00元</w:t>
      </w:r>
    </w:p>
    <w:p w14:paraId="52B0333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合同履约期限：2027年6月30日。</w:t>
      </w:r>
    </w:p>
    <w:p w14:paraId="4CAAD62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本标项（</w:t>
      </w:r>
      <w:r>
        <w:rPr>
          <w:rFonts w:hint="eastAsia" w:ascii="宋体" w:hAnsi="宋体"/>
          <w:color w:val="auto"/>
          <w:szCs w:val="21"/>
          <w:highlight w:val="none"/>
          <w:lang w:eastAsia="zh-CN"/>
        </w:rPr>
        <w:t>是</w:t>
      </w:r>
      <w:r>
        <w:rPr>
          <w:rFonts w:hint="eastAsia" w:ascii="宋体" w:hAnsi="宋体"/>
          <w:color w:val="auto"/>
          <w:szCs w:val="21"/>
          <w:highlight w:val="none"/>
        </w:rPr>
        <w:t>）接受联合体投标</w:t>
      </w:r>
    </w:p>
    <w:p w14:paraId="50E6369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备注：</w:t>
      </w:r>
    </w:p>
    <w:p w14:paraId="2AC9F177">
      <w:pPr>
        <w:spacing w:line="400" w:lineRule="exact"/>
        <w:ind w:firstLine="420" w:firstLineChars="200"/>
        <w:rPr>
          <w:rFonts w:ascii="宋体" w:hAnsi="宋体"/>
          <w:color w:val="auto"/>
          <w:szCs w:val="21"/>
          <w:highlight w:val="none"/>
        </w:rPr>
      </w:pPr>
    </w:p>
    <w:p w14:paraId="20412033">
      <w:pPr>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二、投标人的资格要求：</w:t>
      </w:r>
    </w:p>
    <w:p w14:paraId="7D7D005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3F8221AE">
      <w:pPr>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p>
    <w:p w14:paraId="7E52EC98">
      <w:pPr>
        <w:spacing w:line="400" w:lineRule="exact"/>
        <w:ind w:firstLine="480" w:firstLineChars="200"/>
        <w:rPr>
          <w:rFonts w:ascii="宋体" w:hAnsi="宋体"/>
          <w:color w:val="auto"/>
          <w:szCs w:val="21"/>
          <w:highlight w:val="none"/>
        </w:rPr>
      </w:pPr>
      <w:r>
        <w:rPr>
          <w:rFonts w:hint="eastAsia" w:ascii="仿宋_GB2312" w:eastAsia="仿宋_GB2312" w:cs="仿宋_GB2312"/>
          <w:color w:val="auto"/>
          <w:kern w:val="0"/>
          <w:sz w:val="24"/>
          <w:highlight w:val="none"/>
          <w:lang w:val="zh-CN"/>
        </w:rPr>
        <w:sym w:font="Wingdings 2" w:char="00A3"/>
      </w:r>
      <w:r>
        <w:rPr>
          <w:rFonts w:hint="eastAsia" w:ascii="宋体" w:hAnsi="宋体"/>
          <w:color w:val="auto"/>
          <w:szCs w:val="21"/>
          <w:highlight w:val="none"/>
        </w:rPr>
        <w:t>专门面向小微企业采购的项目（供应商应为小微企业、监狱企业、残疾人福利性单位)</w:t>
      </w:r>
    </w:p>
    <w:p w14:paraId="4E4B81FF">
      <w:pPr>
        <w:spacing w:line="400" w:lineRule="exact"/>
        <w:ind w:firstLine="484" w:firstLineChars="202"/>
        <w:rPr>
          <w:rFonts w:ascii="宋体" w:hAnsi="宋体"/>
          <w:color w:val="auto"/>
          <w:szCs w:val="21"/>
          <w:highlight w:val="none"/>
        </w:rPr>
      </w:pPr>
      <w:r>
        <w:rPr>
          <w:rFonts w:hint="eastAsia" w:ascii="仿宋_GB2312" w:eastAsia="仿宋_GB2312" w:cs="仿宋_GB2312"/>
          <w:color w:val="auto"/>
          <w:kern w:val="0"/>
          <w:sz w:val="24"/>
          <w:highlight w:val="none"/>
          <w:lang w:val="zh-CN"/>
        </w:rPr>
        <w:sym w:font="Wingdings 2" w:char="0052"/>
      </w:r>
      <w:r>
        <w:rPr>
          <w:rFonts w:hint="eastAsia" w:ascii="宋体" w:hAnsi="宋体"/>
          <w:color w:val="auto"/>
          <w:szCs w:val="21"/>
          <w:highlight w:val="none"/>
        </w:rPr>
        <w:t>非专门面向中小企业采购的项目</w:t>
      </w:r>
    </w:p>
    <w:p w14:paraId="41C6FA5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其他要求：无</w:t>
      </w:r>
    </w:p>
    <w:p w14:paraId="097F9CC0">
      <w:pPr>
        <w:spacing w:line="400" w:lineRule="exact"/>
        <w:ind w:firstLine="420" w:firstLineChars="200"/>
        <w:rPr>
          <w:color w:val="auto"/>
          <w:highlight w:val="none"/>
        </w:rPr>
      </w:pPr>
      <w:r>
        <w:rPr>
          <w:rFonts w:hint="eastAsia"/>
          <w:color w:val="auto"/>
          <w:highlight w:val="none"/>
        </w:rPr>
        <w:t>3</w:t>
      </w:r>
      <w:r>
        <w:rPr>
          <w:rFonts w:hint="eastAsia" w:ascii="宋体" w:hAnsi="宋体"/>
          <w:color w:val="auto"/>
          <w:szCs w:val="21"/>
          <w:highlight w:val="none"/>
        </w:rPr>
        <w:t>.本项目的特定资格要求：具有城乡规划编制(国土空间规划)乙级（或以上）资质或土地规划机构等级乙级（或以上）资质（按照中国土地学会《关于﹤土地规划机构等级证书﹥可延续使用的通知》的相关说明，在国土空间规划编制资质管理规定出台之前，相关单位取得的《土地规划机构等级证书》不再换发新证、可延续使用。因此，如供应商因以上政策性原因，提供未续期或未换发新证的土地规划机构等级证书的，视为符合条件）。</w:t>
      </w:r>
    </w:p>
    <w:p w14:paraId="7FAD38DA">
      <w:pPr>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本项目的特定条件：无。</w:t>
      </w:r>
    </w:p>
    <w:p w14:paraId="336B11DC">
      <w:pPr>
        <w:snapToGrid w:val="0"/>
        <w:spacing w:line="400" w:lineRule="exact"/>
        <w:ind w:firstLine="42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D98F8C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08C5ADB">
      <w:pPr>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p>
    <w:p w14:paraId="038673BB">
      <w:pPr>
        <w:snapToGrid w:val="0"/>
        <w:spacing w:line="400" w:lineRule="exact"/>
        <w:ind w:firstLine="472" w:firstLineChars="225"/>
        <w:rPr>
          <w:rFonts w:ascii="宋体" w:hAnsi="宋体"/>
          <w:color w:val="auto"/>
          <w:szCs w:val="21"/>
          <w:highlight w:val="none"/>
        </w:rPr>
      </w:pPr>
      <w:r>
        <w:rPr>
          <w:rFonts w:hint="eastAsia" w:ascii="宋体" w:hAnsi="宋体"/>
          <w:color w:val="auto"/>
          <w:szCs w:val="21"/>
          <w:highlight w:val="none"/>
        </w:rPr>
        <w:t>时间：自公告发布之日起。</w:t>
      </w:r>
    </w:p>
    <w:p w14:paraId="58127D30">
      <w:pPr>
        <w:snapToGrid w:val="0"/>
        <w:spacing w:line="400" w:lineRule="exact"/>
        <w:ind w:firstLine="472" w:firstLineChars="225"/>
        <w:rPr>
          <w:rFonts w:ascii="黑体" w:hAnsi="黑体" w:eastAsia="黑体"/>
          <w:b/>
          <w:bCs/>
          <w:color w:val="auto"/>
          <w:sz w:val="24"/>
          <w:highlight w:val="none"/>
        </w:rPr>
      </w:pPr>
      <w:r>
        <w:rPr>
          <w:rFonts w:hint="eastAsia" w:ascii="宋体" w:hAnsi="宋体"/>
          <w:color w:val="auto"/>
          <w:szCs w:val="21"/>
          <w:highlight w:val="none"/>
        </w:rPr>
        <w:t>获取方式：网上下载。本项目不发放纸质文件，供应商可自行在本公告“六、其他补充事宜”中网上查询地址的信息公告处下载招标文件。电子投标文件制作需要基于“广西政府采购云平台”（https：//www.gcy.zfcg.gxzf.gov.cn/）获取的招标文件编制，拟参与本项目的潜在供应商需使用账号登录或者使用CA登录“广西政府采购云平台”平台-进入“项目采购”应用，在获取采购文件菜单中选择项目，获取采购文件。</w:t>
      </w:r>
    </w:p>
    <w:p w14:paraId="58597360">
      <w:pPr>
        <w:snapToGrid w:val="0"/>
        <w:spacing w:line="400" w:lineRule="exact"/>
        <w:ind w:firstLine="472" w:firstLineChars="225"/>
        <w:rPr>
          <w:rFonts w:ascii="宋体" w:hAnsi="宋体"/>
          <w:color w:val="auto"/>
          <w:szCs w:val="21"/>
          <w:highlight w:val="none"/>
        </w:rPr>
      </w:pPr>
      <w:r>
        <w:rPr>
          <w:rFonts w:hint="eastAsia" w:ascii="宋体" w:hAnsi="宋体"/>
          <w:color w:val="auto"/>
          <w:szCs w:val="21"/>
          <w:highlight w:val="none"/>
        </w:rPr>
        <w:t>售价：0元。</w:t>
      </w:r>
    </w:p>
    <w:p w14:paraId="7AAC1B03">
      <w:pPr>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四、提交投标文件截止时间、开标时间和地点</w:t>
      </w:r>
    </w:p>
    <w:p w14:paraId="37954CEF">
      <w:pPr>
        <w:spacing w:line="400" w:lineRule="exact"/>
        <w:ind w:firstLine="420" w:firstLineChars="200"/>
        <w:rPr>
          <w:rFonts w:ascii="宋体" w:hAnsi="宋体" w:cs="宋体"/>
          <w:color w:val="auto"/>
          <w:szCs w:val="21"/>
          <w:highlight w:val="none"/>
          <w:u w:val="single"/>
        </w:rPr>
      </w:pPr>
      <w:r>
        <w:rPr>
          <w:rFonts w:hint="eastAsia" w:ascii="宋体" w:hAnsi="宋体"/>
          <w:bCs/>
          <w:color w:val="auto"/>
          <w:szCs w:val="21"/>
          <w:highlight w:val="none"/>
        </w:rPr>
        <w:t>1、提交投标文件截止时间和开标时间：</w:t>
      </w:r>
      <w:r>
        <w:rPr>
          <w:rFonts w:hint="eastAsia" w:ascii="宋体" w:hAnsi="宋体" w:cs="宋体"/>
          <w:bCs/>
          <w:color w:val="auto"/>
          <w:szCs w:val="21"/>
          <w:highlight w:val="none"/>
          <w:u w:val="single"/>
        </w:rPr>
        <w:t>2026年06月</w:t>
      </w:r>
      <w:r>
        <w:rPr>
          <w:rFonts w:hint="eastAsia" w:ascii="宋体" w:hAnsi="宋体" w:cs="宋体"/>
          <w:bCs/>
          <w:color w:val="auto"/>
          <w:szCs w:val="21"/>
          <w:highlight w:val="none"/>
          <w:u w:val="single"/>
          <w:lang w:val="en-US" w:eastAsia="zh-CN"/>
        </w:rPr>
        <w:t>22</w:t>
      </w:r>
      <w:r>
        <w:rPr>
          <w:rFonts w:hint="eastAsia" w:ascii="宋体" w:hAnsi="宋体" w:cs="宋体"/>
          <w:bCs/>
          <w:color w:val="auto"/>
          <w:szCs w:val="21"/>
          <w:highlight w:val="none"/>
          <w:u w:val="single"/>
        </w:rPr>
        <w:t>日09 时30分</w:t>
      </w:r>
      <w:r>
        <w:rPr>
          <w:rFonts w:hint="eastAsia" w:ascii="宋体" w:hAnsi="宋体"/>
          <w:bCs/>
          <w:color w:val="auto"/>
          <w:szCs w:val="21"/>
          <w:highlight w:val="none"/>
        </w:rPr>
        <w:t>（北京时间）</w:t>
      </w:r>
    </w:p>
    <w:p w14:paraId="75B536A0">
      <w:pPr>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、投标和开标地点：</w:t>
      </w:r>
    </w:p>
    <w:p w14:paraId="43FD951B">
      <w:pPr>
        <w:widowControl/>
        <w:spacing w:line="47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（1）投标文件提交方式：本项目为南宁市全流程电子化项目，通过“广西政府采购云平台”（</w:t>
      </w:r>
      <w:r>
        <w:rPr>
          <w:rStyle w:val="23"/>
          <w:rFonts w:hint="eastAsia" w:ascii="宋体" w:hAnsi="宋体"/>
          <w:color w:val="auto"/>
          <w:szCs w:val="21"/>
          <w:highlight w:val="none"/>
        </w:rPr>
        <w:t>https：//www.gcy.zfcg.gxzf.gov.cn/</w:t>
      </w:r>
      <w:r>
        <w:rPr>
          <w:rFonts w:hint="eastAsia" w:ascii="宋体" w:hAnsi="宋体"/>
          <w:color w:val="auto"/>
          <w:szCs w:val="21"/>
          <w:highlight w:val="none"/>
        </w:rPr>
        <w:t>）实行在线电子投标，供应商应先安装“广西政府采购云平台电子交易客户端”（请自行前往“广西政府采购云平台”进行下载），并按照本项目招标文件和“广西政府采购云平台”的要求编制、加密后在投标截止时间前通过网络上传至南宁市本级“广西政府采购云平台”，</w:t>
      </w:r>
      <w:r>
        <w:rPr>
          <w:rFonts w:hint="eastAsia" w:ascii="宋体" w:hAnsi="宋体"/>
          <w:b/>
          <w:color w:val="auto"/>
          <w:szCs w:val="21"/>
          <w:highlight w:val="none"/>
        </w:rPr>
        <w:t>供应商在“广西政府采购云平台”提交电子版投标文件时，请填写参加远程开标活动经办人联系方式</w:t>
      </w:r>
      <w:r>
        <w:rPr>
          <w:rFonts w:hint="eastAsia" w:ascii="宋体" w:hAnsi="宋体"/>
          <w:color w:val="auto"/>
          <w:szCs w:val="21"/>
          <w:highlight w:val="none"/>
        </w:rPr>
        <w:t>。</w:t>
      </w:r>
    </w:p>
    <w:p w14:paraId="724E05BF">
      <w:pPr>
        <w:widowControl/>
        <w:spacing w:line="47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及投标文件的提交。完成CA数字证书办理预计7日左右，</w:t>
      </w:r>
      <w:r>
        <w:rPr>
          <w:rFonts w:hint="eastAsia" w:ascii="宋体" w:hAnsi="宋体" w:cs="宋体"/>
          <w:color w:val="auto"/>
          <w:szCs w:val="21"/>
          <w:highlight w:val="none"/>
        </w:rPr>
        <w:t>投标人只需办理其中一家</w:t>
      </w:r>
      <w:r>
        <w:rPr>
          <w:rFonts w:ascii="宋体" w:hAnsi="宋体" w:cs="宋体"/>
          <w:color w:val="auto"/>
          <w:szCs w:val="21"/>
          <w:highlight w:val="none"/>
        </w:rPr>
        <w:t>CA数字证书及签章</w:t>
      </w:r>
      <w:r>
        <w:rPr>
          <w:rFonts w:hint="eastAsia" w:ascii="宋体" w:hAnsi="宋体" w:cs="宋体"/>
          <w:color w:val="auto"/>
          <w:szCs w:val="21"/>
          <w:highlight w:val="none"/>
        </w:rPr>
        <w:t>，</w:t>
      </w:r>
      <w:r>
        <w:rPr>
          <w:rFonts w:hint="eastAsia" w:ascii="宋体" w:hAnsi="宋体"/>
          <w:color w:val="auto"/>
          <w:szCs w:val="21"/>
          <w:highlight w:val="none"/>
        </w:rPr>
        <w:t>建议各投标人抓紧时间办理。</w:t>
      </w:r>
    </w:p>
    <w:p w14:paraId="363F6188">
      <w:pPr>
        <w:widowControl/>
        <w:spacing w:line="47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（3）为确保网上操作合法、有效和安全，请投标供应商确保在电子投标过程中能够对相关数据电文进行加密和使用电子签章，妥善保管C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w:t>
      </w:r>
    </w:p>
    <w:p w14:paraId="388D5CAC">
      <w:pPr>
        <w:spacing w:line="47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22290A27">
      <w:pPr>
        <w:widowControl/>
        <w:spacing w:line="47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（4）开标地点：本次招标将</w:t>
      </w:r>
      <w:r>
        <w:rPr>
          <w:rFonts w:hint="eastAsia" w:ascii="宋体" w:hAnsi="宋体"/>
          <w:color w:val="auto"/>
          <w:szCs w:val="21"/>
          <w:highlight w:val="none"/>
          <w:u w:val="single"/>
        </w:rPr>
        <w:t>于2026年06月</w:t>
      </w:r>
      <w:r>
        <w:rPr>
          <w:rFonts w:hint="eastAsia" w:ascii="宋体" w:hAnsi="宋体"/>
          <w:color w:val="auto"/>
          <w:szCs w:val="21"/>
          <w:highlight w:val="none"/>
          <w:u w:val="single"/>
          <w:lang w:val="en-US" w:eastAsia="zh-CN"/>
        </w:rPr>
        <w:t>22</w:t>
      </w:r>
      <w:r>
        <w:rPr>
          <w:rFonts w:hint="eastAsia" w:ascii="宋体" w:hAnsi="宋体"/>
          <w:color w:val="auto"/>
          <w:szCs w:val="21"/>
          <w:highlight w:val="none"/>
          <w:u w:val="single"/>
        </w:rPr>
        <w:t>日</w:t>
      </w:r>
      <w:r>
        <w:rPr>
          <w:rFonts w:hint="eastAsia" w:ascii="宋体" w:hAnsi="宋体" w:cs="宋体"/>
          <w:bCs/>
          <w:color w:val="auto"/>
          <w:szCs w:val="21"/>
          <w:highlight w:val="none"/>
          <w:u w:val="single"/>
        </w:rPr>
        <w:t>09时30分</w:t>
      </w:r>
      <w:r>
        <w:rPr>
          <w:rFonts w:hint="eastAsia" w:ascii="宋体" w:hAnsi="宋体"/>
          <w:color w:val="auto"/>
          <w:szCs w:val="21"/>
          <w:highlight w:val="none"/>
        </w:rPr>
        <w:t>在“广西政府采购云平台”电子开标大厅开标。</w:t>
      </w:r>
    </w:p>
    <w:p w14:paraId="1B774194">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（5）CA证书在线解密：供应商投标时，需携带制作投标文件时用来加密的有效数字证书（CA认证）登录“广西政府采购云平台”电子开标大厅现场按规定时间对加密的投标文件进行解密，否则后果自负。</w:t>
      </w:r>
    </w:p>
    <w:p w14:paraId="491B8236">
      <w:pPr>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五、公告期限</w:t>
      </w:r>
    </w:p>
    <w:p w14:paraId="3F5F3B57">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3745DC2">
      <w:pPr>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六、其他补充事宜</w:t>
      </w:r>
    </w:p>
    <w:p w14:paraId="623DBD8E">
      <w:pPr>
        <w:spacing w:line="40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投标保证金：本项目不收取投标保证金</w:t>
      </w:r>
    </w:p>
    <w:p w14:paraId="759DE7DE">
      <w:pPr>
        <w:spacing w:line="400" w:lineRule="exact"/>
        <w:ind w:firstLine="315" w:firstLineChars="150"/>
        <w:jc w:val="left"/>
        <w:rPr>
          <w:rFonts w:ascii="宋体" w:hAnsi="宋体"/>
          <w:color w:val="auto"/>
          <w:szCs w:val="21"/>
          <w:highlight w:val="none"/>
        </w:rPr>
      </w:pPr>
      <w:r>
        <w:rPr>
          <w:rFonts w:hint="eastAsia" w:ascii="宋体" w:hAnsi="宋体" w:cs="宋体"/>
          <w:color w:val="auto"/>
          <w:kern w:val="0"/>
          <w:szCs w:val="21"/>
          <w:highlight w:val="none"/>
        </w:rPr>
        <w:t>2.采购意向公开链接：https://zfcg.gxzf.gov.cn/site/detail?categoryCode=ZcyAnnouncement&amp;parentId=66485&amp;articleId=tzFDxZnoRa6jUlHw+DkX3Q==</w:t>
      </w:r>
    </w:p>
    <w:p w14:paraId="45D53672">
      <w:pPr>
        <w:spacing w:line="400" w:lineRule="exact"/>
        <w:ind w:firstLine="315" w:firstLineChars="150"/>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网上查询地址</w:t>
      </w:r>
    </w:p>
    <w:p w14:paraId="1F968490">
      <w:pPr>
        <w:spacing w:line="47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 xml:space="preserve">http：//www.ccgp.gov.cn (中国政府采购网),http：//zfcg.gxzf.gov.cn (广西政府采购网) , </w:t>
      </w:r>
      <w:r>
        <w:rPr>
          <w:rFonts w:ascii="宋体" w:hAnsi="宋体" w:cs="宋体"/>
          <w:color w:val="auto"/>
          <w:kern w:val="0"/>
          <w:szCs w:val="21"/>
          <w:highlight w:val="none"/>
        </w:rPr>
        <w:t>http</w:t>
      </w:r>
      <w:r>
        <w:rPr>
          <w:rFonts w:hint="eastAsia" w:ascii="宋体" w:hAnsi="宋体" w:cs="宋体"/>
          <w:color w:val="auto"/>
          <w:kern w:val="0"/>
          <w:szCs w:val="21"/>
          <w:highlight w:val="none"/>
        </w:rPr>
        <w:t>：</w:t>
      </w:r>
      <w:r>
        <w:rPr>
          <w:rFonts w:ascii="宋体" w:hAnsi="宋体" w:cs="宋体"/>
          <w:color w:val="auto"/>
          <w:kern w:val="0"/>
          <w:szCs w:val="21"/>
          <w:highlight w:val="none"/>
        </w:rPr>
        <w:t>//ggzy.jgswj.gxzf.gov.cn/nnggzy/ (</w:t>
      </w:r>
      <w:r>
        <w:rPr>
          <w:rFonts w:hint="eastAsia" w:ascii="宋体" w:hAnsi="宋体" w:cs="宋体"/>
          <w:color w:val="auto"/>
          <w:kern w:val="0"/>
          <w:szCs w:val="21"/>
          <w:highlight w:val="none"/>
        </w:rPr>
        <w:t>全国公共资源交易平台（广西·南宁）)</w:t>
      </w:r>
    </w:p>
    <w:p w14:paraId="6C685749">
      <w:pPr>
        <w:spacing w:line="400" w:lineRule="exact"/>
        <w:ind w:firstLine="315" w:firstLineChars="150"/>
        <w:rPr>
          <w:rFonts w:ascii="宋体" w:hAnsi="宋体" w:cs="宋体"/>
          <w:color w:val="auto"/>
          <w:kern w:val="0"/>
          <w:szCs w:val="21"/>
          <w:highlight w:val="none"/>
        </w:rPr>
      </w:pPr>
      <w:r>
        <w:rPr>
          <w:rFonts w:hint="eastAsia" w:ascii="宋体" w:hAnsi="宋体"/>
          <w:color w:val="auto"/>
          <w:szCs w:val="21"/>
          <w:highlight w:val="none"/>
        </w:rPr>
        <w:t xml:space="preserve">4. </w:t>
      </w:r>
      <w:r>
        <w:rPr>
          <w:rFonts w:hint="eastAsia" w:ascii="宋体" w:hAnsi="宋体" w:cs="宋体"/>
          <w:color w:val="auto"/>
          <w:kern w:val="0"/>
          <w:szCs w:val="21"/>
          <w:highlight w:val="none"/>
        </w:rPr>
        <w:t>本项目需要落实的政府采购政策：</w:t>
      </w:r>
      <w:bookmarkStart w:id="1" w:name="PO_3000001867_PM023"/>
    </w:p>
    <w:bookmarkEnd w:id="1"/>
    <w:p w14:paraId="79E97697">
      <w:pPr>
        <w:spacing w:line="47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0C776E6D">
      <w:pPr>
        <w:spacing w:line="47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5CD410E8">
      <w:pPr>
        <w:spacing w:line="47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4E996ECB">
      <w:pPr>
        <w:spacing w:line="47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F3C4BC4">
      <w:pPr>
        <w:spacing w:line="47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77339F3A">
      <w:pPr>
        <w:spacing w:line="400" w:lineRule="exact"/>
        <w:ind w:firstLine="315" w:firstLineChars="150"/>
        <w:rPr>
          <w:color w:val="auto"/>
          <w:highlight w:val="none"/>
        </w:rPr>
      </w:pPr>
      <w:r>
        <w:rPr>
          <w:rFonts w:hint="eastAsia" w:ascii="宋体" w:hAnsi="宋体" w:cs="宋体"/>
          <w:color w:val="auto"/>
          <w:kern w:val="0"/>
          <w:szCs w:val="21"/>
          <w:highlight w:val="none"/>
        </w:rPr>
        <w:t>（6）</w:t>
      </w:r>
      <w:r>
        <w:rPr>
          <w:rFonts w:hint="eastAsia"/>
          <w:color w:val="auto"/>
          <w:highlight w:val="none"/>
        </w:rPr>
        <w:t>扶持不发达地区和少数民族地区政策</w:t>
      </w:r>
    </w:p>
    <w:p w14:paraId="12706C2F">
      <w:pPr>
        <w:spacing w:line="400" w:lineRule="exact"/>
        <w:ind w:firstLine="315" w:firstLineChars="150"/>
        <w:rPr>
          <w:rFonts w:ascii="宋体" w:hAns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7DF30124">
      <w:pPr>
        <w:spacing w:line="400" w:lineRule="exact"/>
        <w:ind w:firstLine="315" w:firstLineChars="150"/>
        <w:rPr>
          <w:rFonts w:ascii="宋体" w:hAnsi="宋体" w:cs="宋体"/>
          <w:color w:val="auto"/>
          <w:kern w:val="0"/>
          <w:szCs w:val="21"/>
          <w:highlight w:val="none"/>
        </w:rPr>
      </w:pPr>
      <w:r>
        <w:rPr>
          <w:rFonts w:ascii="宋体" w:hAnsi="宋体" w:cs="宋体"/>
          <w:color w:val="auto"/>
          <w:kern w:val="0"/>
          <w:szCs w:val="21"/>
          <w:highlight w:val="none"/>
        </w:rPr>
        <w:t>6.</w:t>
      </w:r>
      <w:r>
        <w:rPr>
          <w:rFonts w:hint="eastAsia" w:ascii="宋体" w:hAnsi="宋体" w:cs="宋体"/>
          <w:color w:val="auto"/>
          <w:kern w:val="0"/>
          <w:szCs w:val="21"/>
          <w:highlight w:val="none"/>
        </w:rPr>
        <w:t xml:space="preserve"> 若对项目采购电子交易系统操作有疑问，可登录“广西政府采购云平台”（https：//www.gcy.zfcg.gxzf.gov.cn/），点击右侧咨询小采，获取采小蜜智能服务管家帮助，或拨打广西政府采购云平台服务热线95763获取热线服务帮助。</w:t>
      </w:r>
    </w:p>
    <w:p w14:paraId="6E7FB983">
      <w:pPr>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p>
    <w:p w14:paraId="34FCC51C">
      <w:pPr>
        <w:spacing w:line="400" w:lineRule="exact"/>
        <w:jc w:val="left"/>
        <w:rPr>
          <w:rFonts w:ascii="宋体" w:hAnsi="宋体"/>
          <w:color w:val="auto"/>
          <w:szCs w:val="21"/>
          <w:highlight w:val="none"/>
        </w:rPr>
      </w:pPr>
      <w:r>
        <w:rPr>
          <w:rFonts w:hint="eastAsia" w:ascii="宋体" w:hAnsi="宋体" w:cs="宋体"/>
          <w:color w:val="auto"/>
          <w:szCs w:val="21"/>
          <w:highlight w:val="none"/>
        </w:rPr>
        <w:t>　　　 1.采购人信息</w:t>
      </w:r>
    </w:p>
    <w:p w14:paraId="60229A03">
      <w:pPr>
        <w:spacing w:line="400" w:lineRule="exact"/>
        <w:ind w:left="1041" w:leftChars="371" w:hanging="262" w:hangingChars="125"/>
        <w:jc w:val="left"/>
        <w:rPr>
          <w:rFonts w:ascii="宋体" w:hAnsi="宋体"/>
          <w:color w:val="auto"/>
          <w:szCs w:val="21"/>
          <w:highlight w:val="none"/>
          <w:u w:val="single"/>
        </w:rPr>
      </w:pPr>
      <w:r>
        <w:rPr>
          <w:rFonts w:hint="eastAsia" w:ascii="宋体" w:hAnsi="宋体"/>
          <w:color w:val="auto"/>
          <w:szCs w:val="21"/>
          <w:highlight w:val="none"/>
        </w:rPr>
        <w:t>名 称：</w:t>
      </w:r>
      <w:r>
        <w:rPr>
          <w:rFonts w:hint="eastAsia" w:ascii="宋体" w:hAnsi="宋体"/>
          <w:color w:val="auto"/>
          <w:szCs w:val="21"/>
          <w:highlight w:val="none"/>
          <w:u w:val="single"/>
        </w:rPr>
        <w:t>南宁市自然资源局</w:t>
      </w:r>
    </w:p>
    <w:p w14:paraId="2A7B52F0">
      <w:pPr>
        <w:spacing w:line="400" w:lineRule="exact"/>
        <w:ind w:left="1041" w:leftChars="371" w:hanging="262" w:hangingChars="125"/>
        <w:jc w:val="left"/>
        <w:rPr>
          <w:rFonts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南宁市锦春路3-1号</w:t>
      </w:r>
    </w:p>
    <w:p w14:paraId="58297F9A">
      <w:pPr>
        <w:spacing w:line="400" w:lineRule="exact"/>
        <w:ind w:left="1041" w:leftChars="371" w:hanging="262" w:hangingChars="125"/>
        <w:jc w:val="left"/>
        <w:rPr>
          <w:rFonts w:hAnsi="宋体"/>
          <w:color w:val="auto"/>
          <w:highlight w:val="none"/>
        </w:rPr>
      </w:pPr>
      <w:r>
        <w:rPr>
          <w:rFonts w:hint="eastAsia" w:hAnsi="宋体"/>
          <w:color w:val="auto"/>
          <w:highlight w:val="none"/>
        </w:rPr>
        <w:t>项目联系人：</w:t>
      </w:r>
      <w:r>
        <w:rPr>
          <w:rFonts w:hint="eastAsia" w:ascii="宋体" w:hAnsi="宋体" w:cs="Arial"/>
          <w:bCs/>
          <w:color w:val="auto"/>
          <w:kern w:val="0"/>
          <w:szCs w:val="21"/>
          <w:highlight w:val="none"/>
          <w:u w:val="single"/>
        </w:rPr>
        <w:t>韦依婷</w:t>
      </w:r>
    </w:p>
    <w:p w14:paraId="4B111C8C">
      <w:pPr>
        <w:spacing w:line="400" w:lineRule="exact"/>
        <w:ind w:left="1041" w:leftChars="371" w:hanging="262" w:hangingChars="125"/>
        <w:jc w:val="left"/>
        <w:rPr>
          <w:rFonts w:ascii="宋体" w:hAnsi="宋体"/>
          <w:color w:val="auto"/>
          <w:szCs w:val="21"/>
          <w:highlight w:val="none"/>
          <w:u w:val="single"/>
        </w:rPr>
      </w:pPr>
      <w:r>
        <w:rPr>
          <w:rFonts w:hint="eastAsia" w:ascii="宋体" w:hAnsi="宋体"/>
          <w:color w:val="auto"/>
          <w:szCs w:val="21"/>
          <w:highlight w:val="none"/>
        </w:rPr>
        <w:t>联系电话：</w:t>
      </w:r>
      <w:r>
        <w:rPr>
          <w:rFonts w:ascii="宋体" w:hAnsi="宋体" w:cs="Arial"/>
          <w:bCs/>
          <w:color w:val="auto"/>
          <w:kern w:val="0"/>
          <w:szCs w:val="21"/>
          <w:highlight w:val="none"/>
          <w:u w:val="single"/>
        </w:rPr>
        <w:t>0771-</w:t>
      </w:r>
      <w:r>
        <w:rPr>
          <w:rFonts w:hint="eastAsia" w:ascii="宋体" w:hAnsi="宋体" w:cs="Arial"/>
          <w:bCs/>
          <w:color w:val="auto"/>
          <w:kern w:val="0"/>
          <w:szCs w:val="21"/>
          <w:highlight w:val="none"/>
          <w:u w:val="single"/>
        </w:rPr>
        <w:t>5609205</w:t>
      </w:r>
    </w:p>
    <w:p w14:paraId="6A810C63">
      <w:pPr>
        <w:spacing w:line="400" w:lineRule="exact"/>
        <w:ind w:left="1041" w:leftChars="371" w:hanging="262" w:hangingChars="125"/>
        <w:jc w:val="left"/>
        <w:rPr>
          <w:rFonts w:ascii="宋体" w:hAnsi="宋体"/>
          <w:color w:val="auto"/>
          <w:szCs w:val="21"/>
          <w:highlight w:val="none"/>
        </w:rPr>
      </w:pPr>
      <w:r>
        <w:rPr>
          <w:rFonts w:hint="eastAsia" w:ascii="宋体" w:hAnsi="宋体" w:cs="宋体"/>
          <w:color w:val="auto"/>
          <w:szCs w:val="21"/>
          <w:highlight w:val="none"/>
        </w:rPr>
        <w:t>2.采购代理机构信息</w:t>
      </w:r>
    </w:p>
    <w:p w14:paraId="73C51086">
      <w:pPr>
        <w:spacing w:line="400" w:lineRule="exact"/>
        <w:ind w:firstLine="735" w:firstLineChars="350"/>
        <w:rPr>
          <w:rFonts w:ascii="宋体" w:hAnsi="宋体"/>
          <w:color w:val="auto"/>
          <w:szCs w:val="21"/>
          <w:highlight w:val="none"/>
          <w:u w:val="single"/>
        </w:rPr>
      </w:pPr>
      <w:r>
        <w:rPr>
          <w:rFonts w:hint="eastAsia" w:ascii="宋体" w:hAnsi="宋体"/>
          <w:color w:val="auto"/>
          <w:szCs w:val="21"/>
          <w:highlight w:val="none"/>
        </w:rPr>
        <w:t>名 称：</w:t>
      </w:r>
      <w:r>
        <w:rPr>
          <w:rFonts w:hint="eastAsia" w:ascii="宋体" w:hAnsi="宋体"/>
          <w:color w:val="auto"/>
          <w:szCs w:val="21"/>
          <w:highlight w:val="none"/>
          <w:u w:val="single"/>
        </w:rPr>
        <w:t>广西桂工建设管理咨询有限公司</w:t>
      </w:r>
    </w:p>
    <w:p w14:paraId="6A17C75C">
      <w:pPr>
        <w:spacing w:line="400" w:lineRule="exact"/>
        <w:ind w:firstLine="735" w:firstLineChars="350"/>
        <w:rPr>
          <w:rFonts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中国（广西）自由贸易试验区南宁片区庆歌路20号富雅•国际商务大厦B栋十三层1301</w:t>
      </w:r>
    </w:p>
    <w:p w14:paraId="2D47F6CE">
      <w:pPr>
        <w:spacing w:line="400" w:lineRule="exact"/>
        <w:ind w:firstLine="735" w:firstLineChars="35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0771-5533898</w:t>
      </w:r>
    </w:p>
    <w:p w14:paraId="3CD40345">
      <w:pPr>
        <w:spacing w:line="400" w:lineRule="exact"/>
        <w:ind w:firstLine="707" w:firstLineChars="337"/>
        <w:rPr>
          <w:rFonts w:ascii="宋体" w:hAnsi="宋体"/>
          <w:color w:val="auto"/>
          <w:szCs w:val="21"/>
          <w:highlight w:val="none"/>
        </w:rPr>
      </w:pPr>
      <w:r>
        <w:rPr>
          <w:rFonts w:hint="eastAsia" w:ascii="宋体" w:hAnsi="宋体"/>
          <w:color w:val="auto"/>
          <w:szCs w:val="21"/>
          <w:highlight w:val="none"/>
        </w:rPr>
        <w:t>3.项目联系方式</w:t>
      </w:r>
    </w:p>
    <w:p w14:paraId="2C8E3E04">
      <w:pPr>
        <w:spacing w:line="400" w:lineRule="exact"/>
        <w:ind w:firstLine="707" w:firstLineChars="337"/>
        <w:rPr>
          <w:rFonts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u w:val="single"/>
        </w:rPr>
        <w:t>黄开西、钟迎春、冯丽婷</w:t>
      </w:r>
    </w:p>
    <w:p w14:paraId="67EDF206">
      <w:pPr>
        <w:spacing w:line="400" w:lineRule="exact"/>
        <w:ind w:firstLine="707" w:firstLineChars="337"/>
        <w:rPr>
          <w:rFonts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rPr>
        <w:t>0771-5533898</w:t>
      </w:r>
    </w:p>
    <w:p w14:paraId="2E6AB077">
      <w:pPr>
        <w:spacing w:line="400" w:lineRule="exact"/>
        <w:rPr>
          <w:rFonts w:ascii="宋体" w:hAnsi="宋体"/>
          <w:color w:val="auto"/>
          <w:szCs w:val="21"/>
          <w:highlight w:val="none"/>
        </w:rPr>
      </w:pPr>
    </w:p>
    <w:p w14:paraId="4E00885E">
      <w:pPr>
        <w:spacing w:line="400" w:lineRule="exact"/>
        <w:ind w:firstLine="210" w:firstLineChars="100"/>
        <w:jc w:val="right"/>
        <w:rPr>
          <w:rFonts w:ascii="宋体" w:hAnsi="宋体"/>
          <w:color w:val="auto"/>
          <w:szCs w:val="21"/>
          <w:highlight w:val="none"/>
        </w:rPr>
      </w:pPr>
    </w:p>
    <w:p w14:paraId="722B4ED0">
      <w:pPr>
        <w:pStyle w:val="10"/>
        <w:jc w:val="center"/>
        <w:outlineLvl w:val="0"/>
        <w:rPr>
          <w:rFonts w:ascii="Times New Roman" w:hAnsi="Times New Roman"/>
          <w:b/>
          <w:color w:val="auto"/>
          <w:sz w:val="36"/>
          <w:highlight w:val="none"/>
        </w:rPr>
      </w:pPr>
      <w:r>
        <w:rPr>
          <w:rFonts w:hint="eastAsia" w:ascii="Times New Roman" w:hAnsi="Times New Roman"/>
          <w:b/>
          <w:color w:val="auto"/>
          <w:sz w:val="36"/>
          <w:highlight w:val="none"/>
        </w:rPr>
        <w:br w:type="page"/>
      </w:r>
      <w:bookmarkStart w:id="2" w:name="_Toc22651"/>
      <w:r>
        <w:rPr>
          <w:rFonts w:hint="eastAsia" w:ascii="Times New Roman" w:hAnsi="Times New Roman"/>
          <w:b/>
          <w:color w:val="auto"/>
          <w:sz w:val="36"/>
          <w:highlight w:val="none"/>
        </w:rPr>
        <w:t>第二章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采购需求</w:t>
      </w:r>
      <w:bookmarkEnd w:id="2"/>
    </w:p>
    <w:p w14:paraId="2AFE6D5E">
      <w:pPr>
        <w:adjustRightInd w:val="0"/>
        <w:spacing w:line="340" w:lineRule="exact"/>
        <w:rPr>
          <w:rFonts w:hAnsi="宋体"/>
          <w:b/>
          <w:color w:val="auto"/>
          <w:szCs w:val="21"/>
          <w:highlight w:val="none"/>
        </w:rPr>
      </w:pPr>
    </w:p>
    <w:p w14:paraId="2CEB9948">
      <w:pPr>
        <w:adjustRightInd w:val="0"/>
        <w:spacing w:line="340" w:lineRule="exact"/>
        <w:rPr>
          <w:rFonts w:hAnsi="宋体"/>
          <w:b/>
          <w:color w:val="auto"/>
          <w:szCs w:val="21"/>
          <w:highlight w:val="none"/>
        </w:rPr>
      </w:pPr>
      <w:r>
        <w:rPr>
          <w:rFonts w:hint="eastAsia" w:hAnsi="宋体"/>
          <w:b/>
          <w:color w:val="auto"/>
          <w:szCs w:val="21"/>
          <w:highlight w:val="none"/>
        </w:rPr>
        <w:t>说明：</w:t>
      </w:r>
    </w:p>
    <w:p w14:paraId="4E42980D">
      <w:pPr>
        <w:spacing w:line="360" w:lineRule="auto"/>
        <w:ind w:firstLine="420" w:firstLineChars="200"/>
        <w:jc w:val="left"/>
        <w:rPr>
          <w:rFonts w:ascii="宋体" w:hAnsi="宋体" w:cs="宋体"/>
          <w:color w:val="auto"/>
          <w:szCs w:val="21"/>
          <w:highlight w:val="none"/>
        </w:rPr>
      </w:pPr>
      <w:r>
        <w:rPr>
          <w:color w:val="auto"/>
          <w:highlight w:val="none"/>
        </w:rPr>
        <w:t>1</w:t>
      </w:r>
      <w:r>
        <w:rPr>
          <w:rFonts w:hint="eastAsia" w:ascii="宋体" w:hAnsi="宋体" w:cs="宋体"/>
          <w:color w:val="auto"/>
          <w:szCs w:val="21"/>
          <w:highlight w:val="none"/>
        </w:rPr>
        <w:t>.</w:t>
      </w:r>
      <w:r>
        <w:rPr>
          <w:rFonts w:hint="eastAsia"/>
          <w:color w:val="auto"/>
          <w:highlight w:val="none"/>
        </w:rPr>
        <w:t>为落实政府采购政策需满足的要求</w:t>
      </w:r>
    </w:p>
    <w:p w14:paraId="15A54CB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7D316628">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2430EF38">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服务项目中伴随的货物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根据《关于信息安全产品实施政府采购的通知》（财库〔2010〕48号）的规定，投标人必须在投标文件中提供中国网络安全审查技术与认证中心（原中国信息安全认证中心）颁发的有效的信息安全产品认证证书（加盖投标人公章），否则投标文件作无效处理。</w:t>
      </w:r>
    </w:p>
    <w:p w14:paraId="7594AF63">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41EF7F88">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3.不需要投标人对采购需求响应为具体数值的，此采购需求的数值后将以◆号标注。</w:t>
      </w:r>
    </w:p>
    <w:p w14:paraId="20AE1C50">
      <w:pPr>
        <w:spacing w:line="360" w:lineRule="auto"/>
        <w:ind w:firstLine="420" w:firstLineChars="200"/>
        <w:jc w:val="left"/>
        <w:rPr>
          <w:color w:val="auto"/>
          <w:highlight w:val="none"/>
        </w:rPr>
      </w:pPr>
      <w:r>
        <w:rPr>
          <w:rFonts w:hint="eastAsia" w:ascii="宋体" w:hAnsi="宋体" w:cs="宋体"/>
          <w:color w:val="auto"/>
          <w:szCs w:val="21"/>
          <w:highlight w:val="none"/>
        </w:rPr>
        <w:t>4.</w:t>
      </w:r>
      <w:r>
        <w:rPr>
          <w:rFonts w:hint="eastAsia"/>
          <w:color w:val="auto"/>
          <w:highlight w:val="none"/>
        </w:rPr>
        <w:t>如投标人投标产品存在侵犯他人的知识产权或者专利成果行为的，应承担相应法律责任。</w:t>
      </w:r>
    </w:p>
    <w:tbl>
      <w:tblPr>
        <w:tblStyle w:val="20"/>
        <w:tblW w:w="97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346"/>
        <w:gridCol w:w="690"/>
        <w:gridCol w:w="435"/>
        <w:gridCol w:w="375"/>
        <w:gridCol w:w="6161"/>
        <w:gridCol w:w="1214"/>
      </w:tblGrid>
      <w:tr w14:paraId="599D6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9766" w:type="dxa"/>
            <w:gridSpan w:val="7"/>
            <w:tcBorders>
              <w:top w:val="single" w:color="auto" w:sz="4" w:space="0"/>
              <w:left w:val="single" w:color="auto" w:sz="4" w:space="0"/>
              <w:right w:val="single" w:color="auto" w:sz="4" w:space="0"/>
            </w:tcBorders>
            <w:vAlign w:val="center"/>
          </w:tcPr>
          <w:p w14:paraId="66BB92B1">
            <w:pPr>
              <w:spacing w:line="340" w:lineRule="exact"/>
              <w:jc w:val="center"/>
              <w:outlineLvl w:val="1"/>
              <w:rPr>
                <w:rFonts w:ascii="宋体" w:hAnsi="宋体" w:cs="宋体"/>
                <w:b/>
                <w:color w:val="auto"/>
                <w:szCs w:val="21"/>
                <w:highlight w:val="none"/>
              </w:rPr>
            </w:pPr>
            <w:r>
              <w:rPr>
                <w:rFonts w:hint="eastAsia"/>
                <w:color w:val="auto"/>
                <w:highlight w:val="none"/>
              </w:rPr>
              <w:br w:type="page"/>
            </w:r>
            <w:bookmarkStart w:id="3" w:name="_Toc29894"/>
            <w:bookmarkStart w:id="4" w:name="_Toc19380"/>
            <w:bookmarkStart w:id="5" w:name="_Toc9123"/>
            <w:r>
              <w:rPr>
                <w:rFonts w:hint="eastAsia" w:ascii="宋体" w:hAnsi="宋体" w:cs="宋体"/>
                <w:b/>
                <w:color w:val="auto"/>
                <w:sz w:val="24"/>
                <w:highlight w:val="none"/>
              </w:rPr>
              <w:t>服务需求一览表</w:t>
            </w:r>
            <w:bookmarkEnd w:id="3"/>
            <w:bookmarkEnd w:id="4"/>
            <w:bookmarkEnd w:id="5"/>
          </w:p>
        </w:tc>
      </w:tr>
      <w:tr w14:paraId="2192C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vAlign w:val="center"/>
          </w:tcPr>
          <w:p w14:paraId="0D032027">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3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7F3ADBB">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690" w:type="dxa"/>
            <w:tcBorders>
              <w:top w:val="single" w:color="auto" w:sz="4" w:space="0"/>
              <w:left w:val="single" w:color="auto" w:sz="4" w:space="0"/>
              <w:bottom w:val="single" w:color="auto" w:sz="4" w:space="0"/>
              <w:right w:val="single" w:color="auto" w:sz="4" w:space="0"/>
            </w:tcBorders>
            <w:vAlign w:val="center"/>
          </w:tcPr>
          <w:p w14:paraId="623A9BB6">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35" w:type="dxa"/>
            <w:tcBorders>
              <w:top w:val="single" w:color="auto" w:sz="4" w:space="0"/>
              <w:left w:val="single" w:color="auto" w:sz="4" w:space="0"/>
              <w:bottom w:val="single" w:color="auto" w:sz="4" w:space="0"/>
              <w:right w:val="single" w:color="auto" w:sz="4" w:space="0"/>
            </w:tcBorders>
            <w:vAlign w:val="center"/>
          </w:tcPr>
          <w:p w14:paraId="783D6BD1">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375" w:type="dxa"/>
            <w:tcBorders>
              <w:top w:val="single" w:color="auto" w:sz="4" w:space="0"/>
              <w:left w:val="single" w:color="auto" w:sz="4" w:space="0"/>
              <w:bottom w:val="single" w:color="auto" w:sz="4" w:space="0"/>
              <w:right w:val="single" w:color="auto" w:sz="4" w:space="0"/>
            </w:tcBorders>
            <w:vAlign w:val="center"/>
          </w:tcPr>
          <w:p w14:paraId="635FAD3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6161" w:type="dxa"/>
            <w:tcBorders>
              <w:top w:val="single" w:color="auto" w:sz="4" w:space="0"/>
              <w:left w:val="single" w:color="auto" w:sz="4" w:space="0"/>
              <w:bottom w:val="single" w:color="auto" w:sz="4" w:space="0"/>
              <w:right w:val="single" w:color="auto" w:sz="4" w:space="0"/>
            </w:tcBorders>
            <w:vAlign w:val="center"/>
          </w:tcPr>
          <w:p w14:paraId="485059B9">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214" w:type="dxa"/>
            <w:tcBorders>
              <w:top w:val="single" w:color="auto" w:sz="4" w:space="0"/>
              <w:left w:val="single" w:color="auto" w:sz="4" w:space="0"/>
              <w:bottom w:val="single" w:color="auto" w:sz="4" w:space="0"/>
              <w:right w:val="single" w:color="auto" w:sz="4" w:space="0"/>
            </w:tcBorders>
            <w:vAlign w:val="center"/>
          </w:tcPr>
          <w:p w14:paraId="0A91B707">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分项预算合价（元）</w:t>
            </w:r>
          </w:p>
        </w:tc>
      </w:tr>
      <w:tr w14:paraId="1DDB9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tcPr>
          <w:p w14:paraId="518732F4">
            <w:pPr>
              <w:spacing w:line="340" w:lineRule="exact"/>
              <w:jc w:val="center"/>
              <w:rPr>
                <w:rFonts w:ascii="宋体" w:hAnsi="宋体" w:cs="宋体"/>
                <w:b/>
                <w:bCs/>
                <w:color w:val="auto"/>
                <w:szCs w:val="21"/>
                <w:highlight w:val="none"/>
              </w:rPr>
            </w:pPr>
          </w:p>
        </w:tc>
        <w:tc>
          <w:tcPr>
            <w:tcW w:w="346" w:type="dxa"/>
            <w:tcBorders>
              <w:top w:val="single" w:color="auto" w:sz="4" w:space="0"/>
              <w:left w:val="single" w:color="auto" w:sz="4" w:space="0"/>
              <w:bottom w:val="single" w:color="auto" w:sz="4" w:space="0"/>
              <w:right w:val="single" w:color="auto" w:sz="4" w:space="0"/>
            </w:tcBorders>
            <w:vAlign w:val="center"/>
          </w:tcPr>
          <w:p w14:paraId="3F9D5738">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690" w:type="dxa"/>
            <w:tcBorders>
              <w:top w:val="single" w:color="auto" w:sz="4" w:space="0"/>
              <w:left w:val="single" w:color="auto" w:sz="4" w:space="0"/>
              <w:bottom w:val="single" w:color="auto" w:sz="4" w:space="0"/>
              <w:right w:val="single" w:color="auto" w:sz="4" w:space="0"/>
            </w:tcBorders>
            <w:vAlign w:val="center"/>
          </w:tcPr>
          <w:p w14:paraId="35958D23">
            <w:pPr>
              <w:widowControl/>
              <w:spacing w:line="340" w:lineRule="exact"/>
              <w:rPr>
                <w:rFonts w:ascii="宋体" w:hAnsi="宋体" w:cs="宋体"/>
                <w:bCs/>
                <w:color w:val="auto"/>
                <w:kern w:val="0"/>
                <w:szCs w:val="21"/>
                <w:highlight w:val="none"/>
              </w:rPr>
            </w:pPr>
            <w:r>
              <w:rPr>
                <w:rFonts w:hint="eastAsia" w:ascii="宋体" w:hAnsi="宋体" w:cs="宋体"/>
                <w:bCs/>
                <w:color w:val="auto"/>
                <w:kern w:val="0"/>
                <w:szCs w:val="21"/>
                <w:highlight w:val="none"/>
              </w:rPr>
              <w:t>南宁市国土空间总体规划动态维护工作</w:t>
            </w:r>
          </w:p>
        </w:tc>
        <w:tc>
          <w:tcPr>
            <w:tcW w:w="435" w:type="dxa"/>
            <w:tcBorders>
              <w:top w:val="single" w:color="auto" w:sz="4" w:space="0"/>
              <w:left w:val="single" w:color="auto" w:sz="4" w:space="0"/>
              <w:bottom w:val="single" w:color="auto" w:sz="4" w:space="0"/>
              <w:right w:val="single" w:color="auto" w:sz="4" w:space="0"/>
            </w:tcBorders>
            <w:vAlign w:val="center"/>
          </w:tcPr>
          <w:p w14:paraId="5BCAC866">
            <w:pPr>
              <w:spacing w:line="340" w:lineRule="exact"/>
              <w:rPr>
                <w:rFonts w:ascii="宋体" w:hAnsi="宋体" w:cs="宋体"/>
                <w:bCs/>
                <w:color w:val="auto"/>
                <w:kern w:val="0"/>
                <w:szCs w:val="21"/>
                <w:highlight w:val="none"/>
              </w:rPr>
            </w:pPr>
            <w:r>
              <w:rPr>
                <w:rFonts w:hint="eastAsia" w:ascii="宋体" w:hAnsi="宋体" w:cs="宋体"/>
                <w:color w:val="auto"/>
                <w:szCs w:val="21"/>
                <w:highlight w:val="none"/>
              </w:rPr>
              <w:t>项</w:t>
            </w:r>
          </w:p>
        </w:tc>
        <w:tc>
          <w:tcPr>
            <w:tcW w:w="375" w:type="dxa"/>
            <w:tcBorders>
              <w:top w:val="single" w:color="auto" w:sz="4" w:space="0"/>
              <w:left w:val="single" w:color="auto" w:sz="4" w:space="0"/>
              <w:bottom w:val="single" w:color="auto" w:sz="4" w:space="0"/>
              <w:right w:val="single" w:color="auto" w:sz="4" w:space="0"/>
            </w:tcBorders>
            <w:vAlign w:val="center"/>
          </w:tcPr>
          <w:p w14:paraId="4E8130DB">
            <w:pPr>
              <w:spacing w:line="340" w:lineRule="exact"/>
              <w:rPr>
                <w:rFonts w:ascii="宋体" w:hAnsi="宋体" w:cs="宋体"/>
                <w:color w:val="auto"/>
                <w:szCs w:val="21"/>
                <w:highlight w:val="none"/>
              </w:rPr>
            </w:pPr>
            <w:r>
              <w:rPr>
                <w:rFonts w:hint="eastAsia" w:ascii="宋体" w:hAnsi="宋体" w:cs="宋体"/>
                <w:color w:val="auto"/>
                <w:szCs w:val="21"/>
                <w:highlight w:val="none"/>
              </w:rPr>
              <w:t>1</w:t>
            </w:r>
          </w:p>
        </w:tc>
        <w:tc>
          <w:tcPr>
            <w:tcW w:w="6161" w:type="dxa"/>
            <w:tcBorders>
              <w:top w:val="single" w:color="auto" w:sz="4" w:space="0"/>
              <w:left w:val="single" w:color="auto" w:sz="4" w:space="0"/>
              <w:bottom w:val="single" w:color="auto" w:sz="4" w:space="0"/>
              <w:right w:val="single" w:color="auto" w:sz="4" w:space="0"/>
            </w:tcBorders>
            <w:vAlign w:val="center"/>
          </w:tcPr>
          <w:p w14:paraId="63D8DEFB">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为贯彻落实党的二十届四中全会精神，落实《中共中央国务院关于建立国土空间规划体系并监督实施的若干意见》《广西建立国土空间规划体系并监督实施的实施方案》，全面对接南宁市“十五五”规划和相关专项规划，在国土空间规划“一张图”上协同统筹空间需求，进一步发挥国土空间规划基础作用，</w:t>
            </w:r>
            <w:r>
              <w:rPr>
                <w:rFonts w:ascii="宋体" w:hAnsi="宋体"/>
                <w:color w:val="auto"/>
                <w:szCs w:val="21"/>
                <w:highlight w:val="none"/>
              </w:rPr>
              <w:t>系统性破解城市发展中的空间供需矛盾，</w:t>
            </w:r>
            <w:r>
              <w:rPr>
                <w:rFonts w:hint="eastAsia" w:ascii="宋体" w:hAnsi="宋体"/>
                <w:color w:val="auto"/>
                <w:szCs w:val="21"/>
                <w:highlight w:val="none"/>
              </w:rPr>
              <w:t>提高自然资源要素保障能力</w:t>
            </w:r>
            <w:r>
              <w:rPr>
                <w:rFonts w:ascii="宋体" w:hAnsi="宋体"/>
                <w:color w:val="auto"/>
                <w:szCs w:val="21"/>
                <w:highlight w:val="none"/>
              </w:rPr>
              <w:t>，为南宁经济社会高质量发展和高品质民生供给筑牢空间根基，开展</w:t>
            </w:r>
            <w:r>
              <w:rPr>
                <w:rFonts w:hint="eastAsia" w:ascii="宋体" w:hAnsi="宋体"/>
                <w:color w:val="auto"/>
                <w:szCs w:val="21"/>
                <w:highlight w:val="none"/>
              </w:rPr>
              <w:t>南宁市国土空间总体规划（2021-2035年）动态维护方案</w:t>
            </w:r>
            <w:r>
              <w:rPr>
                <w:rFonts w:ascii="宋体" w:hAnsi="宋体"/>
                <w:color w:val="auto"/>
                <w:szCs w:val="21"/>
                <w:highlight w:val="none"/>
              </w:rPr>
              <w:t>编制工作。</w:t>
            </w:r>
          </w:p>
          <w:p w14:paraId="4D80E756">
            <w:pPr>
              <w:snapToGrid w:val="0"/>
              <w:spacing w:line="340" w:lineRule="exact"/>
              <w:ind w:firstLine="420" w:firstLineChars="200"/>
              <w:rPr>
                <w:rFonts w:ascii="宋体" w:hAnsi="宋体"/>
                <w:b/>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二、规划范围</w:t>
            </w:r>
          </w:p>
          <w:p w14:paraId="130E5DA8">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与《南宁市国土空间总体规划（2021-2035年）》范围一致。</w:t>
            </w:r>
          </w:p>
          <w:p w14:paraId="2A2972E0">
            <w:pPr>
              <w:snapToGrid w:val="0"/>
              <w:spacing w:line="340" w:lineRule="exact"/>
              <w:ind w:firstLine="420" w:firstLineChars="200"/>
              <w:rPr>
                <w:rFonts w:ascii="宋体" w:hAnsi="宋体"/>
                <w:b/>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三、服务要求</w:t>
            </w:r>
          </w:p>
          <w:p w14:paraId="030D3566">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全面对接南宁市“十五五”发展规划和专项规划，在自然资源管理和国土空间规划“一张图”上协调统筹空间需求，协同推进相关专项规划落地、重大项目谋划、规划管控要求比对分析等工作，重点保障“十五五”规划重点项目和近期急需建设项目的空间需求。在符合有关法律、法规、政策要求，严守空间安全底线，不突破国土空间总体规划确定的保护任务目标和规划强制性内容，不改变总体规划确定的空间结构和格局的前提下，开展规划动态维护方案编制工作。</w:t>
            </w:r>
          </w:p>
          <w:p w14:paraId="3FEE62E3">
            <w:pPr>
              <w:snapToGrid w:val="0"/>
              <w:spacing w:line="340" w:lineRule="exact"/>
              <w:ind w:firstLine="420" w:firstLineChars="200"/>
              <w:rPr>
                <w:rFonts w:ascii="宋体" w:hAnsi="宋体"/>
                <w:b/>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四、工作内容</w:t>
            </w:r>
          </w:p>
          <w:p w14:paraId="12657F25">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在充分衔接南宁市“十五五”发展规划和专项规划以及对南宁市国土空间规划总体规划实施情况进行综合评估的前提下，结合新的发展形势需求，对南宁市国土空间总体规划的三条控制线、规划分区、中心城区用地用海规划布局、城市重要控制线布局、重点建设项目清单等进行动态维护，具体内容包括但不限于（根据上级及本级部门有关工作要求适当调整）：</w:t>
            </w:r>
          </w:p>
          <w:p w14:paraId="15B082E6">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（一）规划目的</w:t>
            </w:r>
          </w:p>
          <w:p w14:paraId="2F33DDD1">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阐述开展规划动态维护的工作背景、编制目的、编制依据、编制范围以及国土空间总体规划批复情况、基础数据等情况，明确本次方案编制的年度及本轮规划动态维护的核心任务或工作方向。</w:t>
            </w:r>
          </w:p>
          <w:p w14:paraId="735BEF81">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（二）规划实施体检评估结论</w:t>
            </w:r>
          </w:p>
          <w:p w14:paraId="48EBEF4D">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结合国家和自治区重大战略、区域发展趋势，“十五五”发展规划空间需求，识别并提出战略定位、底线管控、规模结构、空间布局、支撑体系和实施保障等规划实施方面面临的矛盾和问题，以及有待提升完善的短板。</w:t>
            </w:r>
          </w:p>
          <w:p w14:paraId="518CA5F4">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（三）重点工作内容</w:t>
            </w:r>
          </w:p>
          <w:p w14:paraId="16349CCA">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1.规划动态维护必要性</w:t>
            </w:r>
          </w:p>
          <w:p w14:paraId="2A3AAAD3">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从战略响应、底线管控、规模结构、矛盾冲突协调、空间布局优化、空间治理能力提升等层面分别论述开展动态维护的必要性，并提出动态维护的建议。</w:t>
            </w:r>
          </w:p>
          <w:p w14:paraId="4B5A4891">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2.动态维护主要内容</w:t>
            </w:r>
          </w:p>
          <w:p w14:paraId="71561A24">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三条控制线维护。对耕地和永久基本农田保护红线、生态保护红线和城镇开发边界按情形分类进行维护。（2）重点建设项目清单维护。按情形分类阐述重点建设项目清单调整情况。（3）村庄建设用地维护。衔接已批复的村庄规划以及已印发的乡村地区“通则式”规划管理规定开展村庄建设用地维护。（4）乡镇级主体功能区维护。根据实际情况对乡镇主体功能区进行动态维护。（5）规划专栏维护。对接国家和自治区重大战略落实、“十五五”规划、国土空间规划实施衔接情况，对规划专栏内容进行动态维护。（6）规划分区维护。基于国土空间总体规划实施体检评估结果，在确保规划分区主导功能基本稳定的前提下合理优化规划分区。（7）中心城区规划用地布局维护。按照正向优化要求，结合人口结构变化和经济社会发展，优化中心城区用地结构和空间布局，完善城市功能，补齐公共服务短板。（8）城市重要控制线维护。在不突破国土空间总体规划强制性内容的前提下，可对城市重要控制线进行动态维护。（9）其他控制线维护。根据相关部门最新确定的管控范围线，进一步更新历史文化保护线、洪涝风险控制线等各类重要控制线。</w:t>
            </w:r>
          </w:p>
          <w:p w14:paraId="398AC2E4">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3.动态维护可行性</w:t>
            </w:r>
          </w:p>
          <w:p w14:paraId="1EF028C7">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根据国家和自治区相关规定，对动态维护方案维护后是否符合正向优化要求进行分析，对涉及相关底线红线及符合管控要求情况进行分析。</w:t>
            </w:r>
          </w:p>
          <w:p w14:paraId="762F1924">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（四）实施保障</w:t>
            </w:r>
          </w:p>
          <w:p w14:paraId="35600762">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从强化规划传导、强化实施全过程监管、强化数字化平台支撑、强化部门协同等方面提出保障方案有效实施的措施。</w:t>
            </w:r>
          </w:p>
          <w:p w14:paraId="7FF04BED">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（五）近期建设计划</w:t>
            </w:r>
          </w:p>
          <w:p w14:paraId="63E574B0">
            <w:pPr>
              <w:snapToGrid w:val="0"/>
              <w:spacing w:line="340" w:lineRule="exact"/>
              <w:ind w:firstLine="420" w:firstLineChars="200"/>
              <w:rPr>
                <w:rFonts w:ascii="宋体" w:hAnsi="宋体"/>
                <w:color w:val="auto"/>
                <w:szCs w:val="21"/>
                <w:highlight w:val="none"/>
              </w:rPr>
            </w:pPr>
            <w:r>
              <w:rPr>
                <w:rFonts w:ascii="宋体" w:hAnsi="宋体"/>
                <w:color w:val="auto"/>
                <w:szCs w:val="21"/>
                <w:highlight w:val="none"/>
              </w:rPr>
              <w:t>围绕南宁十五五时期国土空间开发保护主要目标和空间要素保障，</w:t>
            </w:r>
            <w:r>
              <w:rPr>
                <w:rFonts w:hint="eastAsia" w:ascii="宋体" w:hAnsi="宋体"/>
                <w:color w:val="auto"/>
                <w:szCs w:val="21"/>
                <w:highlight w:val="none"/>
              </w:rPr>
              <w:t>合理</w:t>
            </w:r>
            <w:r>
              <w:rPr>
                <w:rFonts w:ascii="宋体" w:hAnsi="宋体"/>
                <w:color w:val="auto"/>
                <w:szCs w:val="21"/>
                <w:highlight w:val="none"/>
              </w:rPr>
              <w:t>确定近期重点建设区域，提出制定契合南宁实际情况的城市空间发展策略</w:t>
            </w:r>
            <w:r>
              <w:rPr>
                <w:rFonts w:hint="eastAsia" w:ascii="宋体" w:hAnsi="宋体"/>
                <w:color w:val="auto"/>
                <w:szCs w:val="21"/>
                <w:highlight w:val="none"/>
              </w:rPr>
              <w:t>。</w:t>
            </w:r>
          </w:p>
          <w:p w14:paraId="46C3E263">
            <w:pPr>
              <w:spacing w:line="340" w:lineRule="exact"/>
              <w:ind w:firstLine="420" w:firstLineChars="200"/>
              <w:contextualSpacing/>
              <w:rPr>
                <w:rFonts w:ascii="宋体" w:hAnsi="宋体" w:cs="宋体"/>
                <w:b/>
                <w:color w:val="auto"/>
                <w:sz w:val="24"/>
                <w:highlight w:val="none"/>
              </w:rPr>
            </w:pPr>
            <w:r>
              <w:rPr>
                <w:rFonts w:hint="eastAsia" w:ascii="宋体" w:hAnsi="宋体"/>
                <w:color w:val="auto"/>
                <w:szCs w:val="21"/>
                <w:highlight w:val="none"/>
              </w:rPr>
              <w:t>▲</w:t>
            </w:r>
            <w:r>
              <w:rPr>
                <w:rFonts w:hint="eastAsia" w:ascii="宋体" w:hAnsi="宋体"/>
                <w:b/>
                <w:color w:val="auto"/>
                <w:szCs w:val="21"/>
                <w:highlight w:val="none"/>
              </w:rPr>
              <w:t>五、成果构成</w:t>
            </w:r>
          </w:p>
          <w:p w14:paraId="6C565D33">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规划动态调整完善方案、规划动态调整完善方案对照表、动态调整完善数据库、规划体检评估报告等。上级及本级部门如有其它规定的，从其规定。</w:t>
            </w:r>
          </w:p>
          <w:p w14:paraId="7BD36A59">
            <w:pPr>
              <w:spacing w:line="34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六、质量要求</w:t>
            </w:r>
          </w:p>
          <w:p w14:paraId="4B70703D">
            <w:pPr>
              <w:spacing w:line="34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规划成果应满足自然资源部、自治区和南宁市有关工作要求。</w:t>
            </w:r>
          </w:p>
          <w:p w14:paraId="3F92FA91">
            <w:pPr>
              <w:spacing w:line="34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七、提交成果</w:t>
            </w:r>
          </w:p>
          <w:p w14:paraId="68DB2E2F">
            <w:pPr>
              <w:spacing w:line="340" w:lineRule="exact"/>
              <w:ind w:firstLine="420" w:firstLineChars="200"/>
              <w:contextualSpacing/>
              <w:rPr>
                <w:rFonts w:ascii="宋体" w:hAnsi="宋体"/>
                <w:color w:val="auto"/>
                <w:szCs w:val="21"/>
                <w:highlight w:val="none"/>
              </w:rPr>
            </w:pPr>
            <w:r>
              <w:rPr>
                <w:rFonts w:hint="eastAsia" w:ascii="宋体" w:hAnsi="宋体"/>
                <w:color w:val="auto"/>
                <w:szCs w:val="21"/>
                <w:highlight w:val="none"/>
              </w:rPr>
              <w:t>1、纸质文件：规划动态调整完善方案文本、规划动态调整完善方案对照表、规划体检评估报告等各6套；</w:t>
            </w:r>
          </w:p>
          <w:p w14:paraId="72CFA065">
            <w:pPr>
              <w:widowControl/>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2、电子文件：规划动态调整完善方案、规划动态调整完善方案对照表、动态调整完善数据库、规划体检评估报告等，以光盘形式提交2份。</w:t>
            </w:r>
          </w:p>
        </w:tc>
        <w:tc>
          <w:tcPr>
            <w:tcW w:w="1214" w:type="dxa"/>
            <w:tcBorders>
              <w:top w:val="single" w:color="auto" w:sz="4" w:space="0"/>
              <w:left w:val="single" w:color="auto" w:sz="4" w:space="0"/>
              <w:bottom w:val="single" w:color="auto" w:sz="4" w:space="0"/>
              <w:right w:val="single" w:color="auto" w:sz="4" w:space="0"/>
            </w:tcBorders>
            <w:vAlign w:val="center"/>
          </w:tcPr>
          <w:p w14:paraId="750F056C">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2000000.00</w:t>
            </w:r>
          </w:p>
        </w:tc>
      </w:tr>
      <w:tr w14:paraId="0EA8C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tcPr>
          <w:p w14:paraId="6FBC1C9F">
            <w:pPr>
              <w:spacing w:line="340" w:lineRule="exact"/>
              <w:jc w:val="center"/>
              <w:rPr>
                <w:rFonts w:ascii="宋体" w:hAnsi="宋体" w:cs="宋体"/>
                <w:color w:val="auto"/>
                <w:szCs w:val="21"/>
                <w:highlight w:val="none"/>
              </w:rPr>
            </w:pPr>
          </w:p>
          <w:p w14:paraId="2F498DCB">
            <w:pPr>
              <w:spacing w:line="340" w:lineRule="exact"/>
              <w:jc w:val="center"/>
              <w:rPr>
                <w:rFonts w:ascii="宋体" w:hAnsi="宋体" w:cs="宋体"/>
                <w:color w:val="auto"/>
                <w:szCs w:val="21"/>
                <w:highlight w:val="none"/>
              </w:rPr>
            </w:pPr>
          </w:p>
          <w:p w14:paraId="6650E9E6">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商务条款</w:t>
            </w:r>
          </w:p>
        </w:tc>
        <w:tc>
          <w:tcPr>
            <w:tcW w:w="9221" w:type="dxa"/>
            <w:gridSpan w:val="6"/>
            <w:tcBorders>
              <w:top w:val="single" w:color="auto" w:sz="4" w:space="0"/>
              <w:left w:val="single" w:color="auto" w:sz="4" w:space="0"/>
              <w:bottom w:val="single" w:color="auto" w:sz="4" w:space="0"/>
              <w:right w:val="single" w:color="auto" w:sz="4" w:space="0"/>
            </w:tcBorders>
          </w:tcPr>
          <w:p w14:paraId="5A6DB83F">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▲◆一、合同签订期：自中标通知书发出之日起25日内。</w:t>
            </w:r>
          </w:p>
          <w:p w14:paraId="2F82783F">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▲◆二、提交服务成果时间：2027年6月30日</w:t>
            </w:r>
          </w:p>
          <w:p w14:paraId="0DB24715">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三、提交服务成果地点：南宁市自然资源局</w:t>
            </w:r>
          </w:p>
          <w:p w14:paraId="365CB162">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四、售后服务要求：</w:t>
            </w:r>
          </w:p>
          <w:p w14:paraId="2DC816AB">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▲1、质量保证期 1 年（自提交服务成果并验收合格之日起计），在质保期内，当国家标准、技术规范发生改变或成果出现质量问题时，中标供应商须免费修改完善相关内容。</w:t>
            </w:r>
          </w:p>
          <w:p w14:paraId="5F32B672">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▲◆2、处理问题响应时间：接到采购人处理问题通知后24小时内到达采购人指定现场，24小时内提出解决方案，3个工作日内完成问题处理。</w:t>
            </w:r>
          </w:p>
          <w:p w14:paraId="0B9A85C7">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五、其他要求：</w:t>
            </w:r>
          </w:p>
          <w:p w14:paraId="040BEEF6">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▲1、报价必须含以下部分，包括：</w:t>
            </w:r>
          </w:p>
          <w:p w14:paraId="27604DCE">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（1）服务的价格；</w:t>
            </w:r>
          </w:p>
          <w:p w14:paraId="3CAAD903">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（2）必要的保险费用和各项税金；</w:t>
            </w:r>
          </w:p>
          <w:p w14:paraId="44063845">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（3）项目调研、</w:t>
            </w:r>
            <w:r>
              <w:rPr>
                <w:rFonts w:hint="eastAsia" w:ascii="宋体" w:hAnsi="宋体"/>
                <w:color w:val="auto"/>
                <w:szCs w:val="21"/>
                <w:highlight w:val="none"/>
                <w:lang w:val="en-US" w:eastAsia="zh-CN"/>
              </w:rPr>
              <w:t>咨询</w:t>
            </w:r>
            <w:r>
              <w:rPr>
                <w:rFonts w:hint="eastAsia" w:ascii="宋体" w:hAnsi="宋体"/>
                <w:color w:val="auto"/>
                <w:szCs w:val="21"/>
                <w:highlight w:val="none"/>
              </w:rPr>
              <w:t>和验收的费用；</w:t>
            </w:r>
          </w:p>
          <w:p w14:paraId="540C445C">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（4）技术支持、售后服务费用。</w:t>
            </w:r>
          </w:p>
          <w:p w14:paraId="6F79493D">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▲2、付款方式：</w:t>
            </w:r>
          </w:p>
          <w:p w14:paraId="23F7776F">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合同签订生效后，采购人支付合同款的20%；中标供应商提交南宁市国土空间总体规划动态维护工作初步方案后，采购人支付30%合同款；中标供应商提交南宁市国土空间总体规划动态维护工作中期成果后，采购人支付30%合同款；中标供应商提交南宁市国土空间总体规划动态维护工作所有成果，并经采购人验收后，采购人支付剩余合同款。</w:t>
            </w:r>
          </w:p>
          <w:p w14:paraId="34BFE92D">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▲3、项目实施要求：</w:t>
            </w:r>
          </w:p>
          <w:p w14:paraId="678BA834">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实施人员（包括项目负责人）必须是中标供应商在职在岗员工，参与投标时须提供人员在职在岗证明材料扫描件（如：与投标人签订的劳动合同或投标人为其缴纳的投标截止之日前半年内投标人任意1个月社保证明）；</w:t>
            </w:r>
          </w:p>
          <w:p w14:paraId="4EF10E27">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（2）项目开展后若要更换实施人员的，必须书面征得采购人的同意，同时替换的人员资质不低于被替换的人员，替换人数不超过投入人员数量的20%。</w:t>
            </w:r>
          </w:p>
          <w:p w14:paraId="678BCCA6">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项目实施期间，采购人将现场核实实施人员身份，若发现与投标及报备时不一致的，采购人有权停止其服务并要求更换实施人员，若出现上诉问题累计达3次的，采购人有权向政府采购监督部门申请终止服务合同。</w:t>
            </w:r>
          </w:p>
          <w:p w14:paraId="3CE59FF5">
            <w:pPr>
              <w:widowControl/>
              <w:spacing w:line="340" w:lineRule="exact"/>
              <w:ind w:firstLine="420" w:firstLineChars="200"/>
              <w:jc w:val="left"/>
              <w:rPr>
                <w:rFonts w:ascii="宋体" w:hAnsi="宋体" w:cs="宋体"/>
                <w:color w:val="auto"/>
                <w:szCs w:val="21"/>
                <w:highlight w:val="none"/>
              </w:rPr>
            </w:pPr>
            <w:r>
              <w:rPr>
                <w:rFonts w:hint="eastAsia" w:ascii="宋体" w:hAnsi="宋体"/>
                <w:color w:val="auto"/>
                <w:szCs w:val="21"/>
                <w:highlight w:val="none"/>
              </w:rPr>
              <w:t>▲4、保密要求：中标供应商须严格遵守采购人保密制度要求，在项目开展过程中，对本项目所有项目信息以及接触到数据予以保密，未经采购人书面允许，不得以任何形式向第三方透露本项目的任何内容。</w:t>
            </w:r>
          </w:p>
        </w:tc>
      </w:tr>
      <w:tr w14:paraId="3B0E4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tcPr>
          <w:p w14:paraId="3935039C">
            <w:pPr>
              <w:spacing w:line="340" w:lineRule="exact"/>
              <w:jc w:val="center"/>
              <w:rPr>
                <w:rFonts w:ascii="宋体" w:hAnsi="宋体" w:cs="宋体"/>
                <w:color w:val="auto"/>
                <w:szCs w:val="21"/>
                <w:highlight w:val="none"/>
              </w:rPr>
            </w:pPr>
            <w:r>
              <w:rPr>
                <w:rFonts w:hint="eastAsia" w:ascii="宋体" w:hAnsi="宋体"/>
                <w:color w:val="auto"/>
                <w:szCs w:val="21"/>
                <w:highlight w:val="none"/>
              </w:rPr>
              <w:t>其他说明</w:t>
            </w:r>
          </w:p>
        </w:tc>
        <w:tc>
          <w:tcPr>
            <w:tcW w:w="9221" w:type="dxa"/>
            <w:gridSpan w:val="6"/>
            <w:tcBorders>
              <w:top w:val="single" w:color="auto" w:sz="4" w:space="0"/>
              <w:left w:val="single" w:color="auto" w:sz="4" w:space="0"/>
              <w:bottom w:val="single" w:color="auto" w:sz="4" w:space="0"/>
              <w:right w:val="single" w:color="auto" w:sz="4" w:space="0"/>
            </w:tcBorders>
          </w:tcPr>
          <w:p w14:paraId="206D467D">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1、本项目采购标的对应的中小企业划分标准所属行业：其它未列明行业。</w:t>
            </w:r>
          </w:p>
          <w:p w14:paraId="5BE68AD9">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2、本项目合同文本中的条款如与项目需求不一致的，以采购文件项目需求表、中标供应商响应条款为准。</w:t>
            </w:r>
          </w:p>
          <w:p w14:paraId="55B26E13">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3、本项目投标时请提供项目组织服务方案，如已通过ISO相关体系认证、获得相关奖项、承担过类似项目业绩，请提供相关证明材料。</w:t>
            </w:r>
          </w:p>
          <w:p w14:paraId="6CA9986E">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4、合同延续年限、条件和方式：服务期满后，本项目不续签。</w:t>
            </w:r>
          </w:p>
        </w:tc>
      </w:tr>
    </w:tbl>
    <w:p w14:paraId="4FC3C557">
      <w:pPr>
        <w:rPr>
          <w:rFonts w:ascii="仿宋" w:hAnsi="仿宋" w:eastAsia="仿宋" w:cs="Arial Unicode MS"/>
          <w:color w:val="auto"/>
          <w:sz w:val="17"/>
          <w:szCs w:val="17"/>
          <w:highlight w:val="none"/>
        </w:rPr>
      </w:pPr>
      <w:r>
        <w:rPr>
          <w:rFonts w:hint="eastAsia" w:ascii="宋体" w:hAnsi="宋体" w:cs="宋体"/>
          <w:b/>
          <w:bCs/>
          <w:color w:val="auto"/>
          <w:kern w:val="44"/>
          <w:sz w:val="24"/>
          <w:highlight w:val="none"/>
        </w:rPr>
        <w:br w:type="page"/>
      </w:r>
      <w:r>
        <w:rPr>
          <w:rFonts w:hint="eastAsia" w:ascii="仿宋" w:hAnsi="仿宋" w:eastAsia="仿宋" w:cs="宋体"/>
          <w:color w:val="auto"/>
          <w:sz w:val="32"/>
          <w:szCs w:val="32"/>
          <w:highlight w:val="none"/>
        </w:rPr>
        <w:t>附件</w:t>
      </w:r>
      <w:r>
        <w:rPr>
          <w:rFonts w:hint="eastAsia" w:ascii="仿宋" w:hAnsi="仿宋" w:eastAsia="仿宋" w:cs="Arial Unicode MS"/>
          <w:color w:val="auto"/>
          <w:sz w:val="32"/>
          <w:szCs w:val="32"/>
          <w:highlight w:val="none"/>
        </w:rPr>
        <w:t>1</w:t>
      </w:r>
      <w:r>
        <w:rPr>
          <w:rFonts w:hint="eastAsia" w:ascii="仿宋" w:hAnsi="仿宋" w:eastAsia="仿宋" w:cs="宋体"/>
          <w:color w:val="auto"/>
          <w:sz w:val="32"/>
          <w:szCs w:val="32"/>
          <w:highlight w:val="none"/>
        </w:rPr>
        <w:t>：</w:t>
      </w:r>
    </w:p>
    <w:p w14:paraId="06279BD3">
      <w:pPr>
        <w:spacing w:line="528" w:lineRule="exact"/>
        <w:ind w:left="1871"/>
        <w:rPr>
          <w:rFonts w:ascii="仿宋" w:hAnsi="仿宋" w:eastAsia="仿宋" w:cs="Arial Unicode MS"/>
          <w:color w:val="auto"/>
          <w:sz w:val="40"/>
          <w:szCs w:val="40"/>
          <w:highlight w:val="none"/>
        </w:rPr>
      </w:pPr>
      <w:r>
        <w:rPr>
          <w:rFonts w:hint="eastAsia" w:ascii="仿宋" w:hAnsi="仿宋" w:eastAsia="仿宋" w:cs="Arial Unicode MS"/>
          <w:color w:val="auto"/>
          <w:sz w:val="40"/>
          <w:szCs w:val="40"/>
          <w:highlight w:val="none"/>
        </w:rPr>
        <w:t>节能产品政府采购品目清单</w:t>
      </w:r>
    </w:p>
    <w:tbl>
      <w:tblPr>
        <w:tblStyle w:val="20"/>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05802A99">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28D5E7BA">
            <w:pPr>
              <w:widowControl/>
              <w:jc w:val="center"/>
              <w:rPr>
                <w:rFonts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1C4C8030">
            <w:pPr>
              <w:widowControl/>
              <w:jc w:val="center"/>
              <w:rPr>
                <w:rFonts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1304BD41">
            <w:pPr>
              <w:widowControl/>
              <w:jc w:val="center"/>
              <w:rPr>
                <w:rFonts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依据的标准</w:t>
            </w:r>
          </w:p>
        </w:tc>
      </w:tr>
      <w:tr w14:paraId="4AF555C9">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575ADB85">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24879F35">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74E7FDF8">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68AE2279">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DF117B2">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《微型计算机能效限定值及能效等级》（GB28380）</w:t>
            </w:r>
          </w:p>
        </w:tc>
      </w:tr>
      <w:tr w14:paraId="4E401FE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A97AB8D">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55ADE8A">
            <w:pPr>
              <w:widowControl/>
              <w:jc w:val="left"/>
              <w:rPr>
                <w:rFonts w:ascii="仿宋" w:hAnsi="仿宋" w:eastAsia="仿宋"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DF82B6B">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3446B039">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23E9FEC">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《微型计算机能效限定值及能效等级》（GB28380）</w:t>
            </w:r>
          </w:p>
        </w:tc>
      </w:tr>
      <w:tr w14:paraId="595F0A30">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5B7A384F">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91CB1CE">
            <w:pPr>
              <w:widowControl/>
              <w:jc w:val="left"/>
              <w:rPr>
                <w:rFonts w:ascii="仿宋" w:hAnsi="仿宋" w:eastAsia="仿宋"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2DF5A94">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1D96512C">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7900A43">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《微型计算机能效限定值及能效等级》（GB28380）</w:t>
            </w:r>
          </w:p>
        </w:tc>
      </w:tr>
      <w:tr w14:paraId="7776E937">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2A2A6841">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79D6005B">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094B1269">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7B7968F4">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7E6549E1">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《复印机、打印机和传真机能效限定值及能效等级》（GB21521）</w:t>
            </w:r>
          </w:p>
        </w:tc>
      </w:tr>
      <w:tr w14:paraId="1BA4672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9C1BF7E">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1E7D8F3">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AB8E89B">
            <w:pPr>
              <w:widowControl/>
              <w:jc w:val="left"/>
              <w:rPr>
                <w:rFonts w:ascii="仿宋" w:hAnsi="仿宋" w:eastAsia="仿宋"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A1E4ECE">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04C53EFA">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《复印机、打印机和传真机能效限定值及能效等级》（GB21521）</w:t>
            </w:r>
          </w:p>
        </w:tc>
      </w:tr>
      <w:tr w14:paraId="23E7812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AF29609">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CE11CB0">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3F37FEC">
            <w:pPr>
              <w:widowControl/>
              <w:jc w:val="left"/>
              <w:rPr>
                <w:rFonts w:ascii="仿宋" w:hAnsi="仿宋" w:eastAsia="仿宋"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1193E28A">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5455D6C2">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《复印机、打印机和传真机能效限定值及能效等级》（GB21521）</w:t>
            </w:r>
          </w:p>
        </w:tc>
      </w:tr>
      <w:tr w14:paraId="68DA15C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24960D6">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0869397">
            <w:pPr>
              <w:widowControl/>
              <w:jc w:val="left"/>
              <w:rPr>
                <w:rFonts w:ascii="仿宋" w:hAnsi="仿宋" w:eastAsia="仿宋"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4D742F0">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076E537D">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59DE99E3">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《计算机显示器能效限定值及能效等级》（GB21520）</w:t>
            </w:r>
          </w:p>
        </w:tc>
      </w:tr>
      <w:tr w14:paraId="6F7B008D">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6A835222">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8DBDB9D">
            <w:pPr>
              <w:widowControl/>
              <w:jc w:val="left"/>
              <w:rPr>
                <w:rFonts w:ascii="仿宋" w:hAnsi="仿宋" w:eastAsia="仿宋"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8A324A2">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59ACBB41">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6ECEF3BC">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7BAA571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56C8B7C">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09104D1E">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1673EAA4">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4208B25">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4DE7EEB">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《投影机能效限定值及能效等级》（GB32028）</w:t>
            </w:r>
          </w:p>
        </w:tc>
      </w:tr>
      <w:tr w14:paraId="750F551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92FB7E0">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025746FD">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51FA4D69">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6F0E720F">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EA62A6D">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《复印机、打印机和传真机能效限定值及能效等级》（GB21521）</w:t>
            </w:r>
          </w:p>
        </w:tc>
      </w:tr>
      <w:tr w14:paraId="7CE9375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FE67A19">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0C949B6F">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60317446">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3E0C4A3F">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4F0FD62">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《清水离心泵能效限定值及节能评价值》（GB19762）</w:t>
            </w:r>
          </w:p>
        </w:tc>
      </w:tr>
      <w:tr w14:paraId="48A3629A">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7ACFB9E7">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1F50182E">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5C98CD5C">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525610B1">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75A71DFD">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《冷水机组能效限定值及能效等级》（GB19577），《低环境温度空气源热泵（冷水）机组能效限定值及能效等级》（GB37480）</w:t>
            </w:r>
          </w:p>
        </w:tc>
      </w:tr>
      <w:tr w14:paraId="636182C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78D8FE3">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B31E042">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3CEABBD">
            <w:pPr>
              <w:widowControl/>
              <w:jc w:val="left"/>
              <w:rPr>
                <w:rFonts w:ascii="仿宋" w:hAnsi="仿宋" w:eastAsia="仿宋"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40D1B87">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28CD650F">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《水（地）源热泵机组能效限定值及能效等级》（GB30721）</w:t>
            </w:r>
          </w:p>
        </w:tc>
      </w:tr>
      <w:tr w14:paraId="4E9C961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97DBB0C">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34624FA">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1706C33">
            <w:pPr>
              <w:widowControl/>
              <w:jc w:val="left"/>
              <w:rPr>
                <w:rFonts w:ascii="仿宋" w:hAnsi="仿宋" w:eastAsia="仿宋"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12DBBF7">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27D97CB4">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《溴化锂吸收式冷水机组能效限定值及能效等级》（GB29540）</w:t>
            </w:r>
          </w:p>
        </w:tc>
      </w:tr>
      <w:tr w14:paraId="4392D1E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4EDF25C7">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7C7B5D6">
            <w:pPr>
              <w:widowControl/>
              <w:jc w:val="left"/>
              <w:rPr>
                <w:rFonts w:ascii="仿宋" w:hAnsi="仿宋" w:eastAsia="仿宋"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78290AC2">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1EEDF121">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14:paraId="2CF567A0">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《多联式空调（热泵）机组能效限定值及能源效率等级》（GB21454）</w:t>
            </w:r>
          </w:p>
        </w:tc>
      </w:tr>
      <w:tr w14:paraId="6AF44D9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5208A1F9">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F098B2F">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862E3C0">
            <w:pPr>
              <w:widowControl/>
              <w:jc w:val="left"/>
              <w:rPr>
                <w:rFonts w:ascii="仿宋" w:hAnsi="仿宋" w:eastAsia="仿宋"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4987FD6">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22D8B97C">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《单元式空气调节机能效限定值及能效等级》（GB19576）《风管送风式空调机组能效限定值及能效等级》（GB37479）</w:t>
            </w:r>
          </w:p>
        </w:tc>
      </w:tr>
      <w:tr w14:paraId="1D7E630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1D1810F2">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DB53859">
            <w:pPr>
              <w:widowControl/>
              <w:jc w:val="left"/>
              <w:rPr>
                <w:rFonts w:ascii="仿宋" w:hAnsi="仿宋" w:eastAsia="仿宋"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0A24D38">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6C3A83AD">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77CFC71F">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《单元式空气调节机能效限定值及能效等级》（GB19576）</w:t>
            </w:r>
          </w:p>
        </w:tc>
      </w:tr>
      <w:tr w14:paraId="6B93237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7E7661B6">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6784E90">
            <w:pPr>
              <w:widowControl/>
              <w:jc w:val="left"/>
              <w:rPr>
                <w:rFonts w:ascii="仿宋" w:hAnsi="仿宋" w:eastAsia="仿宋"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102F645">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6E6D0DC9">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4A77C011">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《机械通风冷却塔第1部分：中小型开式冷却塔》（GB/T7190.1）；《机械通风冷却塔第2部分：大型开式冷却塔》（GB/T7190.2）</w:t>
            </w:r>
          </w:p>
        </w:tc>
      </w:tr>
      <w:tr w14:paraId="6993F06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167556C">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0C7D859C">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7BFFDC5B">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78669DB">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A15461D">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《中小型三相异步电动机能效限定值及能效等级》（GB18613）</w:t>
            </w:r>
          </w:p>
        </w:tc>
      </w:tr>
      <w:tr w14:paraId="6F0DC36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E5F8C5A">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2C335217">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70AAF6B2">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212D545B">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10B7B54">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《三相配电变压器能效限定值及能效等级》（GB20052）</w:t>
            </w:r>
          </w:p>
        </w:tc>
      </w:tr>
      <w:tr w14:paraId="5BE7E51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68763A8">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337290CE">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634E6F29">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3A0B8624">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050DA17">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《管形荧光灯镇流器能效限定值及能效等级》（GB17896）</w:t>
            </w:r>
          </w:p>
        </w:tc>
      </w:tr>
      <w:tr w14:paraId="004C04F9">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196F1645">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1C7AE767">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3A7E4090">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48D4B13D">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14352D3">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《家用电冰箱耗电量限定值及能效等级》（GB 12021.2）</w:t>
            </w:r>
          </w:p>
        </w:tc>
      </w:tr>
      <w:tr w14:paraId="0B33210D">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7EC91AB8">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D90E944">
            <w:pPr>
              <w:widowControl/>
              <w:jc w:val="left"/>
              <w:rPr>
                <w:rFonts w:ascii="仿宋" w:hAnsi="仿宋" w:eastAsia="仿宋"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44089555">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16D32DBF">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436557F3">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16F00E3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79D767AB">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4ED2C80">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100E794">
            <w:pPr>
              <w:widowControl/>
              <w:jc w:val="left"/>
              <w:rPr>
                <w:rFonts w:ascii="仿宋" w:hAnsi="仿宋" w:eastAsia="仿宋"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213D320">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79BD27D2">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《多联式空调（热泵）机组能效限定值及能源效率等级》（GB21454）</w:t>
            </w:r>
          </w:p>
        </w:tc>
      </w:tr>
      <w:tr w14:paraId="63F3FB1C">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2DCBD815">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457ED2B">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E70FF81">
            <w:pPr>
              <w:widowControl/>
              <w:jc w:val="left"/>
              <w:rPr>
                <w:rFonts w:ascii="仿宋" w:hAnsi="仿宋" w:eastAsia="仿宋"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92894AF">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14:paraId="586E8139">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《单元式空气调节机能效限定值及能源效率等级》（GB19576）《风管送风式空调机组能效限定值及能效等级》（GB37479）</w:t>
            </w:r>
          </w:p>
        </w:tc>
      </w:tr>
      <w:tr w14:paraId="5589303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DF9965B">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94706A4">
            <w:pPr>
              <w:widowControl/>
              <w:jc w:val="left"/>
              <w:rPr>
                <w:rFonts w:ascii="仿宋" w:hAnsi="仿宋" w:eastAsia="仿宋"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FF57E8A">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338B4ADF">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AA9E90C">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《电动洗衣机能效水效限定值及等级》（GB12021.4）</w:t>
            </w:r>
          </w:p>
        </w:tc>
      </w:tr>
      <w:tr w14:paraId="2CBD15F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010EDD3">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DF7EB66">
            <w:pPr>
              <w:widowControl/>
              <w:jc w:val="left"/>
              <w:rPr>
                <w:rFonts w:ascii="仿宋" w:hAnsi="仿宋" w:eastAsia="仿宋"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5505A48A">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64CF56B9">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3B4CBE22">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《储水式电热水器能效限定值及能效等级》（GB21519）</w:t>
            </w:r>
          </w:p>
        </w:tc>
      </w:tr>
      <w:tr w14:paraId="78BE02C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0DCA963">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74F04BE">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F336E57">
            <w:pPr>
              <w:widowControl/>
              <w:jc w:val="left"/>
              <w:rPr>
                <w:rFonts w:ascii="仿宋" w:hAnsi="仿宋" w:eastAsia="仿宋"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6B8167A">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2F03844B">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《家用燃气快速热水器和燃气采暖热水炉能效限定值及能效等级》（GB20665）</w:t>
            </w:r>
          </w:p>
        </w:tc>
      </w:tr>
      <w:tr w14:paraId="34F13E7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DA7E3D0">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49E9A4E">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897190F">
            <w:pPr>
              <w:widowControl/>
              <w:jc w:val="left"/>
              <w:rPr>
                <w:rFonts w:ascii="仿宋" w:hAnsi="仿宋" w:eastAsia="仿宋"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4C5CD43">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18088D93">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《热泵热水机（器）能效限定值及能效等级》（GB29541）</w:t>
            </w:r>
          </w:p>
        </w:tc>
      </w:tr>
      <w:tr w14:paraId="4ABF9E1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73F38084">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3CDB181">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0E9C37B">
            <w:pPr>
              <w:widowControl/>
              <w:jc w:val="left"/>
              <w:rPr>
                <w:rFonts w:ascii="仿宋" w:hAnsi="仿宋" w:eastAsia="仿宋"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9FAE9BD">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74B9B4F1">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《家用太阳能热水系统能效限定值及能效等级》（GB26969）</w:t>
            </w:r>
          </w:p>
        </w:tc>
      </w:tr>
      <w:tr w14:paraId="354994F3">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288FD99B">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712FE690">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0AFD3D93">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3A4A6312">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9E409BC">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《普通照明用双端荧光灯能效限定值及能效等级》（GB19043）</w:t>
            </w:r>
          </w:p>
        </w:tc>
      </w:tr>
      <w:tr w14:paraId="2D12CB8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89E1A3B">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33F1EEA">
            <w:pPr>
              <w:widowControl/>
              <w:jc w:val="left"/>
              <w:rPr>
                <w:rFonts w:ascii="仿宋" w:hAnsi="仿宋" w:eastAsia="仿宋"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10335D4">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293C2526">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7E3FB12">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《道路和隧道照明用LED灯具能效限定值及能效等级》（GB37478）</w:t>
            </w:r>
          </w:p>
        </w:tc>
      </w:tr>
      <w:tr w14:paraId="218B0FC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0269CDC">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FE5E8FD">
            <w:pPr>
              <w:widowControl/>
              <w:jc w:val="left"/>
              <w:rPr>
                <w:rFonts w:ascii="仿宋" w:hAnsi="仿宋" w:eastAsia="仿宋"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05ED048">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7B485965">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E85E3A6">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《室内照明用LED产品能效限定值及能效等级》（GB30255）</w:t>
            </w:r>
          </w:p>
        </w:tc>
      </w:tr>
      <w:tr w14:paraId="1ED15AD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36B12439">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9C78E95">
            <w:pPr>
              <w:widowControl/>
              <w:jc w:val="left"/>
              <w:rPr>
                <w:rFonts w:ascii="仿宋" w:hAnsi="仿宋" w:eastAsia="仿宋"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406A9D7">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3820B58A">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94174BD">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《室内照明用LED产品能效限定值及能效等级》（GB30255）</w:t>
            </w:r>
          </w:p>
        </w:tc>
      </w:tr>
      <w:tr w14:paraId="2625BBCF">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5D33D949">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75AFD58C">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1E136DB7">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60AA6833">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FB4F798">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《平板电视能效限定值及能效等级》（GB24850）</w:t>
            </w:r>
          </w:p>
        </w:tc>
      </w:tr>
      <w:tr w14:paraId="233F41F9">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55A8291A">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4855360F">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208C36A4">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1DBDE46B">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565F191F">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55D259F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D32C9FC">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482FEB1A">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6755C447">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5092BD4D">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660B659">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《商用燃气灶具能效限定值及能效等级》（GB30531）</w:t>
            </w:r>
          </w:p>
        </w:tc>
      </w:tr>
      <w:tr w14:paraId="7770B18A">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07FEFB49">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6AF68222">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4818B17C">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4763BA9C">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86B0CC6">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《坐便器水效限定值及水效等级》（GB25502）</w:t>
            </w:r>
          </w:p>
        </w:tc>
      </w:tr>
      <w:tr w14:paraId="00A7C17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6E111EB">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130B8F5">
            <w:pPr>
              <w:widowControl/>
              <w:jc w:val="left"/>
              <w:rPr>
                <w:rFonts w:ascii="仿宋" w:hAnsi="仿宋" w:eastAsia="仿宋"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0879EF2">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6DA0A0F4">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76A0E34">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《蹲便器用水效率限定值及用水效率等级》（GB30717）</w:t>
            </w:r>
          </w:p>
        </w:tc>
      </w:tr>
      <w:tr w14:paraId="33235A6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27711A1">
            <w:pPr>
              <w:widowControl/>
              <w:jc w:val="left"/>
              <w:rPr>
                <w:rFonts w:ascii="仿宋" w:hAnsi="仿宋" w:eastAsia="仿宋"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C09A6AD">
            <w:pPr>
              <w:widowControl/>
              <w:jc w:val="left"/>
              <w:rPr>
                <w:rFonts w:ascii="仿宋" w:hAnsi="仿宋" w:eastAsia="仿宋"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2A29006">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70EEE5F1">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728A758">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《小便器用水效率限定值及用水效率等级》（GB28377）</w:t>
            </w:r>
          </w:p>
        </w:tc>
      </w:tr>
      <w:tr w14:paraId="724C9C7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7FAB04B">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5F405669">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208E10D2">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154AE1E5">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E3033BE">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《水嘴用水效率限定值及用水效率等级》（GB 25501）</w:t>
            </w:r>
          </w:p>
        </w:tc>
      </w:tr>
      <w:tr w14:paraId="0FC4412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42D47D1">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39EA5EC0">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48EE0E1C">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7CA4ADFE">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87F0FE1">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《便器冲洗阀用水效率限定值及用水效率等级》（GB28379）</w:t>
            </w:r>
          </w:p>
        </w:tc>
      </w:tr>
      <w:tr w14:paraId="16FEAAA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3B83A2A">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65CC633F">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5BF090B7">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B016B86">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EBF9EBC">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《淋浴器用水效率限定值及用水效率等级》（GB28378）</w:t>
            </w:r>
          </w:p>
        </w:tc>
      </w:tr>
    </w:tbl>
    <w:p w14:paraId="7E8FD903">
      <w:pPr>
        <w:pStyle w:val="7"/>
        <w:spacing w:line="360" w:lineRule="auto"/>
        <w:rPr>
          <w:rFonts w:ascii="仿宋" w:hAnsi="仿宋" w:eastAsia="仿宋"/>
          <w:color w:val="auto"/>
          <w:szCs w:val="21"/>
          <w:highlight w:val="none"/>
        </w:rPr>
      </w:pPr>
      <w:r>
        <w:rPr>
          <w:rFonts w:hint="eastAsia" w:ascii="仿宋" w:hAnsi="仿宋" w:eastAsia="仿宋"/>
          <w:color w:val="auto"/>
          <w:spacing w:val="-3"/>
          <w:szCs w:val="21"/>
          <w:highlight w:val="none"/>
        </w:rPr>
        <w:t>注：1.节能产品认证应依据相关国家标准的最新版本，依据国家标准中二级能效（水效）</w:t>
      </w:r>
      <w:r>
        <w:rPr>
          <w:rFonts w:hint="eastAsia" w:ascii="仿宋" w:hAnsi="仿宋" w:eastAsia="仿宋"/>
          <w:color w:val="auto"/>
          <w:szCs w:val="21"/>
          <w:highlight w:val="none"/>
        </w:rPr>
        <w:t>指标。</w:t>
      </w:r>
    </w:p>
    <w:p w14:paraId="6426DFC9">
      <w:pPr>
        <w:pStyle w:val="7"/>
        <w:spacing w:line="360" w:lineRule="auto"/>
        <w:rPr>
          <w:b/>
          <w:bCs/>
          <w:color w:val="auto"/>
          <w:szCs w:val="21"/>
          <w:highlight w:val="none"/>
        </w:rPr>
      </w:pPr>
      <w:r>
        <w:rPr>
          <w:rFonts w:hint="eastAsia" w:ascii="仿宋" w:hAnsi="仿宋" w:eastAsia="仿宋"/>
          <w:color w:val="auto"/>
          <w:highlight w:val="none"/>
        </w:rPr>
        <w:t xml:space="preserve">    2.以“★”标注的为政府强制采购产品。</w:t>
      </w:r>
    </w:p>
    <w:p w14:paraId="4CE3D564">
      <w:pPr>
        <w:pStyle w:val="10"/>
        <w:jc w:val="left"/>
        <w:rPr>
          <w:rFonts w:ascii="仿宋" w:hAnsi="仿宋" w:eastAsia="仿宋" w:cs="Arial Unicode MS"/>
          <w:color w:val="auto"/>
          <w:sz w:val="32"/>
          <w:szCs w:val="32"/>
          <w:highlight w:val="none"/>
        </w:rPr>
      </w:pPr>
      <w:r>
        <w:rPr>
          <w:rFonts w:hAnsi="宋体"/>
          <w:color w:val="auto"/>
          <w:highlight w:val="none"/>
        </w:rPr>
        <w:br w:type="page"/>
      </w:r>
      <w:r>
        <w:rPr>
          <w:rFonts w:hint="eastAsia" w:ascii="仿宋" w:hAnsi="仿宋" w:eastAsia="仿宋" w:cs="Arial Unicode MS"/>
          <w:color w:val="auto"/>
          <w:sz w:val="32"/>
          <w:szCs w:val="32"/>
          <w:highlight w:val="none"/>
        </w:rPr>
        <w:t>附件2：</w:t>
      </w:r>
    </w:p>
    <w:p w14:paraId="4F259E30">
      <w:pPr>
        <w:spacing w:line="528" w:lineRule="exact"/>
        <w:ind w:left="1871"/>
        <w:rPr>
          <w:rFonts w:ascii="仿宋" w:hAnsi="仿宋" w:eastAsia="仿宋" w:cs="Arial Unicode MS"/>
          <w:color w:val="auto"/>
          <w:sz w:val="40"/>
          <w:szCs w:val="40"/>
          <w:highlight w:val="none"/>
        </w:rPr>
      </w:pPr>
      <w:r>
        <w:rPr>
          <w:rFonts w:hint="eastAsia" w:ascii="仿宋" w:hAnsi="仿宋" w:eastAsia="仿宋" w:cs="Arial Unicode MS"/>
          <w:color w:val="auto"/>
          <w:sz w:val="40"/>
          <w:szCs w:val="40"/>
          <w:highlight w:val="none"/>
        </w:rPr>
        <w:t>中小微企业划型标准</w:t>
      </w:r>
    </w:p>
    <w:tbl>
      <w:tblPr>
        <w:tblStyle w:val="20"/>
        <w:tblW w:w="8748" w:type="dxa"/>
        <w:tblInd w:w="250" w:type="dxa"/>
        <w:tblLayout w:type="fixed"/>
        <w:tblCellMar>
          <w:top w:w="0" w:type="dxa"/>
          <w:left w:w="108" w:type="dxa"/>
          <w:bottom w:w="0" w:type="dxa"/>
          <w:right w:w="108" w:type="dxa"/>
        </w:tblCellMar>
      </w:tblPr>
      <w:tblGrid>
        <w:gridCol w:w="1985"/>
        <w:gridCol w:w="1676"/>
        <w:gridCol w:w="912"/>
        <w:gridCol w:w="1725"/>
        <w:gridCol w:w="1513"/>
        <w:gridCol w:w="937"/>
      </w:tblGrid>
      <w:tr w14:paraId="5C63887F">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6FA1AF8E">
            <w:pPr>
              <w:widowControl/>
              <w:jc w:val="left"/>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行业名称</w:t>
            </w:r>
          </w:p>
        </w:tc>
        <w:tc>
          <w:tcPr>
            <w:tcW w:w="1676" w:type="dxa"/>
            <w:tcBorders>
              <w:top w:val="single" w:color="auto" w:sz="4" w:space="0"/>
              <w:left w:val="nil"/>
              <w:bottom w:val="single" w:color="auto" w:sz="4" w:space="0"/>
              <w:right w:val="single" w:color="auto" w:sz="4" w:space="0"/>
            </w:tcBorders>
            <w:vAlign w:val="center"/>
          </w:tcPr>
          <w:p w14:paraId="06FFA130">
            <w:pPr>
              <w:widowControl/>
              <w:jc w:val="left"/>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指标名称</w:t>
            </w:r>
          </w:p>
        </w:tc>
        <w:tc>
          <w:tcPr>
            <w:tcW w:w="912" w:type="dxa"/>
            <w:tcBorders>
              <w:top w:val="single" w:color="auto" w:sz="4" w:space="0"/>
              <w:left w:val="nil"/>
              <w:bottom w:val="single" w:color="auto" w:sz="4" w:space="0"/>
              <w:right w:val="single" w:color="auto" w:sz="4" w:space="0"/>
            </w:tcBorders>
            <w:vAlign w:val="center"/>
          </w:tcPr>
          <w:p w14:paraId="3A6BF51F">
            <w:pPr>
              <w:widowControl/>
              <w:jc w:val="left"/>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计量单位</w:t>
            </w:r>
          </w:p>
        </w:tc>
        <w:tc>
          <w:tcPr>
            <w:tcW w:w="1725" w:type="dxa"/>
            <w:tcBorders>
              <w:top w:val="single" w:color="auto" w:sz="4" w:space="0"/>
              <w:left w:val="nil"/>
              <w:bottom w:val="single" w:color="auto" w:sz="4" w:space="0"/>
              <w:right w:val="single" w:color="auto" w:sz="4" w:space="0"/>
            </w:tcBorders>
            <w:vAlign w:val="center"/>
          </w:tcPr>
          <w:p w14:paraId="36F51F19">
            <w:pPr>
              <w:widowControl/>
              <w:jc w:val="left"/>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中型</w:t>
            </w:r>
          </w:p>
        </w:tc>
        <w:tc>
          <w:tcPr>
            <w:tcW w:w="1513" w:type="dxa"/>
            <w:tcBorders>
              <w:top w:val="single" w:color="auto" w:sz="4" w:space="0"/>
              <w:left w:val="nil"/>
              <w:bottom w:val="single" w:color="auto" w:sz="4" w:space="0"/>
              <w:right w:val="single" w:color="auto" w:sz="4" w:space="0"/>
            </w:tcBorders>
            <w:vAlign w:val="center"/>
          </w:tcPr>
          <w:p w14:paraId="39D2F024">
            <w:pPr>
              <w:widowControl/>
              <w:jc w:val="left"/>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小型</w:t>
            </w:r>
          </w:p>
        </w:tc>
        <w:tc>
          <w:tcPr>
            <w:tcW w:w="937" w:type="dxa"/>
            <w:tcBorders>
              <w:top w:val="single" w:color="auto" w:sz="4" w:space="0"/>
              <w:left w:val="nil"/>
              <w:bottom w:val="single" w:color="auto" w:sz="4" w:space="0"/>
              <w:right w:val="single" w:color="auto" w:sz="4" w:space="0"/>
            </w:tcBorders>
            <w:vAlign w:val="center"/>
          </w:tcPr>
          <w:p w14:paraId="6886F6AE">
            <w:pPr>
              <w:widowControl/>
              <w:jc w:val="left"/>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微型</w:t>
            </w:r>
          </w:p>
        </w:tc>
      </w:tr>
      <w:tr w14:paraId="754FE46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FD9540B">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农、林、牧、渔</w:t>
            </w:r>
          </w:p>
        </w:tc>
        <w:tc>
          <w:tcPr>
            <w:tcW w:w="1676" w:type="dxa"/>
            <w:tcBorders>
              <w:top w:val="nil"/>
              <w:left w:val="nil"/>
              <w:bottom w:val="single" w:color="auto" w:sz="4" w:space="0"/>
              <w:right w:val="single" w:color="auto" w:sz="4" w:space="0"/>
            </w:tcBorders>
            <w:vAlign w:val="center"/>
          </w:tcPr>
          <w:p w14:paraId="1C745676">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912" w:type="dxa"/>
            <w:tcBorders>
              <w:top w:val="nil"/>
              <w:left w:val="nil"/>
              <w:bottom w:val="single" w:color="auto" w:sz="4" w:space="0"/>
              <w:right w:val="single" w:color="auto" w:sz="4" w:space="0"/>
            </w:tcBorders>
            <w:vAlign w:val="center"/>
          </w:tcPr>
          <w:p w14:paraId="102A62DF">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725" w:type="dxa"/>
            <w:tcBorders>
              <w:top w:val="nil"/>
              <w:left w:val="nil"/>
              <w:bottom w:val="single" w:color="auto" w:sz="4" w:space="0"/>
              <w:right w:val="single" w:color="auto" w:sz="4" w:space="0"/>
            </w:tcBorders>
            <w:vAlign w:val="center"/>
          </w:tcPr>
          <w:p w14:paraId="62609FA5">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500≤Y＜20000</w:t>
            </w:r>
          </w:p>
        </w:tc>
        <w:tc>
          <w:tcPr>
            <w:tcW w:w="1513" w:type="dxa"/>
            <w:tcBorders>
              <w:top w:val="nil"/>
              <w:left w:val="nil"/>
              <w:bottom w:val="single" w:color="auto" w:sz="4" w:space="0"/>
              <w:right w:val="single" w:color="auto" w:sz="4" w:space="0"/>
            </w:tcBorders>
            <w:vAlign w:val="center"/>
          </w:tcPr>
          <w:p w14:paraId="14245958">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50≤Y＜500</w:t>
            </w:r>
          </w:p>
        </w:tc>
        <w:tc>
          <w:tcPr>
            <w:tcW w:w="937" w:type="dxa"/>
            <w:tcBorders>
              <w:top w:val="nil"/>
              <w:left w:val="nil"/>
              <w:bottom w:val="single" w:color="auto" w:sz="4" w:space="0"/>
              <w:right w:val="single" w:color="auto" w:sz="4" w:space="0"/>
            </w:tcBorders>
            <w:vAlign w:val="center"/>
          </w:tcPr>
          <w:p w14:paraId="1B45E934">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Y＜50</w:t>
            </w:r>
          </w:p>
        </w:tc>
      </w:tr>
      <w:tr w14:paraId="20F869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6375B11">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工业</w:t>
            </w:r>
          </w:p>
        </w:tc>
        <w:tc>
          <w:tcPr>
            <w:tcW w:w="1676" w:type="dxa"/>
            <w:tcBorders>
              <w:top w:val="nil"/>
              <w:left w:val="nil"/>
              <w:bottom w:val="single" w:color="auto" w:sz="4" w:space="0"/>
              <w:right w:val="single" w:color="auto" w:sz="4" w:space="0"/>
            </w:tcBorders>
            <w:vAlign w:val="center"/>
          </w:tcPr>
          <w:p w14:paraId="6715F18E">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912" w:type="dxa"/>
            <w:tcBorders>
              <w:top w:val="nil"/>
              <w:left w:val="nil"/>
              <w:bottom w:val="single" w:color="auto" w:sz="4" w:space="0"/>
              <w:right w:val="single" w:color="auto" w:sz="4" w:space="0"/>
            </w:tcBorders>
            <w:vAlign w:val="center"/>
          </w:tcPr>
          <w:p w14:paraId="17BE49D7">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725" w:type="dxa"/>
            <w:tcBorders>
              <w:top w:val="nil"/>
              <w:left w:val="nil"/>
              <w:bottom w:val="single" w:color="auto" w:sz="4" w:space="0"/>
              <w:right w:val="single" w:color="auto" w:sz="4" w:space="0"/>
            </w:tcBorders>
            <w:vAlign w:val="center"/>
          </w:tcPr>
          <w:p w14:paraId="38E81ADB">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300≤X＜1000</w:t>
            </w:r>
          </w:p>
        </w:tc>
        <w:tc>
          <w:tcPr>
            <w:tcW w:w="1513" w:type="dxa"/>
            <w:tcBorders>
              <w:top w:val="nil"/>
              <w:left w:val="nil"/>
              <w:bottom w:val="single" w:color="auto" w:sz="4" w:space="0"/>
              <w:right w:val="single" w:color="auto" w:sz="4" w:space="0"/>
            </w:tcBorders>
            <w:vAlign w:val="center"/>
          </w:tcPr>
          <w:p w14:paraId="62FA4EF9">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20≤X＜300</w:t>
            </w:r>
          </w:p>
        </w:tc>
        <w:tc>
          <w:tcPr>
            <w:tcW w:w="937" w:type="dxa"/>
            <w:tcBorders>
              <w:top w:val="nil"/>
              <w:left w:val="nil"/>
              <w:bottom w:val="single" w:color="auto" w:sz="4" w:space="0"/>
              <w:right w:val="single" w:color="auto" w:sz="4" w:space="0"/>
            </w:tcBorders>
            <w:vAlign w:val="center"/>
          </w:tcPr>
          <w:p w14:paraId="27851BC4">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X＜20</w:t>
            </w:r>
          </w:p>
        </w:tc>
      </w:tr>
      <w:tr w14:paraId="5F135AE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6584F68">
            <w:pPr>
              <w:widowControl/>
              <w:jc w:val="left"/>
              <w:rPr>
                <w:rFonts w:ascii="仿宋" w:hAnsi="仿宋" w:eastAsia="仿宋" w:cs="宋体"/>
                <w:b/>
                <w:bCs/>
                <w:color w:val="auto"/>
                <w:kern w:val="0"/>
                <w:sz w:val="18"/>
                <w:szCs w:val="18"/>
                <w:highlight w:val="none"/>
              </w:rPr>
            </w:pPr>
          </w:p>
        </w:tc>
        <w:tc>
          <w:tcPr>
            <w:tcW w:w="1676" w:type="dxa"/>
            <w:tcBorders>
              <w:top w:val="nil"/>
              <w:left w:val="nil"/>
              <w:bottom w:val="single" w:color="auto" w:sz="4" w:space="0"/>
              <w:right w:val="single" w:color="auto" w:sz="4" w:space="0"/>
            </w:tcBorders>
            <w:vAlign w:val="center"/>
          </w:tcPr>
          <w:p w14:paraId="0C3BC38B">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912" w:type="dxa"/>
            <w:tcBorders>
              <w:top w:val="nil"/>
              <w:left w:val="nil"/>
              <w:bottom w:val="single" w:color="auto" w:sz="4" w:space="0"/>
              <w:right w:val="single" w:color="auto" w:sz="4" w:space="0"/>
            </w:tcBorders>
            <w:vAlign w:val="center"/>
          </w:tcPr>
          <w:p w14:paraId="6BF72AE8">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725" w:type="dxa"/>
            <w:tcBorders>
              <w:top w:val="nil"/>
              <w:left w:val="nil"/>
              <w:bottom w:val="single" w:color="auto" w:sz="4" w:space="0"/>
              <w:right w:val="single" w:color="auto" w:sz="4" w:space="0"/>
            </w:tcBorders>
            <w:vAlign w:val="center"/>
          </w:tcPr>
          <w:p w14:paraId="69E0267A">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2000≤Y＜40000</w:t>
            </w:r>
          </w:p>
        </w:tc>
        <w:tc>
          <w:tcPr>
            <w:tcW w:w="1513" w:type="dxa"/>
            <w:tcBorders>
              <w:top w:val="nil"/>
              <w:left w:val="nil"/>
              <w:bottom w:val="single" w:color="auto" w:sz="4" w:space="0"/>
              <w:right w:val="single" w:color="auto" w:sz="4" w:space="0"/>
            </w:tcBorders>
            <w:vAlign w:val="center"/>
          </w:tcPr>
          <w:p w14:paraId="08D2C335">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300≤Y＜2000</w:t>
            </w:r>
          </w:p>
        </w:tc>
        <w:tc>
          <w:tcPr>
            <w:tcW w:w="937" w:type="dxa"/>
            <w:tcBorders>
              <w:top w:val="nil"/>
              <w:left w:val="nil"/>
              <w:bottom w:val="single" w:color="auto" w:sz="4" w:space="0"/>
              <w:right w:val="single" w:color="auto" w:sz="4" w:space="0"/>
            </w:tcBorders>
            <w:vAlign w:val="center"/>
          </w:tcPr>
          <w:p w14:paraId="150AB48E">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Y＜300</w:t>
            </w:r>
          </w:p>
        </w:tc>
      </w:tr>
      <w:tr w14:paraId="00E13A8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7BD9EB9">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建筑业</w:t>
            </w:r>
          </w:p>
        </w:tc>
        <w:tc>
          <w:tcPr>
            <w:tcW w:w="1676" w:type="dxa"/>
            <w:tcBorders>
              <w:top w:val="nil"/>
              <w:left w:val="nil"/>
              <w:bottom w:val="single" w:color="auto" w:sz="4" w:space="0"/>
              <w:right w:val="single" w:color="auto" w:sz="4" w:space="0"/>
            </w:tcBorders>
            <w:vAlign w:val="center"/>
          </w:tcPr>
          <w:p w14:paraId="40BD821A">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912" w:type="dxa"/>
            <w:tcBorders>
              <w:top w:val="nil"/>
              <w:left w:val="nil"/>
              <w:bottom w:val="single" w:color="auto" w:sz="4" w:space="0"/>
              <w:right w:val="single" w:color="auto" w:sz="4" w:space="0"/>
            </w:tcBorders>
            <w:vAlign w:val="center"/>
          </w:tcPr>
          <w:p w14:paraId="5D558FEA">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725" w:type="dxa"/>
            <w:tcBorders>
              <w:top w:val="nil"/>
              <w:left w:val="nil"/>
              <w:bottom w:val="single" w:color="auto" w:sz="4" w:space="0"/>
              <w:right w:val="single" w:color="auto" w:sz="4" w:space="0"/>
            </w:tcBorders>
            <w:vAlign w:val="center"/>
          </w:tcPr>
          <w:p w14:paraId="6C842109">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6000≤Y＜80000</w:t>
            </w:r>
          </w:p>
        </w:tc>
        <w:tc>
          <w:tcPr>
            <w:tcW w:w="1513" w:type="dxa"/>
            <w:tcBorders>
              <w:top w:val="nil"/>
              <w:left w:val="nil"/>
              <w:bottom w:val="single" w:color="auto" w:sz="4" w:space="0"/>
              <w:right w:val="single" w:color="auto" w:sz="4" w:space="0"/>
            </w:tcBorders>
            <w:vAlign w:val="center"/>
          </w:tcPr>
          <w:p w14:paraId="24A146C0">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300≤Y＜6000</w:t>
            </w:r>
          </w:p>
        </w:tc>
        <w:tc>
          <w:tcPr>
            <w:tcW w:w="937" w:type="dxa"/>
            <w:tcBorders>
              <w:top w:val="nil"/>
              <w:left w:val="nil"/>
              <w:bottom w:val="single" w:color="auto" w:sz="4" w:space="0"/>
              <w:right w:val="single" w:color="auto" w:sz="4" w:space="0"/>
            </w:tcBorders>
            <w:vAlign w:val="center"/>
          </w:tcPr>
          <w:p w14:paraId="657885EB">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Y＜300</w:t>
            </w:r>
          </w:p>
        </w:tc>
      </w:tr>
      <w:tr w14:paraId="21344AC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AF8AE30">
            <w:pPr>
              <w:widowControl/>
              <w:jc w:val="left"/>
              <w:rPr>
                <w:rFonts w:ascii="仿宋" w:hAnsi="仿宋" w:eastAsia="仿宋" w:cs="宋体"/>
                <w:b/>
                <w:bCs/>
                <w:color w:val="auto"/>
                <w:kern w:val="0"/>
                <w:sz w:val="18"/>
                <w:szCs w:val="18"/>
                <w:highlight w:val="none"/>
              </w:rPr>
            </w:pPr>
          </w:p>
        </w:tc>
        <w:tc>
          <w:tcPr>
            <w:tcW w:w="1676" w:type="dxa"/>
            <w:tcBorders>
              <w:top w:val="nil"/>
              <w:left w:val="nil"/>
              <w:bottom w:val="single" w:color="auto" w:sz="4" w:space="0"/>
              <w:right w:val="single" w:color="auto" w:sz="4" w:space="0"/>
            </w:tcBorders>
            <w:vAlign w:val="center"/>
          </w:tcPr>
          <w:p w14:paraId="1CC38090">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资产总额（Z）</w:t>
            </w:r>
          </w:p>
        </w:tc>
        <w:tc>
          <w:tcPr>
            <w:tcW w:w="912" w:type="dxa"/>
            <w:tcBorders>
              <w:top w:val="nil"/>
              <w:left w:val="nil"/>
              <w:bottom w:val="single" w:color="auto" w:sz="4" w:space="0"/>
              <w:right w:val="single" w:color="auto" w:sz="4" w:space="0"/>
            </w:tcBorders>
            <w:vAlign w:val="center"/>
          </w:tcPr>
          <w:p w14:paraId="32C8B801">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725" w:type="dxa"/>
            <w:tcBorders>
              <w:top w:val="nil"/>
              <w:left w:val="nil"/>
              <w:bottom w:val="single" w:color="auto" w:sz="4" w:space="0"/>
              <w:right w:val="single" w:color="auto" w:sz="4" w:space="0"/>
            </w:tcBorders>
            <w:vAlign w:val="center"/>
          </w:tcPr>
          <w:p w14:paraId="0A5D56AF">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5000≤Z＜80000</w:t>
            </w:r>
          </w:p>
        </w:tc>
        <w:tc>
          <w:tcPr>
            <w:tcW w:w="1513" w:type="dxa"/>
            <w:tcBorders>
              <w:top w:val="nil"/>
              <w:left w:val="nil"/>
              <w:bottom w:val="single" w:color="auto" w:sz="4" w:space="0"/>
              <w:right w:val="single" w:color="auto" w:sz="4" w:space="0"/>
            </w:tcBorders>
            <w:vAlign w:val="center"/>
          </w:tcPr>
          <w:p w14:paraId="607E5D27">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300≤Z＜5000</w:t>
            </w:r>
          </w:p>
        </w:tc>
        <w:tc>
          <w:tcPr>
            <w:tcW w:w="937" w:type="dxa"/>
            <w:tcBorders>
              <w:top w:val="nil"/>
              <w:left w:val="nil"/>
              <w:bottom w:val="single" w:color="auto" w:sz="4" w:space="0"/>
              <w:right w:val="single" w:color="auto" w:sz="4" w:space="0"/>
            </w:tcBorders>
            <w:vAlign w:val="center"/>
          </w:tcPr>
          <w:p w14:paraId="46E540CC">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Z＜300</w:t>
            </w:r>
          </w:p>
        </w:tc>
      </w:tr>
      <w:tr w14:paraId="2CF9E0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7B80E46">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批发业</w:t>
            </w:r>
          </w:p>
        </w:tc>
        <w:tc>
          <w:tcPr>
            <w:tcW w:w="1676" w:type="dxa"/>
            <w:tcBorders>
              <w:top w:val="nil"/>
              <w:left w:val="nil"/>
              <w:bottom w:val="single" w:color="auto" w:sz="4" w:space="0"/>
              <w:right w:val="single" w:color="auto" w:sz="4" w:space="0"/>
            </w:tcBorders>
            <w:vAlign w:val="center"/>
          </w:tcPr>
          <w:p w14:paraId="14C8AF8D">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912" w:type="dxa"/>
            <w:tcBorders>
              <w:top w:val="nil"/>
              <w:left w:val="nil"/>
              <w:bottom w:val="single" w:color="auto" w:sz="4" w:space="0"/>
              <w:right w:val="single" w:color="auto" w:sz="4" w:space="0"/>
            </w:tcBorders>
            <w:vAlign w:val="center"/>
          </w:tcPr>
          <w:p w14:paraId="4190FF1C">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725" w:type="dxa"/>
            <w:tcBorders>
              <w:top w:val="nil"/>
              <w:left w:val="nil"/>
              <w:bottom w:val="single" w:color="auto" w:sz="4" w:space="0"/>
              <w:right w:val="single" w:color="auto" w:sz="4" w:space="0"/>
            </w:tcBorders>
            <w:vAlign w:val="center"/>
          </w:tcPr>
          <w:p w14:paraId="5A336EF6">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20≤X＜200</w:t>
            </w:r>
          </w:p>
        </w:tc>
        <w:tc>
          <w:tcPr>
            <w:tcW w:w="1513" w:type="dxa"/>
            <w:tcBorders>
              <w:top w:val="nil"/>
              <w:left w:val="nil"/>
              <w:bottom w:val="single" w:color="auto" w:sz="4" w:space="0"/>
              <w:right w:val="single" w:color="auto" w:sz="4" w:space="0"/>
            </w:tcBorders>
            <w:vAlign w:val="center"/>
          </w:tcPr>
          <w:p w14:paraId="5C8E8A54">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5≤X＜20</w:t>
            </w:r>
          </w:p>
        </w:tc>
        <w:tc>
          <w:tcPr>
            <w:tcW w:w="937" w:type="dxa"/>
            <w:tcBorders>
              <w:top w:val="nil"/>
              <w:left w:val="nil"/>
              <w:bottom w:val="single" w:color="auto" w:sz="4" w:space="0"/>
              <w:right w:val="single" w:color="auto" w:sz="4" w:space="0"/>
            </w:tcBorders>
            <w:vAlign w:val="center"/>
          </w:tcPr>
          <w:p w14:paraId="0F6E4C3E">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X＜5</w:t>
            </w:r>
          </w:p>
        </w:tc>
      </w:tr>
      <w:tr w14:paraId="26488C4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BAE7F3D">
            <w:pPr>
              <w:widowControl/>
              <w:jc w:val="left"/>
              <w:rPr>
                <w:rFonts w:ascii="仿宋" w:hAnsi="仿宋" w:eastAsia="仿宋" w:cs="宋体"/>
                <w:b/>
                <w:bCs/>
                <w:color w:val="auto"/>
                <w:kern w:val="0"/>
                <w:sz w:val="18"/>
                <w:szCs w:val="18"/>
                <w:highlight w:val="none"/>
              </w:rPr>
            </w:pPr>
          </w:p>
        </w:tc>
        <w:tc>
          <w:tcPr>
            <w:tcW w:w="1676" w:type="dxa"/>
            <w:tcBorders>
              <w:top w:val="nil"/>
              <w:left w:val="nil"/>
              <w:bottom w:val="single" w:color="auto" w:sz="4" w:space="0"/>
              <w:right w:val="single" w:color="auto" w:sz="4" w:space="0"/>
            </w:tcBorders>
            <w:vAlign w:val="center"/>
          </w:tcPr>
          <w:p w14:paraId="285ED1FD">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912" w:type="dxa"/>
            <w:tcBorders>
              <w:top w:val="nil"/>
              <w:left w:val="nil"/>
              <w:bottom w:val="single" w:color="auto" w:sz="4" w:space="0"/>
              <w:right w:val="single" w:color="auto" w:sz="4" w:space="0"/>
            </w:tcBorders>
            <w:vAlign w:val="center"/>
          </w:tcPr>
          <w:p w14:paraId="58F8D003">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725" w:type="dxa"/>
            <w:tcBorders>
              <w:top w:val="nil"/>
              <w:left w:val="nil"/>
              <w:bottom w:val="single" w:color="auto" w:sz="4" w:space="0"/>
              <w:right w:val="single" w:color="auto" w:sz="4" w:space="0"/>
            </w:tcBorders>
            <w:vAlign w:val="center"/>
          </w:tcPr>
          <w:p w14:paraId="2BB3B77A">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5000≤Y＜40000</w:t>
            </w:r>
          </w:p>
        </w:tc>
        <w:tc>
          <w:tcPr>
            <w:tcW w:w="1513" w:type="dxa"/>
            <w:tcBorders>
              <w:top w:val="nil"/>
              <w:left w:val="nil"/>
              <w:bottom w:val="single" w:color="auto" w:sz="4" w:space="0"/>
              <w:right w:val="single" w:color="auto" w:sz="4" w:space="0"/>
            </w:tcBorders>
            <w:vAlign w:val="center"/>
          </w:tcPr>
          <w:p w14:paraId="6BE4F73D">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1000≤Y＜5000</w:t>
            </w:r>
          </w:p>
        </w:tc>
        <w:tc>
          <w:tcPr>
            <w:tcW w:w="937" w:type="dxa"/>
            <w:tcBorders>
              <w:top w:val="nil"/>
              <w:left w:val="nil"/>
              <w:bottom w:val="single" w:color="auto" w:sz="4" w:space="0"/>
              <w:right w:val="single" w:color="auto" w:sz="4" w:space="0"/>
            </w:tcBorders>
            <w:vAlign w:val="center"/>
          </w:tcPr>
          <w:p w14:paraId="79BD8093">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Y＜1000</w:t>
            </w:r>
          </w:p>
        </w:tc>
      </w:tr>
      <w:tr w14:paraId="7B939DA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DB3778F">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零售业</w:t>
            </w:r>
          </w:p>
        </w:tc>
        <w:tc>
          <w:tcPr>
            <w:tcW w:w="1676" w:type="dxa"/>
            <w:tcBorders>
              <w:top w:val="nil"/>
              <w:left w:val="nil"/>
              <w:bottom w:val="single" w:color="auto" w:sz="4" w:space="0"/>
              <w:right w:val="single" w:color="auto" w:sz="4" w:space="0"/>
            </w:tcBorders>
            <w:vAlign w:val="center"/>
          </w:tcPr>
          <w:p w14:paraId="736C9A67">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912" w:type="dxa"/>
            <w:tcBorders>
              <w:top w:val="nil"/>
              <w:left w:val="nil"/>
              <w:bottom w:val="single" w:color="auto" w:sz="4" w:space="0"/>
              <w:right w:val="single" w:color="auto" w:sz="4" w:space="0"/>
            </w:tcBorders>
            <w:vAlign w:val="center"/>
          </w:tcPr>
          <w:p w14:paraId="178042AC">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725" w:type="dxa"/>
            <w:tcBorders>
              <w:top w:val="nil"/>
              <w:left w:val="nil"/>
              <w:bottom w:val="single" w:color="auto" w:sz="4" w:space="0"/>
              <w:right w:val="single" w:color="auto" w:sz="4" w:space="0"/>
            </w:tcBorders>
            <w:vAlign w:val="center"/>
          </w:tcPr>
          <w:p w14:paraId="7EF0DD2A">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50≤X＜300</w:t>
            </w:r>
          </w:p>
        </w:tc>
        <w:tc>
          <w:tcPr>
            <w:tcW w:w="1513" w:type="dxa"/>
            <w:tcBorders>
              <w:top w:val="nil"/>
              <w:left w:val="nil"/>
              <w:bottom w:val="single" w:color="auto" w:sz="4" w:space="0"/>
              <w:right w:val="single" w:color="auto" w:sz="4" w:space="0"/>
            </w:tcBorders>
            <w:vAlign w:val="center"/>
          </w:tcPr>
          <w:p w14:paraId="10D45F48">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10≤X＜50</w:t>
            </w:r>
          </w:p>
        </w:tc>
        <w:tc>
          <w:tcPr>
            <w:tcW w:w="937" w:type="dxa"/>
            <w:tcBorders>
              <w:top w:val="nil"/>
              <w:left w:val="nil"/>
              <w:bottom w:val="single" w:color="auto" w:sz="4" w:space="0"/>
              <w:right w:val="single" w:color="auto" w:sz="4" w:space="0"/>
            </w:tcBorders>
            <w:vAlign w:val="center"/>
          </w:tcPr>
          <w:p w14:paraId="40BFCEC4">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X＜10</w:t>
            </w:r>
          </w:p>
        </w:tc>
      </w:tr>
      <w:tr w14:paraId="0F0EDCA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6ED2FD2">
            <w:pPr>
              <w:widowControl/>
              <w:jc w:val="left"/>
              <w:rPr>
                <w:rFonts w:ascii="仿宋" w:hAnsi="仿宋" w:eastAsia="仿宋" w:cs="宋体"/>
                <w:b/>
                <w:bCs/>
                <w:color w:val="auto"/>
                <w:kern w:val="0"/>
                <w:sz w:val="18"/>
                <w:szCs w:val="18"/>
                <w:highlight w:val="none"/>
              </w:rPr>
            </w:pPr>
          </w:p>
        </w:tc>
        <w:tc>
          <w:tcPr>
            <w:tcW w:w="1676" w:type="dxa"/>
            <w:tcBorders>
              <w:top w:val="nil"/>
              <w:left w:val="nil"/>
              <w:bottom w:val="single" w:color="auto" w:sz="4" w:space="0"/>
              <w:right w:val="single" w:color="auto" w:sz="4" w:space="0"/>
            </w:tcBorders>
            <w:vAlign w:val="center"/>
          </w:tcPr>
          <w:p w14:paraId="7CC68CB8">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912" w:type="dxa"/>
            <w:tcBorders>
              <w:top w:val="nil"/>
              <w:left w:val="nil"/>
              <w:bottom w:val="single" w:color="auto" w:sz="4" w:space="0"/>
              <w:right w:val="single" w:color="auto" w:sz="4" w:space="0"/>
            </w:tcBorders>
            <w:vAlign w:val="center"/>
          </w:tcPr>
          <w:p w14:paraId="16C2BCEB">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725" w:type="dxa"/>
            <w:tcBorders>
              <w:top w:val="nil"/>
              <w:left w:val="nil"/>
              <w:bottom w:val="single" w:color="auto" w:sz="4" w:space="0"/>
              <w:right w:val="single" w:color="auto" w:sz="4" w:space="0"/>
            </w:tcBorders>
            <w:vAlign w:val="center"/>
          </w:tcPr>
          <w:p w14:paraId="32A1C2CC">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500≤Y＜20000</w:t>
            </w:r>
          </w:p>
        </w:tc>
        <w:tc>
          <w:tcPr>
            <w:tcW w:w="1513" w:type="dxa"/>
            <w:tcBorders>
              <w:top w:val="nil"/>
              <w:left w:val="nil"/>
              <w:bottom w:val="single" w:color="auto" w:sz="4" w:space="0"/>
              <w:right w:val="single" w:color="auto" w:sz="4" w:space="0"/>
            </w:tcBorders>
            <w:vAlign w:val="center"/>
          </w:tcPr>
          <w:p w14:paraId="606777AF">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100≤Y＜500</w:t>
            </w:r>
          </w:p>
        </w:tc>
        <w:tc>
          <w:tcPr>
            <w:tcW w:w="937" w:type="dxa"/>
            <w:tcBorders>
              <w:top w:val="nil"/>
              <w:left w:val="nil"/>
              <w:bottom w:val="single" w:color="auto" w:sz="4" w:space="0"/>
              <w:right w:val="single" w:color="auto" w:sz="4" w:space="0"/>
            </w:tcBorders>
            <w:vAlign w:val="center"/>
          </w:tcPr>
          <w:p w14:paraId="1028248A">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Y＜100</w:t>
            </w:r>
          </w:p>
        </w:tc>
      </w:tr>
      <w:tr w14:paraId="4B5AEC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645B045">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交通运输业</w:t>
            </w:r>
          </w:p>
        </w:tc>
        <w:tc>
          <w:tcPr>
            <w:tcW w:w="1676" w:type="dxa"/>
            <w:tcBorders>
              <w:top w:val="nil"/>
              <w:left w:val="nil"/>
              <w:bottom w:val="single" w:color="auto" w:sz="4" w:space="0"/>
              <w:right w:val="single" w:color="auto" w:sz="4" w:space="0"/>
            </w:tcBorders>
            <w:vAlign w:val="center"/>
          </w:tcPr>
          <w:p w14:paraId="3FB5D71F">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912" w:type="dxa"/>
            <w:tcBorders>
              <w:top w:val="nil"/>
              <w:left w:val="nil"/>
              <w:bottom w:val="single" w:color="auto" w:sz="4" w:space="0"/>
              <w:right w:val="single" w:color="auto" w:sz="4" w:space="0"/>
            </w:tcBorders>
            <w:vAlign w:val="center"/>
          </w:tcPr>
          <w:p w14:paraId="2F6C4FFB">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725" w:type="dxa"/>
            <w:tcBorders>
              <w:top w:val="nil"/>
              <w:left w:val="nil"/>
              <w:bottom w:val="single" w:color="auto" w:sz="4" w:space="0"/>
              <w:right w:val="single" w:color="auto" w:sz="4" w:space="0"/>
            </w:tcBorders>
            <w:vAlign w:val="center"/>
          </w:tcPr>
          <w:p w14:paraId="4F88E2C0">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300≤X＜1000</w:t>
            </w:r>
          </w:p>
        </w:tc>
        <w:tc>
          <w:tcPr>
            <w:tcW w:w="1513" w:type="dxa"/>
            <w:tcBorders>
              <w:top w:val="nil"/>
              <w:left w:val="nil"/>
              <w:bottom w:val="single" w:color="auto" w:sz="4" w:space="0"/>
              <w:right w:val="single" w:color="auto" w:sz="4" w:space="0"/>
            </w:tcBorders>
            <w:vAlign w:val="center"/>
          </w:tcPr>
          <w:p w14:paraId="78DC2022">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20≤X＜300</w:t>
            </w:r>
          </w:p>
        </w:tc>
        <w:tc>
          <w:tcPr>
            <w:tcW w:w="937" w:type="dxa"/>
            <w:tcBorders>
              <w:top w:val="nil"/>
              <w:left w:val="nil"/>
              <w:bottom w:val="single" w:color="auto" w:sz="4" w:space="0"/>
              <w:right w:val="single" w:color="auto" w:sz="4" w:space="0"/>
            </w:tcBorders>
            <w:vAlign w:val="center"/>
          </w:tcPr>
          <w:p w14:paraId="2F58447B">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X＜20</w:t>
            </w:r>
          </w:p>
        </w:tc>
      </w:tr>
      <w:tr w14:paraId="74A0EDF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3CA2F0F">
            <w:pPr>
              <w:widowControl/>
              <w:jc w:val="left"/>
              <w:rPr>
                <w:rFonts w:ascii="仿宋" w:hAnsi="仿宋" w:eastAsia="仿宋" w:cs="宋体"/>
                <w:b/>
                <w:bCs/>
                <w:color w:val="auto"/>
                <w:kern w:val="0"/>
                <w:sz w:val="18"/>
                <w:szCs w:val="18"/>
                <w:highlight w:val="none"/>
              </w:rPr>
            </w:pPr>
          </w:p>
        </w:tc>
        <w:tc>
          <w:tcPr>
            <w:tcW w:w="1676" w:type="dxa"/>
            <w:tcBorders>
              <w:top w:val="nil"/>
              <w:left w:val="nil"/>
              <w:bottom w:val="single" w:color="auto" w:sz="4" w:space="0"/>
              <w:right w:val="single" w:color="auto" w:sz="4" w:space="0"/>
            </w:tcBorders>
            <w:vAlign w:val="center"/>
          </w:tcPr>
          <w:p w14:paraId="02C0FDBF">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912" w:type="dxa"/>
            <w:tcBorders>
              <w:top w:val="nil"/>
              <w:left w:val="nil"/>
              <w:bottom w:val="single" w:color="auto" w:sz="4" w:space="0"/>
              <w:right w:val="single" w:color="auto" w:sz="4" w:space="0"/>
            </w:tcBorders>
            <w:vAlign w:val="center"/>
          </w:tcPr>
          <w:p w14:paraId="30D9E941">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725" w:type="dxa"/>
            <w:tcBorders>
              <w:top w:val="nil"/>
              <w:left w:val="nil"/>
              <w:bottom w:val="single" w:color="auto" w:sz="4" w:space="0"/>
              <w:right w:val="single" w:color="auto" w:sz="4" w:space="0"/>
            </w:tcBorders>
            <w:vAlign w:val="center"/>
          </w:tcPr>
          <w:p w14:paraId="086E1D1C">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3000≤Y＜30000</w:t>
            </w:r>
          </w:p>
        </w:tc>
        <w:tc>
          <w:tcPr>
            <w:tcW w:w="1513" w:type="dxa"/>
            <w:tcBorders>
              <w:top w:val="nil"/>
              <w:left w:val="nil"/>
              <w:bottom w:val="single" w:color="auto" w:sz="4" w:space="0"/>
              <w:right w:val="single" w:color="auto" w:sz="4" w:space="0"/>
            </w:tcBorders>
            <w:vAlign w:val="center"/>
          </w:tcPr>
          <w:p w14:paraId="2889B934">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200≤Y＜3000</w:t>
            </w:r>
          </w:p>
        </w:tc>
        <w:tc>
          <w:tcPr>
            <w:tcW w:w="937" w:type="dxa"/>
            <w:tcBorders>
              <w:top w:val="nil"/>
              <w:left w:val="nil"/>
              <w:bottom w:val="single" w:color="auto" w:sz="4" w:space="0"/>
              <w:right w:val="single" w:color="auto" w:sz="4" w:space="0"/>
            </w:tcBorders>
            <w:vAlign w:val="center"/>
          </w:tcPr>
          <w:p w14:paraId="62117CBA">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Y＜200</w:t>
            </w:r>
          </w:p>
        </w:tc>
      </w:tr>
      <w:tr w14:paraId="42BAD07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9ABF649">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仓储业</w:t>
            </w:r>
          </w:p>
        </w:tc>
        <w:tc>
          <w:tcPr>
            <w:tcW w:w="1676" w:type="dxa"/>
            <w:tcBorders>
              <w:top w:val="nil"/>
              <w:left w:val="nil"/>
              <w:bottom w:val="single" w:color="auto" w:sz="4" w:space="0"/>
              <w:right w:val="single" w:color="auto" w:sz="4" w:space="0"/>
            </w:tcBorders>
            <w:vAlign w:val="center"/>
          </w:tcPr>
          <w:p w14:paraId="36E46D11">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912" w:type="dxa"/>
            <w:tcBorders>
              <w:top w:val="nil"/>
              <w:left w:val="nil"/>
              <w:bottom w:val="single" w:color="auto" w:sz="4" w:space="0"/>
              <w:right w:val="single" w:color="auto" w:sz="4" w:space="0"/>
            </w:tcBorders>
            <w:vAlign w:val="center"/>
          </w:tcPr>
          <w:p w14:paraId="613D38E7">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725" w:type="dxa"/>
            <w:tcBorders>
              <w:top w:val="nil"/>
              <w:left w:val="nil"/>
              <w:bottom w:val="single" w:color="auto" w:sz="4" w:space="0"/>
              <w:right w:val="single" w:color="auto" w:sz="4" w:space="0"/>
            </w:tcBorders>
            <w:vAlign w:val="center"/>
          </w:tcPr>
          <w:p w14:paraId="414D932C">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100≤X＜200</w:t>
            </w:r>
          </w:p>
        </w:tc>
        <w:tc>
          <w:tcPr>
            <w:tcW w:w="1513" w:type="dxa"/>
            <w:tcBorders>
              <w:top w:val="nil"/>
              <w:left w:val="nil"/>
              <w:bottom w:val="single" w:color="auto" w:sz="4" w:space="0"/>
              <w:right w:val="single" w:color="auto" w:sz="4" w:space="0"/>
            </w:tcBorders>
            <w:vAlign w:val="center"/>
          </w:tcPr>
          <w:p w14:paraId="5D91E653">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20≤X＜100</w:t>
            </w:r>
          </w:p>
        </w:tc>
        <w:tc>
          <w:tcPr>
            <w:tcW w:w="937" w:type="dxa"/>
            <w:tcBorders>
              <w:top w:val="nil"/>
              <w:left w:val="nil"/>
              <w:bottom w:val="single" w:color="auto" w:sz="4" w:space="0"/>
              <w:right w:val="single" w:color="auto" w:sz="4" w:space="0"/>
            </w:tcBorders>
            <w:vAlign w:val="center"/>
          </w:tcPr>
          <w:p w14:paraId="3AFAE24A">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X＜20</w:t>
            </w:r>
          </w:p>
        </w:tc>
      </w:tr>
      <w:tr w14:paraId="7766D5D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FF03DF1">
            <w:pPr>
              <w:widowControl/>
              <w:jc w:val="left"/>
              <w:rPr>
                <w:rFonts w:ascii="仿宋" w:hAnsi="仿宋" w:eastAsia="仿宋" w:cs="宋体"/>
                <w:b/>
                <w:bCs/>
                <w:color w:val="auto"/>
                <w:kern w:val="0"/>
                <w:sz w:val="18"/>
                <w:szCs w:val="18"/>
                <w:highlight w:val="none"/>
              </w:rPr>
            </w:pPr>
          </w:p>
        </w:tc>
        <w:tc>
          <w:tcPr>
            <w:tcW w:w="1676" w:type="dxa"/>
            <w:tcBorders>
              <w:top w:val="nil"/>
              <w:left w:val="nil"/>
              <w:bottom w:val="single" w:color="auto" w:sz="4" w:space="0"/>
              <w:right w:val="single" w:color="auto" w:sz="4" w:space="0"/>
            </w:tcBorders>
            <w:vAlign w:val="center"/>
          </w:tcPr>
          <w:p w14:paraId="1FAB0554">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912" w:type="dxa"/>
            <w:tcBorders>
              <w:top w:val="nil"/>
              <w:left w:val="nil"/>
              <w:bottom w:val="single" w:color="auto" w:sz="4" w:space="0"/>
              <w:right w:val="single" w:color="auto" w:sz="4" w:space="0"/>
            </w:tcBorders>
            <w:vAlign w:val="center"/>
          </w:tcPr>
          <w:p w14:paraId="4B6C1EFF">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725" w:type="dxa"/>
            <w:tcBorders>
              <w:top w:val="nil"/>
              <w:left w:val="nil"/>
              <w:bottom w:val="single" w:color="auto" w:sz="4" w:space="0"/>
              <w:right w:val="single" w:color="auto" w:sz="4" w:space="0"/>
            </w:tcBorders>
            <w:vAlign w:val="center"/>
          </w:tcPr>
          <w:p w14:paraId="43C83464">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1000≤Y＜30000</w:t>
            </w:r>
          </w:p>
        </w:tc>
        <w:tc>
          <w:tcPr>
            <w:tcW w:w="1513" w:type="dxa"/>
            <w:tcBorders>
              <w:top w:val="nil"/>
              <w:left w:val="nil"/>
              <w:bottom w:val="single" w:color="auto" w:sz="4" w:space="0"/>
              <w:right w:val="single" w:color="auto" w:sz="4" w:space="0"/>
            </w:tcBorders>
            <w:vAlign w:val="center"/>
          </w:tcPr>
          <w:p w14:paraId="49269075">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100≤Y＜1000</w:t>
            </w:r>
          </w:p>
        </w:tc>
        <w:tc>
          <w:tcPr>
            <w:tcW w:w="937" w:type="dxa"/>
            <w:tcBorders>
              <w:top w:val="nil"/>
              <w:left w:val="nil"/>
              <w:bottom w:val="single" w:color="auto" w:sz="4" w:space="0"/>
              <w:right w:val="single" w:color="auto" w:sz="4" w:space="0"/>
            </w:tcBorders>
            <w:vAlign w:val="center"/>
          </w:tcPr>
          <w:p w14:paraId="719F44E5">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Y＜100</w:t>
            </w:r>
          </w:p>
        </w:tc>
      </w:tr>
      <w:tr w14:paraId="0B9DF6F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A4AA593">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邮政业</w:t>
            </w:r>
          </w:p>
        </w:tc>
        <w:tc>
          <w:tcPr>
            <w:tcW w:w="1676" w:type="dxa"/>
            <w:tcBorders>
              <w:top w:val="nil"/>
              <w:left w:val="nil"/>
              <w:bottom w:val="single" w:color="auto" w:sz="4" w:space="0"/>
              <w:right w:val="single" w:color="auto" w:sz="4" w:space="0"/>
            </w:tcBorders>
            <w:vAlign w:val="center"/>
          </w:tcPr>
          <w:p w14:paraId="13FC2445">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912" w:type="dxa"/>
            <w:tcBorders>
              <w:top w:val="nil"/>
              <w:left w:val="nil"/>
              <w:bottom w:val="single" w:color="auto" w:sz="4" w:space="0"/>
              <w:right w:val="single" w:color="auto" w:sz="4" w:space="0"/>
            </w:tcBorders>
            <w:vAlign w:val="center"/>
          </w:tcPr>
          <w:p w14:paraId="7F922FC7">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725" w:type="dxa"/>
            <w:tcBorders>
              <w:top w:val="nil"/>
              <w:left w:val="nil"/>
              <w:bottom w:val="single" w:color="auto" w:sz="4" w:space="0"/>
              <w:right w:val="single" w:color="auto" w:sz="4" w:space="0"/>
            </w:tcBorders>
            <w:vAlign w:val="center"/>
          </w:tcPr>
          <w:p w14:paraId="28ED393F">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300≤X＜1000</w:t>
            </w:r>
          </w:p>
        </w:tc>
        <w:tc>
          <w:tcPr>
            <w:tcW w:w="1513" w:type="dxa"/>
            <w:tcBorders>
              <w:top w:val="nil"/>
              <w:left w:val="nil"/>
              <w:bottom w:val="single" w:color="auto" w:sz="4" w:space="0"/>
              <w:right w:val="single" w:color="auto" w:sz="4" w:space="0"/>
            </w:tcBorders>
            <w:vAlign w:val="center"/>
          </w:tcPr>
          <w:p w14:paraId="36506741">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20≤X＜300</w:t>
            </w:r>
          </w:p>
        </w:tc>
        <w:tc>
          <w:tcPr>
            <w:tcW w:w="937" w:type="dxa"/>
            <w:tcBorders>
              <w:top w:val="nil"/>
              <w:left w:val="nil"/>
              <w:bottom w:val="single" w:color="auto" w:sz="4" w:space="0"/>
              <w:right w:val="single" w:color="auto" w:sz="4" w:space="0"/>
            </w:tcBorders>
            <w:vAlign w:val="center"/>
          </w:tcPr>
          <w:p w14:paraId="4E5AFCE4">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X＜20</w:t>
            </w:r>
          </w:p>
        </w:tc>
      </w:tr>
      <w:tr w14:paraId="0FA08CD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6748637">
            <w:pPr>
              <w:widowControl/>
              <w:jc w:val="left"/>
              <w:rPr>
                <w:rFonts w:ascii="仿宋" w:hAnsi="仿宋" w:eastAsia="仿宋" w:cs="宋体"/>
                <w:b/>
                <w:bCs/>
                <w:color w:val="auto"/>
                <w:kern w:val="0"/>
                <w:sz w:val="18"/>
                <w:szCs w:val="18"/>
                <w:highlight w:val="none"/>
              </w:rPr>
            </w:pPr>
          </w:p>
        </w:tc>
        <w:tc>
          <w:tcPr>
            <w:tcW w:w="1676" w:type="dxa"/>
            <w:tcBorders>
              <w:top w:val="nil"/>
              <w:left w:val="nil"/>
              <w:bottom w:val="single" w:color="auto" w:sz="4" w:space="0"/>
              <w:right w:val="single" w:color="auto" w:sz="4" w:space="0"/>
            </w:tcBorders>
            <w:vAlign w:val="center"/>
          </w:tcPr>
          <w:p w14:paraId="676BF04D">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912" w:type="dxa"/>
            <w:tcBorders>
              <w:top w:val="nil"/>
              <w:left w:val="nil"/>
              <w:bottom w:val="single" w:color="auto" w:sz="4" w:space="0"/>
              <w:right w:val="single" w:color="auto" w:sz="4" w:space="0"/>
            </w:tcBorders>
            <w:vAlign w:val="center"/>
          </w:tcPr>
          <w:p w14:paraId="3B3DB911">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725" w:type="dxa"/>
            <w:tcBorders>
              <w:top w:val="nil"/>
              <w:left w:val="nil"/>
              <w:bottom w:val="single" w:color="auto" w:sz="4" w:space="0"/>
              <w:right w:val="single" w:color="auto" w:sz="4" w:space="0"/>
            </w:tcBorders>
            <w:vAlign w:val="center"/>
          </w:tcPr>
          <w:p w14:paraId="050A778A">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2000≤Y＜30000</w:t>
            </w:r>
          </w:p>
        </w:tc>
        <w:tc>
          <w:tcPr>
            <w:tcW w:w="1513" w:type="dxa"/>
            <w:tcBorders>
              <w:top w:val="nil"/>
              <w:left w:val="nil"/>
              <w:bottom w:val="single" w:color="auto" w:sz="4" w:space="0"/>
              <w:right w:val="single" w:color="auto" w:sz="4" w:space="0"/>
            </w:tcBorders>
            <w:vAlign w:val="center"/>
          </w:tcPr>
          <w:p w14:paraId="2FADA0AD">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100≤Y＜2000</w:t>
            </w:r>
          </w:p>
        </w:tc>
        <w:tc>
          <w:tcPr>
            <w:tcW w:w="937" w:type="dxa"/>
            <w:tcBorders>
              <w:top w:val="nil"/>
              <w:left w:val="nil"/>
              <w:bottom w:val="single" w:color="auto" w:sz="4" w:space="0"/>
              <w:right w:val="single" w:color="auto" w:sz="4" w:space="0"/>
            </w:tcBorders>
            <w:vAlign w:val="center"/>
          </w:tcPr>
          <w:p w14:paraId="6CC82BB2">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Y＜100</w:t>
            </w:r>
          </w:p>
        </w:tc>
      </w:tr>
      <w:tr w14:paraId="345C403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39DEBE4">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住宿业</w:t>
            </w:r>
          </w:p>
        </w:tc>
        <w:tc>
          <w:tcPr>
            <w:tcW w:w="1676" w:type="dxa"/>
            <w:tcBorders>
              <w:top w:val="nil"/>
              <w:left w:val="nil"/>
              <w:bottom w:val="single" w:color="auto" w:sz="4" w:space="0"/>
              <w:right w:val="single" w:color="auto" w:sz="4" w:space="0"/>
            </w:tcBorders>
            <w:vAlign w:val="center"/>
          </w:tcPr>
          <w:p w14:paraId="4000F694">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912" w:type="dxa"/>
            <w:tcBorders>
              <w:top w:val="nil"/>
              <w:left w:val="nil"/>
              <w:bottom w:val="single" w:color="auto" w:sz="4" w:space="0"/>
              <w:right w:val="single" w:color="auto" w:sz="4" w:space="0"/>
            </w:tcBorders>
            <w:vAlign w:val="center"/>
          </w:tcPr>
          <w:p w14:paraId="571ACD79">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725" w:type="dxa"/>
            <w:tcBorders>
              <w:top w:val="nil"/>
              <w:left w:val="nil"/>
              <w:bottom w:val="single" w:color="auto" w:sz="4" w:space="0"/>
              <w:right w:val="single" w:color="auto" w:sz="4" w:space="0"/>
            </w:tcBorders>
            <w:vAlign w:val="center"/>
          </w:tcPr>
          <w:p w14:paraId="62467710">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100≤X＜300</w:t>
            </w:r>
          </w:p>
        </w:tc>
        <w:tc>
          <w:tcPr>
            <w:tcW w:w="1513" w:type="dxa"/>
            <w:tcBorders>
              <w:top w:val="nil"/>
              <w:left w:val="nil"/>
              <w:bottom w:val="single" w:color="auto" w:sz="4" w:space="0"/>
              <w:right w:val="single" w:color="auto" w:sz="4" w:space="0"/>
            </w:tcBorders>
            <w:vAlign w:val="center"/>
          </w:tcPr>
          <w:p w14:paraId="76834ACC">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10≤X＜100</w:t>
            </w:r>
          </w:p>
        </w:tc>
        <w:tc>
          <w:tcPr>
            <w:tcW w:w="937" w:type="dxa"/>
            <w:tcBorders>
              <w:top w:val="nil"/>
              <w:left w:val="nil"/>
              <w:bottom w:val="single" w:color="auto" w:sz="4" w:space="0"/>
              <w:right w:val="single" w:color="auto" w:sz="4" w:space="0"/>
            </w:tcBorders>
            <w:vAlign w:val="center"/>
          </w:tcPr>
          <w:p w14:paraId="4AE0C3C1">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X＜10</w:t>
            </w:r>
          </w:p>
        </w:tc>
      </w:tr>
      <w:tr w14:paraId="63162E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654F5EC">
            <w:pPr>
              <w:widowControl/>
              <w:jc w:val="left"/>
              <w:rPr>
                <w:rFonts w:ascii="仿宋" w:hAnsi="仿宋" w:eastAsia="仿宋" w:cs="宋体"/>
                <w:b/>
                <w:bCs/>
                <w:color w:val="auto"/>
                <w:kern w:val="0"/>
                <w:sz w:val="18"/>
                <w:szCs w:val="18"/>
                <w:highlight w:val="none"/>
              </w:rPr>
            </w:pPr>
          </w:p>
        </w:tc>
        <w:tc>
          <w:tcPr>
            <w:tcW w:w="1676" w:type="dxa"/>
            <w:tcBorders>
              <w:top w:val="nil"/>
              <w:left w:val="nil"/>
              <w:bottom w:val="single" w:color="auto" w:sz="4" w:space="0"/>
              <w:right w:val="single" w:color="auto" w:sz="4" w:space="0"/>
            </w:tcBorders>
            <w:vAlign w:val="center"/>
          </w:tcPr>
          <w:p w14:paraId="19B8598A">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912" w:type="dxa"/>
            <w:tcBorders>
              <w:top w:val="nil"/>
              <w:left w:val="nil"/>
              <w:bottom w:val="single" w:color="auto" w:sz="4" w:space="0"/>
              <w:right w:val="single" w:color="auto" w:sz="4" w:space="0"/>
            </w:tcBorders>
            <w:vAlign w:val="center"/>
          </w:tcPr>
          <w:p w14:paraId="6CF89686">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725" w:type="dxa"/>
            <w:tcBorders>
              <w:top w:val="nil"/>
              <w:left w:val="nil"/>
              <w:bottom w:val="single" w:color="auto" w:sz="4" w:space="0"/>
              <w:right w:val="single" w:color="auto" w:sz="4" w:space="0"/>
            </w:tcBorders>
            <w:vAlign w:val="center"/>
          </w:tcPr>
          <w:p w14:paraId="31948295">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2000≤Y＜10000</w:t>
            </w:r>
          </w:p>
        </w:tc>
        <w:tc>
          <w:tcPr>
            <w:tcW w:w="1513" w:type="dxa"/>
            <w:tcBorders>
              <w:top w:val="nil"/>
              <w:left w:val="nil"/>
              <w:bottom w:val="single" w:color="auto" w:sz="4" w:space="0"/>
              <w:right w:val="single" w:color="auto" w:sz="4" w:space="0"/>
            </w:tcBorders>
            <w:vAlign w:val="center"/>
          </w:tcPr>
          <w:p w14:paraId="21960FE0">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100≤Y＜2000</w:t>
            </w:r>
          </w:p>
        </w:tc>
        <w:tc>
          <w:tcPr>
            <w:tcW w:w="937" w:type="dxa"/>
            <w:tcBorders>
              <w:top w:val="nil"/>
              <w:left w:val="nil"/>
              <w:bottom w:val="single" w:color="auto" w:sz="4" w:space="0"/>
              <w:right w:val="single" w:color="auto" w:sz="4" w:space="0"/>
            </w:tcBorders>
            <w:vAlign w:val="center"/>
          </w:tcPr>
          <w:p w14:paraId="4EB34161">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Y＜100</w:t>
            </w:r>
          </w:p>
        </w:tc>
      </w:tr>
      <w:tr w14:paraId="2D6BFB5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F8E16F2">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餐饮业</w:t>
            </w:r>
          </w:p>
        </w:tc>
        <w:tc>
          <w:tcPr>
            <w:tcW w:w="1676" w:type="dxa"/>
            <w:tcBorders>
              <w:top w:val="nil"/>
              <w:left w:val="nil"/>
              <w:bottom w:val="single" w:color="auto" w:sz="4" w:space="0"/>
              <w:right w:val="single" w:color="auto" w:sz="4" w:space="0"/>
            </w:tcBorders>
            <w:vAlign w:val="center"/>
          </w:tcPr>
          <w:p w14:paraId="7C331AFE">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912" w:type="dxa"/>
            <w:tcBorders>
              <w:top w:val="nil"/>
              <w:left w:val="nil"/>
              <w:bottom w:val="single" w:color="auto" w:sz="4" w:space="0"/>
              <w:right w:val="single" w:color="auto" w:sz="4" w:space="0"/>
            </w:tcBorders>
            <w:vAlign w:val="center"/>
          </w:tcPr>
          <w:p w14:paraId="3DC24006">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725" w:type="dxa"/>
            <w:tcBorders>
              <w:top w:val="nil"/>
              <w:left w:val="nil"/>
              <w:bottom w:val="single" w:color="auto" w:sz="4" w:space="0"/>
              <w:right w:val="single" w:color="auto" w:sz="4" w:space="0"/>
            </w:tcBorders>
            <w:vAlign w:val="center"/>
          </w:tcPr>
          <w:p w14:paraId="5BD7C4A0">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100≤X＜300</w:t>
            </w:r>
          </w:p>
        </w:tc>
        <w:tc>
          <w:tcPr>
            <w:tcW w:w="1513" w:type="dxa"/>
            <w:tcBorders>
              <w:top w:val="nil"/>
              <w:left w:val="nil"/>
              <w:bottom w:val="single" w:color="auto" w:sz="4" w:space="0"/>
              <w:right w:val="single" w:color="auto" w:sz="4" w:space="0"/>
            </w:tcBorders>
            <w:vAlign w:val="center"/>
          </w:tcPr>
          <w:p w14:paraId="3509B4CF">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10≤X＜100</w:t>
            </w:r>
          </w:p>
        </w:tc>
        <w:tc>
          <w:tcPr>
            <w:tcW w:w="937" w:type="dxa"/>
            <w:tcBorders>
              <w:top w:val="nil"/>
              <w:left w:val="nil"/>
              <w:bottom w:val="single" w:color="auto" w:sz="4" w:space="0"/>
              <w:right w:val="single" w:color="auto" w:sz="4" w:space="0"/>
            </w:tcBorders>
            <w:vAlign w:val="center"/>
          </w:tcPr>
          <w:p w14:paraId="7ACD5D23">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X＜10</w:t>
            </w:r>
          </w:p>
        </w:tc>
      </w:tr>
      <w:tr w14:paraId="436BA9F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2014A13">
            <w:pPr>
              <w:widowControl/>
              <w:jc w:val="left"/>
              <w:rPr>
                <w:rFonts w:ascii="仿宋" w:hAnsi="仿宋" w:eastAsia="仿宋" w:cs="宋体"/>
                <w:b/>
                <w:bCs/>
                <w:color w:val="auto"/>
                <w:kern w:val="0"/>
                <w:sz w:val="18"/>
                <w:szCs w:val="18"/>
                <w:highlight w:val="none"/>
              </w:rPr>
            </w:pPr>
          </w:p>
        </w:tc>
        <w:tc>
          <w:tcPr>
            <w:tcW w:w="1676" w:type="dxa"/>
            <w:tcBorders>
              <w:top w:val="nil"/>
              <w:left w:val="nil"/>
              <w:bottom w:val="single" w:color="auto" w:sz="4" w:space="0"/>
              <w:right w:val="single" w:color="auto" w:sz="4" w:space="0"/>
            </w:tcBorders>
            <w:vAlign w:val="center"/>
          </w:tcPr>
          <w:p w14:paraId="22DFA4E8">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912" w:type="dxa"/>
            <w:tcBorders>
              <w:top w:val="nil"/>
              <w:left w:val="nil"/>
              <w:bottom w:val="single" w:color="auto" w:sz="4" w:space="0"/>
              <w:right w:val="single" w:color="auto" w:sz="4" w:space="0"/>
            </w:tcBorders>
            <w:vAlign w:val="center"/>
          </w:tcPr>
          <w:p w14:paraId="6BC6B9A8">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725" w:type="dxa"/>
            <w:tcBorders>
              <w:top w:val="nil"/>
              <w:left w:val="nil"/>
              <w:bottom w:val="single" w:color="auto" w:sz="4" w:space="0"/>
              <w:right w:val="single" w:color="auto" w:sz="4" w:space="0"/>
            </w:tcBorders>
            <w:vAlign w:val="center"/>
          </w:tcPr>
          <w:p w14:paraId="33B12B49">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2000≤Y＜10000</w:t>
            </w:r>
          </w:p>
        </w:tc>
        <w:tc>
          <w:tcPr>
            <w:tcW w:w="1513" w:type="dxa"/>
            <w:tcBorders>
              <w:top w:val="nil"/>
              <w:left w:val="nil"/>
              <w:bottom w:val="single" w:color="auto" w:sz="4" w:space="0"/>
              <w:right w:val="single" w:color="auto" w:sz="4" w:space="0"/>
            </w:tcBorders>
            <w:vAlign w:val="center"/>
          </w:tcPr>
          <w:p w14:paraId="677865ED">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100≤Y＜2000</w:t>
            </w:r>
          </w:p>
        </w:tc>
        <w:tc>
          <w:tcPr>
            <w:tcW w:w="937" w:type="dxa"/>
            <w:tcBorders>
              <w:top w:val="nil"/>
              <w:left w:val="nil"/>
              <w:bottom w:val="single" w:color="auto" w:sz="4" w:space="0"/>
              <w:right w:val="single" w:color="auto" w:sz="4" w:space="0"/>
            </w:tcBorders>
            <w:vAlign w:val="center"/>
          </w:tcPr>
          <w:p w14:paraId="6E854FDA">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Y＜100</w:t>
            </w:r>
          </w:p>
        </w:tc>
      </w:tr>
      <w:tr w14:paraId="23487D3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96799E8">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信息传输业</w:t>
            </w:r>
          </w:p>
        </w:tc>
        <w:tc>
          <w:tcPr>
            <w:tcW w:w="1676" w:type="dxa"/>
            <w:tcBorders>
              <w:top w:val="nil"/>
              <w:left w:val="nil"/>
              <w:bottom w:val="single" w:color="auto" w:sz="4" w:space="0"/>
              <w:right w:val="single" w:color="auto" w:sz="4" w:space="0"/>
            </w:tcBorders>
            <w:vAlign w:val="center"/>
          </w:tcPr>
          <w:p w14:paraId="262B4B1B">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912" w:type="dxa"/>
            <w:tcBorders>
              <w:top w:val="nil"/>
              <w:left w:val="nil"/>
              <w:bottom w:val="single" w:color="auto" w:sz="4" w:space="0"/>
              <w:right w:val="single" w:color="auto" w:sz="4" w:space="0"/>
            </w:tcBorders>
            <w:vAlign w:val="center"/>
          </w:tcPr>
          <w:p w14:paraId="2C9D0A48">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725" w:type="dxa"/>
            <w:tcBorders>
              <w:top w:val="nil"/>
              <w:left w:val="nil"/>
              <w:bottom w:val="single" w:color="auto" w:sz="4" w:space="0"/>
              <w:right w:val="single" w:color="auto" w:sz="4" w:space="0"/>
            </w:tcBorders>
            <w:vAlign w:val="center"/>
          </w:tcPr>
          <w:p w14:paraId="1D9A5C63">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100≤X＜2000</w:t>
            </w:r>
          </w:p>
        </w:tc>
        <w:tc>
          <w:tcPr>
            <w:tcW w:w="1513" w:type="dxa"/>
            <w:tcBorders>
              <w:top w:val="nil"/>
              <w:left w:val="nil"/>
              <w:bottom w:val="single" w:color="auto" w:sz="4" w:space="0"/>
              <w:right w:val="single" w:color="auto" w:sz="4" w:space="0"/>
            </w:tcBorders>
            <w:vAlign w:val="center"/>
          </w:tcPr>
          <w:p w14:paraId="5B7D8471">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10≤X＜100</w:t>
            </w:r>
          </w:p>
        </w:tc>
        <w:tc>
          <w:tcPr>
            <w:tcW w:w="937" w:type="dxa"/>
            <w:tcBorders>
              <w:top w:val="nil"/>
              <w:left w:val="nil"/>
              <w:bottom w:val="single" w:color="auto" w:sz="4" w:space="0"/>
              <w:right w:val="single" w:color="auto" w:sz="4" w:space="0"/>
            </w:tcBorders>
            <w:vAlign w:val="center"/>
          </w:tcPr>
          <w:p w14:paraId="3A0765B7">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X＜10</w:t>
            </w:r>
          </w:p>
        </w:tc>
      </w:tr>
      <w:tr w14:paraId="4E79408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47FFD8B">
            <w:pPr>
              <w:widowControl/>
              <w:jc w:val="left"/>
              <w:rPr>
                <w:rFonts w:ascii="仿宋" w:hAnsi="仿宋" w:eastAsia="仿宋" w:cs="宋体"/>
                <w:b/>
                <w:bCs/>
                <w:color w:val="auto"/>
                <w:kern w:val="0"/>
                <w:sz w:val="18"/>
                <w:szCs w:val="18"/>
                <w:highlight w:val="none"/>
              </w:rPr>
            </w:pPr>
          </w:p>
        </w:tc>
        <w:tc>
          <w:tcPr>
            <w:tcW w:w="1676" w:type="dxa"/>
            <w:tcBorders>
              <w:top w:val="nil"/>
              <w:left w:val="nil"/>
              <w:bottom w:val="single" w:color="auto" w:sz="4" w:space="0"/>
              <w:right w:val="single" w:color="auto" w:sz="4" w:space="0"/>
            </w:tcBorders>
            <w:vAlign w:val="center"/>
          </w:tcPr>
          <w:p w14:paraId="13C7E978">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912" w:type="dxa"/>
            <w:tcBorders>
              <w:top w:val="nil"/>
              <w:left w:val="nil"/>
              <w:bottom w:val="single" w:color="auto" w:sz="4" w:space="0"/>
              <w:right w:val="single" w:color="auto" w:sz="4" w:space="0"/>
            </w:tcBorders>
            <w:vAlign w:val="center"/>
          </w:tcPr>
          <w:p w14:paraId="529371E3">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725" w:type="dxa"/>
            <w:tcBorders>
              <w:top w:val="nil"/>
              <w:left w:val="nil"/>
              <w:bottom w:val="single" w:color="auto" w:sz="4" w:space="0"/>
              <w:right w:val="single" w:color="auto" w:sz="4" w:space="0"/>
            </w:tcBorders>
            <w:vAlign w:val="center"/>
          </w:tcPr>
          <w:p w14:paraId="29D71F78">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1000≤Y＜100000</w:t>
            </w:r>
          </w:p>
        </w:tc>
        <w:tc>
          <w:tcPr>
            <w:tcW w:w="1513" w:type="dxa"/>
            <w:tcBorders>
              <w:top w:val="nil"/>
              <w:left w:val="nil"/>
              <w:bottom w:val="single" w:color="auto" w:sz="4" w:space="0"/>
              <w:right w:val="single" w:color="auto" w:sz="4" w:space="0"/>
            </w:tcBorders>
            <w:vAlign w:val="center"/>
          </w:tcPr>
          <w:p w14:paraId="112D2C8C">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100≤Y＜1000</w:t>
            </w:r>
          </w:p>
        </w:tc>
        <w:tc>
          <w:tcPr>
            <w:tcW w:w="937" w:type="dxa"/>
            <w:tcBorders>
              <w:top w:val="nil"/>
              <w:left w:val="nil"/>
              <w:bottom w:val="single" w:color="auto" w:sz="4" w:space="0"/>
              <w:right w:val="single" w:color="auto" w:sz="4" w:space="0"/>
            </w:tcBorders>
            <w:vAlign w:val="center"/>
          </w:tcPr>
          <w:p w14:paraId="66F79E43">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Y＜100</w:t>
            </w:r>
          </w:p>
        </w:tc>
      </w:tr>
      <w:tr w14:paraId="1789674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6246BFB">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软件和信息技术服务业</w:t>
            </w:r>
          </w:p>
        </w:tc>
        <w:tc>
          <w:tcPr>
            <w:tcW w:w="1676" w:type="dxa"/>
            <w:tcBorders>
              <w:top w:val="nil"/>
              <w:left w:val="nil"/>
              <w:bottom w:val="single" w:color="auto" w:sz="4" w:space="0"/>
              <w:right w:val="single" w:color="auto" w:sz="4" w:space="0"/>
            </w:tcBorders>
            <w:vAlign w:val="center"/>
          </w:tcPr>
          <w:p w14:paraId="624A50A6">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912" w:type="dxa"/>
            <w:tcBorders>
              <w:top w:val="nil"/>
              <w:left w:val="nil"/>
              <w:bottom w:val="single" w:color="auto" w:sz="4" w:space="0"/>
              <w:right w:val="single" w:color="auto" w:sz="4" w:space="0"/>
            </w:tcBorders>
            <w:vAlign w:val="center"/>
          </w:tcPr>
          <w:p w14:paraId="6D97B5B8">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725" w:type="dxa"/>
            <w:tcBorders>
              <w:top w:val="nil"/>
              <w:left w:val="nil"/>
              <w:bottom w:val="single" w:color="auto" w:sz="4" w:space="0"/>
              <w:right w:val="single" w:color="auto" w:sz="4" w:space="0"/>
            </w:tcBorders>
            <w:vAlign w:val="center"/>
          </w:tcPr>
          <w:p w14:paraId="459604EF">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100≤X＜300</w:t>
            </w:r>
          </w:p>
        </w:tc>
        <w:tc>
          <w:tcPr>
            <w:tcW w:w="1513" w:type="dxa"/>
            <w:tcBorders>
              <w:top w:val="nil"/>
              <w:left w:val="nil"/>
              <w:bottom w:val="single" w:color="auto" w:sz="4" w:space="0"/>
              <w:right w:val="single" w:color="auto" w:sz="4" w:space="0"/>
            </w:tcBorders>
            <w:vAlign w:val="center"/>
          </w:tcPr>
          <w:p w14:paraId="28781D34">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10≤X＜100</w:t>
            </w:r>
          </w:p>
        </w:tc>
        <w:tc>
          <w:tcPr>
            <w:tcW w:w="937" w:type="dxa"/>
            <w:tcBorders>
              <w:top w:val="nil"/>
              <w:left w:val="nil"/>
              <w:bottom w:val="single" w:color="auto" w:sz="4" w:space="0"/>
              <w:right w:val="single" w:color="auto" w:sz="4" w:space="0"/>
            </w:tcBorders>
            <w:vAlign w:val="center"/>
          </w:tcPr>
          <w:p w14:paraId="3678E832">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X＜10</w:t>
            </w:r>
          </w:p>
        </w:tc>
      </w:tr>
      <w:tr w14:paraId="39566DF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180E47E">
            <w:pPr>
              <w:widowControl/>
              <w:jc w:val="left"/>
              <w:rPr>
                <w:rFonts w:ascii="仿宋" w:hAnsi="仿宋" w:eastAsia="仿宋" w:cs="宋体"/>
                <w:b/>
                <w:bCs/>
                <w:color w:val="auto"/>
                <w:kern w:val="0"/>
                <w:sz w:val="18"/>
                <w:szCs w:val="18"/>
                <w:highlight w:val="none"/>
              </w:rPr>
            </w:pPr>
          </w:p>
        </w:tc>
        <w:tc>
          <w:tcPr>
            <w:tcW w:w="1676" w:type="dxa"/>
            <w:tcBorders>
              <w:top w:val="nil"/>
              <w:left w:val="nil"/>
              <w:bottom w:val="single" w:color="auto" w:sz="4" w:space="0"/>
              <w:right w:val="single" w:color="auto" w:sz="4" w:space="0"/>
            </w:tcBorders>
            <w:vAlign w:val="center"/>
          </w:tcPr>
          <w:p w14:paraId="6A38BC4C">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912" w:type="dxa"/>
            <w:tcBorders>
              <w:top w:val="nil"/>
              <w:left w:val="nil"/>
              <w:bottom w:val="single" w:color="auto" w:sz="4" w:space="0"/>
              <w:right w:val="single" w:color="auto" w:sz="4" w:space="0"/>
            </w:tcBorders>
            <w:vAlign w:val="center"/>
          </w:tcPr>
          <w:p w14:paraId="79A08D44">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725" w:type="dxa"/>
            <w:tcBorders>
              <w:top w:val="nil"/>
              <w:left w:val="nil"/>
              <w:bottom w:val="single" w:color="auto" w:sz="4" w:space="0"/>
              <w:right w:val="single" w:color="auto" w:sz="4" w:space="0"/>
            </w:tcBorders>
            <w:vAlign w:val="center"/>
          </w:tcPr>
          <w:p w14:paraId="53F908D9">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1000≤Y＜10000</w:t>
            </w:r>
          </w:p>
        </w:tc>
        <w:tc>
          <w:tcPr>
            <w:tcW w:w="1513" w:type="dxa"/>
            <w:tcBorders>
              <w:top w:val="nil"/>
              <w:left w:val="nil"/>
              <w:bottom w:val="single" w:color="auto" w:sz="4" w:space="0"/>
              <w:right w:val="single" w:color="auto" w:sz="4" w:space="0"/>
            </w:tcBorders>
            <w:vAlign w:val="center"/>
          </w:tcPr>
          <w:p w14:paraId="443DFCCC">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50≤Y＜1000</w:t>
            </w:r>
          </w:p>
        </w:tc>
        <w:tc>
          <w:tcPr>
            <w:tcW w:w="937" w:type="dxa"/>
            <w:tcBorders>
              <w:top w:val="nil"/>
              <w:left w:val="nil"/>
              <w:bottom w:val="single" w:color="auto" w:sz="4" w:space="0"/>
              <w:right w:val="single" w:color="auto" w:sz="4" w:space="0"/>
            </w:tcBorders>
            <w:vAlign w:val="center"/>
          </w:tcPr>
          <w:p w14:paraId="79F1D32C">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Y＜50</w:t>
            </w:r>
          </w:p>
        </w:tc>
      </w:tr>
      <w:tr w14:paraId="1C0259F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3ACE8AF">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房地产开发经营</w:t>
            </w:r>
          </w:p>
        </w:tc>
        <w:tc>
          <w:tcPr>
            <w:tcW w:w="1676" w:type="dxa"/>
            <w:tcBorders>
              <w:top w:val="nil"/>
              <w:left w:val="nil"/>
              <w:bottom w:val="single" w:color="auto" w:sz="4" w:space="0"/>
              <w:right w:val="single" w:color="auto" w:sz="4" w:space="0"/>
            </w:tcBorders>
            <w:vAlign w:val="center"/>
          </w:tcPr>
          <w:p w14:paraId="4393288C">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912" w:type="dxa"/>
            <w:tcBorders>
              <w:top w:val="nil"/>
              <w:left w:val="nil"/>
              <w:bottom w:val="single" w:color="auto" w:sz="4" w:space="0"/>
              <w:right w:val="single" w:color="auto" w:sz="4" w:space="0"/>
            </w:tcBorders>
            <w:vAlign w:val="center"/>
          </w:tcPr>
          <w:p w14:paraId="7B5F0F8A">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725" w:type="dxa"/>
            <w:tcBorders>
              <w:top w:val="nil"/>
              <w:left w:val="nil"/>
              <w:bottom w:val="single" w:color="auto" w:sz="4" w:space="0"/>
              <w:right w:val="single" w:color="auto" w:sz="4" w:space="0"/>
            </w:tcBorders>
            <w:vAlign w:val="center"/>
          </w:tcPr>
          <w:p w14:paraId="3964964B">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1000≤Y＜200000</w:t>
            </w:r>
          </w:p>
        </w:tc>
        <w:tc>
          <w:tcPr>
            <w:tcW w:w="1513" w:type="dxa"/>
            <w:tcBorders>
              <w:top w:val="nil"/>
              <w:left w:val="nil"/>
              <w:bottom w:val="single" w:color="auto" w:sz="4" w:space="0"/>
              <w:right w:val="single" w:color="auto" w:sz="4" w:space="0"/>
            </w:tcBorders>
            <w:vAlign w:val="center"/>
          </w:tcPr>
          <w:p w14:paraId="2AEEEA9B">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100≤X＜1000</w:t>
            </w:r>
          </w:p>
        </w:tc>
        <w:tc>
          <w:tcPr>
            <w:tcW w:w="937" w:type="dxa"/>
            <w:tcBorders>
              <w:top w:val="nil"/>
              <w:left w:val="nil"/>
              <w:bottom w:val="single" w:color="auto" w:sz="4" w:space="0"/>
              <w:right w:val="single" w:color="auto" w:sz="4" w:space="0"/>
            </w:tcBorders>
            <w:vAlign w:val="center"/>
          </w:tcPr>
          <w:p w14:paraId="1EAACB7C">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X＜100</w:t>
            </w:r>
          </w:p>
        </w:tc>
      </w:tr>
      <w:tr w14:paraId="51DADF9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9F7851E">
            <w:pPr>
              <w:widowControl/>
              <w:jc w:val="left"/>
              <w:rPr>
                <w:rFonts w:ascii="仿宋" w:hAnsi="仿宋" w:eastAsia="仿宋" w:cs="宋体"/>
                <w:b/>
                <w:bCs/>
                <w:color w:val="auto"/>
                <w:kern w:val="0"/>
                <w:sz w:val="18"/>
                <w:szCs w:val="18"/>
                <w:highlight w:val="none"/>
              </w:rPr>
            </w:pPr>
          </w:p>
        </w:tc>
        <w:tc>
          <w:tcPr>
            <w:tcW w:w="1676" w:type="dxa"/>
            <w:tcBorders>
              <w:top w:val="nil"/>
              <w:left w:val="nil"/>
              <w:bottom w:val="single" w:color="auto" w:sz="4" w:space="0"/>
              <w:right w:val="single" w:color="auto" w:sz="4" w:space="0"/>
            </w:tcBorders>
            <w:vAlign w:val="center"/>
          </w:tcPr>
          <w:p w14:paraId="1AF9652E">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资产总额（Z）</w:t>
            </w:r>
          </w:p>
        </w:tc>
        <w:tc>
          <w:tcPr>
            <w:tcW w:w="912" w:type="dxa"/>
            <w:tcBorders>
              <w:top w:val="nil"/>
              <w:left w:val="nil"/>
              <w:bottom w:val="single" w:color="auto" w:sz="4" w:space="0"/>
              <w:right w:val="single" w:color="auto" w:sz="4" w:space="0"/>
            </w:tcBorders>
            <w:vAlign w:val="center"/>
          </w:tcPr>
          <w:p w14:paraId="7275235F">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725" w:type="dxa"/>
            <w:tcBorders>
              <w:top w:val="nil"/>
              <w:left w:val="nil"/>
              <w:bottom w:val="single" w:color="auto" w:sz="4" w:space="0"/>
              <w:right w:val="single" w:color="auto" w:sz="4" w:space="0"/>
            </w:tcBorders>
            <w:vAlign w:val="center"/>
          </w:tcPr>
          <w:p w14:paraId="350EEE2D">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5000≤Z＜10000</w:t>
            </w:r>
          </w:p>
        </w:tc>
        <w:tc>
          <w:tcPr>
            <w:tcW w:w="1513" w:type="dxa"/>
            <w:tcBorders>
              <w:top w:val="nil"/>
              <w:left w:val="nil"/>
              <w:bottom w:val="single" w:color="auto" w:sz="4" w:space="0"/>
              <w:right w:val="single" w:color="auto" w:sz="4" w:space="0"/>
            </w:tcBorders>
            <w:vAlign w:val="center"/>
          </w:tcPr>
          <w:p w14:paraId="60953A9D">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2000≤Y＜5000</w:t>
            </w:r>
          </w:p>
        </w:tc>
        <w:tc>
          <w:tcPr>
            <w:tcW w:w="937" w:type="dxa"/>
            <w:tcBorders>
              <w:top w:val="nil"/>
              <w:left w:val="nil"/>
              <w:bottom w:val="single" w:color="auto" w:sz="4" w:space="0"/>
              <w:right w:val="single" w:color="auto" w:sz="4" w:space="0"/>
            </w:tcBorders>
            <w:vAlign w:val="center"/>
          </w:tcPr>
          <w:p w14:paraId="7E593D88">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Y＜2000</w:t>
            </w:r>
          </w:p>
        </w:tc>
      </w:tr>
      <w:tr w14:paraId="6CCA26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99CA911">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物业管理</w:t>
            </w:r>
          </w:p>
        </w:tc>
        <w:tc>
          <w:tcPr>
            <w:tcW w:w="1676" w:type="dxa"/>
            <w:tcBorders>
              <w:top w:val="nil"/>
              <w:left w:val="nil"/>
              <w:bottom w:val="single" w:color="auto" w:sz="4" w:space="0"/>
              <w:right w:val="single" w:color="auto" w:sz="4" w:space="0"/>
            </w:tcBorders>
            <w:vAlign w:val="center"/>
          </w:tcPr>
          <w:p w14:paraId="4C844F96">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912" w:type="dxa"/>
            <w:tcBorders>
              <w:top w:val="nil"/>
              <w:left w:val="nil"/>
              <w:bottom w:val="single" w:color="auto" w:sz="4" w:space="0"/>
              <w:right w:val="single" w:color="auto" w:sz="4" w:space="0"/>
            </w:tcBorders>
            <w:vAlign w:val="center"/>
          </w:tcPr>
          <w:p w14:paraId="6356B4D8">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725" w:type="dxa"/>
            <w:tcBorders>
              <w:top w:val="nil"/>
              <w:left w:val="nil"/>
              <w:bottom w:val="single" w:color="auto" w:sz="4" w:space="0"/>
              <w:right w:val="single" w:color="auto" w:sz="4" w:space="0"/>
            </w:tcBorders>
            <w:vAlign w:val="center"/>
          </w:tcPr>
          <w:p w14:paraId="21CDA2DB">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300≤X＜1000</w:t>
            </w:r>
          </w:p>
        </w:tc>
        <w:tc>
          <w:tcPr>
            <w:tcW w:w="1513" w:type="dxa"/>
            <w:tcBorders>
              <w:top w:val="nil"/>
              <w:left w:val="nil"/>
              <w:bottom w:val="single" w:color="auto" w:sz="4" w:space="0"/>
              <w:right w:val="single" w:color="auto" w:sz="4" w:space="0"/>
            </w:tcBorders>
            <w:vAlign w:val="center"/>
          </w:tcPr>
          <w:p w14:paraId="6449EFDE">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100≤X＜300</w:t>
            </w:r>
          </w:p>
        </w:tc>
        <w:tc>
          <w:tcPr>
            <w:tcW w:w="937" w:type="dxa"/>
            <w:tcBorders>
              <w:top w:val="nil"/>
              <w:left w:val="nil"/>
              <w:bottom w:val="single" w:color="auto" w:sz="4" w:space="0"/>
              <w:right w:val="single" w:color="auto" w:sz="4" w:space="0"/>
            </w:tcBorders>
            <w:vAlign w:val="center"/>
          </w:tcPr>
          <w:p w14:paraId="4FF9CE4E">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X＜100</w:t>
            </w:r>
          </w:p>
        </w:tc>
      </w:tr>
      <w:tr w14:paraId="67D094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58A5F0F">
            <w:pPr>
              <w:widowControl/>
              <w:jc w:val="left"/>
              <w:rPr>
                <w:rFonts w:ascii="仿宋" w:hAnsi="仿宋" w:eastAsia="仿宋" w:cs="宋体"/>
                <w:b/>
                <w:bCs/>
                <w:color w:val="auto"/>
                <w:kern w:val="0"/>
                <w:sz w:val="18"/>
                <w:szCs w:val="18"/>
                <w:highlight w:val="none"/>
              </w:rPr>
            </w:pPr>
          </w:p>
        </w:tc>
        <w:tc>
          <w:tcPr>
            <w:tcW w:w="1676" w:type="dxa"/>
            <w:tcBorders>
              <w:top w:val="nil"/>
              <w:left w:val="nil"/>
              <w:bottom w:val="single" w:color="auto" w:sz="4" w:space="0"/>
              <w:right w:val="single" w:color="auto" w:sz="4" w:space="0"/>
            </w:tcBorders>
            <w:vAlign w:val="center"/>
          </w:tcPr>
          <w:p w14:paraId="22290C86">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营业收入（Y）</w:t>
            </w:r>
          </w:p>
        </w:tc>
        <w:tc>
          <w:tcPr>
            <w:tcW w:w="912" w:type="dxa"/>
            <w:tcBorders>
              <w:top w:val="nil"/>
              <w:left w:val="nil"/>
              <w:bottom w:val="single" w:color="auto" w:sz="4" w:space="0"/>
              <w:right w:val="single" w:color="auto" w:sz="4" w:space="0"/>
            </w:tcBorders>
            <w:vAlign w:val="center"/>
          </w:tcPr>
          <w:p w14:paraId="4636B299">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725" w:type="dxa"/>
            <w:tcBorders>
              <w:top w:val="nil"/>
              <w:left w:val="nil"/>
              <w:bottom w:val="single" w:color="auto" w:sz="4" w:space="0"/>
              <w:right w:val="single" w:color="auto" w:sz="4" w:space="0"/>
            </w:tcBorders>
            <w:vAlign w:val="center"/>
          </w:tcPr>
          <w:p w14:paraId="2DB294FC">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1000≤Y＜5000</w:t>
            </w:r>
          </w:p>
        </w:tc>
        <w:tc>
          <w:tcPr>
            <w:tcW w:w="1513" w:type="dxa"/>
            <w:tcBorders>
              <w:top w:val="nil"/>
              <w:left w:val="nil"/>
              <w:bottom w:val="single" w:color="auto" w:sz="4" w:space="0"/>
              <w:right w:val="single" w:color="auto" w:sz="4" w:space="0"/>
            </w:tcBorders>
            <w:vAlign w:val="center"/>
          </w:tcPr>
          <w:p w14:paraId="667D1AA7">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500≤Y＜1000</w:t>
            </w:r>
          </w:p>
        </w:tc>
        <w:tc>
          <w:tcPr>
            <w:tcW w:w="937" w:type="dxa"/>
            <w:tcBorders>
              <w:top w:val="nil"/>
              <w:left w:val="nil"/>
              <w:bottom w:val="single" w:color="auto" w:sz="4" w:space="0"/>
              <w:right w:val="single" w:color="auto" w:sz="4" w:space="0"/>
            </w:tcBorders>
            <w:vAlign w:val="center"/>
          </w:tcPr>
          <w:p w14:paraId="35B5FE10">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Y＜500</w:t>
            </w:r>
          </w:p>
        </w:tc>
      </w:tr>
      <w:tr w14:paraId="606432B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2B7129F">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租赁和商务服务业</w:t>
            </w:r>
          </w:p>
        </w:tc>
        <w:tc>
          <w:tcPr>
            <w:tcW w:w="1676" w:type="dxa"/>
            <w:tcBorders>
              <w:top w:val="nil"/>
              <w:left w:val="nil"/>
              <w:bottom w:val="single" w:color="auto" w:sz="4" w:space="0"/>
              <w:right w:val="single" w:color="auto" w:sz="4" w:space="0"/>
            </w:tcBorders>
            <w:vAlign w:val="center"/>
          </w:tcPr>
          <w:p w14:paraId="116F7AE2">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912" w:type="dxa"/>
            <w:tcBorders>
              <w:top w:val="nil"/>
              <w:left w:val="nil"/>
              <w:bottom w:val="single" w:color="auto" w:sz="4" w:space="0"/>
              <w:right w:val="single" w:color="auto" w:sz="4" w:space="0"/>
            </w:tcBorders>
            <w:vAlign w:val="center"/>
          </w:tcPr>
          <w:p w14:paraId="4D4A7C09">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725" w:type="dxa"/>
            <w:tcBorders>
              <w:top w:val="nil"/>
              <w:left w:val="nil"/>
              <w:bottom w:val="single" w:color="auto" w:sz="4" w:space="0"/>
              <w:right w:val="single" w:color="auto" w:sz="4" w:space="0"/>
            </w:tcBorders>
            <w:vAlign w:val="center"/>
          </w:tcPr>
          <w:p w14:paraId="00221941">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100≤X＜300</w:t>
            </w:r>
          </w:p>
        </w:tc>
        <w:tc>
          <w:tcPr>
            <w:tcW w:w="1513" w:type="dxa"/>
            <w:tcBorders>
              <w:top w:val="nil"/>
              <w:left w:val="nil"/>
              <w:bottom w:val="single" w:color="auto" w:sz="4" w:space="0"/>
              <w:right w:val="single" w:color="auto" w:sz="4" w:space="0"/>
            </w:tcBorders>
            <w:vAlign w:val="center"/>
          </w:tcPr>
          <w:p w14:paraId="79B628DB">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10≤X＜100</w:t>
            </w:r>
          </w:p>
        </w:tc>
        <w:tc>
          <w:tcPr>
            <w:tcW w:w="937" w:type="dxa"/>
            <w:tcBorders>
              <w:top w:val="nil"/>
              <w:left w:val="nil"/>
              <w:bottom w:val="single" w:color="auto" w:sz="4" w:space="0"/>
              <w:right w:val="single" w:color="auto" w:sz="4" w:space="0"/>
            </w:tcBorders>
            <w:vAlign w:val="center"/>
          </w:tcPr>
          <w:p w14:paraId="3A792B99">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X＜10</w:t>
            </w:r>
          </w:p>
        </w:tc>
      </w:tr>
      <w:tr w14:paraId="1A92BCD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9C4C16F">
            <w:pPr>
              <w:widowControl/>
              <w:jc w:val="left"/>
              <w:rPr>
                <w:rFonts w:ascii="仿宋" w:hAnsi="仿宋" w:eastAsia="仿宋" w:cs="宋体"/>
                <w:b/>
                <w:bCs/>
                <w:color w:val="auto"/>
                <w:kern w:val="0"/>
                <w:sz w:val="18"/>
                <w:szCs w:val="18"/>
                <w:highlight w:val="none"/>
              </w:rPr>
            </w:pPr>
          </w:p>
        </w:tc>
        <w:tc>
          <w:tcPr>
            <w:tcW w:w="1676" w:type="dxa"/>
            <w:tcBorders>
              <w:top w:val="nil"/>
              <w:left w:val="nil"/>
              <w:bottom w:val="single" w:color="auto" w:sz="4" w:space="0"/>
              <w:right w:val="single" w:color="auto" w:sz="4" w:space="0"/>
            </w:tcBorders>
            <w:vAlign w:val="center"/>
          </w:tcPr>
          <w:p w14:paraId="3FC45CD8">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资产总额（Z）</w:t>
            </w:r>
          </w:p>
        </w:tc>
        <w:tc>
          <w:tcPr>
            <w:tcW w:w="912" w:type="dxa"/>
            <w:tcBorders>
              <w:top w:val="nil"/>
              <w:left w:val="nil"/>
              <w:bottom w:val="single" w:color="auto" w:sz="4" w:space="0"/>
              <w:right w:val="single" w:color="auto" w:sz="4" w:space="0"/>
            </w:tcBorders>
            <w:vAlign w:val="center"/>
          </w:tcPr>
          <w:p w14:paraId="41E35653">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万元</w:t>
            </w:r>
          </w:p>
        </w:tc>
        <w:tc>
          <w:tcPr>
            <w:tcW w:w="1725" w:type="dxa"/>
            <w:tcBorders>
              <w:top w:val="nil"/>
              <w:left w:val="nil"/>
              <w:bottom w:val="single" w:color="auto" w:sz="4" w:space="0"/>
              <w:right w:val="single" w:color="auto" w:sz="4" w:space="0"/>
            </w:tcBorders>
            <w:vAlign w:val="center"/>
          </w:tcPr>
          <w:p w14:paraId="6A400AF4">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8000≤Z＜120000</w:t>
            </w:r>
          </w:p>
        </w:tc>
        <w:tc>
          <w:tcPr>
            <w:tcW w:w="1513" w:type="dxa"/>
            <w:tcBorders>
              <w:top w:val="nil"/>
              <w:left w:val="nil"/>
              <w:bottom w:val="single" w:color="auto" w:sz="4" w:space="0"/>
              <w:right w:val="single" w:color="auto" w:sz="4" w:space="0"/>
            </w:tcBorders>
            <w:vAlign w:val="center"/>
          </w:tcPr>
          <w:p w14:paraId="10E841CE">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100≤Z＜8000</w:t>
            </w:r>
          </w:p>
        </w:tc>
        <w:tc>
          <w:tcPr>
            <w:tcW w:w="937" w:type="dxa"/>
            <w:tcBorders>
              <w:top w:val="nil"/>
              <w:left w:val="nil"/>
              <w:bottom w:val="single" w:color="auto" w:sz="4" w:space="0"/>
              <w:right w:val="single" w:color="auto" w:sz="4" w:space="0"/>
            </w:tcBorders>
            <w:vAlign w:val="center"/>
          </w:tcPr>
          <w:p w14:paraId="40B324B0">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Y＜100</w:t>
            </w:r>
          </w:p>
        </w:tc>
      </w:tr>
      <w:tr w14:paraId="5A988D2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4025454F">
            <w:pPr>
              <w:widowControl/>
              <w:jc w:val="center"/>
              <w:rPr>
                <w:rFonts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rPr>
              <w:t>其他未列明行业</w:t>
            </w:r>
          </w:p>
        </w:tc>
        <w:tc>
          <w:tcPr>
            <w:tcW w:w="1676" w:type="dxa"/>
            <w:tcBorders>
              <w:top w:val="nil"/>
              <w:left w:val="nil"/>
              <w:bottom w:val="single" w:color="auto" w:sz="4" w:space="0"/>
              <w:right w:val="single" w:color="auto" w:sz="4" w:space="0"/>
            </w:tcBorders>
            <w:vAlign w:val="center"/>
          </w:tcPr>
          <w:p w14:paraId="5E89CF04">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从业人员（X）</w:t>
            </w:r>
          </w:p>
        </w:tc>
        <w:tc>
          <w:tcPr>
            <w:tcW w:w="912" w:type="dxa"/>
            <w:tcBorders>
              <w:top w:val="nil"/>
              <w:left w:val="nil"/>
              <w:bottom w:val="single" w:color="auto" w:sz="4" w:space="0"/>
              <w:right w:val="single" w:color="auto" w:sz="4" w:space="0"/>
            </w:tcBorders>
            <w:vAlign w:val="center"/>
          </w:tcPr>
          <w:p w14:paraId="2701598D">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人</w:t>
            </w:r>
          </w:p>
        </w:tc>
        <w:tc>
          <w:tcPr>
            <w:tcW w:w="1725" w:type="dxa"/>
            <w:tcBorders>
              <w:top w:val="nil"/>
              <w:left w:val="nil"/>
              <w:bottom w:val="single" w:color="auto" w:sz="4" w:space="0"/>
              <w:right w:val="single" w:color="auto" w:sz="4" w:space="0"/>
            </w:tcBorders>
            <w:vAlign w:val="center"/>
          </w:tcPr>
          <w:p w14:paraId="46E84611">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100≤X＜300</w:t>
            </w:r>
          </w:p>
        </w:tc>
        <w:tc>
          <w:tcPr>
            <w:tcW w:w="1513" w:type="dxa"/>
            <w:tcBorders>
              <w:top w:val="nil"/>
              <w:left w:val="nil"/>
              <w:bottom w:val="single" w:color="auto" w:sz="4" w:space="0"/>
              <w:right w:val="single" w:color="auto" w:sz="4" w:space="0"/>
            </w:tcBorders>
            <w:vAlign w:val="center"/>
          </w:tcPr>
          <w:p w14:paraId="3AAF92C8">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10≤X＜100</w:t>
            </w:r>
          </w:p>
        </w:tc>
        <w:tc>
          <w:tcPr>
            <w:tcW w:w="937" w:type="dxa"/>
            <w:tcBorders>
              <w:top w:val="nil"/>
              <w:left w:val="nil"/>
              <w:bottom w:val="single" w:color="auto" w:sz="4" w:space="0"/>
              <w:right w:val="single" w:color="auto" w:sz="4" w:space="0"/>
            </w:tcBorders>
            <w:vAlign w:val="center"/>
          </w:tcPr>
          <w:p w14:paraId="169AD1BA">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X＜10</w:t>
            </w:r>
          </w:p>
        </w:tc>
      </w:tr>
    </w:tbl>
    <w:p w14:paraId="489654D8">
      <w:pPr>
        <w:spacing w:line="560" w:lineRule="exact"/>
        <w:ind w:firstLine="525" w:firstLineChars="250"/>
        <w:rPr>
          <w:rFonts w:ascii="宋体" w:hAnsi="宋体"/>
          <w:color w:val="auto"/>
          <w:highlight w:val="none"/>
        </w:rPr>
      </w:pPr>
      <w:r>
        <w:rPr>
          <w:rFonts w:hint="eastAsia" w:ascii="仿宋" w:hAnsi="仿宋" w:eastAsia="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C1F36B1">
      <w:pPr>
        <w:snapToGrid w:val="0"/>
        <w:spacing w:line="400" w:lineRule="exact"/>
        <w:ind w:firstLine="420"/>
        <w:rPr>
          <w:rFonts w:ascii="宋体" w:hAnsi="宋体" w:cs="宋体"/>
          <w:color w:val="auto"/>
          <w:sz w:val="24"/>
          <w:highlight w:val="none"/>
          <w:lang w:val="zh-CN"/>
        </w:rPr>
        <w:sectPr>
          <w:footerReference r:id="rId5" w:type="default"/>
          <w:pgSz w:w="11906" w:h="16838"/>
          <w:pgMar w:top="1134" w:right="1134" w:bottom="1134" w:left="1134" w:header="720" w:footer="720" w:gutter="0"/>
          <w:pgNumType w:start="1"/>
          <w:cols w:space="720" w:num="1"/>
          <w:docGrid w:type="lines" w:linePitch="331" w:charSpace="0"/>
        </w:sectPr>
      </w:pPr>
    </w:p>
    <w:p w14:paraId="65CC40B5">
      <w:pPr>
        <w:pStyle w:val="10"/>
        <w:jc w:val="center"/>
        <w:outlineLvl w:val="0"/>
        <w:rPr>
          <w:rFonts w:hint="eastAsia" w:ascii="Times New Roman" w:hAnsi="Times New Roman"/>
          <w:b/>
          <w:color w:val="auto"/>
          <w:sz w:val="36"/>
          <w:highlight w:val="none"/>
        </w:rPr>
      </w:pPr>
      <w:bookmarkStart w:id="6" w:name="_Toc19169"/>
      <w:r>
        <w:rPr>
          <w:rFonts w:hint="eastAsia" w:ascii="Times New Roman" w:hAnsi="Times New Roman"/>
          <w:b/>
          <w:color w:val="auto"/>
          <w:sz w:val="36"/>
          <w:highlight w:val="none"/>
        </w:rPr>
        <w:t xml:space="preserve">第三章  </w:t>
      </w:r>
      <w:r>
        <w:rPr>
          <w:rFonts w:hint="eastAsia" w:ascii="Times New Roman" w:hAnsi="Times New Roman"/>
          <w:b/>
          <w:color w:val="auto"/>
          <w:sz w:val="36"/>
          <w:highlight w:val="none"/>
        </w:rPr>
        <w:t>投标人须知</w:t>
      </w:r>
      <w:bookmarkEnd w:id="6"/>
    </w:p>
    <w:p w14:paraId="67DB54DD">
      <w:pPr>
        <w:pStyle w:val="10"/>
        <w:spacing w:line="720" w:lineRule="auto"/>
        <w:jc w:val="center"/>
        <w:outlineLvl w:val="1"/>
        <w:rPr>
          <w:rFonts w:ascii="Times New Roman" w:hAnsi="Times New Roman"/>
          <w:b/>
          <w:color w:val="auto"/>
          <w:sz w:val="30"/>
          <w:szCs w:val="30"/>
          <w:highlight w:val="none"/>
        </w:rPr>
      </w:pPr>
      <w:bookmarkStart w:id="7" w:name="_Toc25516"/>
      <w:bookmarkStart w:id="8" w:name="_Toc10677"/>
      <w:bookmarkStart w:id="9" w:name="_Toc11571"/>
      <w:r>
        <w:rPr>
          <w:rFonts w:hint="eastAsia" w:ascii="Times New Roman" w:hAnsi="Times New Roman"/>
          <w:b/>
          <w:color w:val="auto"/>
          <w:sz w:val="30"/>
          <w:szCs w:val="30"/>
          <w:highlight w:val="none"/>
        </w:rPr>
        <w:t>第一节 投标人须知前附表</w:t>
      </w:r>
      <w:bookmarkEnd w:id="7"/>
      <w:bookmarkEnd w:id="8"/>
      <w:bookmarkEnd w:id="9"/>
    </w:p>
    <w:tbl>
      <w:tblPr>
        <w:tblStyle w:val="20"/>
        <w:tblW w:w="102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4A2CB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bottom w:val="single" w:color="auto" w:sz="4" w:space="0"/>
              <w:right w:val="single" w:color="auto" w:sz="4" w:space="0"/>
            </w:tcBorders>
            <w:vAlign w:val="center"/>
          </w:tcPr>
          <w:p w14:paraId="64539ED0">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77008D6A">
            <w:pPr>
              <w:snapToGrid w:val="0"/>
              <w:spacing w:line="360" w:lineRule="auto"/>
              <w:jc w:val="left"/>
              <w:rPr>
                <w:rFonts w:ascii="宋体" w:hAnsi="宋体"/>
                <w:color w:val="auto"/>
                <w:szCs w:val="21"/>
                <w:highlight w:val="none"/>
              </w:rPr>
            </w:pPr>
            <w:r>
              <w:rPr>
                <w:rFonts w:hint="eastAsia" w:ascii="宋体" w:hAnsi="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6B3E256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编列内容</w:t>
            </w:r>
          </w:p>
        </w:tc>
      </w:tr>
      <w:tr w14:paraId="4CBD4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bottom w:val="single" w:color="auto" w:sz="4" w:space="0"/>
              <w:right w:val="single" w:color="auto" w:sz="4" w:space="0"/>
            </w:tcBorders>
            <w:vAlign w:val="center"/>
          </w:tcPr>
          <w:p w14:paraId="305308BE">
            <w:pPr>
              <w:spacing w:line="380" w:lineRule="exact"/>
              <w:rPr>
                <w:rFonts w:ascii="宋体" w:hAnsi="宋体"/>
                <w:color w:val="auto"/>
                <w:szCs w:val="21"/>
                <w:highlight w:val="none"/>
              </w:rPr>
            </w:pPr>
            <w:r>
              <w:rPr>
                <w:rFonts w:hint="eastAsia" w:ascii="宋体" w:hAnsi="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7C83402E">
            <w:pPr>
              <w:spacing w:line="380" w:lineRule="exact"/>
              <w:rPr>
                <w:rFonts w:ascii="宋体" w:hAnsi="宋体"/>
                <w:color w:val="auto"/>
                <w:szCs w:val="21"/>
                <w:highlight w:val="none"/>
              </w:rPr>
            </w:pPr>
            <w:r>
              <w:rPr>
                <w:rFonts w:hint="eastAsia" w:ascii="宋体" w:hAnsi="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524218C6">
            <w:pPr>
              <w:pStyle w:val="6"/>
              <w:spacing w:line="380" w:lineRule="exact"/>
              <w:rPr>
                <w:rFonts w:ascii="宋体" w:hAnsi="宋体"/>
                <w:color w:val="auto"/>
                <w:szCs w:val="21"/>
                <w:highlight w:val="none"/>
              </w:rPr>
            </w:pPr>
            <w:r>
              <w:rPr>
                <w:rFonts w:hint="eastAsia" w:ascii="仿宋_GB2312" w:eastAsia="仿宋_GB2312" w:cs="仿宋_GB2312"/>
                <w:color w:val="auto"/>
                <w:kern w:val="0"/>
                <w:sz w:val="24"/>
                <w:highlight w:val="none"/>
                <w:lang w:val="zh-CN"/>
              </w:rPr>
              <w:sym w:font="Wingdings 2" w:char="0052"/>
            </w:r>
            <w:r>
              <w:rPr>
                <w:rFonts w:hint="eastAsia" w:ascii="宋体" w:hAnsi="宋体"/>
                <w:color w:val="auto"/>
                <w:szCs w:val="21"/>
                <w:highlight w:val="none"/>
              </w:rPr>
              <w:t>是/</w:t>
            </w:r>
            <w:r>
              <w:rPr>
                <w:rFonts w:hint="eastAsia" w:ascii="宋体" w:hAnsi="宋体"/>
                <w:color w:val="auto"/>
                <w:szCs w:val="21"/>
                <w:highlight w:val="none"/>
              </w:rPr>
              <w:sym w:font="Wingdings 2" w:char="00A3"/>
            </w:r>
            <w:r>
              <w:rPr>
                <w:rFonts w:hint="eastAsia" w:ascii="宋体" w:hAnsi="宋体"/>
                <w:color w:val="auto"/>
                <w:szCs w:val="21"/>
                <w:highlight w:val="none"/>
              </w:rPr>
              <w:t>否。</w:t>
            </w:r>
          </w:p>
        </w:tc>
      </w:tr>
      <w:tr w14:paraId="4270C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bottom w:val="single" w:color="auto" w:sz="4" w:space="0"/>
              <w:right w:val="single" w:color="auto" w:sz="4" w:space="0"/>
            </w:tcBorders>
            <w:vAlign w:val="center"/>
          </w:tcPr>
          <w:p w14:paraId="150E2830">
            <w:pPr>
              <w:spacing w:line="380" w:lineRule="exact"/>
              <w:rPr>
                <w:rFonts w:ascii="宋体" w:hAnsi="宋体"/>
                <w:color w:val="auto"/>
                <w:szCs w:val="21"/>
                <w:highlight w:val="none"/>
              </w:rPr>
            </w:pPr>
            <w:r>
              <w:rPr>
                <w:rFonts w:ascii="宋体" w:hAnsi="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5B286D36">
            <w:pPr>
              <w:spacing w:line="380" w:lineRule="exact"/>
              <w:rPr>
                <w:rFonts w:ascii="宋体" w:hAnsi="宋体"/>
                <w:color w:val="auto"/>
                <w:szCs w:val="21"/>
                <w:highlight w:val="none"/>
              </w:rPr>
            </w:pPr>
            <w:r>
              <w:rPr>
                <w:rFonts w:hint="eastAsia" w:ascii="宋体" w:hAnsi="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38F29E2A">
            <w:pPr>
              <w:rPr>
                <w:color w:val="auto"/>
                <w:szCs w:val="21"/>
                <w:highlight w:val="none"/>
              </w:rPr>
            </w:pPr>
            <w:r>
              <w:rPr>
                <w:rFonts w:hint="eastAsia"/>
                <w:color w:val="auto"/>
                <w:szCs w:val="21"/>
                <w:highlight w:val="none"/>
              </w:rPr>
              <w:t>1.两个以上供应商可以组成一个投标联合体，以一个供应商的身份共同参加投标，联合体投标人的名称应统一按“XXX公司与XXX公司的联合体”的规则填写。</w:t>
            </w:r>
          </w:p>
          <w:p w14:paraId="4EAA7A2A">
            <w:pPr>
              <w:rPr>
                <w:color w:val="auto"/>
                <w:szCs w:val="21"/>
                <w:highlight w:val="none"/>
              </w:rPr>
            </w:pPr>
            <w:r>
              <w:rPr>
                <w:rFonts w:hint="eastAsia"/>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资格或条件的，联合体各方中至少有一方必须符合招标文件“3.本项目的特定资格要求、4.本项目的特定条件”。</w:t>
            </w:r>
          </w:p>
          <w:p w14:paraId="7D1D6CFA">
            <w:pPr>
              <w:rPr>
                <w:color w:val="auto"/>
                <w:szCs w:val="21"/>
                <w:highlight w:val="none"/>
              </w:rPr>
            </w:pPr>
            <w:r>
              <w:rPr>
                <w:rFonts w:hint="eastAsia"/>
                <w:color w:val="auto"/>
                <w:szCs w:val="21"/>
                <w:highlight w:val="none"/>
              </w:rPr>
              <w:t>3. 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6CEABD36">
            <w:pPr>
              <w:rPr>
                <w:color w:val="auto"/>
                <w:szCs w:val="21"/>
                <w:highlight w:val="none"/>
              </w:rPr>
            </w:pPr>
            <w:r>
              <w:rPr>
                <w:rFonts w:hint="eastAsia"/>
                <w:color w:val="auto"/>
                <w:szCs w:val="21"/>
                <w:highlight w:val="none"/>
              </w:rPr>
              <w:t>4.以联合体形式参加政府采购活动的，联合体各方不得再单独参加或者与其他投标人另外组成联合体参加同一合同项下的政府采购活动，否则与之相关的投标文件作废。</w:t>
            </w:r>
          </w:p>
          <w:p w14:paraId="0469AD58">
            <w:pPr>
              <w:rPr>
                <w:color w:val="auto"/>
                <w:szCs w:val="21"/>
                <w:highlight w:val="none"/>
              </w:rPr>
            </w:pPr>
            <w:r>
              <w:rPr>
                <w:rFonts w:hint="eastAsia"/>
                <w:color w:val="auto"/>
                <w:szCs w:val="21"/>
                <w:highlight w:val="none"/>
              </w:rPr>
              <w:t>5.联合体中有同类资质的投标人按照联合体分工承担相同工作的，应当按照资质等级较低的投标人确定资质等级。</w:t>
            </w:r>
          </w:p>
          <w:p w14:paraId="652BABA9">
            <w:pPr>
              <w:rPr>
                <w:color w:val="auto"/>
                <w:szCs w:val="21"/>
                <w:highlight w:val="none"/>
              </w:rPr>
            </w:pPr>
            <w:r>
              <w:rPr>
                <w:rFonts w:hint="eastAsia"/>
                <w:color w:val="auto"/>
                <w:szCs w:val="21"/>
                <w:highlight w:val="none"/>
              </w:rPr>
              <w:t>6.联合体投标业绩、履约能力联合体各方提供均可计算。</w:t>
            </w:r>
          </w:p>
          <w:p w14:paraId="5765500E">
            <w:pPr>
              <w:rPr>
                <w:color w:val="auto"/>
                <w:szCs w:val="21"/>
                <w:highlight w:val="none"/>
              </w:rPr>
            </w:pPr>
            <w:r>
              <w:rPr>
                <w:rFonts w:hint="eastAsia"/>
                <w:color w:val="auto"/>
                <w:szCs w:val="21"/>
                <w:highlight w:val="none"/>
              </w:rPr>
              <w:t>7.联合体各方均应按照招标文件的规定提交资格证明文件。</w:t>
            </w:r>
          </w:p>
          <w:p w14:paraId="64BD04DF">
            <w:pPr>
              <w:pStyle w:val="6"/>
              <w:spacing w:line="380" w:lineRule="exact"/>
              <w:rPr>
                <w:rFonts w:ascii="宋体" w:hAnsi="宋体"/>
                <w:color w:val="auto"/>
                <w:szCs w:val="21"/>
                <w:highlight w:val="none"/>
              </w:rPr>
            </w:pPr>
            <w:r>
              <w:rPr>
                <w:rFonts w:hint="eastAsia" w:ascii="宋体" w:hAnsi="宋体"/>
                <w:color w:val="auto"/>
                <w:szCs w:val="21"/>
                <w:highlight w:val="none"/>
              </w:rPr>
              <w:t>8</w:t>
            </w:r>
            <w:r>
              <w:rPr>
                <w:rFonts w:hint="eastAsia"/>
                <w:color w:val="auto"/>
                <w:szCs w:val="21"/>
                <w:highlight w:val="none"/>
              </w:rPr>
              <w:t>.</w:t>
            </w:r>
            <w:r>
              <w:rPr>
                <w:rFonts w:hint="eastAsia" w:ascii="宋体" w:hAnsi="宋体"/>
                <w:color w:val="auto"/>
                <w:szCs w:val="21"/>
                <w:highlight w:val="none"/>
              </w:rPr>
              <w:t>除招标文件规定联合体各方必须分别提供的材料外，招标文件要求提供的其他材料由联合体牵头单位提供即可。招标文件要求提供的材料扫描件（或复印件），加盖联合体牵头人公章即可。</w:t>
            </w:r>
          </w:p>
        </w:tc>
      </w:tr>
      <w:tr w14:paraId="017A7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bottom w:val="single" w:color="auto" w:sz="4" w:space="0"/>
              <w:right w:val="single" w:color="auto" w:sz="4" w:space="0"/>
            </w:tcBorders>
            <w:vAlign w:val="center"/>
          </w:tcPr>
          <w:p w14:paraId="7C5E931C">
            <w:pPr>
              <w:spacing w:line="380" w:lineRule="exact"/>
              <w:rPr>
                <w:rFonts w:ascii="宋体" w:hAnsi="宋体"/>
                <w:color w:val="auto"/>
                <w:szCs w:val="21"/>
                <w:highlight w:val="none"/>
              </w:rPr>
            </w:pPr>
            <w:r>
              <w:rPr>
                <w:rFonts w:hint="eastAsia" w:ascii="宋体" w:hAnsi="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533E9780">
            <w:pPr>
              <w:spacing w:line="380" w:lineRule="exact"/>
              <w:rPr>
                <w:rFonts w:ascii="宋体" w:hAnsi="宋体"/>
                <w:color w:val="auto"/>
                <w:szCs w:val="21"/>
                <w:highlight w:val="none"/>
              </w:rPr>
            </w:pPr>
            <w:r>
              <w:rPr>
                <w:rFonts w:hint="eastAsia" w:ascii="宋体" w:hAnsi="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2346ECEF">
            <w:pPr>
              <w:pStyle w:val="6"/>
              <w:spacing w:line="380" w:lineRule="exact"/>
              <w:rPr>
                <w:rFonts w:ascii="宋体" w:hAnsi="宋体"/>
                <w:b/>
                <w:bCs/>
                <w:color w:val="auto"/>
                <w:szCs w:val="21"/>
                <w:highlight w:val="none"/>
              </w:rPr>
            </w:pPr>
            <w:r>
              <w:rPr>
                <w:rFonts w:hint="eastAsia" w:ascii="仿宋_GB2312" w:eastAsia="仿宋_GB2312" w:cs="仿宋_GB2312"/>
                <w:b/>
                <w:bCs/>
                <w:color w:val="auto"/>
                <w:kern w:val="0"/>
                <w:sz w:val="24"/>
                <w:highlight w:val="none"/>
                <w:lang w:val="zh-CN"/>
              </w:rPr>
              <w:sym w:font="Wingdings 2" w:char="0052"/>
            </w:r>
            <w:r>
              <w:rPr>
                <w:rFonts w:hint="eastAsia" w:ascii="宋体" w:hAnsi="宋体"/>
                <w:b/>
                <w:bCs/>
                <w:color w:val="auto"/>
                <w:szCs w:val="21"/>
                <w:highlight w:val="none"/>
              </w:rPr>
              <w:t>不允许转包/分包</w:t>
            </w:r>
          </w:p>
          <w:p w14:paraId="72FC41B9">
            <w:pPr>
              <w:pStyle w:val="6"/>
              <w:spacing w:line="380" w:lineRule="exact"/>
              <w:rPr>
                <w:rFonts w:ascii="宋体" w:hAnsi="宋体"/>
                <w:color w:val="auto"/>
                <w:szCs w:val="21"/>
                <w:highlight w:val="none"/>
              </w:rPr>
            </w:pPr>
            <w:r>
              <w:rPr>
                <w:rFonts w:hint="eastAsia" w:ascii="宋体" w:hAnsi="宋体"/>
                <w:color w:val="auto"/>
                <w:szCs w:val="21"/>
                <w:highlight w:val="none"/>
              </w:rPr>
              <w:t>□允许转包/分包</w:t>
            </w:r>
          </w:p>
          <w:p w14:paraId="52723930">
            <w:pPr>
              <w:pStyle w:val="6"/>
              <w:spacing w:line="380" w:lineRule="exact"/>
              <w:rPr>
                <w:rFonts w:ascii="宋体" w:hAnsi="宋体"/>
                <w:color w:val="auto"/>
                <w:szCs w:val="21"/>
                <w:highlight w:val="none"/>
              </w:rPr>
            </w:pPr>
            <w:r>
              <w:rPr>
                <w:rFonts w:hint="eastAsia" w:ascii="宋体" w:hAnsi="宋体"/>
                <w:color w:val="auto"/>
                <w:szCs w:val="21"/>
                <w:highlight w:val="none"/>
              </w:rPr>
              <w:t>转包/分包内容：</w:t>
            </w:r>
            <w:r>
              <w:rPr>
                <w:rFonts w:hint="eastAsia" w:ascii="宋体" w:hAnsi="宋体"/>
                <w:color w:val="auto"/>
                <w:szCs w:val="21"/>
                <w:highlight w:val="none"/>
                <w:u w:val="single"/>
              </w:rPr>
              <w:t xml:space="preserve">                                     。</w:t>
            </w:r>
          </w:p>
          <w:p w14:paraId="0308BE55">
            <w:pPr>
              <w:pStyle w:val="6"/>
              <w:spacing w:line="380" w:lineRule="exact"/>
              <w:rPr>
                <w:rFonts w:ascii="宋体" w:hAnsi="宋体"/>
                <w:color w:val="auto"/>
                <w:szCs w:val="21"/>
                <w:highlight w:val="none"/>
              </w:rPr>
            </w:pPr>
            <w:r>
              <w:rPr>
                <w:rFonts w:hint="eastAsia" w:ascii="宋体" w:hAnsi="宋体"/>
                <w:color w:val="auto"/>
                <w:szCs w:val="21"/>
                <w:highlight w:val="none"/>
              </w:rPr>
              <w:t>转包/分包金额或者比例：</w:t>
            </w:r>
            <w:r>
              <w:rPr>
                <w:rFonts w:hint="eastAsia" w:ascii="宋体" w:hAnsi="宋体"/>
                <w:color w:val="auto"/>
                <w:szCs w:val="21"/>
                <w:highlight w:val="none"/>
                <w:u w:val="single"/>
              </w:rPr>
              <w:t xml:space="preserve">                                     。</w:t>
            </w:r>
          </w:p>
        </w:tc>
      </w:tr>
      <w:tr w14:paraId="2C5D8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bottom w:val="single" w:color="auto" w:sz="4" w:space="0"/>
              <w:right w:val="single" w:color="auto" w:sz="4" w:space="0"/>
            </w:tcBorders>
            <w:vAlign w:val="center"/>
          </w:tcPr>
          <w:p w14:paraId="527A2E77">
            <w:pPr>
              <w:spacing w:line="38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2268" w:type="dxa"/>
            <w:tcBorders>
              <w:top w:val="single" w:color="auto" w:sz="4" w:space="0"/>
              <w:left w:val="single" w:color="auto" w:sz="4" w:space="0"/>
              <w:bottom w:val="single" w:color="auto" w:sz="4" w:space="0"/>
              <w:right w:val="single" w:color="auto" w:sz="4" w:space="0"/>
            </w:tcBorders>
            <w:vAlign w:val="center"/>
          </w:tcPr>
          <w:p w14:paraId="345566B7">
            <w:pPr>
              <w:spacing w:line="380" w:lineRule="exact"/>
              <w:rPr>
                <w:rFonts w:ascii="宋体" w:hAnsi="宋体"/>
                <w:color w:val="auto"/>
                <w:szCs w:val="21"/>
                <w:highlight w:val="none"/>
              </w:rPr>
            </w:pPr>
            <w:r>
              <w:rPr>
                <w:rFonts w:hint="eastAsia" w:ascii="宋体" w:hAnsi="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4B5238E5">
            <w:pPr>
              <w:rPr>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olor w:val="auto"/>
                <w:szCs w:val="21"/>
                <w:highlight w:val="none"/>
              </w:rPr>
              <w:t>六、其他补充事宜”中网上查询地址</w:t>
            </w:r>
            <w:r>
              <w:rPr>
                <w:rFonts w:hint="eastAsia" w:ascii="宋体" w:hAnsi="宋体" w:cs="宋体"/>
                <w:color w:val="auto"/>
                <w:szCs w:val="21"/>
                <w:highlight w:val="none"/>
              </w:rPr>
              <w:t>上发布</w:t>
            </w:r>
            <w:r>
              <w:rPr>
                <w:rFonts w:hint="eastAsia" w:ascii="宋体" w:hAnsi="宋体" w:cs="宋体"/>
                <w:color w:val="auto"/>
                <w:kern w:val="0"/>
                <w:szCs w:val="21"/>
                <w:highlight w:val="none"/>
              </w:rPr>
              <w:t>。</w:t>
            </w:r>
          </w:p>
        </w:tc>
      </w:tr>
      <w:tr w14:paraId="6A4D2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bottom w:val="single" w:color="auto" w:sz="4" w:space="0"/>
              <w:right w:val="single" w:color="auto" w:sz="4" w:space="0"/>
            </w:tcBorders>
            <w:vAlign w:val="center"/>
          </w:tcPr>
          <w:p w14:paraId="1C3BE747">
            <w:pPr>
              <w:spacing w:line="380" w:lineRule="exact"/>
              <w:rPr>
                <w:rFonts w:ascii="宋体" w:hAnsi="宋体"/>
                <w:color w:val="auto"/>
                <w:szCs w:val="21"/>
                <w:highlight w:val="none"/>
              </w:rPr>
            </w:pPr>
            <w:r>
              <w:rPr>
                <w:rFonts w:hint="eastAsia" w:ascii="宋体" w:hAnsi="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412446FD">
            <w:pPr>
              <w:spacing w:line="380" w:lineRule="exact"/>
              <w:rPr>
                <w:rFonts w:ascii="宋体" w:hAnsi="宋体"/>
                <w:color w:val="auto"/>
                <w:szCs w:val="21"/>
                <w:highlight w:val="none"/>
              </w:rPr>
            </w:pPr>
            <w:r>
              <w:rPr>
                <w:rFonts w:hint="eastAsia" w:ascii="宋体" w:hAnsi="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27C43A98">
            <w:pPr>
              <w:snapToGrid w:val="0"/>
              <w:spacing w:line="380" w:lineRule="exact"/>
              <w:rPr>
                <w:rFonts w:ascii="宋体" w:hAnsi="宋体"/>
                <w:b/>
                <w:bCs/>
                <w:color w:val="auto"/>
                <w:szCs w:val="21"/>
                <w:highlight w:val="none"/>
              </w:rPr>
            </w:pPr>
            <w:r>
              <w:rPr>
                <w:rFonts w:hint="eastAsia" w:ascii="仿宋_GB2312" w:eastAsia="仿宋_GB2312" w:cs="仿宋_GB2312"/>
                <w:b/>
                <w:bCs/>
                <w:color w:val="auto"/>
                <w:kern w:val="0"/>
                <w:sz w:val="24"/>
                <w:highlight w:val="none"/>
                <w:lang w:val="zh-CN"/>
              </w:rPr>
              <w:sym w:font="Wingdings 2" w:char="0052"/>
            </w:r>
            <w:r>
              <w:rPr>
                <w:rFonts w:hint="eastAsia" w:ascii="宋体" w:hAnsi="宋体"/>
                <w:b/>
                <w:bCs/>
                <w:color w:val="auto"/>
                <w:szCs w:val="21"/>
                <w:highlight w:val="none"/>
              </w:rPr>
              <w:t>不组织召开开标前答疑会</w:t>
            </w:r>
          </w:p>
          <w:p w14:paraId="2E08952A">
            <w:pPr>
              <w:snapToGrid w:val="0"/>
              <w:spacing w:line="380" w:lineRule="exact"/>
              <w:rPr>
                <w:rFonts w:ascii="宋体" w:hAnsi="宋体"/>
                <w:color w:val="auto"/>
                <w:szCs w:val="21"/>
                <w:highlight w:val="none"/>
              </w:rPr>
            </w:pPr>
            <w:r>
              <w:rPr>
                <w:rFonts w:hint="eastAsia" w:ascii="宋体" w:hAnsi="宋体"/>
                <w:color w:val="auto"/>
                <w:szCs w:val="21"/>
                <w:highlight w:val="none"/>
              </w:rPr>
              <w:t>□组织召开开标前答疑会</w:t>
            </w:r>
          </w:p>
          <w:p w14:paraId="1A4F2BBA">
            <w:pPr>
              <w:snapToGrid w:val="0"/>
              <w:spacing w:line="380" w:lineRule="exact"/>
              <w:rPr>
                <w:rFonts w:ascii="宋体" w:hAnsi="宋体"/>
                <w:color w:val="auto"/>
                <w:szCs w:val="21"/>
                <w:highlight w:val="none"/>
                <w:u w:val="singl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13277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left w:val="single" w:color="auto" w:sz="4" w:space="0"/>
              <w:right w:val="single" w:color="auto" w:sz="4" w:space="0"/>
            </w:tcBorders>
            <w:vAlign w:val="center"/>
          </w:tcPr>
          <w:p w14:paraId="2DA871FE">
            <w:pPr>
              <w:spacing w:line="380" w:lineRule="exact"/>
              <w:rPr>
                <w:rFonts w:ascii="宋体" w:hAnsi="宋体"/>
                <w:color w:val="auto"/>
                <w:szCs w:val="21"/>
                <w:highlight w:val="none"/>
              </w:rPr>
            </w:pPr>
            <w:r>
              <w:rPr>
                <w:rFonts w:hint="eastAsia" w:ascii="宋体" w:hAnsi="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3229DAB7">
            <w:pPr>
              <w:snapToGrid w:val="0"/>
              <w:spacing w:line="380" w:lineRule="exact"/>
              <w:jc w:val="left"/>
              <w:rPr>
                <w:rFonts w:ascii="宋体" w:hAnsi="宋体" w:cs="Courier New"/>
                <w:color w:val="auto"/>
                <w:szCs w:val="21"/>
                <w:highlight w:val="none"/>
              </w:rPr>
            </w:pPr>
            <w:r>
              <w:rPr>
                <w:rFonts w:hint="eastAsia" w:ascii="宋体" w:hAnsi="宋体" w:cs="Courier New"/>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0AB8763A">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（如营业执照或者事业单位法人证书或者执业许可证等），投标人为</w:t>
            </w:r>
            <w:r>
              <w:rPr>
                <w:rFonts w:hint="eastAsia" w:ascii="宋体" w:hAnsi="宋体"/>
                <w:color w:val="auto"/>
                <w:szCs w:val="21"/>
                <w:highlight w:val="none"/>
              </w:rPr>
              <w:t>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19C3715">
            <w:pPr>
              <w:pStyle w:val="6"/>
              <w:rPr>
                <w:rFonts w:ascii="宋体" w:hAnsi="宋体"/>
                <w:color w:val="auto"/>
                <w:szCs w:val="21"/>
                <w:highlight w:val="none"/>
              </w:rPr>
            </w:pPr>
            <w:r>
              <w:rPr>
                <w:rFonts w:hint="eastAsia" w:ascii="宋体" w:hAnsi="宋体" w:cs="宋体"/>
                <w:color w:val="auto"/>
                <w:szCs w:val="21"/>
                <w:highlight w:val="none"/>
              </w:rPr>
              <w:t>2、投标人依法缴纳税收的相关材料</w:t>
            </w:r>
            <w:r>
              <w:rPr>
                <w:rFonts w:hint="eastAsia"/>
                <w:color w:val="auto"/>
                <w:highlight w:val="none"/>
              </w:rPr>
              <w:t>投标截止时间前半年内</w:t>
            </w:r>
            <w:r>
              <w:rPr>
                <w:rFonts w:hint="eastAsia" w:ascii="宋体" w:hAnsi="宋体" w:cs="宋体"/>
                <w:color w:val="auto"/>
                <w:szCs w:val="21"/>
                <w:highlight w:val="none"/>
              </w:rPr>
              <w:t>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0F9FA51">
            <w:pPr>
              <w:snapToGrid w:val="0"/>
              <w:spacing w:line="380" w:lineRule="exact"/>
              <w:jc w:val="left"/>
              <w:rPr>
                <w:rFonts w:ascii="宋体" w:hAnsi="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color w:val="auto"/>
                <w:highlight w:val="none"/>
              </w:rPr>
              <w:t>投标截止时间前半年内</w:t>
            </w:r>
            <w:r>
              <w:rPr>
                <w:rFonts w:hint="eastAsia" w:ascii="宋体" w:hAnsi="宋体" w:cs="宋体"/>
                <w:color w:val="auto"/>
                <w:szCs w:val="21"/>
                <w:highlight w:val="none"/>
              </w:rPr>
              <w:t>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从取得营业执照时间起到投标文件提交截止时间为止不足要求月数的只需提供从取得营业执照起的依法缴纳社会保障资金的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104DF86">
            <w:pPr>
              <w:snapToGrid w:val="0"/>
              <w:spacing w:line="380" w:lineRule="exact"/>
              <w:jc w:val="left"/>
              <w:rPr>
                <w:rFonts w:ascii="宋体" w:hAnsi="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olor w:val="auto"/>
                <w:szCs w:val="21"/>
                <w:highlight w:val="none"/>
                <w:u w:val="single"/>
              </w:rPr>
              <w:t>[202</w:t>
            </w:r>
            <w:r>
              <w:rPr>
                <w:rFonts w:ascii="宋体" w:hAnsi="宋体"/>
                <w:color w:val="auto"/>
                <w:szCs w:val="21"/>
                <w:highlight w:val="none"/>
                <w:u w:val="single"/>
              </w:rPr>
              <w:t>4</w:t>
            </w:r>
            <w:r>
              <w:rPr>
                <w:rFonts w:hint="eastAsia" w:ascii="宋体" w:hAnsi="宋体"/>
                <w:color w:val="auto"/>
                <w:szCs w:val="21"/>
                <w:highlight w:val="none"/>
                <w:u w:val="single"/>
              </w:rPr>
              <w:t>年] 或[2025年</w:t>
            </w:r>
            <w:r>
              <w:rPr>
                <w:rFonts w:hint="eastAsia" w:ascii="宋体" w:hAnsi="宋体"/>
                <w:color w:val="auto"/>
                <w:szCs w:val="21"/>
                <w:highlight w:val="none"/>
              </w:rPr>
              <w:t>]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2FFF950">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5、投标资格声明（格式后附）；（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10C3F89">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6、投标人直接控股、管理关系信息表（格式后附）；（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D7C705C">
            <w:pPr>
              <w:spacing w:line="400" w:lineRule="exact"/>
              <w:rPr>
                <w:rFonts w:hint="eastAsia" w:ascii="宋体" w:hAnsi="宋体"/>
                <w:color w:val="auto"/>
                <w:szCs w:val="21"/>
                <w:highlight w:val="none"/>
              </w:rPr>
            </w:pPr>
            <w:r>
              <w:rPr>
                <w:rFonts w:hint="eastAsia" w:ascii="宋体" w:hAnsi="宋体"/>
                <w:color w:val="auto"/>
                <w:szCs w:val="21"/>
                <w:highlight w:val="none"/>
              </w:rPr>
              <w:t>7、符合特定资格条件的有关证明材料：具有城乡规划编制(国土空间规划)乙级（或以上）资质或土地规划机构等级乙级（或以上）资质（按照中国土地学会《关于﹤土地规划机构等级证书﹥可延续使用的通知》的相关说明，在国土空间规划编制资质管理规定出台之前，相关单位取得的《土地规划机构等级证书》不再换发新证、可延续使用。因此，如供应商因以上政策性原因，提供未续期或未换发新证的土地规划机构等级证书的，视为符合条件）。（</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A78EF49">
            <w:pPr>
              <w:spacing w:line="400" w:lineRule="exact"/>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联合体协议书；（</w:t>
            </w:r>
            <w:r>
              <w:rPr>
                <w:rFonts w:hint="eastAsia" w:ascii="宋体" w:hAnsi="宋体"/>
                <w:b/>
                <w:bCs/>
                <w:color w:val="auto"/>
                <w:szCs w:val="21"/>
                <w:highlight w:val="none"/>
              </w:rPr>
              <w:t>联合体投标时必须提供，否则投标文件按无效投标处理）</w:t>
            </w:r>
          </w:p>
          <w:p w14:paraId="69EF5D99">
            <w:pPr>
              <w:snapToGrid w:val="0"/>
              <w:spacing w:line="380" w:lineRule="exact"/>
              <w:jc w:val="left"/>
              <w:rPr>
                <w:rFonts w:ascii="宋体" w:hAnsi="宋体" w:cs="Courier New"/>
                <w:b/>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以上标明“必须提供”的材料属于复印件的，必须加盖投标人电子公章，否则</w:t>
            </w:r>
            <w:r>
              <w:rPr>
                <w:rFonts w:hint="eastAsia" w:ascii="宋体" w:hAnsi="宋体" w:cs="Courier New"/>
                <w:b/>
                <w:color w:val="auto"/>
                <w:szCs w:val="21"/>
                <w:highlight w:val="none"/>
              </w:rPr>
              <w:t>作无效投标处理。</w:t>
            </w:r>
          </w:p>
          <w:p w14:paraId="1EE6B12B">
            <w:pPr>
              <w:snapToGrid w:val="0"/>
              <w:spacing w:line="380" w:lineRule="exact"/>
              <w:ind w:firstLine="422" w:firstLineChars="200"/>
              <w:jc w:val="left"/>
              <w:rPr>
                <w:color w:val="auto"/>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投标资格声明必须在规定签章处加盖投标人电子公章，否则作无效投标处理。</w:t>
            </w:r>
          </w:p>
        </w:tc>
      </w:tr>
      <w:tr w14:paraId="1F1DD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left w:val="single" w:color="auto" w:sz="4" w:space="0"/>
              <w:right w:val="single" w:color="auto" w:sz="4" w:space="0"/>
            </w:tcBorders>
            <w:vAlign w:val="center"/>
          </w:tcPr>
          <w:p w14:paraId="6C426FE3">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BCB5651">
            <w:pPr>
              <w:snapToGrid w:val="0"/>
              <w:spacing w:line="380" w:lineRule="exact"/>
              <w:jc w:val="left"/>
              <w:rPr>
                <w:rFonts w:ascii="宋体" w:hAnsi="宋体" w:cs="Courier New"/>
                <w:color w:val="auto"/>
                <w:szCs w:val="21"/>
                <w:highlight w:val="none"/>
              </w:rPr>
            </w:pPr>
            <w:r>
              <w:rPr>
                <w:rFonts w:hint="eastAsia" w:ascii="宋体" w:hAnsi="宋体" w:cs="Courier New"/>
                <w:color w:val="auto"/>
                <w:szCs w:val="21"/>
                <w:highlight w:val="none"/>
              </w:rPr>
              <w:t>商务文件组成</w:t>
            </w:r>
          </w:p>
          <w:p w14:paraId="52BB4F32">
            <w:pPr>
              <w:spacing w:line="380" w:lineRule="exact"/>
              <w:rPr>
                <w:rFonts w:ascii="宋体" w:hAnsi="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76DA0EF9">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67D502F">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079D9F1">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3、法定代表人授权委托书及委托代理人有效身份证正反面复印件（格式后附）；（</w:t>
            </w:r>
            <w:r>
              <w:rPr>
                <w:rFonts w:hint="eastAsia" w:ascii="宋体" w:hAnsi="宋体"/>
                <w:b/>
                <w:color w:val="auto"/>
                <w:szCs w:val="21"/>
                <w:highlight w:val="none"/>
              </w:rPr>
              <w:t>委托时必须提供，否则作无效投标处理</w:t>
            </w:r>
            <w:r>
              <w:rPr>
                <w:rFonts w:hint="eastAsia" w:ascii="宋体" w:hAnsi="宋体"/>
                <w:color w:val="auto"/>
                <w:szCs w:val="21"/>
                <w:highlight w:val="none"/>
              </w:rPr>
              <w:t>）</w:t>
            </w:r>
          </w:p>
          <w:p w14:paraId="4DAAB53D">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4、商务条款偏离表（格式后附）；（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8F7B1F7">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5、投标人情况介绍（格式自拟）；</w:t>
            </w:r>
          </w:p>
          <w:p w14:paraId="41730B2D">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6、除招标文件规定必须提供以外，投标人认为需要提供的其他证明材料（格式自拟）。（投标人根据“第二章 采购需求”及“第四章 评标方法及评标标准”提供有关证明材料）。</w:t>
            </w:r>
          </w:p>
          <w:p w14:paraId="75808AE5">
            <w:pPr>
              <w:snapToGrid w:val="0"/>
              <w:spacing w:line="380" w:lineRule="exact"/>
              <w:jc w:val="left"/>
              <w:rPr>
                <w:rFonts w:ascii="宋体" w:hAnsi="宋体"/>
                <w:b/>
                <w:bCs/>
                <w:color w:val="auto"/>
                <w:szCs w:val="21"/>
                <w:highlight w:val="none"/>
              </w:rPr>
            </w:pPr>
            <w:r>
              <w:rPr>
                <w:rFonts w:hint="eastAsia" w:ascii="宋体" w:hAnsi="宋体"/>
                <w:b/>
                <w:bCs/>
                <w:color w:val="auto"/>
                <w:szCs w:val="21"/>
                <w:highlight w:val="none"/>
              </w:rPr>
              <w:t>注：1.法定代表人授权委托书必须由法定代表人及委托代理人签字，并加盖投标人电子公章，否则作无效投标处理。</w:t>
            </w:r>
          </w:p>
          <w:p w14:paraId="5F5D7351">
            <w:pPr>
              <w:snapToGrid w:val="0"/>
              <w:spacing w:line="380" w:lineRule="exact"/>
              <w:ind w:firstLine="422" w:firstLineChars="200"/>
              <w:jc w:val="left"/>
              <w:rPr>
                <w:rFonts w:ascii="宋体" w:hAnsi="宋体" w:cs="Courier New"/>
                <w:b/>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以上标明“必须提供”的材料属于复印件的，必须加盖投标人电子公章，否则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1C06E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vMerge w:val="restart"/>
            <w:tcBorders>
              <w:left w:val="single" w:color="auto" w:sz="4" w:space="0"/>
              <w:right w:val="single" w:color="auto" w:sz="4" w:space="0"/>
            </w:tcBorders>
            <w:vAlign w:val="center"/>
          </w:tcPr>
          <w:p w14:paraId="57800E06">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6A6E826">
            <w:pPr>
              <w:snapToGrid w:val="0"/>
              <w:spacing w:line="380" w:lineRule="exact"/>
              <w:jc w:val="left"/>
              <w:rPr>
                <w:rFonts w:ascii="宋体" w:hAnsi="宋体" w:cs="Courier New"/>
                <w:color w:val="auto"/>
                <w:szCs w:val="21"/>
                <w:highlight w:val="none"/>
              </w:rPr>
            </w:pPr>
            <w:r>
              <w:rPr>
                <w:rFonts w:hint="eastAsia" w:ascii="宋体" w:hAnsi="宋体" w:cs="Courier New"/>
                <w:color w:val="auto"/>
                <w:szCs w:val="21"/>
                <w:highlight w:val="none"/>
              </w:rPr>
              <w:t>技术文件组成</w:t>
            </w:r>
          </w:p>
          <w:p w14:paraId="2C24F031">
            <w:pPr>
              <w:spacing w:line="380" w:lineRule="exact"/>
              <w:rPr>
                <w:rFonts w:ascii="宋体" w:hAnsi="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201F6158">
            <w:pPr>
              <w:snapToGrid w:val="0"/>
              <w:spacing w:line="380" w:lineRule="exact"/>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、投标服务技术需求偏离表；（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EE622C4">
            <w:pPr>
              <w:snapToGrid w:val="0"/>
              <w:spacing w:line="380" w:lineRule="exact"/>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、组织服务方案；</w:t>
            </w:r>
          </w:p>
          <w:p w14:paraId="0DD0A315">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3、售后服务方案；（</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80D0312">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4、项目实施人员一览表；</w:t>
            </w:r>
          </w:p>
          <w:p w14:paraId="463B83FC">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5、投标人对本项目的合理化建议和改进措施；</w:t>
            </w:r>
          </w:p>
          <w:p w14:paraId="74432818">
            <w:pPr>
              <w:snapToGrid w:val="0"/>
              <w:spacing w:line="380" w:lineRule="exact"/>
              <w:jc w:val="left"/>
              <w:rPr>
                <w:rFonts w:ascii="宋体" w:hAnsi="宋体"/>
                <w:bCs/>
                <w:color w:val="auto"/>
                <w:szCs w:val="21"/>
                <w:highlight w:val="none"/>
              </w:rPr>
            </w:pPr>
            <w:r>
              <w:rPr>
                <w:rFonts w:hint="eastAsia" w:ascii="宋体" w:hAnsi="宋体"/>
                <w:color w:val="auto"/>
                <w:szCs w:val="21"/>
                <w:highlight w:val="none"/>
              </w:rPr>
              <w:t>6、除招标文件规定必须提供以外，投标人需要说明的其他文件和说明。</w:t>
            </w:r>
          </w:p>
          <w:p w14:paraId="4F6620D8">
            <w:pPr>
              <w:snapToGrid w:val="0"/>
              <w:spacing w:line="380" w:lineRule="exact"/>
              <w:jc w:val="left"/>
              <w:rPr>
                <w:rFonts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0CE0C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vMerge w:val="continue"/>
            <w:tcBorders>
              <w:left w:val="single" w:color="auto" w:sz="4" w:space="0"/>
              <w:bottom w:val="single" w:color="auto" w:sz="4" w:space="0"/>
              <w:right w:val="single" w:color="auto" w:sz="4" w:space="0"/>
            </w:tcBorders>
            <w:vAlign w:val="center"/>
          </w:tcPr>
          <w:p w14:paraId="5125F805">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8A8C3CA">
            <w:pPr>
              <w:snapToGrid w:val="0"/>
              <w:spacing w:line="380" w:lineRule="exact"/>
              <w:jc w:val="left"/>
              <w:rPr>
                <w:rFonts w:ascii="宋体" w:hAnsi="宋体" w:cs="Courier New"/>
                <w:color w:val="auto"/>
                <w:szCs w:val="21"/>
                <w:highlight w:val="none"/>
              </w:rPr>
            </w:pPr>
            <w:r>
              <w:rPr>
                <w:rFonts w:hint="eastAsia" w:ascii="宋体" w:hAnsi="宋体" w:cs="Courier New"/>
                <w:color w:val="auto"/>
                <w:szCs w:val="21"/>
                <w:highlight w:val="none"/>
              </w:rPr>
              <w:t>报价文件</w:t>
            </w:r>
            <w:r>
              <w:rPr>
                <w:rFonts w:hint="eastAsia" w:ascii="宋体" w:hAnsi="宋体"/>
                <w:color w:val="auto"/>
                <w:szCs w:val="21"/>
                <w:highlight w:val="none"/>
              </w:rPr>
              <w:t>组成</w:t>
            </w:r>
          </w:p>
        </w:tc>
        <w:tc>
          <w:tcPr>
            <w:tcW w:w="7297" w:type="dxa"/>
            <w:tcBorders>
              <w:top w:val="single" w:color="auto" w:sz="4" w:space="0"/>
              <w:left w:val="single" w:color="auto" w:sz="4" w:space="0"/>
              <w:bottom w:val="single" w:color="auto" w:sz="4" w:space="0"/>
              <w:right w:val="single" w:color="auto" w:sz="4" w:space="0"/>
            </w:tcBorders>
            <w:vAlign w:val="center"/>
          </w:tcPr>
          <w:p w14:paraId="3D6BEC68">
            <w:pPr>
              <w:tabs>
                <w:tab w:val="left" w:pos="459"/>
              </w:tabs>
              <w:snapToGrid w:val="0"/>
              <w:spacing w:line="380" w:lineRule="exact"/>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（必须提供，否则作无效投标处理）</w:t>
            </w:r>
          </w:p>
          <w:p w14:paraId="70592B51">
            <w:pPr>
              <w:tabs>
                <w:tab w:val="left" w:pos="459"/>
              </w:tabs>
              <w:snapToGrid w:val="0"/>
              <w:spacing w:line="380" w:lineRule="exact"/>
              <w:jc w:val="left"/>
              <w:rPr>
                <w:rFonts w:ascii="宋体" w:hAnsi="宋体"/>
                <w:color w:val="auto"/>
                <w:szCs w:val="21"/>
                <w:highlight w:val="none"/>
              </w:rPr>
            </w:pPr>
            <w:r>
              <w:rPr>
                <w:rFonts w:hint="eastAsia" w:ascii="宋体" w:hAnsi="宋体"/>
                <w:color w:val="auto"/>
                <w:szCs w:val="21"/>
                <w:highlight w:val="none"/>
              </w:rPr>
              <w:t>2、开标一览表（报价表）；（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7DFC4F4">
            <w:pPr>
              <w:tabs>
                <w:tab w:val="left" w:pos="459"/>
              </w:tabs>
              <w:snapToGrid w:val="0"/>
              <w:spacing w:line="380" w:lineRule="exact"/>
              <w:jc w:val="left"/>
              <w:rPr>
                <w:rFonts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4E93884D">
            <w:pPr>
              <w:snapToGrid w:val="0"/>
              <w:spacing w:line="380" w:lineRule="exact"/>
              <w:jc w:val="left"/>
              <w:rPr>
                <w:rFonts w:ascii="宋体" w:hAnsi="宋体"/>
                <w:color w:val="auto"/>
                <w:szCs w:val="21"/>
                <w:highlight w:val="none"/>
              </w:rPr>
            </w:pPr>
            <w:r>
              <w:rPr>
                <w:rFonts w:hint="eastAsia" w:ascii="宋体" w:hAnsi="宋体"/>
                <w:b/>
                <w:bCs/>
                <w:color w:val="auto"/>
                <w:szCs w:val="21"/>
                <w:highlight w:val="none"/>
              </w:rPr>
              <w:t>注：投标函、开标一览表必须由法定代表人或者委托代理人在规定签章处逐一签字并加盖投标人电子公章，否则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40C4A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bottom w:val="single" w:color="auto" w:sz="4" w:space="0"/>
              <w:right w:val="single" w:color="auto" w:sz="4" w:space="0"/>
            </w:tcBorders>
            <w:vAlign w:val="center"/>
          </w:tcPr>
          <w:p w14:paraId="27175AD0">
            <w:pPr>
              <w:spacing w:line="380" w:lineRule="exact"/>
              <w:rPr>
                <w:rFonts w:ascii="宋体" w:hAnsi="宋体"/>
                <w:color w:val="auto"/>
                <w:szCs w:val="21"/>
                <w:highlight w:val="none"/>
              </w:rPr>
            </w:pPr>
            <w:r>
              <w:rPr>
                <w:rFonts w:hint="eastAsia" w:ascii="宋体" w:hAnsi="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4603AFFC">
            <w:pPr>
              <w:spacing w:line="380" w:lineRule="exact"/>
              <w:rPr>
                <w:rFonts w:ascii="宋体" w:hAnsi="宋体"/>
                <w:color w:val="auto"/>
                <w:szCs w:val="21"/>
                <w:highlight w:val="none"/>
              </w:rPr>
            </w:pPr>
            <w:r>
              <w:rPr>
                <w:rFonts w:hint="eastAsia" w:ascii="宋体" w:hAnsi="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168328E5">
            <w:pPr>
              <w:snapToGrid w:val="0"/>
              <w:spacing w:line="380" w:lineRule="exact"/>
              <w:rPr>
                <w:rFonts w:ascii="宋体" w:hAnsi="宋体"/>
                <w:b/>
                <w:color w:val="auto"/>
                <w:szCs w:val="21"/>
                <w:highlight w:val="none"/>
              </w:rPr>
            </w:pPr>
            <w:r>
              <w:rPr>
                <w:rFonts w:hint="eastAsia" w:ascii="宋体" w:hAnsi="宋体"/>
                <w:color w:val="auto"/>
                <w:szCs w:val="21"/>
                <w:highlight w:val="none"/>
              </w:rPr>
              <w:t>投标报价是履行合同的最终价格。</w:t>
            </w:r>
          </w:p>
        </w:tc>
      </w:tr>
      <w:tr w14:paraId="4AB05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bottom w:val="single" w:color="auto" w:sz="4" w:space="0"/>
              <w:right w:val="single" w:color="auto" w:sz="4" w:space="0"/>
            </w:tcBorders>
            <w:vAlign w:val="center"/>
          </w:tcPr>
          <w:p w14:paraId="52EA448A">
            <w:pPr>
              <w:spacing w:line="380" w:lineRule="exact"/>
              <w:rPr>
                <w:rFonts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14:paraId="00543143">
            <w:pPr>
              <w:spacing w:line="380" w:lineRule="exact"/>
              <w:rPr>
                <w:rFonts w:ascii="宋体" w:hAnsi="宋体"/>
                <w:color w:val="auto"/>
                <w:szCs w:val="21"/>
                <w:highlight w:val="none"/>
              </w:rPr>
            </w:pPr>
            <w:r>
              <w:rPr>
                <w:rFonts w:hint="eastAsia" w:ascii="宋体" w:hAnsi="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38F283A0">
            <w:pPr>
              <w:snapToGrid w:val="0"/>
              <w:spacing w:line="380" w:lineRule="exact"/>
              <w:rPr>
                <w:rFonts w:ascii="宋体" w:hAnsi="宋体"/>
                <w:color w:val="auto"/>
                <w:szCs w:val="21"/>
                <w:highlight w:val="none"/>
              </w:rPr>
            </w:pPr>
            <w:r>
              <w:rPr>
                <w:rFonts w:hint="eastAsia" w:ascii="宋体" w:hAnsi="宋体"/>
                <w:color w:val="auto"/>
                <w:szCs w:val="21"/>
                <w:highlight w:val="none"/>
              </w:rPr>
              <w:t>自投标截止之日起</w:t>
            </w:r>
            <w:r>
              <w:rPr>
                <w:rFonts w:ascii="宋体" w:hAnsi="宋体"/>
                <w:color w:val="auto"/>
                <w:szCs w:val="21"/>
                <w:highlight w:val="none"/>
                <w:u w:val="single"/>
              </w:rPr>
              <w:t xml:space="preserve"> 90 </w:t>
            </w:r>
            <w:r>
              <w:rPr>
                <w:rFonts w:hint="eastAsia" w:ascii="宋体" w:hAnsi="宋体"/>
                <w:color w:val="auto"/>
                <w:szCs w:val="21"/>
                <w:highlight w:val="none"/>
              </w:rPr>
              <w:t>日。</w:t>
            </w:r>
          </w:p>
        </w:tc>
      </w:tr>
      <w:tr w14:paraId="71C90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bottom w:val="single" w:color="auto" w:sz="4" w:space="0"/>
              <w:right w:val="single" w:color="auto" w:sz="4" w:space="0"/>
            </w:tcBorders>
            <w:vAlign w:val="center"/>
          </w:tcPr>
          <w:p w14:paraId="694730DA">
            <w:pPr>
              <w:spacing w:line="380" w:lineRule="exact"/>
              <w:rPr>
                <w:rFonts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6B2A0D62">
            <w:pPr>
              <w:spacing w:line="380" w:lineRule="exact"/>
              <w:rPr>
                <w:rFonts w:ascii="宋体" w:hAnsi="宋体"/>
                <w:color w:val="auto"/>
                <w:szCs w:val="21"/>
                <w:highlight w:val="none"/>
              </w:rPr>
            </w:pPr>
            <w:r>
              <w:rPr>
                <w:rFonts w:hint="eastAsia" w:ascii="宋体" w:hAnsi="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475061E9">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tc>
      </w:tr>
      <w:tr w14:paraId="5835E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bottom w:val="single" w:color="auto" w:sz="4" w:space="0"/>
              <w:right w:val="single" w:color="auto" w:sz="4" w:space="0"/>
            </w:tcBorders>
            <w:vAlign w:val="center"/>
          </w:tcPr>
          <w:p w14:paraId="47BDBE8C">
            <w:pPr>
              <w:spacing w:line="380" w:lineRule="exact"/>
              <w:rPr>
                <w:rFonts w:ascii="宋体" w:hAnsi="宋体"/>
                <w:color w:val="auto"/>
                <w:szCs w:val="21"/>
                <w:highlight w:val="none"/>
              </w:rPr>
            </w:pPr>
            <w:r>
              <w:rPr>
                <w:rFonts w:hint="eastAsia" w:ascii="宋体" w:hAnsi="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5543CF02">
            <w:pPr>
              <w:spacing w:line="380" w:lineRule="exact"/>
              <w:rPr>
                <w:rFonts w:ascii="宋体" w:hAnsi="宋体"/>
                <w:color w:val="auto"/>
                <w:szCs w:val="21"/>
                <w:highlight w:val="none"/>
              </w:rPr>
            </w:pPr>
            <w:r>
              <w:rPr>
                <w:rFonts w:hint="eastAsia" w:ascii="宋体" w:hAnsi="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25696AE0">
            <w:pPr>
              <w:spacing w:line="360" w:lineRule="auto"/>
              <w:ind w:firstLine="420" w:firstLineChars="200"/>
              <w:rPr>
                <w:rFonts w:ascii="宋体" w:hAnsi="宋体"/>
                <w:b/>
                <w:color w:val="auto"/>
                <w:szCs w:val="21"/>
                <w:highlight w:val="none"/>
                <w:u w:val="single"/>
              </w:rPr>
            </w:pPr>
            <w:r>
              <w:rPr>
                <w:rFonts w:hint="eastAsia" w:hAnsi="宋体"/>
                <w:color w:val="auto"/>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b/>
                <w:color w:val="auto"/>
                <w:szCs w:val="21"/>
                <w:highlight w:val="none"/>
                <w:u w:val="single"/>
              </w:rPr>
              <w:t>电子版投标文件制作方式见招标公告附件。</w:t>
            </w:r>
          </w:p>
        </w:tc>
      </w:tr>
      <w:tr w14:paraId="637EB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bottom w:val="single" w:color="auto" w:sz="4" w:space="0"/>
              <w:right w:val="single" w:color="auto" w:sz="4" w:space="0"/>
            </w:tcBorders>
            <w:vAlign w:val="center"/>
          </w:tcPr>
          <w:p w14:paraId="26647977">
            <w:pPr>
              <w:spacing w:line="380" w:lineRule="exac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0</w:t>
            </w:r>
          </w:p>
        </w:tc>
        <w:tc>
          <w:tcPr>
            <w:tcW w:w="2268" w:type="dxa"/>
            <w:tcBorders>
              <w:top w:val="single" w:color="auto" w:sz="4" w:space="0"/>
              <w:left w:val="single" w:color="auto" w:sz="4" w:space="0"/>
              <w:bottom w:val="single" w:color="auto" w:sz="4" w:space="0"/>
              <w:right w:val="single" w:color="auto" w:sz="4" w:space="0"/>
            </w:tcBorders>
            <w:vAlign w:val="center"/>
          </w:tcPr>
          <w:p w14:paraId="7794A245">
            <w:pPr>
              <w:spacing w:line="380" w:lineRule="exact"/>
              <w:rPr>
                <w:rFonts w:ascii="宋体" w:hAnsi="宋体"/>
                <w:color w:val="auto"/>
                <w:szCs w:val="21"/>
                <w:highlight w:val="none"/>
              </w:rPr>
            </w:pPr>
            <w:r>
              <w:rPr>
                <w:rFonts w:hint="eastAsia" w:ascii="宋体" w:hAnsi="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1C221B51">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本项目不接受备份投标文件。</w:t>
            </w:r>
          </w:p>
        </w:tc>
      </w:tr>
      <w:tr w14:paraId="374F5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vMerge w:val="restart"/>
            <w:tcBorders>
              <w:top w:val="single" w:color="auto" w:sz="4" w:space="0"/>
              <w:left w:val="single" w:color="auto" w:sz="4" w:space="0"/>
              <w:right w:val="single" w:color="auto" w:sz="4" w:space="0"/>
            </w:tcBorders>
            <w:vAlign w:val="center"/>
          </w:tcPr>
          <w:p w14:paraId="0FF6BAD4">
            <w:pPr>
              <w:spacing w:line="380" w:lineRule="exact"/>
              <w:rPr>
                <w:rFonts w:ascii="宋体" w:hAnsi="宋体"/>
                <w:color w:val="auto"/>
                <w:szCs w:val="21"/>
                <w:highlight w:val="none"/>
              </w:rPr>
            </w:pPr>
            <w:r>
              <w:rPr>
                <w:rFonts w:hint="eastAsia" w:ascii="宋体" w:hAnsi="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076A2253">
            <w:pPr>
              <w:spacing w:line="380" w:lineRule="exact"/>
              <w:rPr>
                <w:rFonts w:ascii="宋体" w:hAnsi="宋体"/>
                <w:color w:val="auto"/>
                <w:szCs w:val="21"/>
                <w:highlight w:val="none"/>
              </w:rPr>
            </w:pPr>
            <w:r>
              <w:rPr>
                <w:rFonts w:hint="eastAsia" w:ascii="宋体" w:hAnsi="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0DB36C53">
            <w:pPr>
              <w:snapToGrid w:val="0"/>
              <w:spacing w:line="380" w:lineRule="exact"/>
              <w:rPr>
                <w:rFonts w:ascii="宋体" w:hAnsi="宋体"/>
                <w:color w:val="auto"/>
                <w:szCs w:val="21"/>
                <w:highlight w:val="none"/>
                <w:u w:val="single"/>
              </w:rPr>
            </w:pPr>
            <w:r>
              <w:rPr>
                <w:rFonts w:hint="eastAsia" w:ascii="宋体" w:hAnsi="宋体"/>
                <w:color w:val="auto"/>
                <w:szCs w:val="21"/>
                <w:highlight w:val="none"/>
              </w:rPr>
              <w:t>详见招标公告</w:t>
            </w:r>
          </w:p>
        </w:tc>
      </w:tr>
      <w:tr w14:paraId="4CF3F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vMerge w:val="continue"/>
            <w:tcBorders>
              <w:left w:val="single" w:color="auto" w:sz="4" w:space="0"/>
              <w:right w:val="single" w:color="auto" w:sz="4" w:space="0"/>
            </w:tcBorders>
            <w:vAlign w:val="center"/>
          </w:tcPr>
          <w:p w14:paraId="7A17808A">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2AB18E7">
            <w:pPr>
              <w:spacing w:line="380" w:lineRule="exact"/>
              <w:rPr>
                <w:rFonts w:ascii="宋体" w:hAnsi="宋体"/>
                <w:color w:val="auto"/>
                <w:szCs w:val="21"/>
                <w:highlight w:val="none"/>
              </w:rPr>
            </w:pPr>
            <w:r>
              <w:rPr>
                <w:rFonts w:hint="eastAsia" w:ascii="宋体" w:hAnsi="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28E74FFA">
            <w:pPr>
              <w:snapToGrid w:val="0"/>
              <w:spacing w:line="380" w:lineRule="exact"/>
              <w:rPr>
                <w:rFonts w:ascii="宋体" w:hAnsi="宋体"/>
                <w:color w:val="auto"/>
                <w:szCs w:val="21"/>
                <w:highlight w:val="none"/>
              </w:rPr>
            </w:pPr>
            <w:r>
              <w:rPr>
                <w:rFonts w:hint="eastAsia" w:ascii="宋体" w:hAnsi="宋体"/>
                <w:color w:val="auto"/>
                <w:szCs w:val="21"/>
                <w:highlight w:val="none"/>
              </w:rPr>
              <w:t>详见招标公告</w:t>
            </w:r>
          </w:p>
        </w:tc>
      </w:tr>
      <w:tr w14:paraId="5CB6D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75" w:type="dxa"/>
            <w:vMerge w:val="continue"/>
            <w:tcBorders>
              <w:left w:val="single" w:color="auto" w:sz="4" w:space="0"/>
              <w:right w:val="single" w:color="auto" w:sz="4" w:space="0"/>
            </w:tcBorders>
            <w:vAlign w:val="center"/>
          </w:tcPr>
          <w:p w14:paraId="47A2030D">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D5BDB79">
            <w:pPr>
              <w:spacing w:line="380" w:lineRule="exact"/>
              <w:rPr>
                <w:rFonts w:ascii="宋体" w:hAnsi="宋体"/>
                <w:color w:val="auto"/>
                <w:szCs w:val="21"/>
                <w:highlight w:val="none"/>
              </w:rPr>
            </w:pPr>
            <w:r>
              <w:rPr>
                <w:rFonts w:hint="eastAsia" w:ascii="宋体" w:hAnsi="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37FF6AF4">
            <w:pPr>
              <w:snapToGrid w:val="0"/>
              <w:spacing w:line="380" w:lineRule="exact"/>
              <w:rPr>
                <w:rFonts w:ascii="宋体" w:hAnsi="宋体"/>
                <w:color w:val="auto"/>
                <w:szCs w:val="21"/>
                <w:highlight w:val="none"/>
              </w:rPr>
            </w:pPr>
            <w:r>
              <w:rPr>
                <w:rFonts w:hint="eastAsia" w:ascii="宋体" w:hAnsi="宋体"/>
                <w:color w:val="auto"/>
                <w:szCs w:val="21"/>
                <w:highlight w:val="none"/>
              </w:rPr>
              <w:t>详见招标公告</w:t>
            </w:r>
          </w:p>
        </w:tc>
      </w:tr>
      <w:tr w14:paraId="095CB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vMerge w:val="continue"/>
            <w:tcBorders>
              <w:left w:val="single" w:color="auto" w:sz="4" w:space="0"/>
              <w:right w:val="single" w:color="auto" w:sz="4" w:space="0"/>
            </w:tcBorders>
            <w:vAlign w:val="center"/>
          </w:tcPr>
          <w:p w14:paraId="6E3F5783">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F0D2B69">
            <w:pPr>
              <w:spacing w:line="380" w:lineRule="exact"/>
              <w:rPr>
                <w:rFonts w:ascii="宋体" w:hAnsi="宋体"/>
                <w:color w:val="auto"/>
                <w:szCs w:val="21"/>
                <w:highlight w:val="none"/>
              </w:rPr>
            </w:pPr>
            <w:r>
              <w:rPr>
                <w:rFonts w:hint="eastAsia" w:ascii="宋体" w:hAnsi="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07472780">
            <w:pPr>
              <w:snapToGrid w:val="0"/>
              <w:spacing w:line="380" w:lineRule="exact"/>
              <w:rPr>
                <w:rFonts w:ascii="宋体" w:hAnsi="宋体"/>
                <w:bCs/>
                <w:color w:val="auto"/>
                <w:szCs w:val="21"/>
                <w:highlight w:val="none"/>
              </w:rPr>
            </w:pPr>
            <w:r>
              <w:rPr>
                <w:rFonts w:hint="eastAsia" w:ascii="宋体" w:hAnsi="宋体"/>
                <w:bCs/>
                <w:color w:val="auto"/>
                <w:szCs w:val="21"/>
                <w:highlight w:val="none"/>
              </w:rPr>
              <w:t>时间：</w:t>
            </w:r>
            <w:r>
              <w:rPr>
                <w:rFonts w:hint="eastAsia" w:ascii="宋体" w:hAnsi="宋体"/>
                <w:bCs/>
                <w:color w:val="auto"/>
                <w:szCs w:val="21"/>
                <w:highlight w:val="none"/>
                <w:u w:val="single"/>
              </w:rPr>
              <w:t xml:space="preserve">  </w:t>
            </w:r>
            <w:r>
              <w:rPr>
                <w:rFonts w:ascii="宋体" w:hAnsi="宋体"/>
                <w:bCs/>
                <w:color w:val="auto"/>
                <w:szCs w:val="21"/>
                <w:highlight w:val="none"/>
                <w:u w:val="single"/>
              </w:rPr>
              <w:t>\</w:t>
            </w:r>
            <w:r>
              <w:rPr>
                <w:rFonts w:hint="eastAsia" w:ascii="宋体" w:hAnsi="宋体"/>
                <w:bCs/>
                <w:color w:val="auto"/>
                <w:szCs w:val="21"/>
                <w:highlight w:val="none"/>
                <w:u w:val="single"/>
              </w:rPr>
              <w:t xml:space="preserve">  年  </w:t>
            </w:r>
            <w:r>
              <w:rPr>
                <w:rFonts w:ascii="宋体" w:hAnsi="宋体"/>
                <w:bCs/>
                <w:color w:val="auto"/>
                <w:szCs w:val="21"/>
                <w:highlight w:val="none"/>
                <w:u w:val="single"/>
              </w:rPr>
              <w:t>\</w:t>
            </w:r>
            <w:r>
              <w:rPr>
                <w:rFonts w:hint="eastAsia" w:ascii="宋体" w:hAnsi="宋体"/>
                <w:bCs/>
                <w:color w:val="auto"/>
                <w:szCs w:val="21"/>
                <w:highlight w:val="none"/>
                <w:u w:val="single"/>
              </w:rPr>
              <w:t xml:space="preserve"> 月  </w:t>
            </w:r>
            <w:r>
              <w:rPr>
                <w:rFonts w:ascii="宋体" w:hAnsi="宋体"/>
                <w:bCs/>
                <w:color w:val="auto"/>
                <w:szCs w:val="21"/>
                <w:highlight w:val="none"/>
                <w:u w:val="single"/>
              </w:rPr>
              <w:t>\</w:t>
            </w:r>
            <w:r>
              <w:rPr>
                <w:rFonts w:hint="eastAsia" w:ascii="宋体" w:hAnsi="宋体"/>
                <w:bCs/>
                <w:color w:val="auto"/>
                <w:szCs w:val="21"/>
                <w:highlight w:val="none"/>
                <w:u w:val="single"/>
              </w:rPr>
              <w:t xml:space="preserve"> 日  </w:t>
            </w:r>
            <w:r>
              <w:rPr>
                <w:rFonts w:ascii="宋体" w:hAnsi="宋体"/>
                <w:bCs/>
                <w:color w:val="auto"/>
                <w:szCs w:val="21"/>
                <w:highlight w:val="none"/>
                <w:u w:val="single"/>
              </w:rPr>
              <w:t>\</w:t>
            </w:r>
            <w:r>
              <w:rPr>
                <w:rFonts w:hint="eastAsia" w:ascii="宋体" w:hAnsi="宋体"/>
                <w:bCs/>
                <w:color w:val="auto"/>
                <w:szCs w:val="21"/>
                <w:highlight w:val="none"/>
                <w:u w:val="single"/>
              </w:rPr>
              <w:t xml:space="preserve">  时  </w:t>
            </w:r>
            <w:r>
              <w:rPr>
                <w:rFonts w:ascii="宋体" w:hAnsi="宋体"/>
                <w:bCs/>
                <w:color w:val="auto"/>
                <w:szCs w:val="21"/>
                <w:highlight w:val="none"/>
                <w:u w:val="single"/>
              </w:rPr>
              <w:t>\</w:t>
            </w:r>
            <w:r>
              <w:rPr>
                <w:rFonts w:hint="eastAsia" w:ascii="宋体" w:hAnsi="宋体"/>
                <w:bCs/>
                <w:color w:val="auto"/>
                <w:szCs w:val="21"/>
                <w:highlight w:val="none"/>
                <w:u w:val="single"/>
              </w:rPr>
              <w:t xml:space="preserve">  分</w:t>
            </w:r>
            <w:r>
              <w:rPr>
                <w:rFonts w:hint="eastAsia" w:ascii="宋体" w:hAnsi="宋体"/>
                <w:bCs/>
                <w:color w:val="auto"/>
                <w:szCs w:val="21"/>
                <w:highlight w:val="none"/>
              </w:rPr>
              <w:t>（北京时间）</w:t>
            </w:r>
          </w:p>
          <w:p w14:paraId="4FC3107F">
            <w:pPr>
              <w:snapToGrid w:val="0"/>
              <w:spacing w:line="380" w:lineRule="exact"/>
              <w:rPr>
                <w:rFonts w:ascii="宋体" w:hAnsi="宋体"/>
                <w:color w:val="auto"/>
                <w:szCs w:val="21"/>
                <w:highlight w:val="none"/>
              </w:rPr>
            </w:pPr>
            <w:r>
              <w:rPr>
                <w:rFonts w:hint="eastAsia" w:ascii="宋体" w:hAnsi="宋体"/>
                <w:bCs/>
                <w:color w:val="auto"/>
                <w:szCs w:val="21"/>
                <w:highlight w:val="none"/>
              </w:rPr>
              <w:t>地点：</w:t>
            </w:r>
            <w:r>
              <w:rPr>
                <w:rFonts w:hint="eastAsia" w:ascii="宋体" w:hAnsi="宋体"/>
                <w:bCs/>
                <w:color w:val="auto"/>
                <w:szCs w:val="21"/>
                <w:highlight w:val="none"/>
                <w:u w:val="single"/>
              </w:rPr>
              <w:t xml:space="preserve">   </w:t>
            </w:r>
            <w:r>
              <w:rPr>
                <w:rFonts w:ascii="宋体" w:hAnsi="宋体"/>
                <w:bCs/>
                <w:color w:val="auto"/>
                <w:szCs w:val="21"/>
                <w:highlight w:val="none"/>
                <w:u w:val="single"/>
              </w:rPr>
              <w:t>\</w:t>
            </w:r>
            <w:r>
              <w:rPr>
                <w:rFonts w:hint="eastAsia" w:ascii="宋体" w:hAnsi="宋体"/>
                <w:bCs/>
                <w:color w:val="auto"/>
                <w:szCs w:val="21"/>
                <w:highlight w:val="none"/>
                <w:u w:val="single"/>
              </w:rPr>
              <w:t xml:space="preserve">   </w:t>
            </w:r>
          </w:p>
        </w:tc>
      </w:tr>
      <w:tr w14:paraId="0928D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bottom w:val="single" w:color="auto" w:sz="4" w:space="0"/>
              <w:right w:val="single" w:color="auto" w:sz="4" w:space="0"/>
            </w:tcBorders>
            <w:vAlign w:val="center"/>
          </w:tcPr>
          <w:p w14:paraId="4601C006">
            <w:pPr>
              <w:spacing w:line="380" w:lineRule="exact"/>
              <w:rPr>
                <w:rFonts w:ascii="宋体" w:hAnsi="宋体"/>
                <w:color w:val="auto"/>
                <w:szCs w:val="21"/>
                <w:highlight w:val="none"/>
              </w:rPr>
            </w:pPr>
            <w:r>
              <w:rPr>
                <w:rFonts w:hint="eastAsia" w:ascii="宋体" w:hAnsi="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4C308603">
            <w:pPr>
              <w:spacing w:line="380" w:lineRule="exact"/>
              <w:rPr>
                <w:rFonts w:ascii="宋体" w:hAnsi="宋体"/>
                <w:color w:val="auto"/>
                <w:szCs w:val="21"/>
                <w:highlight w:val="none"/>
              </w:rPr>
            </w:pPr>
            <w:r>
              <w:rPr>
                <w:rFonts w:hint="eastAsia" w:ascii="宋体" w:hAnsi="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7C920724">
            <w:pPr>
              <w:snapToGrid w:val="0"/>
              <w:spacing w:line="380" w:lineRule="exact"/>
              <w:rPr>
                <w:rFonts w:ascii="宋体" w:hAnsi="宋体"/>
                <w:color w:val="auto"/>
                <w:szCs w:val="21"/>
                <w:highlight w:val="none"/>
              </w:rPr>
            </w:pPr>
            <w:r>
              <w:rPr>
                <w:rFonts w:hint="eastAsia" w:ascii="宋体" w:hAnsi="宋体"/>
                <w:color w:val="auto"/>
                <w:szCs w:val="21"/>
                <w:highlight w:val="none"/>
              </w:rPr>
              <w:t xml:space="preserve">详见招标公告 </w:t>
            </w:r>
          </w:p>
        </w:tc>
      </w:tr>
      <w:tr w14:paraId="5C731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vMerge w:val="restart"/>
            <w:tcBorders>
              <w:top w:val="single" w:color="auto" w:sz="4" w:space="0"/>
              <w:left w:val="single" w:color="auto" w:sz="4" w:space="0"/>
              <w:right w:val="single" w:color="auto" w:sz="4" w:space="0"/>
            </w:tcBorders>
            <w:vAlign w:val="center"/>
          </w:tcPr>
          <w:p w14:paraId="7F1BB3FE">
            <w:pPr>
              <w:spacing w:line="380" w:lineRule="exact"/>
              <w:rPr>
                <w:rFonts w:ascii="宋体" w:hAnsi="宋体"/>
                <w:color w:val="auto"/>
                <w:szCs w:val="21"/>
                <w:highlight w:val="none"/>
              </w:rPr>
            </w:pPr>
            <w:r>
              <w:rPr>
                <w:rFonts w:hint="eastAsia" w:ascii="宋体" w:hAnsi="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64D5032B">
            <w:pPr>
              <w:spacing w:line="380" w:lineRule="exact"/>
              <w:rPr>
                <w:rFonts w:ascii="宋体" w:hAnsi="宋体"/>
                <w:color w:val="auto"/>
                <w:szCs w:val="21"/>
                <w:highlight w:val="none"/>
              </w:rPr>
            </w:pPr>
            <w:r>
              <w:rPr>
                <w:rFonts w:hint="eastAsia" w:ascii="宋体" w:hAnsi="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5AE7780A">
            <w:pPr>
              <w:snapToGrid w:val="0"/>
              <w:spacing w:line="380" w:lineRule="exact"/>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7CF4F54A">
            <w:pPr>
              <w:snapToGrid w:val="0"/>
              <w:spacing w:line="380" w:lineRule="exact"/>
              <w:rPr>
                <w:rFonts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tc>
      </w:tr>
      <w:tr w14:paraId="365E0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vMerge w:val="continue"/>
            <w:tcBorders>
              <w:left w:val="single" w:color="auto" w:sz="4" w:space="0"/>
              <w:right w:val="single" w:color="auto" w:sz="4" w:space="0"/>
            </w:tcBorders>
            <w:vAlign w:val="center"/>
          </w:tcPr>
          <w:p w14:paraId="46BA9260">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E8E552C">
            <w:pPr>
              <w:spacing w:line="380" w:lineRule="exact"/>
              <w:rPr>
                <w:rFonts w:ascii="宋体" w:hAnsi="宋体"/>
                <w:color w:val="auto"/>
                <w:szCs w:val="21"/>
                <w:highlight w:val="none"/>
              </w:rPr>
            </w:pPr>
            <w:r>
              <w:rPr>
                <w:rFonts w:hint="eastAsia" w:ascii="宋体" w:hAnsi="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35667332">
            <w:pPr>
              <w:snapToGrid w:val="0"/>
              <w:spacing w:line="380" w:lineRule="exact"/>
              <w:rPr>
                <w:rFonts w:ascii="宋体" w:hAnsi="宋体"/>
                <w:color w:val="auto"/>
                <w:szCs w:val="21"/>
                <w:highlight w:val="none"/>
              </w:rPr>
            </w:pPr>
            <w:r>
              <w:rPr>
                <w:rFonts w:hint="eastAsia" w:ascii="宋体" w:hAnsi="宋体"/>
                <w:color w:val="auto"/>
                <w:szCs w:val="21"/>
                <w:highlight w:val="none"/>
              </w:rPr>
              <w:t>资格审查结束前</w:t>
            </w:r>
          </w:p>
        </w:tc>
      </w:tr>
      <w:tr w14:paraId="03855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vMerge w:val="continue"/>
            <w:tcBorders>
              <w:left w:val="single" w:color="auto" w:sz="4" w:space="0"/>
              <w:right w:val="single" w:color="auto" w:sz="4" w:space="0"/>
            </w:tcBorders>
            <w:vAlign w:val="center"/>
          </w:tcPr>
          <w:p w14:paraId="4F93EC2E">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8D87334">
            <w:pPr>
              <w:spacing w:line="380" w:lineRule="exact"/>
              <w:rPr>
                <w:rFonts w:ascii="宋体" w:hAnsi="宋体"/>
                <w:color w:val="auto"/>
                <w:szCs w:val="21"/>
                <w:highlight w:val="none"/>
              </w:rPr>
            </w:pPr>
            <w:r>
              <w:rPr>
                <w:rFonts w:hint="eastAsia" w:ascii="宋体" w:hAnsi="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22C89192">
            <w:pPr>
              <w:snapToGrid w:val="0"/>
              <w:spacing w:line="380" w:lineRule="exact"/>
              <w:rPr>
                <w:rFonts w:ascii="宋体" w:hAnsi="宋体"/>
                <w:color w:val="auto"/>
                <w:szCs w:val="21"/>
                <w:highlight w:val="none"/>
              </w:rPr>
            </w:pPr>
            <w:r>
              <w:rPr>
                <w:rFonts w:hint="eastAsia" w:ascii="宋体" w:hAnsi="宋体"/>
                <w:color w:val="auto"/>
                <w:szCs w:val="21"/>
                <w:highlight w:val="none"/>
              </w:rPr>
              <w:t>在查询网站中直接截图查询记录，截图作为在“广西政府采购云平台”作为附件上传保存。</w:t>
            </w:r>
          </w:p>
        </w:tc>
      </w:tr>
      <w:tr w14:paraId="45D90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vMerge w:val="continue"/>
            <w:tcBorders>
              <w:left w:val="single" w:color="auto" w:sz="4" w:space="0"/>
              <w:bottom w:val="single" w:color="auto" w:sz="4" w:space="0"/>
              <w:right w:val="single" w:color="auto" w:sz="4" w:space="0"/>
            </w:tcBorders>
            <w:vAlign w:val="center"/>
          </w:tcPr>
          <w:p w14:paraId="2D26147C">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8ECA4A7">
            <w:pPr>
              <w:spacing w:line="380" w:lineRule="exact"/>
              <w:rPr>
                <w:rFonts w:ascii="宋体" w:hAnsi="宋体"/>
                <w:color w:val="auto"/>
                <w:szCs w:val="21"/>
                <w:highlight w:val="none"/>
              </w:rPr>
            </w:pPr>
            <w:r>
              <w:rPr>
                <w:rFonts w:hint="eastAsia" w:ascii="宋体" w:hAnsi="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197558B6">
            <w:pPr>
              <w:snapToGrid w:val="0"/>
              <w:spacing w:line="380" w:lineRule="exact"/>
              <w:rPr>
                <w:rFonts w:ascii="宋体" w:hAnsi="宋体"/>
                <w:color w:val="auto"/>
                <w:szCs w:val="21"/>
                <w:highlight w:val="none"/>
              </w:rPr>
            </w:pPr>
            <w:r>
              <w:rPr>
                <w:rFonts w:hint="eastAsia" w:ascii="宋体" w:hAnsi="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szCs w:val="22"/>
                <w:highlight w:val="none"/>
              </w:rPr>
              <w:t>应当拒绝其参与政府采购活动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76C8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bottom w:val="single" w:color="auto" w:sz="4" w:space="0"/>
              <w:right w:val="single" w:color="auto" w:sz="4" w:space="0"/>
            </w:tcBorders>
            <w:vAlign w:val="center"/>
          </w:tcPr>
          <w:p w14:paraId="31038B82">
            <w:pPr>
              <w:spacing w:line="380" w:lineRule="exact"/>
              <w:rPr>
                <w:rFonts w:ascii="宋体" w:hAnsi="宋体"/>
                <w:color w:val="auto"/>
                <w:szCs w:val="21"/>
                <w:highlight w:val="none"/>
              </w:rPr>
            </w:pPr>
            <w:r>
              <w:rPr>
                <w:rFonts w:ascii="宋体" w:hAnsi="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700BD6E9">
            <w:pPr>
              <w:spacing w:line="380" w:lineRule="exact"/>
              <w:rPr>
                <w:rFonts w:ascii="宋体" w:hAnsi="宋体"/>
                <w:color w:val="auto"/>
                <w:szCs w:val="21"/>
                <w:highlight w:val="none"/>
              </w:rPr>
            </w:pPr>
            <w:r>
              <w:rPr>
                <w:rFonts w:hint="eastAsia" w:ascii="宋体" w:hAnsi="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11409CF0">
            <w:pPr>
              <w:autoSpaceDE w:val="0"/>
              <w:autoSpaceDN w:val="0"/>
              <w:snapToGrid w:val="0"/>
              <w:spacing w:line="380" w:lineRule="exact"/>
              <w:textAlignment w:val="bottom"/>
              <w:rPr>
                <w:rFonts w:ascii="宋体" w:hAnsi="宋体"/>
                <w:color w:val="auto"/>
                <w:szCs w:val="21"/>
                <w:highlight w:val="none"/>
              </w:rPr>
            </w:pPr>
            <w:r>
              <w:rPr>
                <w:rFonts w:hint="eastAsia" w:ascii="仿宋_GB2312" w:eastAsia="仿宋_GB2312" w:cs="仿宋_GB2312"/>
                <w:b/>
                <w:bCs/>
                <w:color w:val="auto"/>
                <w:kern w:val="0"/>
                <w:sz w:val="24"/>
                <w:highlight w:val="none"/>
                <w:lang w:val="zh-CN"/>
              </w:rPr>
              <w:sym w:font="Wingdings 2" w:char="0052"/>
            </w:r>
            <w:r>
              <w:rPr>
                <w:rFonts w:hint="eastAsia" w:ascii="宋体" w:hAnsi="宋体"/>
                <w:b/>
                <w:bCs/>
                <w:color w:val="auto"/>
                <w:szCs w:val="21"/>
                <w:highlight w:val="none"/>
              </w:rPr>
              <w:t>综合评分法</w:t>
            </w:r>
          </w:p>
          <w:p w14:paraId="76D15310">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□最低评标价法</w:t>
            </w:r>
          </w:p>
        </w:tc>
      </w:tr>
      <w:tr w14:paraId="30EDF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right w:val="single" w:color="auto" w:sz="4" w:space="0"/>
            </w:tcBorders>
            <w:vAlign w:val="center"/>
          </w:tcPr>
          <w:p w14:paraId="7ACF3FBF">
            <w:pPr>
              <w:spacing w:line="380" w:lineRule="exact"/>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.2</w:t>
            </w:r>
          </w:p>
        </w:tc>
        <w:tc>
          <w:tcPr>
            <w:tcW w:w="2268" w:type="dxa"/>
            <w:tcBorders>
              <w:top w:val="single" w:color="auto" w:sz="4" w:space="0"/>
              <w:left w:val="single" w:color="auto" w:sz="4" w:space="0"/>
              <w:right w:val="single" w:color="auto" w:sz="4" w:space="0"/>
            </w:tcBorders>
            <w:vAlign w:val="center"/>
          </w:tcPr>
          <w:p w14:paraId="7BCD72ED">
            <w:pPr>
              <w:spacing w:line="380" w:lineRule="exact"/>
              <w:rPr>
                <w:rFonts w:ascii="宋体" w:hAnsi="宋体"/>
                <w:color w:val="auto"/>
                <w:szCs w:val="21"/>
                <w:highlight w:val="none"/>
              </w:rPr>
            </w:pPr>
            <w:r>
              <w:rPr>
                <w:rFonts w:hint="eastAsia" w:ascii="宋体" w:hAnsi="宋体"/>
                <w:color w:val="auto"/>
                <w:szCs w:val="21"/>
                <w:highlight w:val="none"/>
              </w:rPr>
              <w:t>允许负偏离项</w:t>
            </w:r>
          </w:p>
        </w:tc>
        <w:tc>
          <w:tcPr>
            <w:tcW w:w="7297" w:type="dxa"/>
            <w:tcBorders>
              <w:top w:val="single" w:color="auto" w:sz="4" w:space="0"/>
              <w:left w:val="single" w:color="auto" w:sz="4" w:space="0"/>
              <w:right w:val="single" w:color="auto" w:sz="4" w:space="0"/>
            </w:tcBorders>
            <w:vAlign w:val="center"/>
          </w:tcPr>
          <w:p w14:paraId="13BEE7B6">
            <w:pPr>
              <w:snapToGrid w:val="0"/>
              <w:spacing w:line="380" w:lineRule="exact"/>
              <w:rPr>
                <w:rFonts w:ascii="宋体" w:hAnsi="宋体"/>
                <w:color w:val="auto"/>
                <w:szCs w:val="21"/>
                <w:highlight w:val="none"/>
              </w:rPr>
            </w:pPr>
            <w:r>
              <w:rPr>
                <w:rFonts w:hint="eastAsia" w:ascii="宋体" w:hAnsi="宋体" w:cs="宋体"/>
                <w:color w:val="auto"/>
                <w:szCs w:val="21"/>
                <w:highlight w:val="none"/>
              </w:rPr>
              <w:t>商务条款</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w:t>
            </w:r>
            <w:r>
              <w:rPr>
                <w:rFonts w:ascii="宋体" w:hAnsi="宋体"/>
                <w:color w:val="auto"/>
                <w:szCs w:val="21"/>
                <w:highlight w:val="none"/>
                <w:u w:val="single"/>
              </w:rPr>
              <w:t>0</w:t>
            </w:r>
            <w:r>
              <w:rPr>
                <w:rFonts w:hint="eastAsia" w:ascii="宋体" w:hAnsi="宋体"/>
                <w:color w:val="auto"/>
                <w:szCs w:val="21"/>
                <w:highlight w:val="none"/>
                <w:u w:val="single"/>
              </w:rPr>
              <w:t xml:space="preserve"> </w:t>
            </w:r>
            <w:r>
              <w:rPr>
                <w:rFonts w:hint="eastAsia" w:ascii="宋体" w:hAnsi="宋体"/>
                <w:color w:val="auto"/>
                <w:szCs w:val="21"/>
                <w:highlight w:val="none"/>
              </w:rPr>
              <w:t>项。</w:t>
            </w:r>
          </w:p>
          <w:p w14:paraId="1DCBDD1A">
            <w:pPr>
              <w:snapToGrid w:val="0"/>
              <w:spacing w:line="380" w:lineRule="exact"/>
              <w:rPr>
                <w:rFonts w:ascii="宋体" w:hAnsi="宋体"/>
                <w:color w:val="auto"/>
                <w:szCs w:val="21"/>
                <w:highlight w:val="none"/>
              </w:rPr>
            </w:pPr>
            <w:r>
              <w:rPr>
                <w:rFonts w:hint="eastAsia" w:ascii="宋体" w:hAnsi="宋体" w:cs="宋体"/>
                <w:color w:val="auto"/>
                <w:szCs w:val="21"/>
                <w:highlight w:val="none"/>
              </w:rPr>
              <w:t>技术需求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w:t>
            </w:r>
            <w:r>
              <w:rPr>
                <w:rFonts w:ascii="宋体" w:hAnsi="宋体"/>
                <w:color w:val="auto"/>
                <w:szCs w:val="21"/>
                <w:highlight w:val="none"/>
                <w:u w:val="single"/>
              </w:rPr>
              <w:t>0</w:t>
            </w:r>
            <w:r>
              <w:rPr>
                <w:rFonts w:hint="eastAsia" w:ascii="宋体" w:hAnsi="宋体"/>
                <w:color w:val="auto"/>
                <w:szCs w:val="21"/>
                <w:highlight w:val="none"/>
                <w:u w:val="single"/>
              </w:rPr>
              <w:t xml:space="preserve"> </w:t>
            </w:r>
            <w:r>
              <w:rPr>
                <w:rFonts w:hint="eastAsia" w:ascii="宋体" w:hAnsi="宋体"/>
                <w:color w:val="auto"/>
                <w:szCs w:val="21"/>
                <w:highlight w:val="none"/>
              </w:rPr>
              <w:t>项。</w:t>
            </w:r>
          </w:p>
        </w:tc>
      </w:tr>
      <w:tr w14:paraId="0D57A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bottom w:val="single" w:color="auto" w:sz="4" w:space="0"/>
              <w:right w:val="single" w:color="auto" w:sz="4" w:space="0"/>
            </w:tcBorders>
            <w:vAlign w:val="center"/>
          </w:tcPr>
          <w:p w14:paraId="3495E327">
            <w:pPr>
              <w:spacing w:line="380" w:lineRule="exact"/>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75381E4A">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14:paraId="04EEF5E5">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 xml:space="preserve">□采用最低评标价法的，投标文件满足招标文件全部实质性要求且投标报价最低的投标人为排名第一的中标候选人； </w:t>
            </w:r>
          </w:p>
          <w:p w14:paraId="5E5C1327">
            <w:pPr>
              <w:autoSpaceDE w:val="0"/>
              <w:autoSpaceDN w:val="0"/>
              <w:snapToGrid w:val="0"/>
              <w:spacing w:line="380" w:lineRule="exact"/>
              <w:textAlignment w:val="bottom"/>
              <w:rPr>
                <w:rFonts w:ascii="宋体" w:hAnsi="宋体"/>
                <w:b/>
                <w:color w:val="auto"/>
                <w:szCs w:val="21"/>
                <w:highlight w:val="none"/>
              </w:rPr>
            </w:pPr>
            <w:r>
              <w:rPr>
                <w:rFonts w:hint="eastAsia" w:ascii="仿宋_GB2312" w:eastAsia="仿宋_GB2312" w:cs="仿宋_GB2312"/>
                <w:b/>
                <w:bCs/>
                <w:color w:val="auto"/>
                <w:kern w:val="0"/>
                <w:sz w:val="24"/>
                <w:highlight w:val="none"/>
                <w:lang w:val="zh-CN"/>
              </w:rPr>
              <w:sym w:font="Wingdings 2" w:char="0052"/>
            </w:r>
            <w:r>
              <w:rPr>
                <w:rFonts w:hint="eastAsia" w:ascii="宋体" w:hAnsi="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79D7D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bottom w:val="single" w:color="auto" w:sz="4" w:space="0"/>
              <w:right w:val="single" w:color="auto" w:sz="4" w:space="0"/>
            </w:tcBorders>
            <w:vAlign w:val="center"/>
          </w:tcPr>
          <w:p w14:paraId="775BB374">
            <w:pPr>
              <w:spacing w:line="380" w:lineRule="exact"/>
              <w:rPr>
                <w:rFonts w:ascii="宋体" w:hAnsi="宋体"/>
                <w:color w:val="auto"/>
                <w:szCs w:val="21"/>
                <w:highlight w:val="none"/>
              </w:rPr>
            </w:pPr>
            <w:r>
              <w:rPr>
                <w:rFonts w:hint="eastAsia" w:ascii="宋体" w:hAnsi="宋体"/>
                <w:color w:val="auto"/>
                <w:szCs w:val="21"/>
                <w:highlight w:val="none"/>
              </w:rPr>
              <w:t>35</w:t>
            </w:r>
            <w:r>
              <w:rPr>
                <w:rFonts w:ascii="宋体" w:hAnsi="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14005471">
            <w:pPr>
              <w:spacing w:line="380" w:lineRule="exact"/>
              <w:rPr>
                <w:rFonts w:ascii="宋体" w:hAnsi="宋体"/>
                <w:color w:val="auto"/>
                <w:szCs w:val="21"/>
                <w:highlight w:val="none"/>
              </w:rPr>
            </w:pPr>
            <w:r>
              <w:rPr>
                <w:rFonts w:hint="eastAsia" w:ascii="宋体" w:hAnsi="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6BB42AB8">
            <w:pPr>
              <w:autoSpaceDE w:val="0"/>
              <w:autoSpaceDN w:val="0"/>
              <w:snapToGrid w:val="0"/>
              <w:spacing w:line="380" w:lineRule="exact"/>
              <w:jc w:val="left"/>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tc>
      </w:tr>
      <w:tr w14:paraId="216E7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bottom w:val="single" w:color="auto" w:sz="4" w:space="0"/>
              <w:right w:val="single" w:color="auto" w:sz="4" w:space="0"/>
            </w:tcBorders>
            <w:vAlign w:val="center"/>
          </w:tcPr>
          <w:p w14:paraId="67D8A1E5">
            <w:pPr>
              <w:spacing w:line="380" w:lineRule="exact"/>
              <w:rPr>
                <w:rFonts w:ascii="宋体" w:hAnsi="宋体"/>
                <w:color w:val="auto"/>
                <w:szCs w:val="21"/>
                <w:highlight w:val="none"/>
              </w:rPr>
            </w:pPr>
            <w:r>
              <w:rPr>
                <w:rFonts w:hint="eastAsia" w:ascii="宋体" w:hAnsi="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7CC7BF68">
            <w:pPr>
              <w:spacing w:line="380" w:lineRule="exact"/>
              <w:rPr>
                <w:rFonts w:ascii="宋体" w:hAnsi="宋体"/>
                <w:color w:val="auto"/>
                <w:szCs w:val="21"/>
                <w:highlight w:val="none"/>
              </w:rPr>
            </w:pPr>
            <w:r>
              <w:rPr>
                <w:rFonts w:hint="eastAsia" w:ascii="宋体" w:hAnsi="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1606E43B">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电子采购合同需要供应商通过有效CA证书进行电子签名与签章</w:t>
            </w:r>
          </w:p>
        </w:tc>
      </w:tr>
      <w:tr w14:paraId="4E8CC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vMerge w:val="restart"/>
            <w:tcBorders>
              <w:top w:val="single" w:color="auto" w:sz="4" w:space="0"/>
              <w:left w:val="single" w:color="auto" w:sz="4" w:space="0"/>
              <w:right w:val="single" w:color="auto" w:sz="4" w:space="0"/>
            </w:tcBorders>
            <w:vAlign w:val="center"/>
          </w:tcPr>
          <w:p w14:paraId="24F942C3">
            <w:pPr>
              <w:spacing w:line="380" w:lineRule="exac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r>
              <w:rPr>
                <w:rFonts w:hint="eastAsia" w:ascii="宋体" w:hAnsi="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09830424">
            <w:pPr>
              <w:spacing w:line="380" w:lineRule="exact"/>
              <w:rPr>
                <w:rFonts w:ascii="宋体" w:hAnsi="宋体"/>
                <w:color w:val="auto"/>
                <w:szCs w:val="21"/>
                <w:highlight w:val="none"/>
              </w:rPr>
            </w:pPr>
            <w:r>
              <w:rPr>
                <w:rFonts w:hint="eastAsia" w:ascii="宋体" w:hAnsi="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02428FA1">
            <w:pPr>
              <w:snapToGrid w:val="0"/>
              <w:spacing w:line="380" w:lineRule="exact"/>
              <w:rPr>
                <w:rFonts w:ascii="宋体" w:hAnsi="宋体"/>
                <w:color w:val="auto"/>
                <w:szCs w:val="21"/>
                <w:highlight w:val="none"/>
              </w:rPr>
            </w:pPr>
            <w:r>
              <w:rPr>
                <w:rFonts w:hint="eastAsia" w:ascii="宋体" w:hAnsi="宋体"/>
                <w:color w:val="auto"/>
                <w:szCs w:val="21"/>
                <w:highlight w:val="none"/>
              </w:rPr>
              <w:t>以书面形式</w:t>
            </w:r>
          </w:p>
        </w:tc>
      </w:tr>
      <w:tr w14:paraId="43F10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vMerge w:val="continue"/>
            <w:tcBorders>
              <w:left w:val="single" w:color="auto" w:sz="4" w:space="0"/>
              <w:right w:val="single" w:color="auto" w:sz="4" w:space="0"/>
            </w:tcBorders>
            <w:vAlign w:val="center"/>
          </w:tcPr>
          <w:p w14:paraId="0B12B3E4">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78BD9B0">
            <w:pPr>
              <w:spacing w:line="380" w:lineRule="exact"/>
              <w:rPr>
                <w:rFonts w:ascii="宋体" w:hAnsi="宋体"/>
                <w:color w:val="auto"/>
                <w:szCs w:val="21"/>
                <w:highlight w:val="none"/>
              </w:rPr>
            </w:pPr>
            <w:r>
              <w:rPr>
                <w:rFonts w:hint="eastAsia" w:ascii="宋体" w:hAnsi="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7B2B270D">
            <w:pPr>
              <w:snapToGrid w:val="0"/>
              <w:spacing w:line="380" w:lineRule="exact"/>
              <w:rPr>
                <w:rFonts w:ascii="宋体" w:hAnsi="宋体"/>
                <w:color w:val="auto"/>
                <w:szCs w:val="21"/>
                <w:highlight w:val="none"/>
              </w:rPr>
            </w:pPr>
            <w:r>
              <w:rPr>
                <w:rFonts w:hint="eastAsia" w:ascii="宋体" w:hAnsi="宋体"/>
                <w:color w:val="auto"/>
                <w:szCs w:val="21"/>
                <w:highlight w:val="none"/>
                <w:u w:val="single"/>
              </w:rPr>
              <w:t xml:space="preserve">（1）广西桂工建设管理咨询有限公司 </w:t>
            </w:r>
            <w:r>
              <w:rPr>
                <w:rFonts w:hint="eastAsia" w:ascii="宋体" w:hAnsi="宋体"/>
                <w:color w:val="auto"/>
                <w:szCs w:val="21"/>
                <w:highlight w:val="none"/>
              </w:rPr>
              <w:t>；</w:t>
            </w:r>
          </w:p>
          <w:p w14:paraId="41861010">
            <w:pPr>
              <w:snapToGrid w:val="0"/>
              <w:spacing w:line="380" w:lineRule="exact"/>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0771-5533898</w:t>
            </w:r>
          </w:p>
          <w:p w14:paraId="4F2316D8">
            <w:pPr>
              <w:snapToGrid w:val="0"/>
              <w:spacing w:line="380" w:lineRule="exact"/>
              <w:rPr>
                <w:rFonts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中国（广西）自由贸易试验区南宁片区庆歌路20号富雅•国际商务大厦B栋十三层1301</w:t>
            </w:r>
          </w:p>
          <w:p w14:paraId="10303EEE">
            <w:pPr>
              <w:snapToGrid w:val="0"/>
              <w:spacing w:line="380" w:lineRule="exact"/>
              <w:rPr>
                <w:rFonts w:ascii="宋体" w:hAnsi="宋体"/>
                <w:color w:val="auto"/>
                <w:szCs w:val="21"/>
                <w:highlight w:val="none"/>
              </w:rPr>
            </w:pPr>
            <w:r>
              <w:rPr>
                <w:rFonts w:hint="eastAsia" w:ascii="宋体" w:hAnsi="宋体"/>
                <w:color w:val="auto"/>
                <w:szCs w:val="21"/>
                <w:highlight w:val="none"/>
                <w:u w:val="single"/>
              </w:rPr>
              <w:t>（2）南宁市自然资源局</w:t>
            </w:r>
            <w:r>
              <w:rPr>
                <w:rFonts w:hint="eastAsia" w:ascii="宋体" w:hAnsi="宋体"/>
                <w:color w:val="auto"/>
                <w:szCs w:val="21"/>
                <w:highlight w:val="none"/>
              </w:rPr>
              <w:t>；</w:t>
            </w:r>
          </w:p>
          <w:p w14:paraId="25EAD780">
            <w:pPr>
              <w:snapToGrid w:val="0"/>
              <w:spacing w:line="380" w:lineRule="exact"/>
              <w:rPr>
                <w:rFonts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w:t>
            </w:r>
            <w:r>
              <w:rPr>
                <w:rFonts w:hint="eastAsia" w:ascii="宋体" w:hAnsi="宋体"/>
                <w:color w:val="auto"/>
                <w:szCs w:val="21"/>
                <w:highlight w:val="none"/>
                <w:u w:val="single"/>
              </w:rPr>
              <w:t xml:space="preserve"> 0771-5609205</w:t>
            </w:r>
          </w:p>
          <w:p w14:paraId="3D5A1554">
            <w:pPr>
              <w:snapToGrid w:val="0"/>
              <w:spacing w:line="380" w:lineRule="exact"/>
              <w:rPr>
                <w:rFonts w:ascii="宋体" w:hAnsi="宋体"/>
                <w:color w:val="auto"/>
                <w:szCs w:val="21"/>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南宁市锦春路3-1号</w:t>
            </w:r>
          </w:p>
        </w:tc>
      </w:tr>
      <w:tr w14:paraId="1531B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vMerge w:val="continue"/>
            <w:tcBorders>
              <w:left w:val="single" w:color="auto" w:sz="4" w:space="0"/>
              <w:bottom w:val="single" w:color="auto" w:sz="4" w:space="0"/>
              <w:right w:val="single" w:color="auto" w:sz="4" w:space="0"/>
            </w:tcBorders>
            <w:vAlign w:val="center"/>
          </w:tcPr>
          <w:p w14:paraId="112B2DA2">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0824E62">
            <w:pPr>
              <w:spacing w:line="380" w:lineRule="exact"/>
              <w:rPr>
                <w:rFonts w:ascii="宋体" w:hAnsi="宋体"/>
                <w:color w:val="auto"/>
                <w:szCs w:val="21"/>
                <w:highlight w:val="none"/>
              </w:rPr>
            </w:pPr>
            <w:r>
              <w:rPr>
                <w:rFonts w:hint="eastAsia" w:hAnsi="宋体"/>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6205D7B9">
            <w:pPr>
              <w:snapToGrid w:val="0"/>
              <w:spacing w:line="380" w:lineRule="exact"/>
              <w:rPr>
                <w:rFonts w:ascii="宋体" w:hAnsi="宋体"/>
                <w:color w:val="auto"/>
                <w:szCs w:val="21"/>
                <w:highlight w:val="none"/>
              </w:rPr>
            </w:pPr>
            <w:r>
              <w:rPr>
                <w:rFonts w:hint="eastAsia" w:ascii="宋体" w:hAnsi="宋体"/>
                <w:color w:val="auto"/>
                <w:highlight w:val="none"/>
              </w:rPr>
              <w:t>质疑期内每个工作日</w:t>
            </w:r>
            <w:r>
              <w:rPr>
                <w:rFonts w:ascii="宋体" w:hAnsi="宋体"/>
                <w:color w:val="auto"/>
                <w:highlight w:val="none"/>
                <w:u w:val="single"/>
              </w:rPr>
              <w:t xml:space="preserve"> </w:t>
            </w:r>
            <w:r>
              <w:rPr>
                <w:rFonts w:hint="eastAsia" w:ascii="宋体" w:hAnsi="宋体"/>
                <w:color w:val="auto"/>
                <w:highlight w:val="none"/>
                <w:u w:val="single"/>
              </w:rPr>
              <w:t>09</w:t>
            </w:r>
            <w:r>
              <w:rPr>
                <w:rFonts w:ascii="宋体" w:hAnsi="宋体"/>
                <w:color w:val="auto"/>
                <w:highlight w:val="none"/>
                <w:u w:val="single"/>
              </w:rPr>
              <w:t xml:space="preserve"> </w:t>
            </w:r>
            <w:r>
              <w:rPr>
                <w:rFonts w:hint="eastAsia" w:ascii="宋体" w:hAnsi="宋体"/>
                <w:color w:val="auto"/>
                <w:highlight w:val="none"/>
              </w:rPr>
              <w:t>时</w:t>
            </w:r>
            <w:r>
              <w:rPr>
                <w:rFonts w:ascii="宋体" w:hAnsi="宋体"/>
                <w:color w:val="auto"/>
                <w:highlight w:val="none"/>
                <w:u w:val="single"/>
              </w:rPr>
              <w:t xml:space="preserve"> </w:t>
            </w:r>
            <w:r>
              <w:rPr>
                <w:rFonts w:hint="eastAsia" w:ascii="宋体" w:hAnsi="宋体"/>
                <w:color w:val="auto"/>
                <w:highlight w:val="none"/>
                <w:u w:val="single"/>
              </w:rPr>
              <w:t>0</w:t>
            </w:r>
            <w:r>
              <w:rPr>
                <w:rFonts w:ascii="宋体" w:hAnsi="宋体"/>
                <w:color w:val="auto"/>
                <w:highlight w:val="none"/>
                <w:u w:val="single"/>
              </w:rPr>
              <w:t xml:space="preserve">0 </w:t>
            </w:r>
            <w:r>
              <w:rPr>
                <w:rFonts w:hint="eastAsia" w:ascii="宋体" w:hAnsi="宋体"/>
                <w:color w:val="auto"/>
                <w:highlight w:val="none"/>
              </w:rPr>
              <w:t>分到</w:t>
            </w:r>
            <w:r>
              <w:rPr>
                <w:rFonts w:ascii="宋体" w:hAnsi="宋体"/>
                <w:color w:val="auto"/>
                <w:highlight w:val="none"/>
                <w:u w:val="single"/>
              </w:rPr>
              <w:t xml:space="preserve"> 12</w:t>
            </w:r>
            <w:r>
              <w:rPr>
                <w:rFonts w:hint="eastAsia" w:ascii="宋体" w:hAnsi="宋体"/>
                <w:color w:val="auto"/>
                <w:highlight w:val="none"/>
              </w:rPr>
              <w:t>时</w:t>
            </w:r>
            <w:r>
              <w:rPr>
                <w:rFonts w:ascii="宋体" w:hAnsi="宋体"/>
                <w:color w:val="auto"/>
                <w:highlight w:val="none"/>
                <w:u w:val="single"/>
              </w:rPr>
              <w:t xml:space="preserve">00 </w:t>
            </w:r>
            <w:r>
              <w:rPr>
                <w:rFonts w:hint="eastAsia" w:ascii="宋体" w:hAnsi="宋体"/>
                <w:color w:val="auto"/>
                <w:highlight w:val="none"/>
              </w:rPr>
              <w:t>分，</w:t>
            </w:r>
            <w:r>
              <w:rPr>
                <w:rFonts w:ascii="宋体" w:hAnsi="宋体"/>
                <w:color w:val="auto"/>
                <w:highlight w:val="none"/>
                <w:u w:val="single"/>
              </w:rPr>
              <w:t xml:space="preserve">15 </w:t>
            </w:r>
            <w:r>
              <w:rPr>
                <w:rFonts w:hint="eastAsia" w:ascii="宋体" w:hAnsi="宋体"/>
                <w:color w:val="auto"/>
                <w:highlight w:val="none"/>
              </w:rPr>
              <w:t>时</w:t>
            </w:r>
            <w:r>
              <w:rPr>
                <w:rFonts w:ascii="宋体" w:hAnsi="宋体"/>
                <w:color w:val="auto"/>
                <w:highlight w:val="none"/>
                <w:u w:val="single"/>
              </w:rPr>
              <w:t xml:space="preserve">00 </w:t>
            </w:r>
            <w:r>
              <w:rPr>
                <w:rFonts w:hint="eastAsia" w:ascii="宋体" w:hAnsi="宋体"/>
                <w:color w:val="auto"/>
                <w:highlight w:val="none"/>
              </w:rPr>
              <w:t>分到</w:t>
            </w:r>
            <w:r>
              <w:rPr>
                <w:rFonts w:ascii="宋体" w:hAnsi="宋体"/>
                <w:color w:val="auto"/>
                <w:highlight w:val="none"/>
                <w:u w:val="single"/>
              </w:rPr>
              <w:t xml:space="preserve"> 1</w:t>
            </w:r>
            <w:r>
              <w:rPr>
                <w:rFonts w:hint="eastAsia" w:ascii="宋体" w:hAnsi="宋体"/>
                <w:color w:val="auto"/>
                <w:highlight w:val="none"/>
                <w:u w:val="single"/>
              </w:rPr>
              <w:t>7</w:t>
            </w:r>
            <w:r>
              <w:rPr>
                <w:rFonts w:hint="eastAsia" w:ascii="宋体" w:hAnsi="宋体"/>
                <w:color w:val="auto"/>
                <w:highlight w:val="none"/>
              </w:rPr>
              <w:t>时</w:t>
            </w:r>
            <w:r>
              <w:rPr>
                <w:rFonts w:ascii="宋体" w:hAnsi="宋体"/>
                <w:color w:val="auto"/>
                <w:highlight w:val="none"/>
                <w:u w:val="single"/>
              </w:rPr>
              <w:t xml:space="preserve"> 00 </w:t>
            </w:r>
            <w:r>
              <w:rPr>
                <w:rFonts w:hint="eastAsia" w:ascii="宋体" w:hAnsi="宋体"/>
                <w:color w:val="auto"/>
                <w:highlight w:val="none"/>
              </w:rPr>
              <w:t>分</w:t>
            </w:r>
          </w:p>
        </w:tc>
      </w:tr>
      <w:tr w14:paraId="71D34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left w:val="single" w:color="auto" w:sz="4" w:space="0"/>
              <w:bottom w:val="single" w:color="auto" w:sz="4" w:space="0"/>
              <w:right w:val="single" w:color="auto" w:sz="4" w:space="0"/>
            </w:tcBorders>
            <w:vAlign w:val="center"/>
          </w:tcPr>
          <w:p w14:paraId="2E61CEDC">
            <w:pPr>
              <w:spacing w:line="380" w:lineRule="exact"/>
              <w:rPr>
                <w:rFonts w:ascii="宋体" w:hAnsi="宋体"/>
                <w:color w:val="auto"/>
                <w:szCs w:val="21"/>
                <w:highlight w:val="none"/>
              </w:rPr>
            </w:pPr>
            <w:r>
              <w:rPr>
                <w:rFonts w:hint="eastAsia" w:ascii="宋体" w:hAnsi="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79499BEB">
            <w:pPr>
              <w:spacing w:line="380" w:lineRule="exact"/>
              <w:rPr>
                <w:rFonts w:hAnsi="宋体"/>
                <w:color w:val="auto"/>
                <w:highlight w:val="none"/>
              </w:rPr>
            </w:pPr>
            <w:r>
              <w:rPr>
                <w:rFonts w:hint="eastAsia" w:hAnsi="宋体"/>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17EF89F3">
            <w:pPr>
              <w:snapToGrid w:val="0"/>
              <w:spacing w:line="380" w:lineRule="exact"/>
              <w:rPr>
                <w:rFonts w:hAnsi="宋体"/>
                <w:color w:val="auto"/>
                <w:highlight w:val="none"/>
              </w:rPr>
            </w:pPr>
            <w:r>
              <w:rPr>
                <w:rFonts w:hAnsi="宋体"/>
                <w:color w:val="auto"/>
                <w:highlight w:val="none"/>
              </w:rPr>
              <w:t>1</w:t>
            </w:r>
            <w:r>
              <w:rPr>
                <w:rFonts w:hint="eastAsia" w:hAnsi="宋体"/>
                <w:color w:val="auto"/>
                <w:highlight w:val="none"/>
              </w:rPr>
              <w:t>、受理方式：纸质方式受理，投诉书正、副本（经过质疑的事项才可投诉）。</w:t>
            </w:r>
          </w:p>
          <w:p w14:paraId="5B8BE141">
            <w:pPr>
              <w:snapToGrid w:val="0"/>
              <w:spacing w:line="380" w:lineRule="exact"/>
              <w:rPr>
                <w:rFonts w:hAnsi="宋体"/>
                <w:color w:val="auto"/>
                <w:highlight w:val="none"/>
              </w:rPr>
            </w:pPr>
            <w:r>
              <w:rPr>
                <w:rFonts w:hAnsi="宋体"/>
                <w:color w:val="auto"/>
                <w:highlight w:val="none"/>
              </w:rPr>
              <w:t>2</w:t>
            </w:r>
            <w:r>
              <w:rPr>
                <w:rFonts w:hint="eastAsia" w:hAnsi="宋体"/>
                <w:color w:val="auto"/>
                <w:highlight w:val="none"/>
              </w:rPr>
              <w:t>、邮寄地址：</w:t>
            </w:r>
          </w:p>
          <w:p w14:paraId="204D5A60">
            <w:pPr>
              <w:snapToGrid w:val="0"/>
              <w:spacing w:line="380" w:lineRule="exact"/>
              <w:rPr>
                <w:rFonts w:hAnsi="宋体"/>
                <w:color w:val="auto"/>
                <w:highlight w:val="none"/>
              </w:rPr>
            </w:pPr>
            <w:r>
              <w:rPr>
                <w:rFonts w:hint="eastAsia" w:hAnsi="宋体"/>
                <w:color w:val="auto"/>
                <w:highlight w:val="none"/>
              </w:rPr>
              <w:t>名称：南宁市财政局政府采购监督管理科</w:t>
            </w:r>
          </w:p>
          <w:p w14:paraId="5290CD98">
            <w:pPr>
              <w:snapToGrid w:val="0"/>
              <w:spacing w:line="380" w:lineRule="exact"/>
              <w:rPr>
                <w:rFonts w:hAnsi="宋体"/>
                <w:color w:val="auto"/>
                <w:highlight w:val="none"/>
              </w:rPr>
            </w:pPr>
            <w:r>
              <w:rPr>
                <w:rFonts w:hint="eastAsia" w:hAnsi="宋体"/>
                <w:color w:val="auto"/>
                <w:highlight w:val="none"/>
              </w:rPr>
              <w:t>地址：南宁市青秀区东葛路129号</w:t>
            </w:r>
          </w:p>
          <w:p w14:paraId="182C2D51">
            <w:pPr>
              <w:snapToGrid w:val="0"/>
              <w:spacing w:line="380" w:lineRule="exact"/>
              <w:rPr>
                <w:rFonts w:ascii="宋体" w:hAnsi="宋体"/>
                <w:color w:val="auto"/>
                <w:highlight w:val="none"/>
              </w:rPr>
            </w:pPr>
            <w:r>
              <w:rPr>
                <w:rFonts w:hint="eastAsia" w:hAnsi="宋体"/>
                <w:color w:val="auto"/>
                <w:highlight w:val="none"/>
              </w:rPr>
              <w:t>联系电话：0771-2189095</w:t>
            </w:r>
          </w:p>
        </w:tc>
      </w:tr>
      <w:tr w14:paraId="481A1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vMerge w:val="restart"/>
            <w:tcBorders>
              <w:top w:val="single" w:color="auto" w:sz="4" w:space="0"/>
              <w:left w:val="single" w:color="auto" w:sz="4" w:space="0"/>
              <w:right w:val="single" w:color="auto" w:sz="4" w:space="0"/>
            </w:tcBorders>
            <w:vAlign w:val="center"/>
          </w:tcPr>
          <w:p w14:paraId="5093638D">
            <w:pPr>
              <w:spacing w:line="380" w:lineRule="exact"/>
              <w:rPr>
                <w:rFonts w:ascii="宋体" w:hAnsi="宋体"/>
                <w:color w:val="auto"/>
                <w:szCs w:val="21"/>
                <w:highlight w:val="none"/>
              </w:rPr>
            </w:pPr>
            <w:r>
              <w:rPr>
                <w:rFonts w:hint="eastAsia" w:ascii="宋体" w:hAnsi="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415EFA27">
            <w:pPr>
              <w:spacing w:line="380" w:lineRule="exact"/>
              <w:rPr>
                <w:rFonts w:ascii="宋体" w:hAnsi="宋体"/>
                <w:color w:val="auto"/>
                <w:szCs w:val="21"/>
                <w:highlight w:val="none"/>
              </w:rPr>
            </w:pPr>
            <w:r>
              <w:rPr>
                <w:rFonts w:hint="eastAsia" w:hAnsi="宋体" w:cs="宋体"/>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73AF9384">
            <w:pPr>
              <w:pStyle w:val="10"/>
              <w:snapToGrid w:val="0"/>
              <w:spacing w:line="380" w:lineRule="exact"/>
              <w:rPr>
                <w:rFonts w:hAnsi="宋体" w:cs="宋体"/>
                <w:color w:val="auto"/>
                <w:highlight w:val="none"/>
              </w:rPr>
            </w:pPr>
            <w:r>
              <w:rPr>
                <w:rFonts w:hint="eastAsia" w:ascii="仿宋_GB2312" w:eastAsia="仿宋_GB2312" w:cs="仿宋_GB2312"/>
                <w:b/>
                <w:bCs/>
                <w:color w:val="auto"/>
                <w:kern w:val="0"/>
                <w:sz w:val="24"/>
                <w:highlight w:val="none"/>
                <w:lang w:val="zh-CN"/>
              </w:rPr>
              <w:sym w:font="Wingdings 2" w:char="0052"/>
            </w:r>
            <w:r>
              <w:rPr>
                <w:rFonts w:hint="eastAsia" w:hAnsi="宋体" w:cs="宋体"/>
                <w:b/>
                <w:bCs/>
                <w:color w:val="auto"/>
                <w:highlight w:val="none"/>
              </w:rPr>
              <w:t>本项目代理服务费由</w:t>
            </w:r>
            <w:r>
              <w:rPr>
                <w:rFonts w:hint="eastAsia" w:hAnsi="宋体" w:cs="宋体"/>
                <w:b/>
                <w:bCs/>
                <w:color w:val="auto"/>
                <w:highlight w:val="none"/>
                <w:u w:val="single"/>
              </w:rPr>
              <w:t>中标人</w:t>
            </w:r>
            <w:r>
              <w:rPr>
                <w:rFonts w:hint="eastAsia" w:hAnsi="宋体" w:cs="宋体"/>
                <w:b/>
                <w:bCs/>
                <w:color w:val="auto"/>
                <w:highlight w:val="none"/>
              </w:rPr>
              <w:t>在领取中标通知书前，一次性向采购代理机构支付。</w:t>
            </w:r>
          </w:p>
          <w:p w14:paraId="31BB17A1">
            <w:pPr>
              <w:pStyle w:val="10"/>
              <w:snapToGrid w:val="0"/>
              <w:spacing w:line="380" w:lineRule="exact"/>
              <w:rPr>
                <w:rFonts w:hAnsi="宋体" w:cs="宋体"/>
                <w:color w:val="auto"/>
                <w:highlight w:val="none"/>
              </w:rPr>
            </w:pPr>
            <w:r>
              <w:rPr>
                <w:rFonts w:hint="eastAsia" w:hAnsi="宋体" w:cs="宋体"/>
                <w:color w:val="auto"/>
                <w:highlight w:val="none"/>
              </w:rPr>
              <w:t>□采购人支付。</w:t>
            </w:r>
          </w:p>
          <w:p w14:paraId="71864BE2">
            <w:pPr>
              <w:pStyle w:val="10"/>
              <w:snapToGrid w:val="0"/>
              <w:spacing w:line="380" w:lineRule="exact"/>
              <w:rPr>
                <w:rFonts w:hAnsi="宋体" w:cs="宋体"/>
                <w:color w:val="auto"/>
                <w:highlight w:val="none"/>
              </w:rPr>
            </w:pPr>
            <w:r>
              <w:rPr>
                <w:rFonts w:hint="eastAsia" w:hAnsi="宋体" w:cs="宋体"/>
                <w:color w:val="auto"/>
                <w:highlight w:val="none"/>
              </w:rPr>
              <w:t>□本项目不收取代理服务费。</w:t>
            </w:r>
          </w:p>
        </w:tc>
      </w:tr>
      <w:tr w14:paraId="74413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2" w:hRule="atLeast"/>
        </w:trPr>
        <w:tc>
          <w:tcPr>
            <w:tcW w:w="675" w:type="dxa"/>
            <w:vMerge w:val="continue"/>
            <w:tcBorders>
              <w:left w:val="single" w:color="auto" w:sz="4" w:space="0"/>
              <w:right w:val="single" w:color="auto" w:sz="4" w:space="0"/>
            </w:tcBorders>
            <w:vAlign w:val="center"/>
          </w:tcPr>
          <w:p w14:paraId="2C50719B">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5230CB2">
            <w:pPr>
              <w:spacing w:line="380" w:lineRule="exact"/>
              <w:rPr>
                <w:rFonts w:ascii="宋体" w:hAnsi="宋体"/>
                <w:color w:val="auto"/>
                <w:szCs w:val="21"/>
                <w:highlight w:val="none"/>
              </w:rPr>
            </w:pPr>
            <w:r>
              <w:rPr>
                <w:rFonts w:hint="eastAsia" w:hAnsi="宋体" w:cs="宋体"/>
                <w:color w:val="auto"/>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4CAAC3C8">
            <w:pPr>
              <w:pStyle w:val="10"/>
              <w:snapToGrid w:val="0"/>
              <w:spacing w:line="380" w:lineRule="exact"/>
              <w:rPr>
                <w:color w:val="auto"/>
                <w:highlight w:val="none"/>
              </w:rPr>
            </w:pPr>
            <w:r>
              <w:rPr>
                <w:rFonts w:hint="eastAsia"/>
                <w:color w:val="auto"/>
                <w:highlight w:val="none"/>
              </w:rPr>
              <w:sym w:font="Wingdings 2" w:char="0052"/>
            </w:r>
            <w:r>
              <w:rPr>
                <w:rFonts w:hint="eastAsia"/>
                <w:color w:val="auto"/>
                <w:highlight w:val="none"/>
              </w:rPr>
              <w:t>以分标（</w:t>
            </w:r>
            <w:r>
              <w:rPr>
                <w:rFonts w:hint="eastAsia"/>
                <w:color w:val="auto"/>
                <w:highlight w:val="none"/>
                <w:lang w:eastAsia="zh-CN"/>
              </w:rPr>
              <w:t>☑</w:t>
            </w:r>
            <w:r>
              <w:rPr>
                <w:rFonts w:hint="eastAsia"/>
                <w:color w:val="auto"/>
                <w:highlight w:val="none"/>
              </w:rPr>
              <w:t>中标金额/</w:t>
            </w:r>
            <w:r>
              <w:rPr>
                <w:rFonts w:hint="eastAsia"/>
                <w:color w:val="auto"/>
                <w:highlight w:val="none"/>
                <w:lang w:eastAsia="zh-CN"/>
              </w:rPr>
              <w:t>□</w:t>
            </w:r>
            <w:r>
              <w:rPr>
                <w:rFonts w:hint="eastAsia"/>
                <w:color w:val="auto"/>
                <w:highlight w:val="none"/>
              </w:rPr>
              <w:t xml:space="preserve">采购预算/□暂定中标金额/□其他 </w:t>
            </w:r>
            <w:r>
              <w:rPr>
                <w:color w:val="auto"/>
                <w:highlight w:val="none"/>
              </w:rPr>
              <w:t xml:space="preserve">  </w:t>
            </w:r>
            <w:r>
              <w:rPr>
                <w:rFonts w:hint="eastAsia"/>
                <w:color w:val="auto"/>
                <w:highlight w:val="none"/>
              </w:rPr>
              <w:t>）为计费额，按服务招标采用差额定率累进法计算出收费基准价格，采购代理收费以（</w:t>
            </w:r>
            <w:r>
              <w:rPr>
                <w:color w:val="auto"/>
                <w:highlight w:val="none"/>
              </w:rPr>
              <w:sym w:font="Wingdings 2" w:char="00A3"/>
            </w:r>
            <w:r>
              <w:rPr>
                <w:rFonts w:hint="eastAsia"/>
                <w:color w:val="auto"/>
                <w:highlight w:val="none"/>
              </w:rPr>
              <w:t>收费基准价格/□收费基准价格下浮</w:t>
            </w:r>
            <w:r>
              <w:rPr>
                <w:color w:val="auto"/>
                <w:highlight w:val="none"/>
              </w:rPr>
              <w:t>/</w:t>
            </w:r>
            <w:r>
              <w:rPr>
                <w:color w:val="auto"/>
                <w:highlight w:val="none"/>
              </w:rPr>
              <w:sym w:font="Wingdings" w:char="00FE"/>
            </w:r>
            <w:r>
              <w:rPr>
                <w:rFonts w:hint="eastAsia"/>
                <w:color w:val="auto"/>
                <w:highlight w:val="none"/>
              </w:rPr>
              <w:t>收费基准价格下浮</w:t>
            </w:r>
            <w:r>
              <w:rPr>
                <w:rFonts w:hint="eastAsia"/>
                <w:color w:val="auto"/>
                <w:highlight w:val="none"/>
                <w:u w:val="single"/>
              </w:rPr>
              <w:t xml:space="preserve"> 30% </w:t>
            </w:r>
            <w:r>
              <w:rPr>
                <w:rFonts w:hint="eastAsia"/>
                <w:color w:val="auto"/>
                <w:highlight w:val="none"/>
              </w:rPr>
              <w:t>）收取。</w:t>
            </w:r>
          </w:p>
          <w:p w14:paraId="4E25B58F">
            <w:pPr>
              <w:pStyle w:val="10"/>
              <w:snapToGrid w:val="0"/>
              <w:spacing w:line="380" w:lineRule="exact"/>
              <w:rPr>
                <w:color w:val="auto"/>
                <w:highlight w:val="none"/>
              </w:rPr>
            </w:pPr>
            <w:r>
              <w:rPr>
                <w:rFonts w:hint="eastAsia"/>
                <w:color w:val="auto"/>
                <w:highlight w:val="none"/>
              </w:rPr>
              <w:t>□固定采购代理收费</w:t>
            </w:r>
            <w:r>
              <w:rPr>
                <w:rFonts w:hint="eastAsia"/>
                <w:color w:val="auto"/>
                <w:highlight w:val="none"/>
                <w:u w:val="single"/>
              </w:rPr>
              <w:t xml:space="preserve">    \   </w:t>
            </w:r>
            <w:r>
              <w:rPr>
                <w:rFonts w:hint="eastAsia"/>
                <w:color w:val="auto"/>
                <w:highlight w:val="none"/>
              </w:rPr>
              <w:t>。</w:t>
            </w:r>
          </w:p>
          <w:p w14:paraId="17B309FD">
            <w:pPr>
              <w:pStyle w:val="10"/>
              <w:snapToGrid w:val="0"/>
              <w:spacing w:line="380" w:lineRule="exact"/>
              <w:rPr>
                <w:b/>
                <w:bCs/>
                <w:color w:val="auto"/>
                <w:highlight w:val="none"/>
                <w:u w:val="single"/>
              </w:rPr>
            </w:pPr>
            <w:r>
              <w:rPr>
                <w:rFonts w:hint="eastAsia"/>
                <w:b/>
                <w:bCs/>
                <w:color w:val="auto"/>
                <w:highlight w:val="none"/>
                <w:u w:val="single"/>
              </w:rPr>
              <w:t>基准价计算标准如下：</w:t>
            </w:r>
          </w:p>
          <w:p w14:paraId="4A92FCFC">
            <w:pPr>
              <w:ind w:firstLine="420" w:firstLineChars="200"/>
              <w:rPr>
                <w:rFonts w:ascii="宋体" w:hAnsi="宋体" w:cs="Calibri"/>
                <w:color w:val="auto"/>
                <w:szCs w:val="21"/>
                <w:highlight w:val="none"/>
              </w:rPr>
            </w:pPr>
            <w:r>
              <w:rPr>
                <w:rFonts w:hint="eastAsia" w:ascii="宋体" w:hAnsi="宋体" w:cs="Calibri"/>
                <w:color w:val="auto"/>
                <w:szCs w:val="21"/>
                <w:highlight w:val="none"/>
              </w:rPr>
              <w:t>（1）采购项目预算金额在400万元以下（含400万元）的项目采用</w:t>
            </w:r>
            <w:r>
              <w:rPr>
                <w:rFonts w:hint="eastAsia" w:ascii="宋体" w:hAnsi="宋体" w:cs="宋体"/>
                <w:color w:val="auto"/>
                <w:kern w:val="0"/>
                <w:szCs w:val="21"/>
                <w:highlight w:val="none"/>
              </w:rPr>
              <w:t>差额定率累进法计算基准价，计算费率如下表：</w:t>
            </w:r>
          </w:p>
          <w:tbl>
            <w:tblPr>
              <w:tblStyle w:val="20"/>
              <w:tblW w:w="5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5"/>
              <w:gridCol w:w="2714"/>
            </w:tblGrid>
            <w:tr w14:paraId="7B51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065" w:type="dxa"/>
                  <w:tcBorders>
                    <w:tl2br w:val="single" w:color="auto" w:sz="4" w:space="0"/>
                  </w:tcBorders>
                </w:tcPr>
                <w:p w14:paraId="040033BB">
                  <w:pPr>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p>
                <w:p w14:paraId="16CD3ACB">
                  <w:pPr>
                    <w:ind w:firstLine="2100" w:firstLineChars="1000"/>
                    <w:rPr>
                      <w:rFonts w:ascii="宋体" w:hAnsi="宋体"/>
                      <w:color w:val="auto"/>
                      <w:szCs w:val="21"/>
                      <w:highlight w:val="none"/>
                    </w:rPr>
                  </w:pPr>
                  <w:r>
                    <w:rPr>
                      <w:rFonts w:hint="eastAsia" w:ascii="宋体" w:hAnsi="宋体"/>
                      <w:color w:val="auto"/>
                      <w:szCs w:val="21"/>
                      <w:highlight w:val="none"/>
                    </w:rPr>
                    <w:t>费率</w:t>
                  </w:r>
                </w:p>
                <w:p w14:paraId="5A553784">
                  <w:pPr>
                    <w:ind w:firstLine="420" w:firstLineChars="200"/>
                    <w:rPr>
                      <w:rFonts w:ascii="宋体" w:hAnsi="宋体" w:cs="Calibri"/>
                      <w:color w:val="auto"/>
                      <w:szCs w:val="21"/>
                      <w:highlight w:val="none"/>
                    </w:rPr>
                  </w:pPr>
                </w:p>
                <w:p w14:paraId="123F9E85">
                  <w:pPr>
                    <w:rPr>
                      <w:rFonts w:ascii="宋体" w:hAnsi="宋体"/>
                      <w:color w:val="auto"/>
                      <w:szCs w:val="21"/>
                      <w:highlight w:val="none"/>
                    </w:rPr>
                  </w:pPr>
                  <w:r>
                    <w:rPr>
                      <w:rFonts w:hint="eastAsia" w:ascii="宋体" w:hAnsi="宋体"/>
                      <w:color w:val="auto"/>
                      <w:szCs w:val="21"/>
                      <w:highlight w:val="none"/>
                    </w:rPr>
                    <w:t>中标金额（或预算金额）</w:t>
                  </w:r>
                </w:p>
              </w:tc>
              <w:tc>
                <w:tcPr>
                  <w:tcW w:w="2714" w:type="dxa"/>
                  <w:vAlign w:val="center"/>
                </w:tcPr>
                <w:p w14:paraId="2DB10672">
                  <w:pPr>
                    <w:jc w:val="center"/>
                    <w:rPr>
                      <w:rFonts w:ascii="宋体" w:hAnsi="宋体"/>
                      <w:color w:val="auto"/>
                      <w:szCs w:val="21"/>
                      <w:highlight w:val="none"/>
                    </w:rPr>
                  </w:pPr>
                  <w:r>
                    <w:rPr>
                      <w:rFonts w:hint="eastAsia" w:ascii="宋体" w:hAnsi="宋体"/>
                      <w:color w:val="auto"/>
                      <w:szCs w:val="21"/>
                      <w:highlight w:val="none"/>
                    </w:rPr>
                    <w:t>费率或金额（元）</w:t>
                  </w:r>
                </w:p>
              </w:tc>
            </w:tr>
            <w:tr w14:paraId="1792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065" w:type="dxa"/>
                </w:tcPr>
                <w:p w14:paraId="6F16183A">
                  <w:pPr>
                    <w:jc w:val="left"/>
                    <w:rPr>
                      <w:rFonts w:ascii="宋体" w:hAnsi="宋体"/>
                      <w:color w:val="auto"/>
                      <w:szCs w:val="21"/>
                      <w:highlight w:val="none"/>
                    </w:rPr>
                  </w:pPr>
                  <w:r>
                    <w:rPr>
                      <w:rFonts w:hint="eastAsia" w:ascii="宋体" w:hAnsi="宋体"/>
                      <w:color w:val="auto"/>
                      <w:szCs w:val="21"/>
                      <w:highlight w:val="none"/>
                    </w:rPr>
                    <w:t>100万元以下(含100万元）</w:t>
                  </w:r>
                </w:p>
              </w:tc>
              <w:tc>
                <w:tcPr>
                  <w:tcW w:w="2714" w:type="dxa"/>
                </w:tcPr>
                <w:p w14:paraId="3DAC56FE">
                  <w:pPr>
                    <w:ind w:firstLine="210" w:firstLineChars="100"/>
                    <w:rPr>
                      <w:rFonts w:ascii="宋体" w:hAnsi="宋体"/>
                      <w:color w:val="auto"/>
                      <w:szCs w:val="21"/>
                      <w:highlight w:val="none"/>
                    </w:rPr>
                  </w:pPr>
                  <w:r>
                    <w:rPr>
                      <w:rFonts w:hint="eastAsia" w:ascii="宋体" w:hAnsi="宋体" w:cs="宋体"/>
                      <w:color w:val="auto"/>
                      <w:kern w:val="0"/>
                      <w:szCs w:val="21"/>
                      <w:highlight w:val="none"/>
                    </w:rPr>
                    <w:t>1.5%</w:t>
                  </w:r>
                </w:p>
              </w:tc>
            </w:tr>
            <w:tr w14:paraId="6630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065" w:type="dxa"/>
                </w:tcPr>
                <w:p w14:paraId="5A0BD562">
                  <w:pPr>
                    <w:jc w:val="left"/>
                    <w:rPr>
                      <w:rFonts w:ascii="宋体" w:hAnsi="宋体"/>
                      <w:color w:val="auto"/>
                      <w:szCs w:val="21"/>
                      <w:highlight w:val="none"/>
                    </w:rPr>
                  </w:pPr>
                  <w:r>
                    <w:rPr>
                      <w:rFonts w:hint="eastAsia" w:ascii="宋体" w:hAnsi="宋体"/>
                      <w:color w:val="auto"/>
                      <w:szCs w:val="21"/>
                      <w:highlight w:val="none"/>
                    </w:rPr>
                    <w:t>100～400万元（含400万元）</w:t>
                  </w:r>
                </w:p>
              </w:tc>
              <w:tc>
                <w:tcPr>
                  <w:tcW w:w="2714" w:type="dxa"/>
                </w:tcPr>
                <w:p w14:paraId="1305F263">
                  <w:pPr>
                    <w:ind w:firstLine="210" w:firstLineChars="100"/>
                    <w:rPr>
                      <w:rFonts w:ascii="宋体" w:hAnsi="宋体"/>
                      <w:color w:val="auto"/>
                      <w:szCs w:val="21"/>
                      <w:highlight w:val="none"/>
                    </w:rPr>
                  </w:pPr>
                  <w:r>
                    <w:rPr>
                      <w:rFonts w:hint="eastAsia" w:ascii="宋体" w:hAnsi="宋体" w:cs="宋体"/>
                      <w:color w:val="auto"/>
                      <w:kern w:val="0"/>
                      <w:szCs w:val="21"/>
                      <w:highlight w:val="none"/>
                    </w:rPr>
                    <w:t>0.8%</w:t>
                  </w:r>
                </w:p>
              </w:tc>
            </w:tr>
            <w:tr w14:paraId="392F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779" w:type="dxa"/>
                  <w:gridSpan w:val="2"/>
                </w:tcPr>
                <w:p w14:paraId="6C05E501">
                  <w:pPr>
                    <w:rPr>
                      <w:rFonts w:ascii="宋体" w:hAnsi="宋体" w:cs="宋体"/>
                      <w:color w:val="auto"/>
                      <w:kern w:val="0"/>
                      <w:szCs w:val="21"/>
                      <w:highlight w:val="none"/>
                    </w:rPr>
                  </w:pPr>
                  <w:r>
                    <w:rPr>
                      <w:rFonts w:hint="eastAsia" w:ascii="宋体" w:hAnsi="宋体"/>
                      <w:color w:val="auto"/>
                      <w:szCs w:val="21"/>
                      <w:highlight w:val="none"/>
                    </w:rPr>
                    <w:t>按以上费率计算不足5000.00元的，以5000.00元为基准价。</w:t>
                  </w:r>
                </w:p>
              </w:tc>
            </w:tr>
          </w:tbl>
          <w:p w14:paraId="66B55937">
            <w:pPr>
              <w:ind w:firstLine="420" w:firstLineChars="200"/>
              <w:rPr>
                <w:rFonts w:ascii="宋体" w:hAnsi="宋体" w:cs="Calibri"/>
                <w:color w:val="auto"/>
                <w:szCs w:val="21"/>
                <w:highlight w:val="none"/>
              </w:rPr>
            </w:pPr>
            <w:r>
              <w:rPr>
                <w:rFonts w:hint="eastAsia" w:ascii="宋体" w:hAnsi="宋体" w:cs="Calibri"/>
                <w:color w:val="auto"/>
                <w:szCs w:val="21"/>
                <w:highlight w:val="none"/>
              </w:rPr>
              <w:t>（2）采购项目预算金额在400万元以上的项目按定额计取基准价</w:t>
            </w:r>
          </w:p>
          <w:tbl>
            <w:tblPr>
              <w:tblStyle w:val="20"/>
              <w:tblW w:w="5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4"/>
              <w:gridCol w:w="2705"/>
            </w:tblGrid>
            <w:tr w14:paraId="7690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54" w:type="dxa"/>
                  <w:tcBorders>
                    <w:tl2br w:val="single" w:color="auto" w:sz="4" w:space="0"/>
                  </w:tcBorders>
                </w:tcPr>
                <w:p w14:paraId="562C6F71">
                  <w:pPr>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p>
                <w:p w14:paraId="01BC2170">
                  <w:pPr>
                    <w:ind w:firstLine="2310" w:firstLineChars="1100"/>
                    <w:rPr>
                      <w:rFonts w:ascii="宋体" w:hAnsi="宋体"/>
                      <w:color w:val="auto"/>
                      <w:szCs w:val="21"/>
                      <w:highlight w:val="none"/>
                    </w:rPr>
                  </w:pPr>
                  <w:r>
                    <w:rPr>
                      <w:rFonts w:hint="eastAsia" w:ascii="宋体" w:hAnsi="宋体"/>
                      <w:color w:val="auto"/>
                      <w:szCs w:val="21"/>
                      <w:highlight w:val="none"/>
                    </w:rPr>
                    <w:t>费率</w:t>
                  </w:r>
                </w:p>
                <w:p w14:paraId="295B81EE">
                  <w:pPr>
                    <w:ind w:firstLine="420" w:firstLineChars="200"/>
                    <w:rPr>
                      <w:rFonts w:ascii="宋体" w:hAnsi="宋体" w:cs="Calibri"/>
                      <w:color w:val="auto"/>
                      <w:szCs w:val="21"/>
                      <w:highlight w:val="none"/>
                    </w:rPr>
                  </w:pPr>
                </w:p>
                <w:p w14:paraId="369462CD">
                  <w:pPr>
                    <w:rPr>
                      <w:rFonts w:ascii="宋体" w:hAnsi="宋体"/>
                      <w:color w:val="auto"/>
                      <w:szCs w:val="21"/>
                      <w:highlight w:val="none"/>
                    </w:rPr>
                  </w:pPr>
                  <w:r>
                    <w:rPr>
                      <w:rFonts w:hint="eastAsia" w:ascii="宋体" w:hAnsi="宋体"/>
                      <w:color w:val="auto"/>
                      <w:szCs w:val="21"/>
                      <w:highlight w:val="none"/>
                    </w:rPr>
                    <w:t>中标金额（或预算金额）</w:t>
                  </w:r>
                </w:p>
              </w:tc>
              <w:tc>
                <w:tcPr>
                  <w:tcW w:w="2705" w:type="dxa"/>
                  <w:vAlign w:val="center"/>
                </w:tcPr>
                <w:p w14:paraId="759F2D0F">
                  <w:pPr>
                    <w:jc w:val="center"/>
                    <w:rPr>
                      <w:rFonts w:ascii="宋体" w:hAnsi="宋体"/>
                      <w:color w:val="auto"/>
                      <w:szCs w:val="21"/>
                      <w:highlight w:val="none"/>
                    </w:rPr>
                  </w:pPr>
                  <w:r>
                    <w:rPr>
                      <w:rFonts w:hint="eastAsia" w:ascii="宋体" w:hAnsi="宋体"/>
                      <w:color w:val="auto"/>
                      <w:szCs w:val="21"/>
                      <w:highlight w:val="none"/>
                    </w:rPr>
                    <w:t>费率或金额（元）</w:t>
                  </w:r>
                </w:p>
              </w:tc>
            </w:tr>
            <w:tr w14:paraId="2666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054" w:type="dxa"/>
                </w:tcPr>
                <w:p w14:paraId="21F58A98">
                  <w:pPr>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00～1000万元（含1000万元）</w:t>
                  </w:r>
                </w:p>
              </w:tc>
              <w:tc>
                <w:tcPr>
                  <w:tcW w:w="2705" w:type="dxa"/>
                </w:tcPr>
                <w:p w14:paraId="63D2BB43">
                  <w:pPr>
                    <w:ind w:firstLine="210" w:firstLineChars="100"/>
                    <w:rPr>
                      <w:rFonts w:ascii="宋体" w:hAnsi="宋体"/>
                      <w:color w:val="auto"/>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3</w:t>
                  </w:r>
                  <w:r>
                    <w:rPr>
                      <w:rFonts w:ascii="宋体" w:hAnsi="宋体" w:cs="宋体"/>
                      <w:color w:val="auto"/>
                      <w:kern w:val="0"/>
                      <w:szCs w:val="21"/>
                      <w:highlight w:val="none"/>
                    </w:rPr>
                    <w:t>000.00</w:t>
                  </w:r>
                </w:p>
              </w:tc>
            </w:tr>
            <w:tr w14:paraId="0BE9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054" w:type="dxa"/>
                </w:tcPr>
                <w:p w14:paraId="56E7C205">
                  <w:pPr>
                    <w:jc w:val="left"/>
                    <w:rPr>
                      <w:rFonts w:ascii="宋体" w:hAnsi="宋体"/>
                      <w:color w:val="auto"/>
                      <w:szCs w:val="21"/>
                      <w:highlight w:val="none"/>
                    </w:rPr>
                  </w:pPr>
                  <w:r>
                    <w:rPr>
                      <w:rFonts w:hint="eastAsia" w:ascii="宋体" w:hAnsi="宋体"/>
                      <w:color w:val="auto"/>
                      <w:szCs w:val="21"/>
                      <w:highlight w:val="none"/>
                    </w:rPr>
                    <w:t>1000万元以上</w:t>
                  </w:r>
                </w:p>
              </w:tc>
              <w:tc>
                <w:tcPr>
                  <w:tcW w:w="2705" w:type="dxa"/>
                </w:tcPr>
                <w:p w14:paraId="140B2DCF">
                  <w:pPr>
                    <w:ind w:firstLine="210" w:firstLineChars="100"/>
                    <w:rPr>
                      <w:rFonts w:ascii="宋体" w:hAnsi="宋体"/>
                      <w:color w:val="auto"/>
                      <w:szCs w:val="21"/>
                      <w:highlight w:val="none"/>
                    </w:rPr>
                  </w:pPr>
                  <w:r>
                    <w:rPr>
                      <w:rFonts w:ascii="宋体" w:hAnsi="宋体" w:cs="宋体"/>
                      <w:color w:val="auto"/>
                      <w:kern w:val="0"/>
                      <w:szCs w:val="21"/>
                      <w:highlight w:val="none"/>
                    </w:rPr>
                    <w:t>48</w:t>
                  </w:r>
                  <w:r>
                    <w:rPr>
                      <w:rFonts w:hint="eastAsia" w:ascii="宋体" w:hAnsi="宋体" w:cs="宋体"/>
                      <w:color w:val="auto"/>
                      <w:kern w:val="0"/>
                      <w:szCs w:val="21"/>
                      <w:highlight w:val="none"/>
                    </w:rPr>
                    <w:t>000.00</w:t>
                  </w:r>
                </w:p>
              </w:tc>
            </w:tr>
          </w:tbl>
          <w:p w14:paraId="08605FA0">
            <w:pPr>
              <w:rPr>
                <w:color w:val="auto"/>
                <w:highlight w:val="none"/>
              </w:rPr>
            </w:pPr>
          </w:p>
        </w:tc>
      </w:tr>
      <w:tr w14:paraId="6C108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vMerge w:val="continue"/>
            <w:tcBorders>
              <w:left w:val="single" w:color="auto" w:sz="4" w:space="0"/>
              <w:bottom w:val="single" w:color="auto" w:sz="4" w:space="0"/>
              <w:right w:val="single" w:color="auto" w:sz="4" w:space="0"/>
            </w:tcBorders>
            <w:vAlign w:val="center"/>
          </w:tcPr>
          <w:p w14:paraId="048D8EA3">
            <w:pPr>
              <w:spacing w:line="380" w:lineRule="exac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5A5BDE2">
            <w:pPr>
              <w:spacing w:line="380" w:lineRule="exact"/>
              <w:rPr>
                <w:rFonts w:ascii="宋体" w:hAnsi="宋体"/>
                <w:color w:val="auto"/>
                <w:szCs w:val="21"/>
                <w:highlight w:val="none"/>
              </w:rPr>
            </w:pPr>
            <w:r>
              <w:rPr>
                <w:rFonts w:hint="eastAsia" w:hAnsi="宋体" w:cs="宋体"/>
                <w:color w:val="auto"/>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02726990">
            <w:pPr>
              <w:spacing w:line="400" w:lineRule="exact"/>
              <w:rPr>
                <w:rFonts w:ascii="宋体" w:hAnsi="宋体" w:cs="宋体"/>
                <w:color w:val="auto"/>
                <w:szCs w:val="21"/>
                <w:highlight w:val="none"/>
              </w:rPr>
            </w:pPr>
            <w:r>
              <w:rPr>
                <w:color w:val="auto"/>
                <w:highlight w:val="none"/>
              </w:rPr>
              <w:t>开户名称：广西桂</w:t>
            </w:r>
            <w:r>
              <w:rPr>
                <w:rFonts w:ascii="宋体" w:hAnsi="宋体" w:cs="宋体"/>
                <w:color w:val="auto"/>
                <w:szCs w:val="21"/>
                <w:highlight w:val="none"/>
              </w:rPr>
              <w:t>工建设管理咨询有限公司</w:t>
            </w:r>
          </w:p>
          <w:p w14:paraId="7A486059">
            <w:pPr>
              <w:spacing w:line="400" w:lineRule="exact"/>
              <w:rPr>
                <w:rFonts w:ascii="宋体" w:hAnsi="宋体" w:cs="宋体"/>
                <w:color w:val="auto"/>
                <w:szCs w:val="21"/>
                <w:highlight w:val="none"/>
              </w:rPr>
            </w:pPr>
            <w:r>
              <w:rPr>
                <w:rFonts w:ascii="宋体" w:hAnsi="宋体" w:cs="宋体"/>
                <w:color w:val="auto"/>
                <w:szCs w:val="21"/>
                <w:highlight w:val="none"/>
              </w:rPr>
              <w:t>开户行：中国建设银行股份有限公司南宁朝阳支行</w:t>
            </w:r>
          </w:p>
          <w:p w14:paraId="45A52886">
            <w:pPr>
              <w:pStyle w:val="10"/>
              <w:snapToGrid w:val="0"/>
              <w:spacing w:line="380" w:lineRule="exact"/>
              <w:rPr>
                <w:rFonts w:hAnsi="宋体" w:cs="宋体"/>
                <w:color w:val="auto"/>
                <w:highlight w:val="none"/>
              </w:rPr>
            </w:pPr>
            <w:r>
              <w:rPr>
                <w:rFonts w:hAnsi="宋体" w:cs="宋体"/>
                <w:color w:val="auto"/>
                <w:szCs w:val="21"/>
                <w:highlight w:val="none"/>
              </w:rPr>
              <w:t>账号：4505 0160 4473 0998 8888</w:t>
            </w:r>
          </w:p>
        </w:tc>
      </w:tr>
      <w:tr w14:paraId="44D8B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bottom w:val="single" w:color="auto" w:sz="4" w:space="0"/>
              <w:right w:val="single" w:color="auto" w:sz="4" w:space="0"/>
            </w:tcBorders>
            <w:vAlign w:val="center"/>
          </w:tcPr>
          <w:p w14:paraId="510C820E">
            <w:pPr>
              <w:snapToGrid w:val="0"/>
              <w:spacing w:line="380" w:lineRule="exact"/>
              <w:jc w:val="center"/>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1</w:t>
            </w:r>
            <w:r>
              <w:rPr>
                <w:rFonts w:ascii="宋体" w:hAnsi="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67E624D5">
            <w:pPr>
              <w:snapToGrid w:val="0"/>
              <w:spacing w:line="380" w:lineRule="exact"/>
              <w:rPr>
                <w:rFonts w:ascii="宋体" w:hAnsi="宋体"/>
                <w:color w:val="auto"/>
                <w:szCs w:val="21"/>
                <w:highlight w:val="none"/>
              </w:rPr>
            </w:pPr>
            <w:r>
              <w:rPr>
                <w:rFonts w:hint="eastAsia" w:ascii="宋体" w:hAnsi="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031FDFBE">
            <w:pPr>
              <w:snapToGrid w:val="0"/>
              <w:spacing w:line="380" w:lineRule="exact"/>
              <w:rPr>
                <w:rFonts w:ascii="宋体" w:hAnsi="宋体"/>
                <w:color w:val="auto"/>
                <w:szCs w:val="21"/>
                <w:highlight w:val="none"/>
              </w:rPr>
            </w:pPr>
            <w:r>
              <w:rPr>
                <w:rFonts w:hint="eastAsia" w:ascii="宋体" w:hAnsi="宋体"/>
                <w:b/>
                <w:color w:val="auto"/>
                <w:szCs w:val="21"/>
                <w:highlight w:val="none"/>
              </w:rPr>
              <w:t>解释权：</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p w14:paraId="78D71FC3">
            <w:pPr>
              <w:snapToGrid w:val="0"/>
              <w:spacing w:line="380" w:lineRule="exact"/>
              <w:rPr>
                <w:rFonts w:ascii="宋体" w:hAnsi="宋体"/>
                <w:b/>
                <w:color w:val="auto"/>
                <w:szCs w:val="21"/>
                <w:highlight w:val="none"/>
              </w:rPr>
            </w:pPr>
            <w:r>
              <w:rPr>
                <w:rFonts w:hint="eastAsia" w:ascii="宋体" w:hAnsi="宋体"/>
                <w:b/>
                <w:color w:val="auto"/>
                <w:szCs w:val="21"/>
                <w:highlight w:val="none"/>
              </w:rPr>
              <w:t>法律责任：</w:t>
            </w:r>
          </w:p>
          <w:p w14:paraId="6FEA6E54">
            <w:pPr>
              <w:snapToGrid w:val="0"/>
              <w:spacing w:line="380" w:lineRule="exact"/>
              <w:rPr>
                <w:rFonts w:ascii="宋体" w:hAnsi="宋体"/>
                <w:color w:val="auto"/>
                <w:szCs w:val="21"/>
                <w:highlight w:val="none"/>
              </w:rPr>
            </w:pPr>
            <w:r>
              <w:rPr>
                <w:rFonts w:hint="eastAsia" w:ascii="宋体" w:hAnsi="宋体"/>
                <w:color w:val="auto"/>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0F97926A">
            <w:pPr>
              <w:snapToGrid w:val="0"/>
              <w:spacing w:line="380" w:lineRule="exact"/>
              <w:rPr>
                <w:rFonts w:ascii="宋体" w:hAnsi="宋体"/>
                <w:color w:val="auto"/>
                <w:szCs w:val="21"/>
                <w:highlight w:val="none"/>
              </w:rPr>
            </w:pPr>
            <w:r>
              <w:rPr>
                <w:rFonts w:hint="eastAsia" w:ascii="宋体" w:hAnsi="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EE84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auto" w:sz="4" w:space="0"/>
              <w:left w:val="single" w:color="auto" w:sz="4" w:space="0"/>
              <w:bottom w:val="single" w:color="auto" w:sz="4" w:space="0"/>
              <w:right w:val="single" w:color="auto" w:sz="4" w:space="0"/>
            </w:tcBorders>
            <w:vAlign w:val="center"/>
          </w:tcPr>
          <w:p w14:paraId="48E830E7">
            <w:pPr>
              <w:snapToGrid w:val="0"/>
              <w:spacing w:line="380" w:lineRule="exact"/>
              <w:jc w:val="center"/>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1</w:t>
            </w:r>
            <w:r>
              <w:rPr>
                <w:rFonts w:ascii="宋体" w:hAnsi="宋体"/>
                <w:color w:val="auto"/>
                <w:szCs w:val="21"/>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14:paraId="0EA8F480">
            <w:pPr>
              <w:snapToGrid w:val="0"/>
              <w:spacing w:line="380" w:lineRule="exact"/>
              <w:rPr>
                <w:rFonts w:ascii="宋体" w:hAnsi="宋体"/>
                <w:color w:val="auto"/>
                <w:szCs w:val="21"/>
                <w:highlight w:val="none"/>
              </w:rPr>
            </w:pPr>
            <w:r>
              <w:rPr>
                <w:rFonts w:hint="eastAsia" w:ascii="宋体" w:hAnsi="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02B8792B">
            <w:pPr>
              <w:pStyle w:val="10"/>
              <w:snapToGrid w:val="0"/>
              <w:spacing w:line="380" w:lineRule="exact"/>
              <w:rPr>
                <w:rFonts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A0D0F9B">
            <w:pPr>
              <w:pStyle w:val="10"/>
              <w:snapToGrid w:val="0"/>
              <w:spacing w:line="380" w:lineRule="exact"/>
              <w:rPr>
                <w:rFonts w:hAnsi="宋体" w:cs="宋体"/>
                <w:b/>
                <w:bCs/>
                <w:color w:val="auto"/>
                <w:highlight w:val="none"/>
              </w:rPr>
            </w:pPr>
            <w:r>
              <w:rPr>
                <w:rFonts w:hint="eastAsia" w:hAnsi="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621C94DC">
            <w:pPr>
              <w:pStyle w:val="10"/>
              <w:snapToGrid w:val="0"/>
              <w:spacing w:line="380" w:lineRule="exact"/>
              <w:rPr>
                <w:rFonts w:hAnsi="宋体" w:cs="宋体"/>
                <w:b/>
                <w:bCs/>
                <w:color w:val="auto"/>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7D87ADE2">
            <w:pPr>
              <w:pStyle w:val="10"/>
              <w:snapToGrid w:val="0"/>
              <w:spacing w:line="380" w:lineRule="exact"/>
              <w:rPr>
                <w:rFonts w:hAnsi="宋体" w:cs="宋体"/>
                <w:b/>
                <w:bCs/>
                <w:color w:val="auto"/>
                <w:highlight w:val="none"/>
              </w:rPr>
            </w:pPr>
            <w:r>
              <w:rPr>
                <w:rFonts w:hint="eastAsia" w:hAnsi="宋体" w:cs="宋体"/>
                <w:b/>
                <w:bCs/>
                <w:color w:val="auto"/>
                <w:highlight w:val="none"/>
              </w:rPr>
              <w:t>4.自然人投标的，招标文件规定盖公章处由自然人摁手指指印。</w:t>
            </w:r>
          </w:p>
          <w:p w14:paraId="5926C1DE">
            <w:pPr>
              <w:spacing w:line="380" w:lineRule="exact"/>
              <w:jc w:val="left"/>
              <w:rPr>
                <w:rFonts w:ascii="宋体" w:hAnsi="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708961B2">
      <w:pPr>
        <w:pStyle w:val="2"/>
        <w:rPr>
          <w:color w:val="auto"/>
          <w:highlight w:val="none"/>
        </w:rPr>
        <w:sectPr>
          <w:footerReference r:id="rId6" w:type="default"/>
          <w:pgSz w:w="11906" w:h="16838"/>
          <w:pgMar w:top="1134" w:right="1134" w:bottom="1134" w:left="1134" w:header="720" w:footer="720" w:gutter="0"/>
          <w:cols w:space="720" w:num="1"/>
          <w:docGrid w:type="lines" w:linePitch="331" w:charSpace="0"/>
        </w:sectPr>
      </w:pPr>
    </w:p>
    <w:p w14:paraId="6175ECB6">
      <w:pPr>
        <w:rPr>
          <w:color w:val="auto"/>
          <w:highlight w:val="none"/>
        </w:rPr>
      </w:pPr>
    </w:p>
    <w:p w14:paraId="0406F67C">
      <w:pPr>
        <w:pStyle w:val="2"/>
        <w:jc w:val="center"/>
        <w:rPr>
          <w:color w:val="auto"/>
          <w:highlight w:val="none"/>
        </w:rPr>
      </w:pPr>
      <w:bookmarkStart w:id="10" w:name="_Toc11708"/>
      <w:bookmarkStart w:id="11" w:name="_Toc17106"/>
      <w:bookmarkStart w:id="12" w:name="_Toc26507"/>
      <w:r>
        <w:rPr>
          <w:rFonts w:hint="eastAsia"/>
          <w:color w:val="auto"/>
          <w:highlight w:val="none"/>
        </w:rPr>
        <w:t>第二节 投标人须知正文</w:t>
      </w:r>
      <w:bookmarkEnd w:id="10"/>
      <w:bookmarkEnd w:id="11"/>
      <w:bookmarkEnd w:id="12"/>
    </w:p>
    <w:p w14:paraId="1A2AA9E6">
      <w:pPr>
        <w:pStyle w:val="3"/>
        <w:keepNext w:val="0"/>
        <w:keepLines w:val="0"/>
        <w:spacing w:line="400" w:lineRule="exact"/>
        <w:jc w:val="center"/>
        <w:rPr>
          <w:color w:val="auto"/>
          <w:highlight w:val="none"/>
        </w:rPr>
      </w:pPr>
      <w:bookmarkStart w:id="13" w:name="_Toc5513"/>
      <w:bookmarkStart w:id="14" w:name="_Toc3207"/>
      <w:bookmarkStart w:id="15" w:name="_Toc9040"/>
      <w:bookmarkStart w:id="16" w:name="_Toc6219"/>
      <w:r>
        <w:rPr>
          <w:rFonts w:hint="eastAsia"/>
          <w:color w:val="auto"/>
          <w:highlight w:val="none"/>
        </w:rPr>
        <w:t>一、总  则</w:t>
      </w:r>
      <w:bookmarkEnd w:id="13"/>
      <w:bookmarkEnd w:id="14"/>
      <w:bookmarkEnd w:id="15"/>
      <w:bookmarkEnd w:id="16"/>
    </w:p>
    <w:p w14:paraId="71C48E87">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1.适用范围</w:t>
      </w:r>
    </w:p>
    <w:p w14:paraId="1C9CD72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47F7457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7431C771">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2.定义</w:t>
      </w:r>
    </w:p>
    <w:p w14:paraId="34BD1DA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562692C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14:paraId="20D9248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14:paraId="455BE3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2.4“投标人”是指响应招标、参加投标竞争的法人、非法人组织或者自然人。</w:t>
      </w:r>
    </w:p>
    <w:p w14:paraId="712BF60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2.5“服务”是指除货物和工程以外的其他政府采购对象。</w:t>
      </w:r>
    </w:p>
    <w:p w14:paraId="3E89A04A">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2.6“书面形式”是指合同书、信件和数据电文（包括电报、电传、传真、短信、电子数据交换和电子邮件）等可以有形地表现所载内容的形式。</w:t>
      </w:r>
    </w:p>
    <w:p w14:paraId="40D7109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2.7“实质性要求”是指招标文件中已经指明不满足则投标无效的条款，或者不能负偏离的条款，或者采购需求中带“</w:t>
      </w:r>
      <w:r>
        <w:rPr>
          <w:rFonts w:hint="eastAsia" w:ascii="宋体" w:hAnsi="宋体"/>
          <w:b/>
          <w:bCs/>
          <w:color w:val="auto"/>
          <w:szCs w:val="21"/>
          <w:highlight w:val="none"/>
        </w:rPr>
        <w:t>▲</w:t>
      </w:r>
      <w:r>
        <w:rPr>
          <w:rFonts w:hint="eastAsia" w:ascii="宋体" w:hAnsi="宋体"/>
          <w:b/>
          <w:color w:val="auto"/>
          <w:szCs w:val="21"/>
          <w:highlight w:val="none"/>
        </w:rPr>
        <w:t>”的条款。</w:t>
      </w:r>
    </w:p>
    <w:p w14:paraId="15A39B24">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40836F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0D5376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2.10</w:t>
      </w:r>
      <w:r>
        <w:rPr>
          <w:rFonts w:hint="eastAsia" w:ascii="宋体" w:hAnsi="宋体" w:cs="宋体"/>
          <w:color w:val="auto"/>
          <w:szCs w:val="21"/>
          <w:highlight w:val="none"/>
        </w:rPr>
        <w:t>“允许负偏离的条款”是指采购需求中的不属于“实质性要求”的条款。</w:t>
      </w:r>
    </w:p>
    <w:p w14:paraId="5601B5F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3.投标人的资格要求</w:t>
      </w:r>
    </w:p>
    <w:p w14:paraId="1AAFC6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投标人的资格要求详见“招标公告”。</w:t>
      </w:r>
    </w:p>
    <w:p w14:paraId="645D7A00">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4.投标委托</w:t>
      </w:r>
    </w:p>
    <w:p w14:paraId="711E49B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31FF952D">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5.投标费用</w:t>
      </w:r>
    </w:p>
    <w:p w14:paraId="350ABE22">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782CEF9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6.联合体投标</w:t>
      </w:r>
    </w:p>
    <w:p w14:paraId="6EEFB05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7C4D06F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32123530">
      <w:pPr>
        <w:spacing w:line="360" w:lineRule="auto"/>
        <w:ind w:firstLine="420" w:firstLineChars="200"/>
        <w:rPr>
          <w:rFonts w:ascii="Helvetica Neue"/>
          <w:color w:val="auto"/>
          <w:sz w:val="24"/>
          <w:highlight w:val="none"/>
          <w:shd w:val="clear" w:color="auto" w:fill="FFFFFF"/>
        </w:rPr>
      </w:pPr>
      <w:r>
        <w:rPr>
          <w:rFonts w:hint="eastAsia" w:ascii="宋体" w:hAnsi="宋体"/>
          <w:bCs/>
          <w:color w:val="auto"/>
          <w:szCs w:val="21"/>
          <w:highlight w:val="none"/>
        </w:rPr>
        <w:t>6.3根据《政府采购促进中小企业发展管理办法》（财库[2020]46号）第九条、</w:t>
      </w:r>
      <w:r>
        <w:rPr>
          <w:rFonts w:hint="eastAsia" w:ascii="宋体" w:hAnsi="宋体"/>
          <w:color w:val="auto"/>
          <w:szCs w:val="21"/>
          <w:highlight w:val="none"/>
        </w:rPr>
        <w:t>《广西壮族自治区财政厅关于进一步发挥政府采购政策功能促进企业发展的通知》（桂财采〔2022〕30号）及《广西壮族自治区财政厅广西壮族自治区工业和信息化厅转发财政部工业和信息化部政府采购促进中小企业发展管理办法的通知》（桂财采〔2021〕70号）</w:t>
      </w:r>
      <w:r>
        <w:rPr>
          <w:rFonts w:hint="eastAsia" w:ascii="宋体" w:hAnsi="宋体"/>
          <w:bCs/>
          <w:color w:val="auto"/>
          <w:szCs w:val="21"/>
          <w:highlight w:val="none"/>
        </w:rPr>
        <w:t>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14:paraId="7F8F301A">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7.转包与分包</w:t>
      </w:r>
    </w:p>
    <w:p w14:paraId="3335421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D3554E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206247D">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8.特别说明：</w:t>
      </w:r>
    </w:p>
    <w:p w14:paraId="60B2A6B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8.1如果本招标文件要求投标人提供资格、信誉、荣誉、业绩与企业认证等材料的，则投标人所提供的以上材料必须为投标人所拥有。</w:t>
      </w:r>
    </w:p>
    <w:p w14:paraId="40B2125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8.2投标人应仔细阅读招标文件的所有内容，按照招标文件的要求提交投标文件，并对所提供的全部资料的真实性承担法律责任。</w:t>
      </w:r>
    </w:p>
    <w:p w14:paraId="0A759FD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5D81E2F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9.回避与串通投标</w:t>
      </w:r>
    </w:p>
    <w:p w14:paraId="5AECA16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9.1在政府采购活动中，采购人员及相关人员与供应商有下列利害关系之一的，应当回避：</w:t>
      </w:r>
    </w:p>
    <w:p w14:paraId="42F8C270">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年内与供应商存在劳动关系；</w:t>
      </w:r>
    </w:p>
    <w:p w14:paraId="5C480A3E">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年内担任供应商的董事、监事；</w:t>
      </w:r>
    </w:p>
    <w:p w14:paraId="52BDD845">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年内是供应商的控股股东或者实际控制人；</w:t>
      </w:r>
    </w:p>
    <w:p w14:paraId="581EB08C">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）与供应商的法定代表人或者负责人有夫妻、直系血亲、三代以内旁系血亲或者近姻亲关系；</w:t>
      </w:r>
    </w:p>
    <w:p w14:paraId="2C67D0C3">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）与供应商有其他可能影响政府采购活动公平、公正进行的关系。</w:t>
      </w:r>
    </w:p>
    <w:p w14:paraId="25C0A3E1">
      <w:pPr>
        <w:spacing w:line="360" w:lineRule="auto"/>
        <w:ind w:firstLine="420" w:firstLineChars="200"/>
        <w:rPr>
          <w:rFonts w:hAnsi="宋体"/>
          <w:color w:val="auto"/>
          <w:highlight w:val="none"/>
        </w:rPr>
      </w:pPr>
      <w:r>
        <w:rPr>
          <w:rFonts w:hint="eastAsia" w:hAnsi="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A5BBC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9.2有下列情形之一的视为投标人相互串通投标，投标文件将被视为无效：</w:t>
      </w:r>
    </w:p>
    <w:p w14:paraId="5C675BBD">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1</w:t>
      </w:r>
      <w:r>
        <w:rPr>
          <w:rFonts w:hint="eastAsia" w:hAnsi="宋体"/>
          <w:b/>
          <w:color w:val="auto"/>
          <w:highlight w:val="none"/>
        </w:rPr>
        <w:t>）不同投标人的投标文件由同一单位或者个人编制；或者不同投标人报名的</w:t>
      </w:r>
      <w:r>
        <w:rPr>
          <w:rFonts w:hAnsi="宋体"/>
          <w:b/>
          <w:color w:val="auto"/>
          <w:highlight w:val="none"/>
        </w:rPr>
        <w:t>IP</w:t>
      </w:r>
      <w:r>
        <w:rPr>
          <w:rFonts w:hint="eastAsia" w:hAnsi="宋体"/>
          <w:b/>
          <w:color w:val="auto"/>
          <w:highlight w:val="none"/>
        </w:rPr>
        <w:t>地址一致的；或者不同投标人报名的</w:t>
      </w:r>
      <w:r>
        <w:rPr>
          <w:rFonts w:hAnsi="宋体"/>
          <w:b/>
          <w:color w:val="auto"/>
          <w:highlight w:val="none"/>
        </w:rPr>
        <w:t>IP</w:t>
      </w:r>
      <w:r>
        <w:rPr>
          <w:rFonts w:hint="eastAsia" w:hAnsi="宋体"/>
          <w:b/>
          <w:color w:val="auto"/>
          <w:highlight w:val="none"/>
        </w:rPr>
        <w:t>地址一致的；或者编制标书硬件设备</w:t>
      </w:r>
      <w:r>
        <w:rPr>
          <w:rFonts w:hAnsi="宋体"/>
          <w:b/>
          <w:color w:val="auto"/>
          <w:highlight w:val="none"/>
        </w:rPr>
        <w:t>CPU</w:t>
      </w:r>
      <w:r>
        <w:rPr>
          <w:rFonts w:hint="eastAsia" w:hAnsi="宋体"/>
          <w:b/>
          <w:color w:val="auto"/>
          <w:highlight w:val="none"/>
        </w:rPr>
        <w:t>编号、硬盘编号、网卡地址一致的情况。</w:t>
      </w:r>
    </w:p>
    <w:p w14:paraId="04375C3F">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2</w:t>
      </w:r>
      <w:r>
        <w:rPr>
          <w:rFonts w:hint="eastAsia" w:hAnsi="宋体"/>
          <w:b/>
          <w:color w:val="auto"/>
          <w:highlight w:val="none"/>
        </w:rPr>
        <w:t>）不同投标人委托同一单位或者个人办理投标事宜；</w:t>
      </w:r>
    </w:p>
    <w:p w14:paraId="5ADA96A8">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3</w:t>
      </w:r>
      <w:r>
        <w:rPr>
          <w:rFonts w:hint="eastAsia" w:hAnsi="宋体"/>
          <w:b/>
          <w:color w:val="auto"/>
          <w:highlight w:val="none"/>
        </w:rPr>
        <w:t>）不同的投标人的投标文件载明的项目管理员为同一个人；</w:t>
      </w:r>
    </w:p>
    <w:p w14:paraId="0ED28699">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4</w:t>
      </w:r>
      <w:r>
        <w:rPr>
          <w:rFonts w:hint="eastAsia" w:hAnsi="宋体"/>
          <w:b/>
          <w:color w:val="auto"/>
          <w:highlight w:val="none"/>
        </w:rPr>
        <w:t>）不同投标人的电子或纸质投标文件异常一致或者投标报价呈规律性差异；</w:t>
      </w:r>
    </w:p>
    <w:p w14:paraId="3D824DB6">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5</w:t>
      </w:r>
      <w:r>
        <w:rPr>
          <w:rFonts w:hint="eastAsia" w:hAnsi="宋体"/>
          <w:b/>
          <w:color w:val="auto"/>
          <w:highlight w:val="none"/>
        </w:rPr>
        <w:t>）不同投标人的纸质投标文件相互混装；</w:t>
      </w:r>
    </w:p>
    <w:p w14:paraId="4AEC067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9.3供应商有下列情形之一的，属于恶意串通行为，将报同级监督管理部门：</w:t>
      </w:r>
    </w:p>
    <w:p w14:paraId="5BC0409E">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）供应商直接或者间接从采购人或者采购代理机构处获得其他供应商的相关信息并修改其投标文件或者投标文件；</w:t>
      </w:r>
    </w:p>
    <w:p w14:paraId="797BDB3D">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）供应商按照采购人或者采购代理机构的授意撤换、修改投标文件或者投标文件；</w:t>
      </w:r>
    </w:p>
    <w:p w14:paraId="1F96BE4E">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）供应商之间协商报价、技术方案等投标文件或者投标文件的实质性内容；</w:t>
      </w:r>
    </w:p>
    <w:p w14:paraId="750F75A6">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）属于同一集团、协会、商会等组织成员的供应商按照该组织要求协同参加政府采购活动；</w:t>
      </w:r>
    </w:p>
    <w:p w14:paraId="6D214DCC">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）供应商之间事先约定一致抬高或者压低投标报价，或者在招标项目中事先约定轮流以高价位或者低价位中标，或者事先约定由某一特定供应商中标，然后再参加投标；</w:t>
      </w:r>
    </w:p>
    <w:p w14:paraId="31B28BEA">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）供应商之间商定部分供应商放弃参加政府采购活动或者放弃中标；</w:t>
      </w:r>
    </w:p>
    <w:p w14:paraId="29AE4CC7">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）供应商与采购人或者采购代理机构之间、供应商相互之间，为谋求特定供应商中标或者排斥其他供应商的其他串通行为。</w:t>
      </w:r>
    </w:p>
    <w:p w14:paraId="1EC42DAF">
      <w:pPr>
        <w:snapToGrid w:val="0"/>
        <w:spacing w:line="360" w:lineRule="auto"/>
        <w:ind w:left="2" w:leftChars="1" w:firstLine="422" w:firstLineChars="200"/>
        <w:rPr>
          <w:rFonts w:ascii="宋体" w:hAnsi="宋体"/>
          <w:b/>
          <w:color w:val="auto"/>
          <w:szCs w:val="20"/>
          <w:highlight w:val="none"/>
        </w:rPr>
      </w:pPr>
    </w:p>
    <w:p w14:paraId="67195FAC">
      <w:pPr>
        <w:spacing w:line="400" w:lineRule="exact"/>
        <w:ind w:firstLine="643" w:firstLineChars="200"/>
        <w:jc w:val="center"/>
        <w:rPr>
          <w:b/>
          <w:bCs/>
          <w:color w:val="auto"/>
          <w:sz w:val="32"/>
          <w:szCs w:val="32"/>
          <w:highlight w:val="none"/>
        </w:rPr>
      </w:pPr>
      <w:bookmarkStart w:id="17" w:name="_Toc89075995"/>
      <w:bookmarkStart w:id="18" w:name="_Toc110956110"/>
    </w:p>
    <w:p w14:paraId="5378462A">
      <w:pPr>
        <w:spacing w:line="400" w:lineRule="exact"/>
        <w:ind w:firstLine="643" w:firstLineChars="200"/>
        <w:jc w:val="center"/>
        <w:rPr>
          <w:b/>
          <w:bCs/>
          <w:color w:val="auto"/>
          <w:sz w:val="32"/>
          <w:szCs w:val="32"/>
          <w:highlight w:val="none"/>
        </w:rPr>
      </w:pPr>
    </w:p>
    <w:p w14:paraId="48289CB0">
      <w:pPr>
        <w:spacing w:line="400" w:lineRule="exact"/>
        <w:ind w:firstLine="3534" w:firstLineChars="1100"/>
        <w:outlineLvl w:val="2"/>
        <w:rPr>
          <w:b/>
          <w:bCs/>
          <w:color w:val="auto"/>
          <w:sz w:val="32"/>
          <w:szCs w:val="32"/>
          <w:highlight w:val="none"/>
        </w:rPr>
      </w:pPr>
      <w:bookmarkStart w:id="19" w:name="_Toc15536"/>
      <w:bookmarkStart w:id="20" w:name="_Toc6447"/>
      <w:bookmarkStart w:id="21" w:name="_Toc7073"/>
      <w:r>
        <w:rPr>
          <w:rFonts w:hint="eastAsia"/>
          <w:b/>
          <w:bCs/>
          <w:color w:val="auto"/>
          <w:sz w:val="32"/>
          <w:szCs w:val="32"/>
          <w:highlight w:val="none"/>
        </w:rPr>
        <w:t>二、招标文件</w:t>
      </w:r>
      <w:bookmarkEnd w:id="17"/>
      <w:bookmarkEnd w:id="18"/>
      <w:bookmarkEnd w:id="19"/>
      <w:bookmarkEnd w:id="20"/>
      <w:bookmarkEnd w:id="21"/>
    </w:p>
    <w:p w14:paraId="590FE733">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522572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第一章招标公告；</w:t>
      </w:r>
    </w:p>
    <w:p w14:paraId="01A6BD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第二章采购需求；</w:t>
      </w:r>
    </w:p>
    <w:p w14:paraId="74AF24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第三章投标人须知；</w:t>
      </w:r>
    </w:p>
    <w:p w14:paraId="7E11F3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第四章评标方法及评标标准；</w:t>
      </w:r>
    </w:p>
    <w:p w14:paraId="11AAD5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第五章拟签订的合同文本；</w:t>
      </w:r>
    </w:p>
    <w:p w14:paraId="61BA17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第六章投标文件格式；</w:t>
      </w:r>
    </w:p>
    <w:p w14:paraId="3B2ED8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第七章质疑、投诉材料格式</w:t>
      </w:r>
    </w:p>
    <w:p w14:paraId="0F2CE5DB">
      <w:pPr>
        <w:spacing w:line="360" w:lineRule="auto"/>
        <w:ind w:firstLine="420" w:firstLineChars="200"/>
        <w:rPr>
          <w:rFonts w:hAnsi="宋体"/>
          <w:color w:val="auto"/>
          <w:highlight w:val="none"/>
        </w:rPr>
      </w:pPr>
      <w:r>
        <w:rPr>
          <w:rFonts w:hint="eastAsia" w:hAnsi="宋体"/>
          <w:color w:val="auto"/>
          <w:highlight w:val="none"/>
        </w:rPr>
        <w:t>根据本章第</w:t>
      </w:r>
      <w:r>
        <w:rPr>
          <w:rFonts w:hAnsi="宋体"/>
          <w:color w:val="auto"/>
          <w:highlight w:val="none"/>
        </w:rPr>
        <w:t>11.1</w:t>
      </w:r>
      <w:r>
        <w:rPr>
          <w:rFonts w:hint="eastAsia" w:hAnsi="宋体"/>
          <w:color w:val="auto"/>
          <w:highlight w:val="none"/>
        </w:rPr>
        <w:t>项的规定对公开招标文件所做的澄清、修改，构成招标文件的组成部分。当公开招标文件与招标文件的澄清和修改就同一内容的表述不一致时，</w:t>
      </w:r>
      <w:r>
        <w:rPr>
          <w:rFonts w:hint="eastAsia"/>
          <w:color w:val="auto"/>
          <w:highlight w:val="none"/>
        </w:rPr>
        <w:t>以最后澄清或修改公告为准。</w:t>
      </w:r>
    </w:p>
    <w:p w14:paraId="487ABAE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11.招标文件的澄清、修改、现场考察和答疑会</w:t>
      </w:r>
    </w:p>
    <w:p w14:paraId="2761208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42A01D5">
      <w:pPr>
        <w:spacing w:line="360" w:lineRule="auto"/>
        <w:ind w:firstLine="420" w:firstLineChars="200"/>
        <w:rPr>
          <w:rFonts w:hAnsi="宋体"/>
          <w:color w:val="auto"/>
          <w:highlight w:val="none"/>
        </w:rPr>
      </w:pPr>
      <w:r>
        <w:rPr>
          <w:rFonts w:hAnsi="宋体"/>
          <w:color w:val="auto"/>
          <w:highlight w:val="none"/>
        </w:rPr>
        <w:t xml:space="preserve">11.2 </w:t>
      </w:r>
      <w:r>
        <w:rPr>
          <w:rFonts w:hint="eastAsia" w:hAnsi="宋体"/>
          <w:color w:val="auto"/>
          <w:highlight w:val="none"/>
        </w:rPr>
        <w:t>投标人应认真审阅本公开招标文件，如有疑问，或发现其中有误或有要求不合理的，应在投标人须知前附表规定的</w:t>
      </w:r>
      <w:r>
        <w:rPr>
          <w:rFonts w:hint="eastAsia" w:cs="宋体"/>
          <w:color w:val="auto"/>
          <w:kern w:val="0"/>
          <w:szCs w:val="21"/>
          <w:highlight w:val="none"/>
        </w:rPr>
        <w:t>投标截止时间</w:t>
      </w:r>
      <w:r>
        <w:rPr>
          <w:rFonts w:hint="eastAsia" w:hAnsi="宋体"/>
          <w:color w:val="auto"/>
          <w:highlight w:val="none"/>
        </w:rPr>
        <w:t>前以书面形式要求采购人或采购代理机构对招标文件予以澄清；否则，由此产生的后果由投标人自行负责。</w:t>
      </w:r>
    </w:p>
    <w:p w14:paraId="6A952EF4">
      <w:pPr>
        <w:spacing w:line="360" w:lineRule="auto"/>
        <w:ind w:firstLine="420" w:firstLineChars="200"/>
        <w:rPr>
          <w:color w:val="auto"/>
          <w:highlight w:val="none"/>
        </w:rPr>
      </w:pPr>
      <w:r>
        <w:rPr>
          <w:rFonts w:hAnsi="宋体"/>
          <w:color w:val="auto"/>
          <w:highlight w:val="none"/>
        </w:rPr>
        <w:t xml:space="preserve">11.3 </w:t>
      </w:r>
      <w:r>
        <w:rPr>
          <w:rFonts w:hint="eastAsia" w:hAnsi="宋体"/>
          <w:color w:val="auto"/>
          <w:highlight w:val="none"/>
        </w:rPr>
        <w:t>采购人或者采购代理机构可以对已发出的招标文件进行必要的澄清或者修改。澄清或者修改的内容可能影响投标文件编制的，采购人或者采购代理机构应当在投标截止时间至少</w:t>
      </w:r>
      <w:r>
        <w:rPr>
          <w:rFonts w:hAnsi="宋体"/>
          <w:color w:val="auto"/>
          <w:highlight w:val="none"/>
        </w:rPr>
        <w:t>15</w:t>
      </w:r>
      <w:r>
        <w:rPr>
          <w:rFonts w:hint="eastAsia" w:hAnsi="宋体"/>
          <w:color w:val="auto"/>
          <w:highlight w:val="none"/>
        </w:rPr>
        <w:t>日前，以书面形式通知</w:t>
      </w:r>
      <w:r>
        <w:rPr>
          <w:rFonts w:hAnsi="宋体"/>
          <w:color w:val="auto"/>
          <w:highlight w:val="none"/>
        </w:rPr>
        <w:t>(</w:t>
      </w:r>
      <w:r>
        <w:rPr>
          <w:rFonts w:hint="eastAsia" w:hAnsi="宋体"/>
          <w:color w:val="auto"/>
          <w:highlight w:val="none"/>
        </w:rPr>
        <w:t>在“</w:t>
      </w:r>
      <w:r>
        <w:rPr>
          <w:rFonts w:hint="eastAsia" w:hAnsi="宋体"/>
          <w:color w:val="auto"/>
          <w:szCs w:val="21"/>
          <w:highlight w:val="none"/>
        </w:rPr>
        <w:t>投标人须知前附表”</w:t>
      </w:r>
      <w:r>
        <w:rPr>
          <w:rFonts w:hint="eastAsia" w:hAnsi="宋体"/>
          <w:color w:val="auto"/>
          <w:highlight w:val="none"/>
        </w:rPr>
        <w:t>规定的政府采购信息发布媒体上发布更正公告及平台短信通知</w:t>
      </w:r>
      <w:r>
        <w:rPr>
          <w:rFonts w:hAnsi="宋体"/>
          <w:color w:val="auto"/>
          <w:highlight w:val="none"/>
        </w:rPr>
        <w:t>)</w:t>
      </w:r>
      <w:r>
        <w:rPr>
          <w:rFonts w:hint="eastAsia" w:hAnsi="宋体"/>
          <w:color w:val="auto"/>
          <w:highlight w:val="none"/>
        </w:rPr>
        <w:t>所有获取招标文件的潜在投标人；不足</w:t>
      </w:r>
      <w:r>
        <w:rPr>
          <w:rFonts w:hAnsi="宋体"/>
          <w:color w:val="auto"/>
          <w:highlight w:val="none"/>
        </w:rPr>
        <w:t>15</w:t>
      </w:r>
      <w:r>
        <w:rPr>
          <w:rFonts w:hint="eastAsia" w:hAnsi="宋体"/>
          <w:color w:val="auto"/>
          <w:highlight w:val="none"/>
        </w:rPr>
        <w:t>日的，采购人或者采购代理机构应当顺延提交投标文件的截止时间。发出的澄清或者修改不影响投标文件编制的也应在截标前</w:t>
      </w:r>
      <w:r>
        <w:rPr>
          <w:rFonts w:hAnsi="宋体"/>
          <w:color w:val="auto"/>
          <w:highlight w:val="none"/>
        </w:rPr>
        <w:t>3</w:t>
      </w:r>
      <w:r>
        <w:rPr>
          <w:rFonts w:hint="eastAsia" w:hAnsi="宋体"/>
          <w:color w:val="auto"/>
          <w:highlight w:val="none"/>
        </w:rPr>
        <w:t>日发出。</w:t>
      </w:r>
    </w:p>
    <w:p w14:paraId="78373A07">
      <w:pPr>
        <w:spacing w:line="360" w:lineRule="auto"/>
        <w:ind w:firstLine="420" w:firstLineChars="200"/>
        <w:rPr>
          <w:color w:val="auto"/>
          <w:highlight w:val="none"/>
        </w:rPr>
      </w:pPr>
      <w:r>
        <w:rPr>
          <w:rFonts w:hAnsi="宋体"/>
          <w:color w:val="auto"/>
          <w:highlight w:val="none"/>
        </w:rPr>
        <w:t xml:space="preserve">11.4 </w:t>
      </w:r>
      <w:r>
        <w:rPr>
          <w:rFonts w:hint="eastAsia"/>
          <w:color w:val="auto"/>
          <w:highlight w:val="none"/>
        </w:rPr>
        <w:t>采购人和采购代理机构可以视采购具体情况，变更投标截止时间和开标时间，将变更时间将在</w:t>
      </w:r>
      <w:r>
        <w:rPr>
          <w:rFonts w:hint="eastAsia" w:hAnsi="宋体"/>
          <w:color w:val="auto"/>
          <w:highlight w:val="none"/>
        </w:rPr>
        <w:t>“</w:t>
      </w:r>
      <w:r>
        <w:rPr>
          <w:rFonts w:hint="eastAsia" w:hAnsi="宋体"/>
          <w:color w:val="auto"/>
          <w:szCs w:val="21"/>
          <w:highlight w:val="none"/>
        </w:rPr>
        <w:t>投标人须知前附表”</w:t>
      </w:r>
      <w:r>
        <w:rPr>
          <w:rFonts w:hint="eastAsia" w:cs="宋体"/>
          <w:color w:val="auto"/>
          <w:kern w:val="0"/>
          <w:szCs w:val="21"/>
          <w:highlight w:val="none"/>
        </w:rPr>
        <w:t>规定的政府采购信息发布媒体上</w:t>
      </w:r>
      <w:r>
        <w:rPr>
          <w:rFonts w:hint="eastAsia"/>
          <w:color w:val="auto"/>
          <w:highlight w:val="none"/>
        </w:rPr>
        <w:t>发布更正公告。</w:t>
      </w:r>
    </w:p>
    <w:p w14:paraId="79BA1441">
      <w:pPr>
        <w:spacing w:line="360" w:lineRule="auto"/>
        <w:ind w:firstLine="420" w:firstLineChars="200"/>
        <w:rPr>
          <w:rFonts w:hAnsi="宋体"/>
          <w:color w:val="auto"/>
          <w:highlight w:val="none"/>
        </w:rPr>
      </w:pPr>
      <w:r>
        <w:rPr>
          <w:rFonts w:hAnsi="宋体"/>
          <w:color w:val="auto"/>
          <w:highlight w:val="none"/>
        </w:rPr>
        <w:t>11.5</w:t>
      </w:r>
      <w:r>
        <w:rPr>
          <w:rFonts w:hint="eastAsia" w:hAnsi="宋体"/>
          <w:color w:val="auto"/>
          <w:highlight w:val="none"/>
        </w:rPr>
        <w:t>采购人或者采购代理机构可以在招标文件提供期限截止后，组织已获取招标文件的潜在投标人现场考察或者召开开标前答疑会，具体详见“投标人须知前附表”。</w:t>
      </w:r>
    </w:p>
    <w:p w14:paraId="72A7E93D">
      <w:pPr>
        <w:spacing w:line="400" w:lineRule="exact"/>
        <w:ind w:firstLine="643" w:firstLineChars="200"/>
        <w:jc w:val="center"/>
        <w:rPr>
          <w:b/>
          <w:bCs/>
          <w:color w:val="auto"/>
          <w:sz w:val="32"/>
          <w:szCs w:val="32"/>
          <w:highlight w:val="none"/>
        </w:rPr>
      </w:pPr>
      <w:bookmarkStart w:id="22" w:name="_Toc89075996"/>
      <w:bookmarkStart w:id="23" w:name="_Toc110956111"/>
    </w:p>
    <w:p w14:paraId="2EABAB18">
      <w:pPr>
        <w:spacing w:line="400" w:lineRule="exact"/>
        <w:ind w:firstLine="643" w:firstLineChars="200"/>
        <w:jc w:val="center"/>
        <w:rPr>
          <w:b/>
          <w:bCs/>
          <w:color w:val="auto"/>
          <w:sz w:val="32"/>
          <w:szCs w:val="32"/>
          <w:highlight w:val="none"/>
        </w:rPr>
      </w:pPr>
    </w:p>
    <w:p w14:paraId="0ACF7AC8">
      <w:pPr>
        <w:spacing w:line="400" w:lineRule="exact"/>
        <w:ind w:firstLine="643" w:firstLineChars="200"/>
        <w:jc w:val="center"/>
        <w:outlineLvl w:val="2"/>
        <w:rPr>
          <w:b/>
          <w:bCs/>
          <w:color w:val="auto"/>
          <w:sz w:val="32"/>
          <w:szCs w:val="32"/>
          <w:highlight w:val="none"/>
        </w:rPr>
      </w:pPr>
      <w:bookmarkStart w:id="24" w:name="_Toc24324"/>
      <w:bookmarkStart w:id="25" w:name="_Toc32250"/>
      <w:bookmarkStart w:id="26" w:name="_Toc29198"/>
      <w:r>
        <w:rPr>
          <w:rFonts w:hint="eastAsia"/>
          <w:b/>
          <w:bCs/>
          <w:color w:val="auto"/>
          <w:sz w:val="32"/>
          <w:szCs w:val="32"/>
          <w:highlight w:val="none"/>
        </w:rPr>
        <w:t>三、投标文件的编制</w:t>
      </w:r>
      <w:bookmarkEnd w:id="22"/>
      <w:bookmarkEnd w:id="23"/>
      <w:bookmarkEnd w:id="24"/>
      <w:bookmarkEnd w:id="25"/>
      <w:bookmarkEnd w:id="26"/>
    </w:p>
    <w:p w14:paraId="54A613E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12.投标文件的编制原则</w:t>
      </w:r>
    </w:p>
    <w:p w14:paraId="0257AA6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12.1投标人必须按照招标文件的要求编制投标文件。投标文件必须对招标文件提出的要求和条件作出明确响应。</w:t>
      </w:r>
    </w:p>
    <w:p w14:paraId="78308DC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79BAED4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13.投标文件的组成</w:t>
      </w:r>
    </w:p>
    <w:p w14:paraId="132D5D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13.1投标文件由报价文件、资格证明文件、商务文件、技术文件四部分组成。</w:t>
      </w:r>
    </w:p>
    <w:p w14:paraId="4E75B8A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（1）资格证明文件：具体材料见“投标人须知前附表”。</w:t>
      </w:r>
    </w:p>
    <w:p w14:paraId="1538C2D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（2）商务文件：具体材料见“投标人须知前附表”。</w:t>
      </w:r>
    </w:p>
    <w:p w14:paraId="3D96ACF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（3）技术文件：具体材料见“投标人须知前附表”。</w:t>
      </w:r>
    </w:p>
    <w:p w14:paraId="5876157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（4）报价文件：具体材料见“投标人须知前附表”。</w:t>
      </w:r>
    </w:p>
    <w:p w14:paraId="45221D4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13.2投标文件电子版：具体要求见本节19.投标文件编制。</w:t>
      </w:r>
    </w:p>
    <w:p w14:paraId="48C9ABE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14.投标文件的语言及计量</w:t>
      </w:r>
    </w:p>
    <w:p w14:paraId="7BD4432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14.1语言文字</w:t>
      </w:r>
    </w:p>
    <w:p w14:paraId="1920727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CD4875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14.2投标计量单位</w:t>
      </w:r>
    </w:p>
    <w:p w14:paraId="5059DAD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222D6511">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15.投标的风险</w:t>
      </w:r>
    </w:p>
    <w:p w14:paraId="428AF36D">
      <w:pPr>
        <w:spacing w:line="360" w:lineRule="auto"/>
        <w:ind w:firstLine="420" w:firstLineChars="200"/>
        <w:rPr>
          <w:rFonts w:hAnsi="宋体"/>
          <w:b/>
          <w:bCs/>
          <w:color w:val="auto"/>
          <w:highlight w:val="none"/>
        </w:rPr>
      </w:pPr>
      <w:r>
        <w:rPr>
          <w:rFonts w:hint="eastAsia" w:hAnsi="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hAnsi="宋体"/>
          <w:b/>
          <w:bCs/>
          <w:color w:val="auto"/>
          <w:highlight w:val="none"/>
        </w:rPr>
        <w:t>投标文件未按规定的格式编制的、没有按照招标文件要求提供全部资料、没有对招标文件作出实质性响应，投标无效；</w:t>
      </w:r>
    </w:p>
    <w:p w14:paraId="67A9638D">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16.投标报价</w:t>
      </w:r>
    </w:p>
    <w:p w14:paraId="685D18F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5692FE5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16.2投标报价具体包括内容详见“投标人须知前附表”。</w:t>
      </w:r>
    </w:p>
    <w:p w14:paraId="603518B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16.3投标人必须就所投每个分标的全部内容分别作完整唯一总价报价，不得存在漏项报价；投标人必须就所投分标的单项内容作唯一报价。</w:t>
      </w:r>
    </w:p>
    <w:p w14:paraId="70010F2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17.投标有效期</w:t>
      </w:r>
    </w:p>
    <w:p w14:paraId="73AEFE4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1B5D726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17.2投标有效期应按规定的期限作出承诺，具体详见“投标人须知前附表”。</w:t>
      </w:r>
    </w:p>
    <w:p w14:paraId="6AFAFBC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17.3投标人的投标文件在投标有效期内均保持有效。</w:t>
      </w:r>
    </w:p>
    <w:p w14:paraId="399A3F76">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18.投标保证金</w:t>
      </w:r>
    </w:p>
    <w:p w14:paraId="6D816C0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见“投标人须知前附表”。</w:t>
      </w:r>
    </w:p>
    <w:p w14:paraId="19194FE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19.投标文件的编制</w:t>
      </w:r>
    </w:p>
    <w:p w14:paraId="7B1B66B2">
      <w:pPr>
        <w:spacing w:line="360" w:lineRule="auto"/>
        <w:ind w:firstLine="420" w:firstLineChars="200"/>
        <w:rPr>
          <w:rFonts w:hAnsi="宋体"/>
          <w:color w:val="auto"/>
          <w:szCs w:val="21"/>
          <w:highlight w:val="none"/>
        </w:rPr>
      </w:pPr>
      <w:r>
        <w:rPr>
          <w:rFonts w:hAnsi="宋体"/>
          <w:color w:val="auto"/>
          <w:szCs w:val="21"/>
          <w:highlight w:val="none"/>
        </w:rPr>
        <w:t>19.1</w:t>
      </w:r>
      <w:r>
        <w:rPr>
          <w:rFonts w:hint="eastAsia" w:hAnsi="宋体"/>
          <w:color w:val="auto"/>
          <w:szCs w:val="21"/>
          <w:highlight w:val="none"/>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653FBEB0">
      <w:pPr>
        <w:adjustRightInd w:val="0"/>
        <w:snapToGrid w:val="0"/>
        <w:spacing w:line="360" w:lineRule="auto"/>
        <w:ind w:firstLine="420" w:firstLineChars="200"/>
        <w:rPr>
          <w:rFonts w:hAnsi="宋体"/>
          <w:color w:val="auto"/>
          <w:szCs w:val="21"/>
          <w:highlight w:val="none"/>
        </w:rPr>
      </w:pPr>
      <w:r>
        <w:rPr>
          <w:rFonts w:hAnsi="宋体"/>
          <w:color w:val="auto"/>
          <w:szCs w:val="21"/>
          <w:highlight w:val="none"/>
        </w:rPr>
        <w:t>19.2</w:t>
      </w:r>
      <w:r>
        <w:rPr>
          <w:rFonts w:hint="eastAsia" w:hAnsi="宋体"/>
          <w:color w:val="auto"/>
          <w:szCs w:val="21"/>
          <w:highlight w:val="none"/>
        </w:rPr>
        <w:t>投标文件按照招标文件第六章格式要求在规定位置进行签署、盖章。投标人的投标文件未按照招标文件要求签署、盖章的，</w:t>
      </w:r>
      <w:r>
        <w:rPr>
          <w:rFonts w:hint="eastAsia" w:hAnsi="宋体"/>
          <w:b/>
          <w:color w:val="auto"/>
          <w:szCs w:val="21"/>
          <w:highlight w:val="none"/>
        </w:rPr>
        <w:t>其投标无效。</w:t>
      </w:r>
      <w:r>
        <w:rPr>
          <w:rFonts w:hint="eastAsia" w:hAnsi="宋体"/>
          <w:color w:val="auto"/>
          <w:szCs w:val="21"/>
          <w:highlight w:val="none"/>
        </w:rPr>
        <w:t>骑缝盖公章不视为在规定位置盖章。</w:t>
      </w:r>
    </w:p>
    <w:p w14:paraId="598341E0">
      <w:pPr>
        <w:adjustRightInd w:val="0"/>
        <w:snapToGrid w:val="0"/>
        <w:spacing w:line="360" w:lineRule="auto"/>
        <w:ind w:firstLine="420" w:firstLineChars="200"/>
        <w:rPr>
          <w:rFonts w:hAnsi="宋体"/>
          <w:color w:val="auto"/>
          <w:szCs w:val="21"/>
          <w:highlight w:val="none"/>
        </w:rPr>
      </w:pPr>
      <w:r>
        <w:rPr>
          <w:rFonts w:hAnsi="宋体"/>
          <w:color w:val="auto"/>
          <w:szCs w:val="21"/>
          <w:highlight w:val="none"/>
        </w:rPr>
        <w:t>19.3</w:t>
      </w:r>
      <w:r>
        <w:rPr>
          <w:rFonts w:hint="eastAsia" w:hAnsi="宋体"/>
          <w:color w:val="auto"/>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1B83035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olor w:val="auto"/>
          <w:szCs w:val="21"/>
          <w:highlight w:val="none"/>
        </w:rPr>
        <w:t>否则作无效投标处理</w:t>
      </w:r>
      <w:r>
        <w:rPr>
          <w:rFonts w:hint="eastAsia" w:ascii="宋体" w:hAnsi="宋体"/>
          <w:b/>
          <w:color w:val="auto"/>
          <w:szCs w:val="21"/>
          <w:highlight w:val="none"/>
        </w:rPr>
        <w:t>。</w:t>
      </w:r>
    </w:p>
    <w:p w14:paraId="0C242010">
      <w:pPr>
        <w:spacing w:line="360" w:lineRule="auto"/>
        <w:ind w:firstLine="420" w:firstLineChars="200"/>
        <w:rPr>
          <w:rFonts w:ascii="宋体" w:hAnsi="宋体" w:cs="宋体"/>
          <w:b/>
          <w:color w:val="auto"/>
          <w:szCs w:val="21"/>
          <w:highlight w:val="none"/>
        </w:rPr>
      </w:pPr>
      <w:r>
        <w:rPr>
          <w:rFonts w:hAnsi="宋体"/>
          <w:color w:val="auto"/>
          <w:szCs w:val="21"/>
          <w:highlight w:val="none"/>
        </w:rPr>
        <w:t xml:space="preserve"> 19.5</w:t>
      </w:r>
      <w:r>
        <w:rPr>
          <w:rFonts w:hint="eastAsia" w:hAnsi="宋体"/>
          <w:color w:val="auto"/>
          <w:szCs w:val="21"/>
          <w:highlight w:val="none"/>
        </w:rPr>
        <w:t>投标文件应避免涂改、行间插字或者删除，</w:t>
      </w:r>
      <w:r>
        <w:rPr>
          <w:rFonts w:hint="eastAsia" w:ascii="宋体" w:hAnsi="宋体" w:cs="宋体"/>
          <w:b/>
          <w:color w:val="auto"/>
          <w:szCs w:val="21"/>
          <w:highlight w:val="none"/>
        </w:rPr>
        <w:t>否则其投标无效。</w:t>
      </w:r>
    </w:p>
    <w:p w14:paraId="60EEB82A">
      <w:pPr>
        <w:spacing w:line="360" w:lineRule="auto"/>
        <w:ind w:firstLine="520" w:firstLineChars="248"/>
        <w:rPr>
          <w:rFonts w:hAnsi="宋体"/>
          <w:color w:val="auto"/>
          <w:highlight w:val="none"/>
        </w:rPr>
      </w:pPr>
      <w:r>
        <w:rPr>
          <w:rFonts w:hAnsi="宋体"/>
          <w:color w:val="auto"/>
          <w:highlight w:val="none"/>
        </w:rPr>
        <w:t xml:space="preserve">19.6 </w:t>
      </w:r>
      <w:r>
        <w:rPr>
          <w:rFonts w:hint="eastAsia" w:hAnsi="宋体"/>
          <w:color w:val="auto"/>
          <w:highlight w:val="none"/>
        </w:rPr>
        <w:t>对招标文件的实质性要求和条件作出响应是指投标人必须对招标文件中标注为实质性要求和条件的</w:t>
      </w:r>
      <w:r>
        <w:rPr>
          <w:rFonts w:hint="eastAsia"/>
          <w:color w:val="auto"/>
          <w:szCs w:val="21"/>
          <w:highlight w:val="none"/>
        </w:rPr>
        <w:t>货物内容及要求</w:t>
      </w:r>
      <w:r>
        <w:rPr>
          <w:rFonts w:hint="eastAsia" w:hAnsi="宋体"/>
          <w:color w:val="auto"/>
          <w:highlight w:val="none"/>
        </w:rPr>
        <w:t>、商务条款及其它内容</w:t>
      </w:r>
      <w:r>
        <w:rPr>
          <w:rFonts w:hint="eastAsia"/>
          <w:b/>
          <w:color w:val="auto"/>
          <w:highlight w:val="none"/>
        </w:rPr>
        <w:t>作出满足或者优于原要求和条件的承诺</w:t>
      </w:r>
      <w:r>
        <w:rPr>
          <w:rFonts w:hint="eastAsia"/>
          <w:color w:val="auto"/>
          <w:highlight w:val="none"/>
        </w:rPr>
        <w:t>。</w:t>
      </w:r>
    </w:p>
    <w:p w14:paraId="411BFF7F">
      <w:pPr>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19.7本项目为南宁市全流程电子化项目，异常情况见“第二节投标人须知正文”中“四、24.2开标程序。</w:t>
      </w:r>
    </w:p>
    <w:p w14:paraId="6A25759D">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20.备份投标文件</w:t>
      </w:r>
    </w:p>
    <w:p w14:paraId="3A1DF701">
      <w:pPr>
        <w:spacing w:line="360" w:lineRule="auto"/>
        <w:ind w:firstLine="420" w:firstLineChars="200"/>
        <w:rPr>
          <w:rFonts w:ascii="黑体" w:hAnsi="黑体" w:eastAsia="黑体"/>
          <w:color w:val="auto"/>
          <w:sz w:val="24"/>
          <w:highlight w:val="none"/>
        </w:rPr>
      </w:pPr>
      <w:r>
        <w:rPr>
          <w:rFonts w:hint="eastAsia" w:hAnsi="宋体"/>
          <w:bCs/>
          <w:color w:val="auto"/>
          <w:szCs w:val="21"/>
          <w:highlight w:val="none"/>
        </w:rPr>
        <w:t>详见在“投标人须知前附表”。</w:t>
      </w:r>
    </w:p>
    <w:p w14:paraId="2A99BB9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66BDEAEA">
      <w:pPr>
        <w:spacing w:line="360" w:lineRule="auto"/>
        <w:ind w:firstLine="420" w:firstLineChars="200"/>
        <w:rPr>
          <w:rFonts w:hAnsi="宋体"/>
          <w:b/>
          <w:color w:val="auto"/>
          <w:highlight w:val="none"/>
        </w:rPr>
      </w:pPr>
      <w:r>
        <w:rPr>
          <w:rFonts w:hAnsi="宋体"/>
          <w:bCs/>
          <w:color w:val="auto"/>
          <w:szCs w:val="21"/>
          <w:highlight w:val="none"/>
        </w:rPr>
        <w:t>21.1</w:t>
      </w:r>
      <w:r>
        <w:rPr>
          <w:rFonts w:hint="eastAsia" w:hAnsi="宋体"/>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 xml:space="preserve">认证锁）进行电子签章、加密，然后通过网络将加密的电子投标文件递交至“广西政府采购云平台”。 </w:t>
      </w:r>
      <w:r>
        <w:rPr>
          <w:rFonts w:hint="eastAsia" w:hAnsi="宋体"/>
          <w:b/>
          <w:color w:val="auto"/>
          <w:highlight w:val="none"/>
        </w:rPr>
        <w:t xml:space="preserve"> </w:t>
      </w:r>
    </w:p>
    <w:p w14:paraId="1EE9FE28">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21.2未在规定时间内提交或者未按照招标文件要求密封或者标记的电子投标文件，“广西政府采购云平台”将拒收。</w:t>
      </w:r>
    </w:p>
    <w:p w14:paraId="11C814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21.3电子版投标文件提交方式见“招标公告”中“四、提交投标文件截止时间、开标时间和地点”</w:t>
      </w:r>
      <w:r>
        <w:rPr>
          <w:rFonts w:hint="eastAsia" w:ascii="宋体" w:hAnsi="宋体"/>
          <w:b/>
          <w:color w:val="auto"/>
          <w:szCs w:val="21"/>
          <w:highlight w:val="none"/>
        </w:rPr>
        <w:t>。</w:t>
      </w:r>
    </w:p>
    <w:p w14:paraId="43CC44F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0E7FC2AE">
      <w:pPr>
        <w:spacing w:line="360" w:lineRule="auto"/>
        <w:ind w:firstLine="420" w:firstLineChars="200"/>
        <w:rPr>
          <w:rFonts w:ascii="黑体" w:hAnsi="黑体" w:eastAsia="黑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565C5118">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p w14:paraId="2E9FF5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22.3在投标截止时间止提交电子版投标文件的投标人不足3家时，电子版投标文件由代理机构在“广西政府采购云平台”平台操作退回，除此之外采购人和采购代理机构对已提交的投标文件概不退回。</w:t>
      </w:r>
    </w:p>
    <w:p w14:paraId="4991DD1E">
      <w:pPr>
        <w:snapToGrid w:val="0"/>
        <w:spacing w:line="400" w:lineRule="exact"/>
        <w:ind w:firstLine="739"/>
        <w:rPr>
          <w:rFonts w:ascii="宋体" w:hAnsi="宋体"/>
          <w:snapToGrid w:val="0"/>
          <w:color w:val="auto"/>
          <w:spacing w:val="-4"/>
          <w:szCs w:val="21"/>
          <w:highlight w:val="none"/>
        </w:rPr>
      </w:pPr>
    </w:p>
    <w:p w14:paraId="7BDC9B71">
      <w:pPr>
        <w:spacing w:line="400" w:lineRule="exact"/>
        <w:ind w:firstLine="643" w:firstLineChars="200"/>
        <w:jc w:val="center"/>
        <w:outlineLvl w:val="2"/>
        <w:rPr>
          <w:b/>
          <w:bCs/>
          <w:color w:val="auto"/>
          <w:sz w:val="32"/>
          <w:szCs w:val="32"/>
          <w:highlight w:val="none"/>
        </w:rPr>
      </w:pPr>
      <w:bookmarkStart w:id="27" w:name="_Toc22094"/>
      <w:bookmarkStart w:id="28" w:name="_Toc5909"/>
      <w:bookmarkStart w:id="29" w:name="_Toc110956112"/>
      <w:bookmarkStart w:id="30" w:name="_Toc89075997"/>
      <w:bookmarkStart w:id="31" w:name="_Toc10737"/>
      <w:r>
        <w:rPr>
          <w:rFonts w:hint="eastAsia"/>
          <w:b/>
          <w:bCs/>
          <w:color w:val="auto"/>
          <w:sz w:val="32"/>
          <w:szCs w:val="32"/>
          <w:highlight w:val="none"/>
        </w:rPr>
        <w:t>四、开标</w:t>
      </w:r>
      <w:bookmarkEnd w:id="27"/>
      <w:bookmarkEnd w:id="28"/>
      <w:bookmarkEnd w:id="29"/>
      <w:bookmarkEnd w:id="30"/>
      <w:bookmarkEnd w:id="31"/>
    </w:p>
    <w:p w14:paraId="59442C3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23.开标时间和地点</w:t>
      </w:r>
    </w:p>
    <w:p w14:paraId="2760549B">
      <w:pPr>
        <w:spacing w:line="360" w:lineRule="auto"/>
        <w:ind w:firstLine="420" w:firstLineChars="200"/>
        <w:rPr>
          <w:rFonts w:hAnsi="宋体"/>
          <w:bCs/>
          <w:color w:val="auto"/>
          <w:highlight w:val="none"/>
        </w:rPr>
      </w:pPr>
      <w:r>
        <w:rPr>
          <w:rFonts w:hAnsi="宋体"/>
          <w:bCs/>
          <w:color w:val="auto"/>
          <w:highlight w:val="none"/>
        </w:rPr>
        <w:t>23.1</w:t>
      </w:r>
      <w:r>
        <w:rPr>
          <w:rFonts w:hint="eastAsia" w:hAnsi="宋体"/>
          <w:bCs/>
          <w:color w:val="auto"/>
          <w:highlight w:val="none"/>
        </w:rPr>
        <w:t>开标时间及地点详见“投标人须知前附表”</w:t>
      </w:r>
    </w:p>
    <w:p w14:paraId="359A7B00">
      <w:pPr>
        <w:spacing w:line="360" w:lineRule="auto"/>
        <w:ind w:firstLine="420" w:firstLineChars="200"/>
        <w:rPr>
          <w:color w:val="auto"/>
          <w:highlight w:val="none"/>
        </w:rPr>
      </w:pPr>
      <w:r>
        <w:rPr>
          <w:rFonts w:hAnsi="宋体"/>
          <w:color w:val="auto"/>
          <w:highlight w:val="none"/>
        </w:rPr>
        <w:t>23.2</w:t>
      </w:r>
      <w:r>
        <w:rPr>
          <w:rFonts w:hint="eastAsia" w:hAnsi="宋体"/>
          <w:color w:val="auto"/>
          <w:highlight w:val="none"/>
        </w:rPr>
        <w:t>如</w:t>
      </w:r>
      <w:r>
        <w:rPr>
          <w:rFonts w:hint="eastAsia" w:hAnsi="宋体"/>
          <w:bCs/>
          <w:color w:val="auto"/>
          <w:highlight w:val="none"/>
        </w:rPr>
        <w:t>投标人成功解密投标文件，但未在</w:t>
      </w:r>
      <w:r>
        <w:rPr>
          <w:rFonts w:hint="eastAsia" w:ascii="宋体" w:hAnsi="宋体"/>
          <w:bCs/>
          <w:color w:val="auto"/>
          <w:szCs w:val="21"/>
          <w:highlight w:val="none"/>
        </w:rPr>
        <w:t>“广西政府采购云平台”</w:t>
      </w:r>
      <w:r>
        <w:rPr>
          <w:rFonts w:hint="eastAsia" w:hAnsi="宋体"/>
          <w:bCs/>
          <w:color w:val="auto"/>
          <w:highlight w:val="none"/>
        </w:rPr>
        <w:t>电子开标大厅参加开标的，视同认可开标过程和结果，</w:t>
      </w:r>
      <w:r>
        <w:rPr>
          <w:rFonts w:hint="eastAsia" w:hAnsi="宋体"/>
          <w:color w:val="auto"/>
          <w:highlight w:val="none"/>
        </w:rPr>
        <w:t>由此产生的后果由投标人自行负责。</w:t>
      </w:r>
      <w:r>
        <w:rPr>
          <w:rFonts w:hint="eastAsia"/>
          <w:color w:val="auto"/>
          <w:highlight w:val="none"/>
        </w:rPr>
        <w:t>投标人不足</w:t>
      </w:r>
      <w:r>
        <w:rPr>
          <w:color w:val="auto"/>
          <w:highlight w:val="none"/>
        </w:rPr>
        <w:t>3</w:t>
      </w:r>
      <w:r>
        <w:rPr>
          <w:rFonts w:hint="eastAsia"/>
          <w:color w:val="auto"/>
          <w:highlight w:val="none"/>
        </w:rPr>
        <w:t>家的，不得开标。</w:t>
      </w:r>
    </w:p>
    <w:p w14:paraId="026D8DCA">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3FE5293E">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556C0578">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2C1AA430">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51985E1">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24.2开标程序：</w:t>
      </w:r>
    </w:p>
    <w:p w14:paraId="0F31C44F">
      <w:pPr>
        <w:snapToGrid w:val="0"/>
        <w:spacing w:line="440" w:lineRule="exact"/>
        <w:ind w:firstLine="422" w:firstLineChars="200"/>
        <w:rPr>
          <w:rFonts w:ascii="宋体" w:hAnsi="宋体"/>
          <w:color w:val="auto"/>
          <w:szCs w:val="21"/>
          <w:highlight w:val="none"/>
        </w:rPr>
      </w:pPr>
      <w:r>
        <w:rPr>
          <w:rFonts w:hint="eastAsia" w:ascii="宋体" w:hAnsi="宋体"/>
          <w:b/>
          <w:color w:val="auto"/>
          <w:szCs w:val="21"/>
          <w:highlight w:val="none"/>
        </w:rPr>
        <w:t>（1）解密电子投标文件。</w:t>
      </w:r>
      <w:r>
        <w:rPr>
          <w:rFonts w:hint="eastAsia" w:ascii="宋体" w:hAnsi="宋体"/>
          <w:bCs/>
          <w:color w:val="auto"/>
          <w:szCs w:val="21"/>
          <w:highlight w:val="none"/>
        </w:rPr>
        <w:t>“广西政府采购云平台”</w:t>
      </w:r>
      <w:r>
        <w:rPr>
          <w:rFonts w:hint="eastAsia" w:ascii="宋体" w:hAnsi="宋体" w:cs="仿宋_GB2312"/>
          <w:color w:val="auto"/>
          <w:szCs w:val="21"/>
          <w:highlight w:val="none"/>
        </w:rPr>
        <w:t>按开标时间自动提取所有投标文件。采购代理机构依托</w:t>
      </w:r>
      <w:r>
        <w:rPr>
          <w:rFonts w:hint="eastAsia" w:ascii="宋体" w:hAnsi="宋体"/>
          <w:bCs/>
          <w:color w:val="auto"/>
          <w:szCs w:val="21"/>
          <w:highlight w:val="none"/>
        </w:rPr>
        <w:t>“广西政府采购云平台”</w:t>
      </w:r>
      <w:r>
        <w:rPr>
          <w:rFonts w:hint="eastAsia" w:ascii="宋体" w:hAnsi="宋体"/>
          <w:color w:val="auto"/>
          <w:szCs w:val="21"/>
          <w:highlight w:val="none"/>
        </w:rPr>
        <w:t>向各投标人发出电子加密投标文件【开始解密】通知，由投标人按招标文件规定的时间内自行进行投标文件解密。投标人的法定代表人或其委托代理人</w:t>
      </w:r>
      <w:r>
        <w:rPr>
          <w:rFonts w:hint="eastAsia" w:ascii="宋体" w:hAnsi="宋体"/>
          <w:b/>
          <w:color w:val="auto"/>
          <w:szCs w:val="21"/>
          <w:highlight w:val="none"/>
        </w:rPr>
        <w:t>须携带加密时所用的CA锁准时登录到“广西政府采购云平台”电子开标大厅签到并对电子投标文件解密</w:t>
      </w:r>
      <w:r>
        <w:rPr>
          <w:rFonts w:hint="eastAsia" w:ascii="宋体" w:hAnsi="宋体"/>
          <w:color w:val="auto"/>
          <w:szCs w:val="21"/>
          <w:highlight w:val="none"/>
        </w:rPr>
        <w:t>。开标后5分钟投标人还未进行解密的，代理机构要通知投标人。通知后，</w:t>
      </w:r>
      <w:r>
        <w:rPr>
          <w:rFonts w:hint="eastAsia" w:ascii="宋体" w:hAnsi="宋体" w:cs="仿宋_GB2312"/>
          <w:color w:val="auto"/>
          <w:szCs w:val="21"/>
          <w:highlight w:val="none"/>
        </w:rPr>
        <w:t>投标文件仍未按时解密，</w:t>
      </w:r>
      <w:r>
        <w:rPr>
          <w:rFonts w:hint="eastAsia" w:ascii="宋体" w:hAnsi="宋体"/>
          <w:color w:val="auto"/>
          <w:szCs w:val="21"/>
          <w:highlight w:val="none"/>
        </w:rPr>
        <w:t>或者投标人没预留联系方式或预留联系方式无效，导致代理机构无法联系到投标人进行解密的，</w:t>
      </w:r>
      <w:r>
        <w:rPr>
          <w:rFonts w:hint="eastAsia" w:ascii="宋体" w:hAnsi="宋体"/>
          <w:b/>
          <w:color w:val="auto"/>
          <w:szCs w:val="21"/>
          <w:highlight w:val="none"/>
        </w:rPr>
        <w:t>均视为无效投标。</w:t>
      </w:r>
    </w:p>
    <w:p w14:paraId="0344CDB0">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（解密</w:t>
      </w:r>
      <w:r>
        <w:rPr>
          <w:rFonts w:hint="eastAsia" w:ascii="宋体" w:hAnsi="宋体"/>
          <w:bCs/>
          <w:color w:val="auto"/>
          <w:szCs w:val="21"/>
          <w:highlight w:val="none"/>
        </w:rPr>
        <w:t>异常情况处理：详见本章</w:t>
      </w:r>
      <w:r>
        <w:rPr>
          <w:rFonts w:hint="eastAsia" w:ascii="宋体" w:hAnsi="宋体"/>
          <w:color w:val="auto"/>
          <w:szCs w:val="20"/>
          <w:highlight w:val="none"/>
        </w:rPr>
        <w:t>29.3 电子交易活动的中止。</w:t>
      </w:r>
      <w:r>
        <w:rPr>
          <w:rFonts w:hint="eastAsia" w:ascii="宋体" w:hAnsi="宋体"/>
          <w:color w:val="auto"/>
          <w:szCs w:val="21"/>
          <w:highlight w:val="none"/>
        </w:rPr>
        <w:t>）</w:t>
      </w:r>
    </w:p>
    <w:p w14:paraId="01939B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电子唱标。</w:t>
      </w:r>
      <w:r>
        <w:rPr>
          <w:rFonts w:hint="eastAsia" w:ascii="宋体" w:hAnsi="宋体"/>
          <w:color w:val="auto"/>
          <w:szCs w:val="21"/>
          <w:highlight w:val="none"/>
        </w:rPr>
        <w:t>投标文件解密结束，各投标供应商报价均在</w:t>
      </w:r>
      <w:r>
        <w:rPr>
          <w:rFonts w:hint="eastAsia" w:ascii="宋体" w:hAnsi="宋体"/>
          <w:bCs/>
          <w:color w:val="auto"/>
          <w:szCs w:val="21"/>
          <w:highlight w:val="none"/>
        </w:rPr>
        <w:t>“广西政府采购云平台”</w:t>
      </w:r>
      <w:r>
        <w:rPr>
          <w:rFonts w:hint="eastAsia" w:ascii="宋体" w:hAnsi="宋体"/>
          <w:color w:val="auto"/>
          <w:szCs w:val="21"/>
          <w:highlight w:val="none"/>
        </w:rPr>
        <w:t>远程不见面开标大厅展示；</w:t>
      </w:r>
    </w:p>
    <w:p w14:paraId="16B7B6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签署电子《政府采购活动现场确认声明书》。</w:t>
      </w:r>
      <w:r>
        <w:rPr>
          <w:rFonts w:hint="eastAsia" w:ascii="宋体" w:hAnsi="宋体"/>
          <w:color w:val="auto"/>
          <w:szCs w:val="21"/>
          <w:highlight w:val="none"/>
        </w:rPr>
        <w:t>通过邮件形式在远程不见面开标大厅发送各投标人签署电子《政府采购活动现场确认声明书》。</w:t>
      </w:r>
    </w:p>
    <w:p w14:paraId="20E40B7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679810A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FC2B1F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（6）开标结束。</w:t>
      </w:r>
    </w:p>
    <w:p w14:paraId="7B329437">
      <w:pPr>
        <w:snapToGrid w:val="0"/>
        <w:spacing w:line="440" w:lineRule="exact"/>
        <w:ind w:firstLine="422" w:firstLineChars="200"/>
        <w:rPr>
          <w:rFonts w:ascii="宋体" w:hAnsi="宋体"/>
          <w:color w:val="auto"/>
          <w:szCs w:val="21"/>
          <w:highlight w:val="none"/>
        </w:rPr>
      </w:pPr>
      <w:r>
        <w:rPr>
          <w:rFonts w:hint="eastAsia" w:ascii="宋体" w:hAnsi="宋体"/>
          <w:b/>
          <w:bCs/>
          <w:color w:val="auto"/>
          <w:szCs w:val="21"/>
          <w:highlight w:val="none"/>
        </w:rPr>
        <w:t>特别说明：</w:t>
      </w:r>
      <w:r>
        <w:rPr>
          <w:rFonts w:hint="eastAsia" w:ascii="宋体" w:hAnsi="宋体"/>
          <w:color w:val="auto"/>
          <w:szCs w:val="21"/>
          <w:highlight w:val="none"/>
        </w:rPr>
        <w:t>如遇</w:t>
      </w:r>
      <w:r>
        <w:rPr>
          <w:rFonts w:hint="eastAsia" w:ascii="宋体" w:hAnsi="宋体"/>
          <w:bCs/>
          <w:color w:val="auto"/>
          <w:szCs w:val="21"/>
          <w:highlight w:val="none"/>
        </w:rPr>
        <w:t>“广西政府采购云平台”</w:t>
      </w:r>
      <w:r>
        <w:rPr>
          <w:rFonts w:hint="eastAsia" w:ascii="宋体" w:hAnsi="宋体"/>
          <w:color w:val="auto"/>
          <w:szCs w:val="21"/>
          <w:highlight w:val="none"/>
        </w:rPr>
        <w:t>电子化开标或评审程序调整的，按调整后执行。</w:t>
      </w:r>
    </w:p>
    <w:p w14:paraId="5E6CFE5C">
      <w:pPr>
        <w:snapToGrid w:val="0"/>
        <w:spacing w:line="400" w:lineRule="exact"/>
        <w:ind w:left="689" w:leftChars="228" w:hanging="210" w:hangingChars="100"/>
        <w:rPr>
          <w:rFonts w:ascii="宋体" w:hAnsi="宋体"/>
          <w:color w:val="auto"/>
          <w:szCs w:val="20"/>
          <w:highlight w:val="none"/>
        </w:rPr>
      </w:pPr>
    </w:p>
    <w:p w14:paraId="1666FD58">
      <w:pPr>
        <w:spacing w:line="400" w:lineRule="exact"/>
        <w:ind w:firstLine="643" w:firstLineChars="200"/>
        <w:jc w:val="center"/>
        <w:outlineLvl w:val="2"/>
        <w:rPr>
          <w:b/>
          <w:bCs/>
          <w:color w:val="auto"/>
          <w:sz w:val="32"/>
          <w:szCs w:val="32"/>
          <w:highlight w:val="none"/>
        </w:rPr>
      </w:pPr>
      <w:bookmarkStart w:id="32" w:name="_Toc110956113"/>
      <w:bookmarkStart w:id="33" w:name="_Toc12685"/>
      <w:bookmarkStart w:id="34" w:name="_Toc89075998"/>
      <w:bookmarkStart w:id="35" w:name="_Toc25923"/>
      <w:bookmarkStart w:id="36" w:name="_Toc31605"/>
      <w:r>
        <w:rPr>
          <w:rFonts w:hint="eastAsia"/>
          <w:b/>
          <w:bCs/>
          <w:color w:val="auto"/>
          <w:sz w:val="32"/>
          <w:szCs w:val="32"/>
          <w:highlight w:val="none"/>
        </w:rPr>
        <w:t>五、资格审查</w:t>
      </w:r>
      <w:bookmarkEnd w:id="32"/>
      <w:bookmarkEnd w:id="33"/>
      <w:bookmarkEnd w:id="34"/>
      <w:bookmarkEnd w:id="35"/>
      <w:bookmarkEnd w:id="36"/>
    </w:p>
    <w:p w14:paraId="0811DE5B">
      <w:pPr>
        <w:spacing w:line="360" w:lineRule="auto"/>
        <w:ind w:firstLine="482" w:firstLineChars="200"/>
        <w:rPr>
          <w:rFonts w:ascii="黑体" w:hAnsi="黑体" w:eastAsia="黑体"/>
          <w:b/>
          <w:bCs/>
          <w:color w:val="auto"/>
          <w:sz w:val="24"/>
          <w:szCs w:val="28"/>
          <w:highlight w:val="none"/>
        </w:rPr>
      </w:pPr>
      <w:r>
        <w:rPr>
          <w:rFonts w:hint="eastAsia" w:ascii="黑体" w:hAnsi="黑体" w:eastAsia="黑体"/>
          <w:b/>
          <w:bCs/>
          <w:color w:val="auto"/>
          <w:sz w:val="24"/>
          <w:szCs w:val="28"/>
          <w:highlight w:val="none"/>
        </w:rPr>
        <w:t>25.资格审查</w:t>
      </w:r>
    </w:p>
    <w:p w14:paraId="308C042E">
      <w:pPr>
        <w:spacing w:line="360" w:lineRule="auto"/>
        <w:ind w:firstLine="422" w:firstLineChars="200"/>
        <w:rPr>
          <w:rFonts w:ascii="宋体" w:hAnsi="宋体"/>
          <w:b/>
          <w:bCs/>
          <w:color w:val="auto"/>
          <w:szCs w:val="20"/>
          <w:highlight w:val="none"/>
        </w:rPr>
      </w:pPr>
      <w:r>
        <w:rPr>
          <w:rFonts w:hint="eastAsia" w:ascii="宋体" w:hAnsi="宋体"/>
          <w:b/>
          <w:bCs/>
          <w:color w:val="auto"/>
          <w:szCs w:val="20"/>
          <w:highlight w:val="none"/>
        </w:rPr>
        <w:t xml:space="preserve"> 25.1开标结束后，采购人或采购机构依法通过电子投标文件对投标人的资格进行线上审查。</w:t>
      </w:r>
    </w:p>
    <w:p w14:paraId="06891841">
      <w:pPr>
        <w:spacing w:line="360" w:lineRule="auto"/>
        <w:ind w:firstLine="422" w:firstLineChars="200"/>
        <w:rPr>
          <w:rFonts w:ascii="宋体" w:hAnsi="宋体"/>
          <w:b/>
          <w:bCs/>
          <w:color w:val="auto"/>
          <w:szCs w:val="20"/>
          <w:highlight w:val="none"/>
        </w:rPr>
      </w:pPr>
      <w:r>
        <w:rPr>
          <w:rFonts w:hint="eastAsia" w:ascii="宋体" w:hAnsi="宋体"/>
          <w:b/>
          <w:bCs/>
          <w:color w:val="auto"/>
          <w:szCs w:val="20"/>
          <w:highlight w:val="none"/>
        </w:rPr>
        <w:t xml:space="preserve"> 25.2采购人或采购机构依据法律法规和招标文件的规定，对投标人的基本资格条件、特定资格条件进行审查。</w:t>
      </w:r>
    </w:p>
    <w:p w14:paraId="54742A49">
      <w:pPr>
        <w:spacing w:line="360" w:lineRule="auto"/>
        <w:ind w:firstLine="420" w:firstLineChars="200"/>
        <w:rPr>
          <w:rFonts w:ascii="宋体" w:hAnsi="宋体"/>
          <w:color w:val="auto"/>
          <w:highlight w:val="none"/>
        </w:rPr>
      </w:pPr>
      <w:r>
        <w:rPr>
          <w:rFonts w:hint="eastAsia" w:ascii="宋体" w:hAnsi="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078726F6">
      <w:pPr>
        <w:spacing w:line="360" w:lineRule="auto"/>
        <w:ind w:firstLine="422" w:firstLineChars="200"/>
        <w:rPr>
          <w:rFonts w:ascii="宋体" w:hAnsi="宋体"/>
          <w:b/>
          <w:bCs/>
          <w:color w:val="auto"/>
          <w:szCs w:val="20"/>
          <w:highlight w:val="none"/>
        </w:rPr>
      </w:pPr>
      <w:r>
        <w:rPr>
          <w:rFonts w:hint="eastAsia" w:ascii="宋体" w:hAnsi="宋体"/>
          <w:b/>
          <w:bCs/>
          <w:color w:val="auto"/>
          <w:szCs w:val="20"/>
          <w:highlight w:val="none"/>
        </w:rPr>
        <w:t>25.4投标人有下列情形之一的，资格审查不通过，作无效投标处理：</w:t>
      </w:r>
    </w:p>
    <w:p w14:paraId="66EE692E">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）不具备招标文件中规定的资格要求的；（注：其中信用查询规则见“投标人须知前附表”，“广西政府采购云平台”已与“信用中国”平台做接口，审查专家可直接在线查询）</w:t>
      </w:r>
    </w:p>
    <w:p w14:paraId="6346044B">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）投标文件未提供任一项“投标人须知前附表”资格证明文件规定的“必须提供”的文件资料的；</w:t>
      </w:r>
    </w:p>
    <w:p w14:paraId="101F9162">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）投标文件提供的资格证明文件出现任一项不符合“投标人须知前附表”资格证明文件规定的“必须提供”的文件资料要求或者无效的。</w:t>
      </w:r>
    </w:p>
    <w:p w14:paraId="261911CD">
      <w:pPr>
        <w:spacing w:line="360" w:lineRule="auto"/>
        <w:ind w:firstLine="420" w:firstLineChars="200"/>
        <w:rPr>
          <w:rFonts w:ascii="宋体" w:hAnsi="宋体"/>
          <w:color w:val="auto"/>
          <w:szCs w:val="20"/>
          <w:highlight w:val="none"/>
        </w:rPr>
      </w:pPr>
      <w:r>
        <w:rPr>
          <w:rFonts w:hint="eastAsia" w:ascii="宋体" w:hAnsi="宋体"/>
          <w:color w:val="auto"/>
          <w:szCs w:val="20"/>
          <w:highlight w:val="none"/>
        </w:rPr>
        <w:t>25.5资格审查的合格投标人不足3家的，不得评标。</w:t>
      </w:r>
    </w:p>
    <w:p w14:paraId="2ACCBDF7">
      <w:pPr>
        <w:spacing w:line="360" w:lineRule="auto"/>
        <w:ind w:firstLine="643" w:firstLineChars="200"/>
        <w:jc w:val="center"/>
        <w:outlineLvl w:val="2"/>
        <w:rPr>
          <w:b/>
          <w:bCs/>
          <w:color w:val="auto"/>
          <w:sz w:val="32"/>
          <w:szCs w:val="32"/>
          <w:highlight w:val="none"/>
        </w:rPr>
      </w:pPr>
      <w:bookmarkStart w:id="37" w:name="_Toc7790"/>
      <w:bookmarkStart w:id="38" w:name="_Toc2217"/>
      <w:bookmarkStart w:id="39" w:name="_Toc89075999"/>
      <w:bookmarkStart w:id="40" w:name="_Toc110956114"/>
      <w:bookmarkStart w:id="41" w:name="_Toc23371"/>
      <w:r>
        <w:rPr>
          <w:rFonts w:hint="eastAsia"/>
          <w:b/>
          <w:bCs/>
          <w:color w:val="auto"/>
          <w:sz w:val="32"/>
          <w:szCs w:val="32"/>
          <w:highlight w:val="none"/>
        </w:rPr>
        <w:t>六、评标</w:t>
      </w:r>
      <w:bookmarkEnd w:id="37"/>
      <w:bookmarkEnd w:id="38"/>
      <w:bookmarkEnd w:id="39"/>
      <w:bookmarkEnd w:id="40"/>
      <w:bookmarkEnd w:id="41"/>
    </w:p>
    <w:p w14:paraId="0BA07411">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26.组建评标委员会</w:t>
      </w:r>
    </w:p>
    <w:p w14:paraId="259160A8">
      <w:pPr>
        <w:spacing w:line="360" w:lineRule="auto"/>
        <w:ind w:firstLine="420" w:firstLineChars="200"/>
        <w:rPr>
          <w:rFonts w:hAnsi="宋体"/>
          <w:color w:val="auto"/>
          <w:highlight w:val="none"/>
        </w:rPr>
      </w:pPr>
      <w:r>
        <w:rPr>
          <w:rFonts w:hint="eastAsia" w:hAnsi="宋体"/>
          <w:color w:val="auto"/>
          <w:highlight w:val="none"/>
        </w:rPr>
        <w:t>评标委员会由采购人代表和评审专家组成，人数为</w:t>
      </w:r>
      <w:r>
        <w:rPr>
          <w:rFonts w:hAnsi="宋体"/>
          <w:color w:val="auto"/>
          <w:highlight w:val="none"/>
        </w:rPr>
        <w:t>5</w:t>
      </w:r>
      <w:r>
        <w:rPr>
          <w:rFonts w:hint="eastAsia" w:hAnsi="宋体"/>
          <w:color w:val="auto"/>
          <w:highlight w:val="none"/>
        </w:rPr>
        <w:t>人以上单数，其中评审专家不得少于成员总数的三分之二。</w:t>
      </w:r>
    </w:p>
    <w:p w14:paraId="5535D483">
      <w:pPr>
        <w:spacing w:line="360" w:lineRule="auto"/>
        <w:ind w:firstLine="420" w:firstLineChars="200"/>
        <w:rPr>
          <w:rFonts w:hAnsi="宋体"/>
          <w:color w:val="auto"/>
          <w:highlight w:val="none"/>
        </w:rPr>
      </w:pPr>
      <w:r>
        <w:rPr>
          <w:rFonts w:hint="eastAsia" w:hAnsi="宋体"/>
          <w:color w:val="auto"/>
          <w:highlight w:val="none"/>
        </w:rPr>
        <w:t>参加过采购项目前期咨询论证的专家，不得参加该采购项目的评审活动。</w:t>
      </w:r>
    </w:p>
    <w:p w14:paraId="0D268A5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1A971DC1">
      <w:pPr>
        <w:spacing w:line="360" w:lineRule="auto"/>
        <w:ind w:firstLine="420" w:firstLineChars="200"/>
        <w:rPr>
          <w:rFonts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“第四章评标方法和评标标准”</w:t>
      </w:r>
      <w:r>
        <w:rPr>
          <w:rFonts w:hint="eastAsia" w:hAnsi="宋体"/>
          <w:color w:val="auto"/>
          <w:highlight w:val="none"/>
        </w:rPr>
        <w:t>没有规定的方法、评审因素和标准，不作为评标依据。</w:t>
      </w:r>
    </w:p>
    <w:p w14:paraId="325D3447">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3CAB665A">
      <w:pPr>
        <w:spacing w:line="360" w:lineRule="auto"/>
        <w:ind w:firstLine="420" w:firstLineChars="200"/>
        <w:rPr>
          <w:rFonts w:hAnsi="宋体"/>
          <w:color w:val="auto"/>
          <w:highlight w:val="none"/>
        </w:rPr>
      </w:pPr>
      <w:r>
        <w:rPr>
          <w:rFonts w:hAnsi="宋体"/>
          <w:color w:val="auto"/>
          <w:highlight w:val="none"/>
        </w:rPr>
        <w:t>28.1</w:t>
      </w:r>
      <w:r>
        <w:rPr>
          <w:rFonts w:hint="eastAsia" w:hAnsi="宋体"/>
          <w:color w:val="auto"/>
          <w:highlight w:val="none"/>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6826D61">
      <w:pPr>
        <w:spacing w:line="360" w:lineRule="auto"/>
        <w:ind w:firstLine="420" w:firstLineChars="200"/>
        <w:rPr>
          <w:rFonts w:hAnsi="宋体"/>
          <w:color w:val="auto"/>
          <w:highlight w:val="none"/>
        </w:rPr>
      </w:pPr>
      <w:r>
        <w:rPr>
          <w:rFonts w:hAnsi="宋体"/>
          <w:color w:val="auto"/>
          <w:highlight w:val="none"/>
        </w:rPr>
        <w:t>28.2</w:t>
      </w:r>
      <w:r>
        <w:rPr>
          <w:rFonts w:hint="eastAsia" w:hAnsi="宋体"/>
          <w:color w:val="auto"/>
          <w:highlight w:val="none"/>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24AADE2F">
      <w:pPr>
        <w:spacing w:line="360" w:lineRule="auto"/>
        <w:ind w:firstLine="420" w:firstLineChars="200"/>
        <w:rPr>
          <w:rFonts w:hAnsi="宋体"/>
          <w:color w:val="auto"/>
          <w:highlight w:val="none"/>
        </w:rPr>
      </w:pPr>
      <w:r>
        <w:rPr>
          <w:rFonts w:hAnsi="宋体"/>
          <w:color w:val="auto"/>
          <w:highlight w:val="none"/>
        </w:rPr>
        <w:t>28.3</w:t>
      </w:r>
      <w:r>
        <w:rPr>
          <w:rFonts w:hint="eastAsia" w:hAnsi="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A1A708A">
      <w:pPr>
        <w:spacing w:line="360" w:lineRule="auto"/>
        <w:ind w:firstLine="420" w:firstLineChars="200"/>
        <w:rPr>
          <w:rFonts w:hAnsi="宋体"/>
          <w:color w:val="auto"/>
          <w:highlight w:val="none"/>
        </w:rPr>
      </w:pPr>
      <w:r>
        <w:rPr>
          <w:rFonts w:hAnsi="宋体"/>
          <w:color w:val="auto"/>
          <w:highlight w:val="none"/>
        </w:rPr>
        <w:t>28.4</w:t>
      </w:r>
      <w:r>
        <w:rPr>
          <w:rFonts w:hint="eastAsia" w:hAnsi="宋体"/>
          <w:color w:val="auto"/>
          <w:highlight w:val="none"/>
        </w:rPr>
        <w:t>评标过程的监控。本项目电子评标过程实行网上留痕、全程录音、录像监控，投标人在评标过程中所进行的试图影响评标结果的不公正活动，可能导致其投标按无效处理。</w:t>
      </w:r>
    </w:p>
    <w:p w14:paraId="735C3233">
      <w:pPr>
        <w:widowControl/>
        <w:spacing w:line="560" w:lineRule="exact"/>
        <w:ind w:firstLine="420" w:firstLineChars="200"/>
        <w:jc w:val="left"/>
        <w:textAlignment w:val="baseline"/>
        <w:rPr>
          <w:rFonts w:hAnsi="宋体"/>
          <w:color w:val="auto"/>
          <w:highlight w:val="none"/>
        </w:rPr>
      </w:pPr>
      <w:r>
        <w:rPr>
          <w:rFonts w:hAnsi="宋体"/>
          <w:color w:val="auto"/>
          <w:highlight w:val="none"/>
        </w:rPr>
        <w:t>28.5</w:t>
      </w:r>
      <w:r>
        <w:rPr>
          <w:rFonts w:hint="eastAsia" w:hAnsi="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2FEC717">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29.评标方法及评标标准</w:t>
      </w:r>
    </w:p>
    <w:p w14:paraId="73287ADE">
      <w:pPr>
        <w:spacing w:line="360" w:lineRule="auto"/>
        <w:ind w:firstLine="420" w:firstLineChars="200"/>
        <w:rPr>
          <w:rFonts w:hAnsi="宋体"/>
          <w:color w:val="auto"/>
          <w:highlight w:val="none"/>
        </w:rPr>
      </w:pPr>
      <w:r>
        <w:rPr>
          <w:rFonts w:hAnsi="宋体"/>
          <w:color w:val="auto"/>
          <w:highlight w:val="none"/>
        </w:rPr>
        <w:t>29.1</w:t>
      </w:r>
      <w:r>
        <w:rPr>
          <w:rFonts w:hint="eastAsia" w:hAnsi="宋体"/>
          <w:color w:val="auto"/>
          <w:highlight w:val="none"/>
        </w:rPr>
        <w:t>本项目的评标方法详见“投标人须知前附表”。</w:t>
      </w:r>
    </w:p>
    <w:p w14:paraId="72FE9BB8">
      <w:pPr>
        <w:spacing w:line="360" w:lineRule="auto"/>
        <w:ind w:firstLine="420" w:firstLineChars="200"/>
        <w:rPr>
          <w:rFonts w:hAnsi="宋体"/>
          <w:color w:val="auto"/>
          <w:highlight w:val="none"/>
        </w:rPr>
      </w:pPr>
      <w:r>
        <w:rPr>
          <w:rFonts w:hAnsi="宋体"/>
          <w:color w:val="auto"/>
          <w:highlight w:val="none"/>
        </w:rPr>
        <w:t>29.2</w:t>
      </w:r>
      <w:r>
        <w:rPr>
          <w:rFonts w:hint="eastAsia" w:hAnsi="宋体"/>
          <w:color w:val="auto"/>
          <w:highlight w:val="none"/>
        </w:rPr>
        <w:t>评标委员会按照</w:t>
      </w:r>
      <w:r>
        <w:rPr>
          <w:rFonts w:hint="eastAsia" w:hAnsi="宋体" w:cs="宋体"/>
          <w:b/>
          <w:color w:val="auto"/>
          <w:highlight w:val="none"/>
        </w:rPr>
        <w:t>“第四章评标方法和评标标准”</w:t>
      </w:r>
      <w:r>
        <w:rPr>
          <w:rFonts w:hint="eastAsia" w:hAnsi="宋体"/>
          <w:color w:val="auto"/>
          <w:highlight w:val="none"/>
        </w:rPr>
        <w:t>规定的方法、评审因素、标准和程序对投标文件进行评审。</w:t>
      </w:r>
    </w:p>
    <w:p w14:paraId="2CA8D276">
      <w:pPr>
        <w:spacing w:line="360" w:lineRule="auto"/>
        <w:ind w:firstLine="420" w:firstLineChars="200"/>
        <w:rPr>
          <w:rFonts w:hAnsi="宋体"/>
          <w:color w:val="auto"/>
          <w:highlight w:val="none"/>
        </w:rPr>
      </w:pPr>
      <w:r>
        <w:rPr>
          <w:rFonts w:hAnsi="宋体"/>
          <w:color w:val="auto"/>
          <w:highlight w:val="none"/>
        </w:rPr>
        <w:t xml:space="preserve">29.3 </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39ED301">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）电子交易平台发生故障而无法登录访问的；</w:t>
      </w:r>
    </w:p>
    <w:p w14:paraId="5F11BAE8">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）电子交易平台应用或数据库出现错误，不能进行正常操作的；</w:t>
      </w:r>
    </w:p>
    <w:p w14:paraId="463C458D">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）电子交易平台发现严重安全漏洞，有潜在泄密危险的；</w:t>
      </w:r>
    </w:p>
    <w:p w14:paraId="114501F3">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）病毒发作导致不能进行正常操作的；</w:t>
      </w:r>
    </w:p>
    <w:p w14:paraId="1F6884F2">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）其他无法保证电子交易的公平、公正和安全的情况。</w:t>
      </w:r>
    </w:p>
    <w:p w14:paraId="07C0FE33">
      <w:pPr>
        <w:spacing w:line="360" w:lineRule="auto"/>
        <w:ind w:firstLine="420" w:firstLineChars="200"/>
        <w:rPr>
          <w:rFonts w:hAnsi="宋体"/>
          <w:color w:val="auto"/>
          <w:highlight w:val="none"/>
        </w:rPr>
      </w:pPr>
      <w:r>
        <w:rPr>
          <w:rFonts w:hAnsi="宋体"/>
          <w:color w:val="auto"/>
          <w:highlight w:val="none"/>
        </w:rPr>
        <w:t>29.4</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1E4AC8B">
      <w:pPr>
        <w:snapToGrid w:val="0"/>
        <w:spacing w:line="400" w:lineRule="exact"/>
        <w:ind w:firstLine="420" w:firstLineChars="200"/>
        <w:rPr>
          <w:rFonts w:ascii="宋体" w:hAnsi="宋体"/>
          <w:color w:val="auto"/>
          <w:szCs w:val="20"/>
          <w:highlight w:val="none"/>
        </w:rPr>
      </w:pPr>
    </w:p>
    <w:p w14:paraId="0CBC04F3">
      <w:pPr>
        <w:spacing w:line="400" w:lineRule="exact"/>
        <w:ind w:firstLine="643" w:firstLineChars="200"/>
        <w:jc w:val="center"/>
        <w:outlineLvl w:val="2"/>
        <w:rPr>
          <w:b/>
          <w:bCs/>
          <w:color w:val="auto"/>
          <w:sz w:val="32"/>
          <w:szCs w:val="32"/>
          <w:highlight w:val="none"/>
        </w:rPr>
      </w:pPr>
      <w:bookmarkStart w:id="42" w:name="_Toc30524"/>
      <w:bookmarkStart w:id="43" w:name="_Toc89076000"/>
      <w:bookmarkStart w:id="44" w:name="_Toc110956115"/>
      <w:bookmarkStart w:id="45" w:name="_Toc1085"/>
      <w:bookmarkStart w:id="46" w:name="_Toc16083"/>
      <w:r>
        <w:rPr>
          <w:rFonts w:hint="eastAsia"/>
          <w:b/>
          <w:bCs/>
          <w:color w:val="auto"/>
          <w:sz w:val="32"/>
          <w:szCs w:val="32"/>
          <w:highlight w:val="none"/>
        </w:rPr>
        <w:t>七、中标和合同</w:t>
      </w:r>
      <w:bookmarkEnd w:id="42"/>
      <w:bookmarkEnd w:id="43"/>
      <w:bookmarkEnd w:id="44"/>
      <w:bookmarkEnd w:id="45"/>
      <w:bookmarkEnd w:id="46"/>
    </w:p>
    <w:p w14:paraId="24169773">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11BCE0F6">
      <w:pPr>
        <w:spacing w:line="360" w:lineRule="auto"/>
        <w:ind w:firstLine="422" w:firstLineChars="200"/>
        <w:rPr>
          <w:rFonts w:ascii="宋体" w:hAnsi="宋体" w:cs="Courier New"/>
          <w:b/>
          <w:bCs/>
          <w:color w:val="auto"/>
          <w:szCs w:val="21"/>
          <w:highlight w:val="none"/>
        </w:rPr>
      </w:pPr>
      <w:r>
        <w:rPr>
          <w:rFonts w:hint="eastAsia" w:ascii="宋体" w:hAnsi="宋体" w:cs="Courier New"/>
          <w:b/>
          <w:bCs/>
          <w:color w:val="auto"/>
          <w:szCs w:val="21"/>
          <w:highlight w:val="none"/>
        </w:rPr>
        <w:t>30.1本项目授权评标委员会直接按第四章“评标方法及标准”的规定排列中标候选人顺序，并依照次序确定中标人。</w:t>
      </w:r>
    </w:p>
    <w:p w14:paraId="160EEA1A">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5537ABC7">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30.3中标供应商无正当理由拒签合同的，根据《中华人民共和国政府采购法》第七十七条第一款规定处理。</w:t>
      </w:r>
    </w:p>
    <w:p w14:paraId="53C5E44F">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30.4根据《中华人民共和国民法典》</w:t>
      </w:r>
      <w:r>
        <w:rPr>
          <w:rFonts w:hint="eastAsia"/>
          <w:color w:val="auto"/>
          <w:sz w:val="19"/>
          <w:szCs w:val="19"/>
          <w:highlight w:val="none"/>
        </w:rPr>
        <w:t>第五百六十三条</w:t>
      </w:r>
      <w:r>
        <w:rPr>
          <w:rFonts w:hint="eastAsia" w:ascii="宋体" w:hAnsi="宋体" w:cs="Courier New"/>
          <w:color w:val="auto"/>
          <w:szCs w:val="21"/>
          <w:highlight w:val="none"/>
        </w:rPr>
        <w:t>，因不可抗力致使不能实现合同目的的，当事人可以解除合同。</w:t>
      </w:r>
    </w:p>
    <w:p w14:paraId="69D47D91">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17E21FD6">
      <w:pPr>
        <w:spacing w:line="360" w:lineRule="auto"/>
        <w:ind w:firstLine="420" w:firstLineChars="200"/>
        <w:rPr>
          <w:rFonts w:hAnsi="宋体" w:cs="宋体"/>
          <w:color w:val="auto"/>
          <w:highlight w:val="none"/>
        </w:rPr>
      </w:pPr>
      <w:r>
        <w:rPr>
          <w:rFonts w:hAnsi="宋体"/>
          <w:color w:val="auto"/>
          <w:szCs w:val="21"/>
          <w:highlight w:val="none"/>
        </w:rPr>
        <w:t>31.1</w:t>
      </w:r>
      <w:r>
        <w:rPr>
          <w:rFonts w:hint="eastAsia" w:hAnsi="宋体" w:cs="宋体"/>
          <w:color w:val="auto"/>
          <w:highlight w:val="none"/>
        </w:rPr>
        <w:t>在中标供应商</w:t>
      </w:r>
      <w:r>
        <w:rPr>
          <w:rFonts w:hint="eastAsia" w:hAnsi="宋体" w:cs="Arial"/>
          <w:color w:val="auto"/>
          <w:highlight w:val="none"/>
        </w:rPr>
        <w:t>确定之日起</w:t>
      </w:r>
      <w:r>
        <w:rPr>
          <w:rFonts w:hAnsi="宋体" w:cs="宋体"/>
          <w:color w:val="auto"/>
          <w:highlight w:val="none"/>
        </w:rPr>
        <w:t>2</w:t>
      </w:r>
      <w:r>
        <w:rPr>
          <w:rFonts w:hint="eastAsia" w:hAnsi="宋体" w:cs="宋体"/>
          <w:color w:val="auto"/>
          <w:highlight w:val="none"/>
        </w:rPr>
        <w:t>个工作日内，由采购代理机构</w:t>
      </w:r>
      <w:r>
        <w:rPr>
          <w:rFonts w:hint="eastAsia" w:hAnsi="宋体"/>
          <w:b/>
          <w:color w:val="auto"/>
          <w:szCs w:val="21"/>
          <w:highlight w:val="none"/>
        </w:rPr>
        <w:t>在招标公告发布媒体上</w:t>
      </w:r>
      <w:r>
        <w:rPr>
          <w:rFonts w:hint="eastAsia" w:hAnsi="宋体" w:cs="宋体"/>
          <w:color w:val="auto"/>
          <w:highlight w:val="none"/>
        </w:rPr>
        <w:t>发布中标结果公告，中标结果公告期限为</w:t>
      </w:r>
      <w:r>
        <w:rPr>
          <w:rFonts w:hAnsi="宋体" w:cs="宋体"/>
          <w:color w:val="auto"/>
          <w:highlight w:val="none"/>
        </w:rPr>
        <w:t>1</w:t>
      </w:r>
      <w:r>
        <w:rPr>
          <w:rFonts w:hint="eastAsia" w:hAnsi="宋体" w:cs="宋体"/>
          <w:color w:val="auto"/>
          <w:highlight w:val="none"/>
        </w:rPr>
        <w:t>个工作日，发布中标结果公告的同时向中标供应商发出中标通知书。</w:t>
      </w:r>
      <w:r>
        <w:rPr>
          <w:rFonts w:hint="eastAsia" w:hAnsi="宋体"/>
          <w:b/>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hAnsi="宋体"/>
          <w:color w:val="auto"/>
          <w:szCs w:val="21"/>
          <w:highlight w:val="none"/>
        </w:rPr>
        <w:t>排名第二的中标候选人因前款规定的同样原因被取消中标资格的，</w:t>
      </w:r>
      <w:r>
        <w:rPr>
          <w:rFonts w:hint="eastAsia" w:hAnsi="宋体" w:cs="Courier New"/>
          <w:color w:val="auto"/>
          <w:szCs w:val="21"/>
          <w:highlight w:val="none"/>
        </w:rPr>
        <w:t>授权的评标委员会</w:t>
      </w:r>
      <w:r>
        <w:rPr>
          <w:rFonts w:hint="eastAsia" w:hAnsi="宋体"/>
          <w:color w:val="auto"/>
          <w:szCs w:val="21"/>
          <w:highlight w:val="none"/>
        </w:rPr>
        <w:t>可以确定排名第三的中标候选人为中标人，以此类推。</w:t>
      </w:r>
    </w:p>
    <w:p w14:paraId="58EC07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71E47F6F">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65F9CC0B">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3B15B29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32.1在发布中标公告的同时，采购代理机构向中标人通过“广西政府采购云平台”发出电子中标通知书。</w:t>
      </w:r>
    </w:p>
    <w:p w14:paraId="4A720B1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1420A4A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4359B46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636B629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29B1D5AE">
      <w:pPr>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265F4F1A">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35.履约保证金</w:t>
      </w:r>
    </w:p>
    <w:p w14:paraId="316A5896">
      <w:pPr>
        <w:adjustRightInd w:val="0"/>
        <w:snapToGrid w:val="0"/>
        <w:spacing w:line="360" w:lineRule="auto"/>
        <w:ind w:firstLine="420" w:firstLineChars="200"/>
        <w:rPr>
          <w:rFonts w:ascii="宋体" w:hAnsi="宋体"/>
          <w:color w:val="auto"/>
          <w:kern w:val="0"/>
          <w:szCs w:val="21"/>
          <w:highlight w:val="none"/>
          <w:lang w:val="zh-CN"/>
        </w:rPr>
      </w:pPr>
      <w:r>
        <w:rPr>
          <w:rFonts w:hint="eastAsia" w:ascii="宋体" w:hAnsi="宋体"/>
          <w:color w:val="auto"/>
          <w:kern w:val="0"/>
          <w:szCs w:val="21"/>
          <w:highlight w:val="none"/>
          <w:lang w:val="zh-CN"/>
        </w:rPr>
        <w:t>见“投标人须知前附表”。</w:t>
      </w:r>
    </w:p>
    <w:p w14:paraId="57D5388D">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36.签订合同</w:t>
      </w:r>
    </w:p>
    <w:p w14:paraId="29E74CB2">
      <w:pPr>
        <w:adjustRightInd w:val="0"/>
        <w:snapToGrid w:val="0"/>
        <w:spacing w:line="360" w:lineRule="auto"/>
        <w:ind w:firstLine="422" w:firstLineChars="200"/>
        <w:rPr>
          <w:rFonts w:ascii="宋体" w:hAnsi="宋体"/>
          <w:color w:val="auto"/>
          <w:kern w:val="0"/>
          <w:szCs w:val="21"/>
          <w:highlight w:val="none"/>
          <w:lang w:val="zh-CN"/>
        </w:rPr>
      </w:pPr>
      <w:r>
        <w:rPr>
          <w:rFonts w:hint="eastAsia" w:ascii="宋体" w:hAnsi="宋体"/>
          <w:b/>
          <w:color w:val="auto"/>
          <w:szCs w:val="21"/>
          <w:highlight w:val="none"/>
        </w:rPr>
        <w:t xml:space="preserve"> 36.1中标人领取电子中标通知书后，</w:t>
      </w:r>
      <w:r>
        <w:rPr>
          <w:rFonts w:hint="eastAsia" w:ascii="宋体" w:hAnsi="宋体"/>
          <w:color w:val="auto"/>
          <w:kern w:val="0"/>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2976097B">
      <w:pPr>
        <w:adjustRightInd w:val="0"/>
        <w:snapToGrid w:val="0"/>
        <w:spacing w:line="360" w:lineRule="auto"/>
        <w:ind w:firstLine="420" w:firstLineChars="200"/>
        <w:rPr>
          <w:rFonts w:ascii="宋体" w:hAnsi="宋体"/>
          <w:color w:val="auto"/>
          <w:kern w:val="0"/>
          <w:szCs w:val="21"/>
          <w:highlight w:val="none"/>
          <w:lang w:val="zh-CN"/>
        </w:rPr>
      </w:pPr>
      <w:r>
        <w:rPr>
          <w:rFonts w:hint="eastAsia" w:ascii="宋体" w:hAnsi="宋体"/>
          <w:color w:val="auto"/>
          <w:kern w:val="0"/>
          <w:szCs w:val="21"/>
          <w:highlight w:val="none"/>
          <w:lang w:val="zh-CN"/>
        </w:rPr>
        <w:t>36.2</w:t>
      </w:r>
      <w:r>
        <w:rPr>
          <w:rFonts w:hint="eastAsia" w:ascii="宋体" w:hAnsi="宋体" w:cs="仿宋_GB2312"/>
          <w:color w:val="auto"/>
          <w:szCs w:val="21"/>
          <w:highlight w:val="none"/>
        </w:rPr>
        <w:t>采购合同由采购人与中标供应商根据招标文件、投标文件等内容通过政府采购电子交易平台在线签订，自动备案。</w:t>
      </w:r>
    </w:p>
    <w:p w14:paraId="30566BBB">
      <w:pPr>
        <w:adjustRightInd w:val="0"/>
        <w:snapToGrid w:val="0"/>
        <w:spacing w:line="360" w:lineRule="auto"/>
        <w:ind w:firstLine="420" w:firstLineChars="200"/>
        <w:rPr>
          <w:rFonts w:ascii="宋体" w:hAnsi="宋体" w:cs="仿宋_GB2312"/>
          <w:color w:val="auto"/>
          <w:szCs w:val="21"/>
          <w:highlight w:val="none"/>
        </w:rPr>
      </w:pPr>
      <w:r>
        <w:rPr>
          <w:rFonts w:hint="eastAsia" w:ascii="宋体" w:hAnsi="宋体"/>
          <w:color w:val="auto"/>
          <w:szCs w:val="21"/>
          <w:highlight w:val="none"/>
        </w:rPr>
        <w:t>36.3签订合同时间：按中标通知书规定的时间与采购人签订合同（最长不能超过25日）。</w:t>
      </w:r>
    </w:p>
    <w:p w14:paraId="7E6FB9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1F330C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46F63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405917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如签订合同并生效后，供应商无故拒绝或延期，除按照合同条款处理外，将承担相应的法律责任。</w:t>
      </w:r>
    </w:p>
    <w:p w14:paraId="34E4570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36.8采购人需追加与合同标的相同的货物或者货物的，在不改变原合同条款且已报财政部门批准落实资金的前提下，可从原中标供应商处添购，所签订的补充添置合同的采购资金总额不超过原采购合同金额的10%。</w:t>
      </w:r>
    </w:p>
    <w:p w14:paraId="36EBD51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37.政府采购合同公告</w:t>
      </w:r>
    </w:p>
    <w:p w14:paraId="105A2DD2">
      <w:pPr>
        <w:spacing w:line="360" w:lineRule="auto"/>
        <w:ind w:firstLine="420" w:firstLineChars="200"/>
        <w:rPr>
          <w:rFonts w:hAnsi="宋体"/>
          <w:color w:val="auto"/>
          <w:highlight w:val="none"/>
        </w:rPr>
      </w:pPr>
      <w:r>
        <w:rPr>
          <w:rFonts w:hint="eastAsia" w:hAnsi="宋体"/>
          <w:color w:val="auto"/>
          <w:highlight w:val="none"/>
        </w:rPr>
        <w:t>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“广西政府采购网”（http：//zfcg.gxzf.gov.cn）</w:t>
      </w:r>
      <w:r>
        <w:rPr>
          <w:rFonts w:hint="eastAsia" w:hAnsi="宋体"/>
          <w:color w:val="auto"/>
          <w:highlight w:val="none"/>
        </w:rPr>
        <w:t>上公告，但政府采购合同中涉及国家秘密、商业秘密的内容除外。</w:t>
      </w:r>
    </w:p>
    <w:p w14:paraId="6E9C84B0">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38. 询问、质疑和投诉</w:t>
      </w:r>
    </w:p>
    <w:p w14:paraId="059B4502">
      <w:pPr>
        <w:spacing w:line="360" w:lineRule="auto"/>
        <w:ind w:firstLine="422" w:firstLineChars="200"/>
        <w:rPr>
          <w:rFonts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30B314F3">
      <w:pPr>
        <w:spacing w:line="360" w:lineRule="auto"/>
        <w:ind w:firstLine="420" w:firstLineChars="200"/>
        <w:rPr>
          <w:rFonts w:hAnsi="宋体"/>
          <w:bCs/>
          <w:color w:val="auto"/>
          <w:szCs w:val="21"/>
          <w:highlight w:val="none"/>
        </w:rPr>
      </w:pPr>
      <w:r>
        <w:rPr>
          <w:rFonts w:hAnsi="宋体"/>
          <w:bCs/>
          <w:color w:val="auto"/>
          <w:szCs w:val="21"/>
          <w:highlight w:val="none"/>
        </w:rPr>
        <w:t>38.1.1</w:t>
      </w:r>
      <w:r>
        <w:rPr>
          <w:rFonts w:hint="eastAsia" w:hAnsi="宋体"/>
          <w:bCs/>
          <w:color w:val="auto"/>
          <w:szCs w:val="21"/>
          <w:highlight w:val="none"/>
        </w:rPr>
        <w:t>供应商在开标前对政府采购活动事项有疑问的，可以向采购人或采购代理机构项目负责人提出询问。</w:t>
      </w:r>
    </w:p>
    <w:p w14:paraId="61378318">
      <w:pPr>
        <w:spacing w:line="360" w:lineRule="auto"/>
        <w:ind w:firstLine="420" w:firstLineChars="200"/>
        <w:rPr>
          <w:rFonts w:hAnsi="宋体"/>
          <w:bCs/>
          <w:color w:val="auto"/>
          <w:szCs w:val="21"/>
          <w:highlight w:val="none"/>
        </w:rPr>
      </w:pPr>
      <w:r>
        <w:rPr>
          <w:rFonts w:hAnsi="宋体"/>
          <w:bCs/>
          <w:color w:val="auto"/>
          <w:szCs w:val="21"/>
          <w:highlight w:val="none"/>
        </w:rPr>
        <w:t>38.1.2</w:t>
      </w:r>
      <w:r>
        <w:rPr>
          <w:rFonts w:hint="eastAsia" w:hAnsi="宋体"/>
          <w:bCs/>
          <w:color w:val="auto"/>
          <w:szCs w:val="21"/>
          <w:highlight w:val="none"/>
        </w:rPr>
        <w:t>采购人或采购人委托的采购代理机构自受理询问之日起</w:t>
      </w:r>
      <w:r>
        <w:rPr>
          <w:rFonts w:hAnsi="宋体"/>
          <w:bCs/>
          <w:color w:val="auto"/>
          <w:szCs w:val="21"/>
          <w:highlight w:val="none"/>
        </w:rPr>
        <w:t>3</w:t>
      </w:r>
      <w:r>
        <w:rPr>
          <w:rFonts w:hint="eastAsia" w:hAnsi="宋体"/>
          <w:bCs/>
          <w:color w:val="auto"/>
          <w:szCs w:val="21"/>
          <w:highlight w:val="none"/>
        </w:rPr>
        <w:t>个工作日内对供应商依法提出的询问作出答复，</w:t>
      </w:r>
      <w:r>
        <w:rPr>
          <w:rFonts w:hint="eastAsia"/>
          <w:color w:val="auto"/>
          <w:highlight w:val="none"/>
        </w:rPr>
        <w:t>但答复内容不得涉及商业秘密</w:t>
      </w:r>
      <w:r>
        <w:rPr>
          <w:rFonts w:hint="eastAsia" w:hAnsi="宋体"/>
          <w:bCs/>
          <w:color w:val="auto"/>
          <w:szCs w:val="21"/>
          <w:highlight w:val="none"/>
        </w:rPr>
        <w:t>。</w:t>
      </w:r>
    </w:p>
    <w:p w14:paraId="29AD213D">
      <w:pPr>
        <w:spacing w:line="360" w:lineRule="auto"/>
        <w:ind w:firstLine="420" w:firstLineChars="200"/>
        <w:rPr>
          <w:rFonts w:hAnsi="宋体"/>
          <w:bCs/>
          <w:color w:val="auto"/>
          <w:szCs w:val="21"/>
          <w:highlight w:val="none"/>
        </w:rPr>
      </w:pPr>
      <w:r>
        <w:rPr>
          <w:rFonts w:hAnsi="宋体"/>
          <w:bCs/>
          <w:color w:val="auto"/>
          <w:szCs w:val="21"/>
          <w:highlight w:val="none"/>
        </w:rPr>
        <w:t xml:space="preserve">38.1.3 </w:t>
      </w:r>
      <w:r>
        <w:rPr>
          <w:rFonts w:hint="eastAsia" w:hAnsi="宋体"/>
          <w:bCs/>
          <w:color w:val="auto"/>
          <w:szCs w:val="21"/>
          <w:highlight w:val="none"/>
        </w:rPr>
        <w:t>询问事项可能影响中标、成交结果的，采购人应当暂停签订合同，已经签订合同的，应当中止履行合同。</w:t>
      </w:r>
    </w:p>
    <w:p w14:paraId="71E0DBC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38.2质疑</w:t>
      </w:r>
    </w:p>
    <w:p w14:paraId="5A5B5699">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38.2.1</w:t>
      </w:r>
      <w:r>
        <w:rPr>
          <w:rFonts w:hint="eastAsia" w:ascii="宋体" w:hAnsi="宋体"/>
          <w:b/>
          <w:color w:val="auto"/>
          <w:szCs w:val="21"/>
          <w:highlight w:val="none"/>
        </w:rPr>
        <w:t>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w:t>
      </w:r>
    </w:p>
    <w:p w14:paraId="7D16238A">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）潜在供应商依法获取公开招标文件后，认为采购文件使自己的权益受到损害的，应当在公开招标文件公告期限届满之日起</w:t>
      </w:r>
      <w:r>
        <w:rPr>
          <w:rFonts w:hAnsi="宋体"/>
          <w:bCs/>
          <w:color w:val="auto"/>
          <w:highlight w:val="none"/>
        </w:rPr>
        <w:t>7</w:t>
      </w:r>
      <w:r>
        <w:rPr>
          <w:rFonts w:hint="eastAsia" w:hAnsi="宋体"/>
          <w:bCs/>
          <w:color w:val="auto"/>
          <w:highlight w:val="none"/>
        </w:rPr>
        <w:t>个工作日内提出质疑。</w:t>
      </w:r>
      <w:r>
        <w:rPr>
          <w:rFonts w:hint="eastAsia"/>
          <w:color w:val="auto"/>
          <w:highlight w:val="none"/>
        </w:rPr>
        <w:t>委托代理协议无特殊约定的，</w:t>
      </w:r>
      <w:r>
        <w:rPr>
          <w:rFonts w:hint="eastAsia"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555E5DEB">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）供应商认为采购过程使自己的权益受到损害的，应当在各采购程序环节结束之日起</w:t>
      </w:r>
      <w:r>
        <w:rPr>
          <w:rFonts w:hAnsi="宋体"/>
          <w:bCs/>
          <w:color w:val="auto"/>
          <w:highlight w:val="none"/>
        </w:rPr>
        <w:t>7</w:t>
      </w:r>
      <w:r>
        <w:rPr>
          <w:rFonts w:hint="eastAsia" w:hAnsi="宋体"/>
          <w:bCs/>
          <w:color w:val="auto"/>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045D2B8">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）供应商认为中标或者成交结果使自己的权益受到损害的，应当在中标或者成交结果公告期限届满之日起</w:t>
      </w:r>
      <w:r>
        <w:rPr>
          <w:rFonts w:hAnsi="宋体"/>
          <w:bCs/>
          <w:color w:val="auto"/>
          <w:highlight w:val="none"/>
        </w:rPr>
        <w:t>7</w:t>
      </w:r>
      <w:r>
        <w:rPr>
          <w:rFonts w:hint="eastAsia" w:hAnsi="宋体"/>
          <w:bCs/>
          <w:color w:val="auto"/>
          <w:highlight w:val="none"/>
        </w:rPr>
        <w:t>个工作日内提出质疑，由采购人受理并负责答复。</w:t>
      </w:r>
    </w:p>
    <w:p w14:paraId="31B1A839">
      <w:pPr>
        <w:spacing w:line="360" w:lineRule="auto"/>
        <w:ind w:firstLine="422" w:firstLineChars="200"/>
        <w:rPr>
          <w:rFonts w:hAnsi="宋体"/>
          <w:bCs/>
          <w:color w:val="auto"/>
          <w:szCs w:val="21"/>
          <w:highlight w:val="none"/>
        </w:rPr>
      </w:pPr>
      <w:r>
        <w:rPr>
          <w:rFonts w:hAnsi="宋体"/>
          <w:b/>
          <w:bCs/>
          <w:color w:val="auto"/>
          <w:szCs w:val="21"/>
          <w:highlight w:val="none"/>
        </w:rPr>
        <w:t>38.2.2</w:t>
      </w:r>
      <w:r>
        <w:rPr>
          <w:rFonts w:hint="eastAsia" w:hAnsi="宋体"/>
          <w:bCs/>
          <w:color w:val="auto"/>
          <w:szCs w:val="21"/>
          <w:highlight w:val="none"/>
        </w:rPr>
        <w:t>供应商质疑实行实名制，其质疑应当有具体的质疑事项及事实根据，质疑应当坚持依法依规、诚实信用原则，不得进行虚假、恶意质疑。</w:t>
      </w:r>
    </w:p>
    <w:p w14:paraId="078F6236">
      <w:pPr>
        <w:spacing w:line="360" w:lineRule="auto"/>
        <w:ind w:firstLine="422" w:firstLineChars="200"/>
        <w:rPr>
          <w:rFonts w:hAnsi="宋体"/>
          <w:bCs/>
          <w:color w:val="auto"/>
          <w:highlight w:val="none"/>
        </w:rPr>
      </w:pPr>
      <w:r>
        <w:rPr>
          <w:rFonts w:hAnsi="宋体"/>
          <w:b/>
          <w:bCs/>
          <w:color w:val="auto"/>
          <w:highlight w:val="none"/>
        </w:rPr>
        <w:t>38.2.3</w:t>
      </w:r>
      <w:r>
        <w:rPr>
          <w:rFonts w:hint="eastAsia" w:hAnsi="宋体"/>
          <w:bCs/>
          <w:color w:val="auto"/>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olor w:val="auto"/>
          <w:highlight w:val="none"/>
        </w:rPr>
        <w:t>。</w:t>
      </w:r>
    </w:p>
    <w:p w14:paraId="22B75A61">
      <w:pPr>
        <w:spacing w:line="360" w:lineRule="auto"/>
        <w:ind w:firstLine="422" w:firstLineChars="200"/>
        <w:rPr>
          <w:rFonts w:hAnsi="宋体"/>
          <w:b/>
          <w:bCs/>
          <w:color w:val="auto"/>
          <w:highlight w:val="none"/>
        </w:rPr>
      </w:pPr>
      <w:r>
        <w:rPr>
          <w:rFonts w:hAnsi="宋体"/>
          <w:b/>
          <w:bCs/>
          <w:color w:val="auto"/>
          <w:highlight w:val="none"/>
        </w:rPr>
        <w:t xml:space="preserve">38.2.4 </w:t>
      </w:r>
      <w:r>
        <w:rPr>
          <w:rFonts w:hint="eastAsia" w:hAnsi="宋体"/>
          <w:b/>
          <w:bCs/>
          <w:color w:val="auto"/>
          <w:highlight w:val="none"/>
        </w:rPr>
        <w:t>质疑供应商提起质疑应当符合下列条件：</w:t>
      </w:r>
    </w:p>
    <w:p w14:paraId="6F130DE2">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）质疑供应商是参与所质疑</w:t>
      </w:r>
      <w:r>
        <w:rPr>
          <w:rFonts w:hint="eastAsia" w:hAnsi="宋体"/>
          <w:bCs/>
          <w:color w:val="auto"/>
          <w:szCs w:val="21"/>
          <w:highlight w:val="none"/>
        </w:rPr>
        <w:t>项目</w:t>
      </w:r>
      <w:r>
        <w:rPr>
          <w:rFonts w:hint="eastAsia" w:hAnsi="宋体"/>
          <w:bCs/>
          <w:color w:val="auto"/>
          <w:highlight w:val="none"/>
        </w:rPr>
        <w:t>采购活动的供应商（潜在供应商已依法获取可之一的采购文件的，可以对该采购文件质疑）；</w:t>
      </w:r>
    </w:p>
    <w:p w14:paraId="49087E5A">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）质疑函内容符合本章第</w:t>
      </w:r>
      <w:r>
        <w:rPr>
          <w:rFonts w:hAnsi="宋体"/>
          <w:bCs/>
          <w:color w:val="auto"/>
          <w:highlight w:val="none"/>
        </w:rPr>
        <w:t>38.2.5</w:t>
      </w:r>
      <w:r>
        <w:rPr>
          <w:rFonts w:hint="eastAsia" w:hAnsi="宋体"/>
          <w:bCs/>
          <w:color w:val="auto"/>
          <w:highlight w:val="none"/>
        </w:rPr>
        <w:t>项的规定；</w:t>
      </w:r>
    </w:p>
    <w:p w14:paraId="65E42839">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）在质疑有效期限内提起质疑；</w:t>
      </w:r>
    </w:p>
    <w:p w14:paraId="7CE7F143">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）属于所质疑的采购人或采购人委托的采购代理机构组织的采购活动；</w:t>
      </w:r>
    </w:p>
    <w:p w14:paraId="691FA062">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）同一质疑事项未经采购人或采购人委托的采购代理机构质疑处理；</w:t>
      </w:r>
    </w:p>
    <w:p w14:paraId="7D58B1FB">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）供应商对同一采购程序环节的质疑应当在质疑有效期内一次性提出；</w:t>
      </w:r>
    </w:p>
    <w:p w14:paraId="4EB0D6FB">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7</w:t>
      </w:r>
      <w:r>
        <w:rPr>
          <w:rFonts w:hint="eastAsia" w:hAnsi="宋体"/>
          <w:bCs/>
          <w:color w:val="auto"/>
          <w:highlight w:val="none"/>
        </w:rPr>
        <w:t>）供应商提交质疑应当提交必要的证明材料，证明材料应以合法手段取得；</w:t>
      </w:r>
    </w:p>
    <w:p w14:paraId="71342B21">
      <w:pPr>
        <w:spacing w:line="360" w:lineRule="auto"/>
        <w:ind w:firstLine="420" w:firstLineChars="200"/>
        <w:rPr>
          <w:color w:val="auto"/>
          <w:highlight w:val="none"/>
        </w:rPr>
      </w:pPr>
      <w:r>
        <w:rPr>
          <w:rFonts w:hint="eastAsia" w:hAnsi="宋体"/>
          <w:bCs/>
          <w:color w:val="auto"/>
          <w:highlight w:val="none"/>
        </w:rPr>
        <w:t>（</w:t>
      </w:r>
      <w:r>
        <w:rPr>
          <w:rFonts w:hAnsi="宋体"/>
          <w:bCs/>
          <w:color w:val="auto"/>
          <w:highlight w:val="none"/>
        </w:rPr>
        <w:t>8</w:t>
      </w:r>
      <w:r>
        <w:rPr>
          <w:rFonts w:hint="eastAsia" w:hAnsi="宋体"/>
          <w:bCs/>
          <w:color w:val="auto"/>
          <w:highlight w:val="none"/>
        </w:rPr>
        <w:t>）财政部门规定的其他条件。</w:t>
      </w:r>
    </w:p>
    <w:p w14:paraId="796789EB">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 xml:space="preserve"> 38.2.5 </w:t>
      </w:r>
      <w:r>
        <w:rPr>
          <w:rFonts w:hint="eastAsia" w:hAnsi="宋体"/>
          <w:bCs/>
          <w:color w:val="auto"/>
          <w:highlight w:val="none"/>
        </w:rPr>
        <w:t>供应商提出质疑应当提交质疑函和必要的证明材料，针对同一采购程序环节的质疑必须在法定质疑期内一次性提出。质疑函应当包括下列内容（质疑函格式后附）：</w:t>
      </w:r>
    </w:p>
    <w:p w14:paraId="1423032C">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）供应商的姓名或者名称、地址、邮编、联系人及联系电话；</w:t>
      </w:r>
    </w:p>
    <w:p w14:paraId="1E3D59C5">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）质疑项目的名称、编号；</w:t>
      </w:r>
    </w:p>
    <w:p w14:paraId="32A9A98B">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）具体、明确的质疑事项和与质疑事项相关的请求；</w:t>
      </w:r>
    </w:p>
    <w:p w14:paraId="31D9FE35">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）事实依据（列明权益受到损害的事实和理由）；</w:t>
      </w:r>
    </w:p>
    <w:p w14:paraId="12FA0063">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）必要的法律依据；</w:t>
      </w:r>
    </w:p>
    <w:p w14:paraId="1BED943C">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）提出质疑的日期。</w:t>
      </w:r>
    </w:p>
    <w:p w14:paraId="045C731B">
      <w:pPr>
        <w:spacing w:line="360" w:lineRule="auto"/>
        <w:ind w:firstLine="420" w:firstLineChars="200"/>
        <w:rPr>
          <w:rFonts w:hAnsi="宋体"/>
          <w:bCs/>
          <w:color w:val="auto"/>
          <w:highlight w:val="none"/>
        </w:rPr>
      </w:pPr>
      <w:r>
        <w:rPr>
          <w:rFonts w:hint="eastAsia" w:hAnsi="宋体"/>
          <w:bCs/>
          <w:color w:val="auto"/>
          <w:highlight w:val="none"/>
        </w:rPr>
        <w:t>供应商为自然人的，应当由本人签字；供应商为法人或者其他组织的，应当由法定代表人、主要负责人，或者其委托代理人签字或者盖章，并加盖公章。</w:t>
      </w:r>
    </w:p>
    <w:p w14:paraId="69B873DA">
      <w:pPr>
        <w:spacing w:line="360" w:lineRule="auto"/>
        <w:ind w:firstLine="422" w:firstLineChars="200"/>
        <w:rPr>
          <w:rFonts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64415001">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38A72016">
      <w:pPr>
        <w:spacing w:line="360" w:lineRule="auto"/>
        <w:ind w:firstLine="420" w:firstLineChars="200"/>
        <w:rPr>
          <w:rFonts w:hAnsi="宋体"/>
          <w:bCs/>
          <w:color w:val="auto"/>
          <w:highlight w:val="none"/>
        </w:rPr>
      </w:pPr>
      <w:r>
        <w:rPr>
          <w:rFonts w:hint="eastAsia" w:hAnsi="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7E86D124">
      <w:pPr>
        <w:spacing w:line="360" w:lineRule="auto"/>
        <w:ind w:firstLine="420" w:firstLineChars="200"/>
        <w:rPr>
          <w:rFonts w:hAnsi="宋体"/>
          <w:bCs/>
          <w:color w:val="auto"/>
          <w:highlight w:val="none"/>
        </w:rPr>
      </w:pPr>
      <w:r>
        <w:rPr>
          <w:rFonts w:hint="eastAsia" w:hAnsi="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15125A87">
      <w:pPr>
        <w:spacing w:line="360" w:lineRule="auto"/>
        <w:ind w:firstLine="420" w:firstLineChars="200"/>
        <w:rPr>
          <w:rFonts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7C2797AC">
      <w:pPr>
        <w:spacing w:line="360" w:lineRule="auto"/>
        <w:ind w:firstLine="422" w:firstLineChars="200"/>
        <w:rPr>
          <w:rFonts w:hAnsi="宋体"/>
          <w:b/>
          <w:color w:val="auto"/>
          <w:highlight w:val="none"/>
        </w:rPr>
      </w:pPr>
      <w:r>
        <w:rPr>
          <w:rFonts w:hAnsi="宋体"/>
          <w:b/>
          <w:color w:val="auto"/>
          <w:highlight w:val="none"/>
        </w:rPr>
        <w:t>38.3</w:t>
      </w:r>
      <w:r>
        <w:rPr>
          <w:rFonts w:hint="eastAsia" w:hAnsi="宋体"/>
          <w:b/>
          <w:color w:val="auto"/>
          <w:highlight w:val="none"/>
        </w:rPr>
        <w:t>投诉</w:t>
      </w:r>
    </w:p>
    <w:p w14:paraId="15F2AF40">
      <w:pPr>
        <w:spacing w:line="360" w:lineRule="auto"/>
        <w:ind w:firstLine="422" w:firstLineChars="200"/>
        <w:rPr>
          <w:rFonts w:hAnsi="宋体"/>
          <w:bCs/>
          <w:color w:val="auto"/>
          <w:highlight w:val="none"/>
        </w:rPr>
      </w:pPr>
      <w:r>
        <w:rPr>
          <w:rFonts w:hAnsi="宋体"/>
          <w:b/>
          <w:color w:val="auto"/>
          <w:highlight w:val="none"/>
        </w:rPr>
        <w:t>38.3</w:t>
      </w:r>
      <w:r>
        <w:rPr>
          <w:rFonts w:hAnsi="宋体"/>
          <w:bCs/>
          <w:color w:val="auto"/>
          <w:highlight w:val="none"/>
        </w:rPr>
        <w:t>.</w:t>
      </w:r>
      <w:r>
        <w:rPr>
          <w:rFonts w:hAnsi="宋体"/>
          <w:b/>
          <w:bCs/>
          <w:color w:val="auto"/>
          <w:highlight w:val="none"/>
        </w:rPr>
        <w:t xml:space="preserve">1 </w:t>
      </w:r>
      <w:r>
        <w:rPr>
          <w:rFonts w:hint="eastAsia" w:hAnsi="宋体"/>
          <w:bCs/>
          <w:color w:val="auto"/>
          <w:highlight w:val="none"/>
        </w:rPr>
        <w:t>供应商认为采购文件、采购过程、中标和成交结果使自己的合法权益受到损害的，应当首先依法向采购人或采购人委托的</w:t>
      </w:r>
      <w:r>
        <w:rPr>
          <w:rFonts w:hint="eastAsia" w:hAnsi="宋体"/>
          <w:color w:val="auto"/>
          <w:highlight w:val="none"/>
        </w:rPr>
        <w:t>采购代理机构</w:t>
      </w:r>
      <w:r>
        <w:rPr>
          <w:rFonts w:hint="eastAsia" w:hAnsi="宋体"/>
          <w:bCs/>
          <w:color w:val="auto"/>
          <w:highlight w:val="none"/>
        </w:rPr>
        <w:t>提出质疑。对采购人、</w:t>
      </w:r>
      <w:r>
        <w:rPr>
          <w:rFonts w:hint="eastAsia" w:hAnsi="宋体"/>
          <w:color w:val="auto"/>
          <w:highlight w:val="none"/>
        </w:rPr>
        <w:t>采购代理机构</w:t>
      </w:r>
      <w:r>
        <w:rPr>
          <w:rFonts w:hint="eastAsia" w:hAnsi="宋体"/>
          <w:bCs/>
          <w:color w:val="auto"/>
          <w:highlight w:val="none"/>
        </w:rPr>
        <w:t>的答复不满意，或者采购人、</w:t>
      </w:r>
      <w:r>
        <w:rPr>
          <w:rFonts w:hint="eastAsia" w:hAnsi="宋体"/>
          <w:color w:val="auto"/>
          <w:highlight w:val="none"/>
        </w:rPr>
        <w:t>采购代理机构</w:t>
      </w:r>
      <w:r>
        <w:rPr>
          <w:rFonts w:hint="eastAsia" w:hAnsi="宋体"/>
          <w:bCs/>
          <w:color w:val="auto"/>
          <w:highlight w:val="none"/>
        </w:rPr>
        <w:t>未在规定期限内做出答复的，供应商可以在答复期满后</w:t>
      </w:r>
      <w:r>
        <w:rPr>
          <w:rFonts w:hAnsi="宋体"/>
          <w:bCs/>
          <w:color w:val="auto"/>
          <w:highlight w:val="none"/>
        </w:rPr>
        <w:t>15</w:t>
      </w:r>
      <w:r>
        <w:rPr>
          <w:rFonts w:hint="eastAsia" w:hAnsi="宋体"/>
          <w:bCs/>
          <w:color w:val="auto"/>
          <w:highlight w:val="none"/>
        </w:rPr>
        <w:t>个工作日内向南宁市政府采购监督管理部门提起投诉，投诉联系方式见“投标人须知前附表”。</w:t>
      </w:r>
    </w:p>
    <w:p w14:paraId="1A39F734">
      <w:pPr>
        <w:spacing w:line="360" w:lineRule="auto"/>
        <w:ind w:firstLine="422" w:firstLineChars="200"/>
        <w:rPr>
          <w:rFonts w:hAnsi="宋体"/>
          <w:bCs/>
          <w:color w:val="auto"/>
          <w:highlight w:val="none"/>
        </w:rPr>
      </w:pPr>
      <w:r>
        <w:rPr>
          <w:rFonts w:hAnsi="宋体"/>
          <w:b/>
          <w:color w:val="auto"/>
          <w:highlight w:val="none"/>
        </w:rPr>
        <w:t>38.3</w:t>
      </w:r>
      <w:r>
        <w:rPr>
          <w:b/>
          <w:color w:val="auto"/>
          <w:highlight w:val="none"/>
        </w:rPr>
        <w:t xml:space="preserve">.2 </w:t>
      </w:r>
      <w:r>
        <w:rPr>
          <w:rFonts w:hint="eastAsia"/>
          <w:color w:val="auto"/>
          <w:highlight w:val="none"/>
        </w:rPr>
        <w:t>投诉人投诉时，应当提交投诉书，并按照被投诉采购人、</w:t>
      </w:r>
      <w:r>
        <w:rPr>
          <w:rFonts w:hint="eastAsia" w:hAnsi="宋体"/>
          <w:color w:val="auto"/>
          <w:highlight w:val="none"/>
        </w:rPr>
        <w:t>采购代理机构</w:t>
      </w:r>
      <w:r>
        <w:rPr>
          <w:rFonts w:hint="eastAsia"/>
          <w:color w:val="auto"/>
          <w:highlight w:val="none"/>
        </w:rPr>
        <w:t>和与投诉事项有关的供应商数量提供投诉书的副本。投诉书</w:t>
      </w:r>
      <w:r>
        <w:rPr>
          <w:rFonts w:hint="eastAsia"/>
          <w:color w:val="auto"/>
          <w:szCs w:val="21"/>
          <w:highlight w:val="none"/>
        </w:rPr>
        <w:t>应当包括下列主要内容</w:t>
      </w:r>
      <w:r>
        <w:rPr>
          <w:rFonts w:hint="eastAsia"/>
          <w:color w:val="auto"/>
          <w:highlight w:val="none"/>
        </w:rPr>
        <w:t>（如材料中有外文资料应同时附上对应的中文译本）</w:t>
      </w:r>
      <w:r>
        <w:rPr>
          <w:rFonts w:hint="eastAsia" w:hAnsi="宋体"/>
          <w:bCs/>
          <w:color w:val="auto"/>
          <w:highlight w:val="none"/>
        </w:rPr>
        <w:t>（投诉书格式后附）</w:t>
      </w:r>
      <w:r>
        <w:rPr>
          <w:rFonts w:hint="eastAsia"/>
          <w:color w:val="auto"/>
          <w:szCs w:val="21"/>
          <w:highlight w:val="none"/>
        </w:rPr>
        <w:t>：</w:t>
      </w:r>
    </w:p>
    <w:p w14:paraId="3CCD4E46">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）投诉人和被投诉人的名称、地址、邮编、联系人及联系电话等；</w:t>
      </w:r>
    </w:p>
    <w:p w14:paraId="2B4098BD">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）质疑和质疑答复情况及相关证明材料；</w:t>
      </w:r>
    </w:p>
    <w:p w14:paraId="6830652C">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）具体、明确的投诉事项和与投诉事项相关的投诉请求；</w:t>
      </w:r>
    </w:p>
    <w:p w14:paraId="23A63303">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）事实依据；</w:t>
      </w:r>
    </w:p>
    <w:p w14:paraId="39FFAE64">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）法律依据；</w:t>
      </w:r>
    </w:p>
    <w:p w14:paraId="20D203ED">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）提起投诉的日期。</w:t>
      </w:r>
    </w:p>
    <w:p w14:paraId="33ED6D85">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）附件材料：营业执照副本内页复印件（要求证件有效并清晰反映企业法人经营范围；近期连续三个月依法缴纳税收和在职职工社会保障资金证明材料（复印件）。</w:t>
      </w:r>
      <w:r>
        <w:rPr>
          <w:rFonts w:hAnsi="宋体"/>
          <w:color w:val="auto"/>
          <w:highlight w:val="none"/>
        </w:rPr>
        <w:tab/>
      </w:r>
    </w:p>
    <w:p w14:paraId="368F59AA">
      <w:pPr>
        <w:spacing w:line="360" w:lineRule="auto"/>
        <w:ind w:firstLine="422" w:firstLineChars="200"/>
        <w:rPr>
          <w:rFonts w:hAnsi="宋体"/>
          <w:bCs/>
          <w:color w:val="auto"/>
          <w:highlight w:val="none"/>
        </w:rPr>
      </w:pPr>
      <w:r>
        <w:rPr>
          <w:rFonts w:hAnsi="宋体"/>
          <w:b/>
          <w:color w:val="auto"/>
          <w:highlight w:val="none"/>
        </w:rPr>
        <w:t>38.3</w:t>
      </w:r>
      <w:r>
        <w:rPr>
          <w:b/>
          <w:color w:val="auto"/>
          <w:highlight w:val="none"/>
        </w:rPr>
        <w:t xml:space="preserve">.3  </w:t>
      </w:r>
      <w:r>
        <w:rPr>
          <w:rFonts w:hint="eastAsia"/>
          <w:color w:val="auto"/>
          <w:highlight w:val="none"/>
        </w:rPr>
        <w:t>投诉人可以委托代理人办理投诉事务。</w:t>
      </w:r>
      <w:r>
        <w:rPr>
          <w:rFonts w:hint="eastAsia" w:hAnsi="宋体"/>
          <w:bCs/>
          <w:color w:val="auto"/>
          <w:highlight w:val="none"/>
        </w:rPr>
        <w:t>委托代理人应熟悉相关业务情况。</w:t>
      </w:r>
      <w:r>
        <w:rPr>
          <w:rFonts w:hint="eastAsia"/>
          <w:color w:val="auto"/>
          <w:highlight w:val="none"/>
        </w:rPr>
        <w:t>代理人办理投诉事务时，除提交投诉书外，还应当提交投诉人的授权委托书和</w:t>
      </w:r>
      <w:r>
        <w:rPr>
          <w:rFonts w:hint="eastAsia" w:hAnsi="宋体"/>
          <w:color w:val="auto"/>
          <w:highlight w:val="none"/>
        </w:rPr>
        <w:t>委托代理人身份证明复印件。</w:t>
      </w:r>
    </w:p>
    <w:p w14:paraId="346F9A23">
      <w:pPr>
        <w:spacing w:line="360" w:lineRule="auto"/>
        <w:ind w:firstLine="422" w:firstLineChars="200"/>
        <w:rPr>
          <w:rFonts w:hAnsi="宋体"/>
          <w:color w:val="auto"/>
          <w:highlight w:val="none"/>
        </w:rPr>
      </w:pPr>
      <w:r>
        <w:rPr>
          <w:rFonts w:hAnsi="宋体"/>
          <w:b/>
          <w:color w:val="auto"/>
          <w:highlight w:val="none"/>
        </w:rPr>
        <w:t>38.3</w:t>
      </w:r>
      <w:r>
        <w:rPr>
          <w:b/>
          <w:color w:val="auto"/>
          <w:highlight w:val="none"/>
        </w:rPr>
        <w:t>.4</w:t>
      </w:r>
      <w:r>
        <w:rPr>
          <w:rFonts w:hint="eastAsia"/>
          <w:color w:val="auto"/>
          <w:highlight w:val="none"/>
        </w:rPr>
        <w:t>投诉人提起投诉应当符合下列条件：</w:t>
      </w:r>
    </w:p>
    <w:p w14:paraId="38790037">
      <w:pPr>
        <w:spacing w:line="360" w:lineRule="auto"/>
        <w:ind w:firstLine="420" w:firstLineChars="200"/>
        <w:rPr>
          <w:rFonts w:ascii="宋体" w:hAnsi="宋体"/>
          <w:color w:val="auto"/>
          <w:highlight w:val="none"/>
        </w:rPr>
      </w:pPr>
      <w:r>
        <w:rPr>
          <w:rFonts w:hint="eastAsia" w:ascii="宋体" w:hAnsi="宋体"/>
          <w:color w:val="auto"/>
          <w:highlight w:val="none"/>
        </w:rPr>
        <w:t>（1）投诉人是参与所投诉政府采购活动的供应商；</w:t>
      </w:r>
    </w:p>
    <w:p w14:paraId="150A0D1C">
      <w:pPr>
        <w:spacing w:line="360" w:lineRule="auto"/>
        <w:ind w:firstLine="420" w:firstLineChars="200"/>
        <w:rPr>
          <w:rFonts w:ascii="宋体" w:hAnsi="宋体"/>
          <w:color w:val="auto"/>
          <w:highlight w:val="none"/>
        </w:rPr>
      </w:pPr>
      <w:r>
        <w:rPr>
          <w:rFonts w:hint="eastAsia" w:ascii="宋体" w:hAnsi="宋体"/>
          <w:color w:val="auto"/>
          <w:highlight w:val="none"/>
        </w:rPr>
        <w:t>（2）提起投诉前已依法进行质疑；</w:t>
      </w:r>
    </w:p>
    <w:p w14:paraId="3DA59774">
      <w:pPr>
        <w:spacing w:line="360" w:lineRule="auto"/>
        <w:ind w:firstLine="420" w:firstLineChars="200"/>
        <w:rPr>
          <w:rFonts w:ascii="宋体" w:hAnsi="宋体"/>
          <w:color w:val="auto"/>
          <w:highlight w:val="none"/>
        </w:rPr>
      </w:pPr>
      <w:r>
        <w:rPr>
          <w:rFonts w:hint="eastAsia" w:ascii="宋体" w:hAnsi="宋体"/>
          <w:color w:val="auto"/>
          <w:highlight w:val="none"/>
        </w:rPr>
        <w:t>（3）投诉书内容符合本章第38.3.2项的规定；</w:t>
      </w:r>
    </w:p>
    <w:p w14:paraId="14B02465">
      <w:pPr>
        <w:spacing w:line="360" w:lineRule="auto"/>
        <w:ind w:firstLine="420" w:firstLineChars="200"/>
        <w:rPr>
          <w:rFonts w:ascii="宋体" w:hAnsi="宋体"/>
          <w:color w:val="auto"/>
          <w:highlight w:val="none"/>
        </w:rPr>
      </w:pPr>
      <w:r>
        <w:rPr>
          <w:rFonts w:hint="eastAsia" w:ascii="宋体" w:hAnsi="宋体"/>
          <w:color w:val="auto"/>
          <w:highlight w:val="none"/>
        </w:rPr>
        <w:t>（4）在投诉有效期限内提起投诉；</w:t>
      </w:r>
    </w:p>
    <w:p w14:paraId="4470F5B5">
      <w:pPr>
        <w:spacing w:line="360" w:lineRule="auto"/>
        <w:ind w:firstLine="420" w:firstLineChars="200"/>
        <w:rPr>
          <w:rFonts w:ascii="宋体" w:hAnsi="宋体"/>
          <w:color w:val="auto"/>
          <w:highlight w:val="none"/>
        </w:rPr>
      </w:pPr>
      <w:r>
        <w:rPr>
          <w:rFonts w:hint="eastAsia" w:ascii="宋体" w:hAnsi="宋体"/>
          <w:color w:val="auto"/>
          <w:highlight w:val="none"/>
        </w:rPr>
        <w:t>（5）属于南宁市政府采购监督管理部门管辖；</w:t>
      </w:r>
    </w:p>
    <w:p w14:paraId="3C8EF161">
      <w:pPr>
        <w:spacing w:line="360" w:lineRule="auto"/>
        <w:ind w:firstLine="420" w:firstLineChars="200"/>
        <w:rPr>
          <w:rFonts w:ascii="宋体" w:hAnsi="宋体"/>
          <w:color w:val="auto"/>
          <w:highlight w:val="none"/>
        </w:rPr>
      </w:pPr>
      <w:r>
        <w:rPr>
          <w:rFonts w:hint="eastAsia" w:ascii="宋体" w:hAnsi="宋体"/>
          <w:color w:val="auto"/>
          <w:highlight w:val="none"/>
        </w:rPr>
        <w:t>（6）同一投诉事项未经</w:t>
      </w:r>
      <w:r>
        <w:rPr>
          <w:rFonts w:hint="eastAsia" w:ascii="宋体" w:hAnsi="宋体"/>
          <w:bCs/>
          <w:color w:val="auto"/>
          <w:highlight w:val="none"/>
        </w:rPr>
        <w:t>南宁市政府采购监督管理部门</w:t>
      </w:r>
      <w:r>
        <w:rPr>
          <w:rFonts w:hint="eastAsia" w:ascii="宋体" w:hAnsi="宋体"/>
          <w:color w:val="auto"/>
          <w:highlight w:val="none"/>
        </w:rPr>
        <w:t>投诉处理；</w:t>
      </w:r>
    </w:p>
    <w:p w14:paraId="52CEDACC">
      <w:pPr>
        <w:spacing w:line="360" w:lineRule="auto"/>
        <w:ind w:firstLine="420" w:firstLineChars="200"/>
        <w:rPr>
          <w:rFonts w:ascii="宋体"/>
          <w:color w:val="auto"/>
          <w:highlight w:val="none"/>
        </w:rPr>
      </w:pPr>
      <w:r>
        <w:rPr>
          <w:rFonts w:hint="eastAsia" w:ascii="宋体"/>
          <w:color w:val="auto"/>
          <w:highlight w:val="none"/>
        </w:rPr>
        <w:t>（7）国务院财政部门规定的其他条件。</w:t>
      </w:r>
    </w:p>
    <w:p w14:paraId="64ACA5AA">
      <w:pPr>
        <w:spacing w:line="360" w:lineRule="auto"/>
        <w:ind w:firstLine="422" w:firstLineChars="200"/>
        <w:rPr>
          <w:color w:val="auto"/>
          <w:highlight w:val="none"/>
        </w:rPr>
      </w:pPr>
      <w:r>
        <w:rPr>
          <w:rFonts w:hAnsi="宋体"/>
          <w:b/>
          <w:color w:val="auto"/>
          <w:highlight w:val="none"/>
        </w:rPr>
        <w:t>38.3</w:t>
      </w:r>
      <w:r>
        <w:rPr>
          <w:rFonts w:hint="eastAsia" w:ascii="宋体"/>
          <w:b/>
          <w:color w:val="auto"/>
          <w:highlight w:val="none"/>
        </w:rPr>
        <w:t>.5</w:t>
      </w:r>
      <w:r>
        <w:rPr>
          <w:rFonts w:hint="eastAsia" w:ascii="宋体"/>
          <w:color w:val="auto"/>
          <w:highlight w:val="none"/>
        </w:rPr>
        <w:t>南宁市政府采购监督管理部门</w:t>
      </w:r>
      <w:r>
        <w:rPr>
          <w:rFonts w:hint="eastAsia"/>
          <w:color w:val="auto"/>
          <w:highlight w:val="none"/>
        </w:rPr>
        <w:t>自受理投诉之日起</w:t>
      </w:r>
      <w:r>
        <w:rPr>
          <w:color w:val="auto"/>
          <w:highlight w:val="none"/>
        </w:rPr>
        <w:t>30</w:t>
      </w:r>
      <w:r>
        <w:rPr>
          <w:rFonts w:hint="eastAsia"/>
          <w:color w:val="auto"/>
          <w:highlight w:val="none"/>
        </w:rPr>
        <w:t>个工作日内，对投诉事项作出处理决定，并以书面形式通知投诉人、被投诉人及其他与投诉处理结果有利害关系的政府采购当</w:t>
      </w:r>
      <w:r>
        <w:rPr>
          <w:rFonts w:hint="eastAsia" w:ascii="宋体"/>
          <w:color w:val="auto"/>
          <w:highlight w:val="none"/>
        </w:rPr>
        <w:t>事人</w:t>
      </w:r>
      <w:r>
        <w:rPr>
          <w:rFonts w:hint="eastAsia"/>
          <w:color w:val="auto"/>
          <w:highlight w:val="none"/>
        </w:rPr>
        <w:t>。并将投诉结果在</w:t>
      </w:r>
      <w:r>
        <w:rPr>
          <w:color w:val="auto"/>
          <w:highlight w:val="none"/>
        </w:rPr>
        <w:t>http</w:t>
      </w:r>
      <w:r>
        <w:rPr>
          <w:rFonts w:hint="eastAsia"/>
          <w:color w:val="auto"/>
          <w:highlight w:val="none"/>
        </w:rPr>
        <w:t>：</w:t>
      </w:r>
      <w:r>
        <w:rPr>
          <w:color w:val="auto"/>
          <w:highlight w:val="none"/>
        </w:rPr>
        <w:t>//zfcg.gxzf.gov.cn (</w:t>
      </w:r>
      <w:r>
        <w:rPr>
          <w:rFonts w:hint="eastAsia"/>
          <w:color w:val="auto"/>
          <w:highlight w:val="none"/>
        </w:rPr>
        <w:t>广西壮族自治区政府采购网</w:t>
      </w:r>
      <w:r>
        <w:rPr>
          <w:color w:val="auto"/>
          <w:highlight w:val="none"/>
        </w:rPr>
        <w:t>)</w:t>
      </w:r>
      <w:r>
        <w:rPr>
          <w:rFonts w:hint="eastAsia"/>
          <w:color w:val="auto"/>
          <w:highlight w:val="none"/>
        </w:rPr>
        <w:t>发布。</w:t>
      </w:r>
    </w:p>
    <w:p w14:paraId="4E5C57A1">
      <w:pPr>
        <w:spacing w:line="360" w:lineRule="auto"/>
        <w:ind w:firstLine="422" w:firstLineChars="200"/>
        <w:rPr>
          <w:rFonts w:ascii="宋体"/>
          <w:color w:val="auto"/>
          <w:highlight w:val="none"/>
        </w:rPr>
      </w:pPr>
      <w:r>
        <w:rPr>
          <w:rFonts w:hAnsi="宋体"/>
          <w:b/>
          <w:color w:val="auto"/>
          <w:highlight w:val="none"/>
        </w:rPr>
        <w:t>38.3</w:t>
      </w:r>
      <w:r>
        <w:rPr>
          <w:rFonts w:hint="eastAsia" w:ascii="宋体"/>
          <w:b/>
          <w:color w:val="auto"/>
          <w:highlight w:val="none"/>
        </w:rPr>
        <w:t>.6</w:t>
      </w:r>
      <w:r>
        <w:rPr>
          <w:rFonts w:hint="eastAsia" w:ascii="宋体"/>
          <w:color w:val="auto"/>
          <w:highlight w:val="none"/>
        </w:rPr>
        <w:t>南宁市政府采购监督管理部门在处理投诉事项期间，可以视具体情况暂停采购活动。</w:t>
      </w:r>
    </w:p>
    <w:p w14:paraId="479A9268">
      <w:pPr>
        <w:snapToGrid w:val="0"/>
        <w:spacing w:line="360" w:lineRule="auto"/>
        <w:ind w:left="120" w:leftChars="57" w:firstLine="482" w:firstLineChars="150"/>
        <w:jc w:val="center"/>
        <w:rPr>
          <w:b/>
          <w:bCs/>
          <w:color w:val="auto"/>
          <w:sz w:val="32"/>
          <w:szCs w:val="32"/>
          <w:highlight w:val="none"/>
        </w:rPr>
      </w:pPr>
      <w:r>
        <w:rPr>
          <w:rFonts w:hint="eastAsia"/>
          <w:b/>
          <w:bCs/>
          <w:color w:val="auto"/>
          <w:sz w:val="32"/>
          <w:szCs w:val="32"/>
          <w:highlight w:val="none"/>
        </w:rPr>
        <w:t>八、验收</w:t>
      </w:r>
    </w:p>
    <w:p w14:paraId="0FEF6E3C">
      <w:pPr>
        <w:spacing w:line="360" w:lineRule="auto"/>
        <w:ind w:firstLine="422" w:firstLineChars="200"/>
        <w:rPr>
          <w:rFonts w:hAnsi="宋体"/>
          <w:b/>
          <w:color w:val="auto"/>
          <w:highlight w:val="none"/>
        </w:rPr>
      </w:pPr>
      <w:r>
        <w:rPr>
          <w:rFonts w:hAnsi="宋体"/>
          <w:b/>
          <w:color w:val="auto"/>
          <w:highlight w:val="none"/>
        </w:rPr>
        <w:t>39.</w:t>
      </w:r>
      <w:r>
        <w:rPr>
          <w:rFonts w:hint="eastAsia" w:hAnsi="宋体"/>
          <w:b/>
          <w:color w:val="auto"/>
          <w:highlight w:val="none"/>
        </w:rPr>
        <w:t>验收</w:t>
      </w:r>
    </w:p>
    <w:p w14:paraId="6F64AE17">
      <w:pPr>
        <w:tabs>
          <w:tab w:val="left" w:pos="0"/>
        </w:tabs>
        <w:spacing w:line="360" w:lineRule="auto"/>
        <w:ind w:firstLine="480"/>
        <w:rPr>
          <w:rFonts w:hAnsi="宋体"/>
          <w:color w:val="auto"/>
          <w:highlight w:val="none"/>
        </w:rPr>
      </w:pPr>
      <w:r>
        <w:rPr>
          <w:rFonts w:hAnsi="宋体"/>
          <w:color w:val="auto"/>
          <w:highlight w:val="none"/>
        </w:rPr>
        <w:t>39.1</w:t>
      </w:r>
      <w:r>
        <w:rPr>
          <w:rFonts w:hint="eastAsia" w:hAnsi="宋体"/>
          <w:color w:val="auto"/>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4778E56">
      <w:pPr>
        <w:tabs>
          <w:tab w:val="left" w:pos="0"/>
        </w:tabs>
        <w:spacing w:line="360" w:lineRule="auto"/>
        <w:ind w:firstLine="480"/>
        <w:rPr>
          <w:rFonts w:hAnsi="宋体"/>
          <w:color w:val="auto"/>
          <w:highlight w:val="none"/>
        </w:rPr>
      </w:pPr>
      <w:r>
        <w:rPr>
          <w:rFonts w:hAnsi="宋体"/>
          <w:color w:val="auto"/>
          <w:highlight w:val="none"/>
        </w:rPr>
        <w:t>39.2</w:t>
      </w:r>
      <w:r>
        <w:rPr>
          <w:rFonts w:hint="eastAsia" w:hAnsi="宋体"/>
          <w:color w:val="auto"/>
          <w:highlight w:val="none"/>
        </w:rPr>
        <w:t>采购人可以邀请参加本项目的其他投标人或者第三方机构参与验收。参与验收的投标人或者第三方机构的意见作为验收书的参考资料一并存档。</w:t>
      </w:r>
    </w:p>
    <w:p w14:paraId="799C34F5">
      <w:pPr>
        <w:tabs>
          <w:tab w:val="left" w:pos="0"/>
        </w:tabs>
        <w:spacing w:line="360" w:lineRule="auto"/>
        <w:ind w:firstLine="480"/>
        <w:rPr>
          <w:rFonts w:hAnsi="宋体"/>
          <w:color w:val="auto"/>
          <w:highlight w:val="none"/>
        </w:rPr>
      </w:pPr>
      <w:r>
        <w:rPr>
          <w:rFonts w:hAnsi="宋体"/>
          <w:color w:val="auto"/>
          <w:highlight w:val="none"/>
        </w:rPr>
        <w:t>39.3</w:t>
      </w:r>
      <w:r>
        <w:rPr>
          <w:rFonts w:hint="eastAsia" w:hAnsi="宋体"/>
          <w:color w:val="auto"/>
          <w:highlight w:val="none"/>
        </w:rPr>
        <w:t>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8A89249">
      <w:pPr>
        <w:tabs>
          <w:tab w:val="left" w:pos="0"/>
        </w:tabs>
        <w:spacing w:line="360" w:lineRule="auto"/>
        <w:ind w:firstLine="480"/>
        <w:rPr>
          <w:rFonts w:hAnsi="宋体"/>
          <w:color w:val="auto"/>
          <w:highlight w:val="none"/>
        </w:rPr>
      </w:pPr>
      <w:r>
        <w:rPr>
          <w:rFonts w:hAnsi="宋体"/>
          <w:color w:val="auto"/>
          <w:highlight w:val="none"/>
        </w:rPr>
        <w:t>39.4</w:t>
      </w:r>
      <w:r>
        <w:rPr>
          <w:rFonts w:hint="eastAsia" w:hAnsi="宋体"/>
          <w:color w:val="auto"/>
          <w:highlight w:val="none"/>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6010150">
      <w:pPr>
        <w:snapToGrid w:val="0"/>
        <w:spacing w:line="400" w:lineRule="exact"/>
        <w:rPr>
          <w:rFonts w:ascii="宋体" w:hAnsi="宋体"/>
          <w:color w:val="auto"/>
          <w:szCs w:val="20"/>
          <w:highlight w:val="none"/>
        </w:rPr>
      </w:pPr>
    </w:p>
    <w:p w14:paraId="1F9C5193">
      <w:pPr>
        <w:spacing w:line="360" w:lineRule="auto"/>
        <w:ind w:firstLine="643" w:firstLineChars="200"/>
        <w:jc w:val="center"/>
        <w:outlineLvl w:val="2"/>
        <w:rPr>
          <w:b/>
          <w:bCs/>
          <w:color w:val="auto"/>
          <w:sz w:val="32"/>
          <w:szCs w:val="32"/>
          <w:highlight w:val="none"/>
        </w:rPr>
      </w:pPr>
      <w:bookmarkStart w:id="47" w:name="_Toc89076001"/>
      <w:bookmarkStart w:id="48" w:name="_Toc7290"/>
      <w:bookmarkStart w:id="49" w:name="_Toc20881"/>
      <w:bookmarkStart w:id="50" w:name="_Toc110956116"/>
      <w:bookmarkStart w:id="51" w:name="_Toc19087"/>
      <w:r>
        <w:rPr>
          <w:rFonts w:hint="eastAsia"/>
          <w:b/>
          <w:bCs/>
          <w:color w:val="auto"/>
          <w:sz w:val="32"/>
          <w:szCs w:val="32"/>
          <w:highlight w:val="none"/>
        </w:rPr>
        <w:t>九、其他事项</w:t>
      </w:r>
      <w:bookmarkEnd w:id="47"/>
      <w:bookmarkEnd w:id="48"/>
      <w:bookmarkEnd w:id="49"/>
      <w:bookmarkEnd w:id="50"/>
      <w:bookmarkEnd w:id="51"/>
    </w:p>
    <w:p w14:paraId="4AF2437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40.代理服务费</w:t>
      </w:r>
    </w:p>
    <w:p w14:paraId="4B1284D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代理服务收费标准及缴费账户详见“投标人须知前附表”，投标人为联合体的，可以由联合体中的一方或者多方共同交纳代理服务费。</w:t>
      </w:r>
    </w:p>
    <w:p w14:paraId="207E314D">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41. 需要补充的其他内容</w:t>
      </w:r>
    </w:p>
    <w:p w14:paraId="2436159D">
      <w:pPr>
        <w:spacing w:line="360" w:lineRule="auto"/>
        <w:ind w:firstLine="420" w:firstLineChars="200"/>
        <w:rPr>
          <w:rFonts w:hAnsi="宋体"/>
          <w:color w:val="auto"/>
          <w:highlight w:val="none"/>
        </w:rPr>
      </w:pPr>
      <w:r>
        <w:rPr>
          <w:rFonts w:hAnsi="宋体"/>
          <w:color w:val="auto"/>
          <w:highlight w:val="none"/>
        </w:rPr>
        <w:t>41.1</w:t>
      </w:r>
      <w:r>
        <w:rPr>
          <w:rFonts w:hint="eastAsia" w:hAnsi="宋体" w:cs="宋体"/>
          <w:color w:val="auto"/>
          <w:highlight w:val="none"/>
        </w:rPr>
        <w:t>本招标文件解释规则详见</w:t>
      </w:r>
      <w:r>
        <w:rPr>
          <w:rFonts w:hint="eastAsia" w:hAnsi="宋体"/>
          <w:color w:val="auto"/>
          <w:highlight w:val="none"/>
        </w:rPr>
        <w:t>“投标人须知前附表”。</w:t>
      </w:r>
    </w:p>
    <w:p w14:paraId="49E7FC2E">
      <w:pPr>
        <w:spacing w:line="360" w:lineRule="auto"/>
        <w:ind w:firstLine="420" w:firstLineChars="200"/>
        <w:rPr>
          <w:rFonts w:hAnsi="宋体"/>
          <w:color w:val="auto"/>
          <w:highlight w:val="none"/>
        </w:rPr>
      </w:pPr>
      <w:r>
        <w:rPr>
          <w:rFonts w:hAnsi="宋体" w:cs="宋体"/>
          <w:color w:val="auto"/>
          <w:highlight w:val="none"/>
        </w:rPr>
        <w:t xml:space="preserve">41.2 </w:t>
      </w:r>
      <w:r>
        <w:rPr>
          <w:rFonts w:hint="eastAsia" w:hAnsi="宋体"/>
          <w:color w:val="auto"/>
          <w:highlight w:val="none"/>
        </w:rPr>
        <w:t>其他事项详见“投标人须知前附表”。</w:t>
      </w:r>
    </w:p>
    <w:p w14:paraId="63C249E0">
      <w:pPr>
        <w:spacing w:line="360" w:lineRule="auto"/>
        <w:ind w:firstLine="420" w:firstLineChars="200"/>
        <w:rPr>
          <w:rFonts w:ascii="宋体" w:hAnsi="宋体"/>
          <w:color w:val="auto"/>
          <w:szCs w:val="20"/>
          <w:highlight w:val="none"/>
        </w:rPr>
      </w:pPr>
      <w:r>
        <w:rPr>
          <w:rFonts w:hint="eastAsia" w:ascii="宋体" w:hAnsi="宋体"/>
          <w:color w:val="auto"/>
          <w:szCs w:val="20"/>
          <w:highlight w:val="none"/>
        </w:rPr>
        <w:t>41.3</w:t>
      </w:r>
      <w:bookmarkStart w:id="52" w:name="_Hlk65857140"/>
      <w:r>
        <w:rPr>
          <w:rFonts w:hint="eastAsia" w:ascii="宋体" w:hAnsi="宋体"/>
          <w:color w:val="auto"/>
          <w:szCs w:val="20"/>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w:t>
      </w:r>
      <w:r>
        <w:rPr>
          <w:rFonts w:hint="eastAsia" w:ascii="宋体" w:hAnsi="Courier New"/>
          <w:color w:val="auto"/>
          <w:szCs w:val="20"/>
          <w:highlight w:val="none"/>
        </w:rPr>
        <w:t>不对其中涉及的工程承建商和服务的承接商作出要求</w:t>
      </w:r>
      <w:r>
        <w:rPr>
          <w:rFonts w:hint="eastAsia" w:ascii="宋体" w:hAnsi="宋体"/>
          <w:color w:val="auto"/>
          <w:szCs w:val="20"/>
          <w:highlight w:val="none"/>
        </w:rPr>
        <w:t>的，享受本文件规定的中小企业扶持政策。</w:t>
      </w:r>
    </w:p>
    <w:p w14:paraId="2F98F60F">
      <w:pPr>
        <w:spacing w:before="120" w:after="120" w:line="360" w:lineRule="auto"/>
        <w:ind w:firstLine="420" w:firstLineChars="200"/>
        <w:contextualSpacing/>
        <w:rPr>
          <w:rFonts w:ascii="宋体" w:hAnsi="宋体"/>
          <w:color w:val="auto"/>
          <w:szCs w:val="20"/>
          <w:highlight w:val="none"/>
        </w:rPr>
      </w:pPr>
      <w:r>
        <w:rPr>
          <w:rFonts w:hint="eastAsia" w:ascii="宋体" w:hAnsi="宋体"/>
          <w:color w:val="auto"/>
          <w:szCs w:val="20"/>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1A247591">
      <w:pPr>
        <w:spacing w:before="120" w:after="120" w:line="360" w:lineRule="auto"/>
        <w:ind w:firstLine="420" w:firstLineChars="200"/>
        <w:contextualSpacing/>
        <w:rPr>
          <w:rFonts w:ascii="宋体" w:hAnsi="宋体"/>
          <w:color w:val="auto"/>
          <w:szCs w:val="20"/>
          <w:highlight w:val="none"/>
        </w:rPr>
      </w:pPr>
      <w:r>
        <w:rPr>
          <w:rFonts w:hint="eastAsia" w:ascii="宋体" w:hAnsi="宋体"/>
          <w:color w:val="auto"/>
          <w:szCs w:val="20"/>
          <w:highlight w:val="none"/>
        </w:rPr>
        <w:t>依据本文件规定享受扶持政策获得政府采购合同的，小微企业不得将合同分包给大中型企业，中型企业不得将合同分包给大型企业。</w:t>
      </w:r>
      <w:bookmarkEnd w:id="52"/>
    </w:p>
    <w:p w14:paraId="03BF068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42. 政采贷相关说明</w:t>
      </w:r>
    </w:p>
    <w:p w14:paraId="526A547D">
      <w:pPr>
        <w:spacing w:line="360" w:lineRule="auto"/>
        <w:ind w:firstLine="420" w:firstLineChars="200"/>
        <w:jc w:val="left"/>
        <w:rPr>
          <w:rFonts w:hAnsi="宋体"/>
          <w:color w:val="auto"/>
          <w:highlight w:val="none"/>
        </w:rPr>
      </w:pPr>
      <w:r>
        <w:rPr>
          <w:rFonts w:hint="eastAsia" w:hAnsi="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54382B62">
      <w:pPr>
        <w:numPr>
          <w:ilvl w:val="0"/>
          <w:numId w:val="1"/>
        </w:numPr>
        <w:spacing w:line="360" w:lineRule="auto"/>
        <w:ind w:firstLine="420" w:firstLineChars="200"/>
        <w:jc w:val="left"/>
        <w:rPr>
          <w:rFonts w:hAnsi="宋体"/>
          <w:color w:val="auto"/>
          <w:highlight w:val="none"/>
        </w:rPr>
      </w:pPr>
      <w:r>
        <w:rPr>
          <w:rFonts w:hint="eastAsia" w:hAnsi="宋体"/>
          <w:color w:val="auto"/>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Fonts w:hAnsi="宋体"/>
          <w:color w:val="auto"/>
          <w:highlight w:val="none"/>
          <w:u w:val="single"/>
        </w:rPr>
        <w:t>http</w:t>
      </w:r>
      <w:r>
        <w:rPr>
          <w:rFonts w:hint="eastAsia" w:hAnsi="宋体"/>
          <w:color w:val="auto"/>
          <w:highlight w:val="none"/>
          <w:u w:val="single"/>
        </w:rPr>
        <w:t>：</w:t>
      </w:r>
      <w:r>
        <w:rPr>
          <w:rFonts w:hAnsi="宋体"/>
          <w:color w:val="auto"/>
          <w:highlight w:val="none"/>
          <w:u w:val="single"/>
        </w:rPr>
        <w:t>//www.nnggzy.org.cn</w:t>
      </w:r>
      <w:r>
        <w:rPr>
          <w:rFonts w:hint="eastAsia" w:hAnsi="宋体"/>
          <w:color w:val="auto"/>
          <w:highlight w:val="none"/>
          <w:u w:val="single"/>
        </w:rPr>
        <w:t>）“交易信息</w:t>
      </w:r>
      <w:r>
        <w:rPr>
          <w:rFonts w:hAnsi="宋体"/>
          <w:color w:val="auto"/>
          <w:highlight w:val="none"/>
          <w:u w:val="single"/>
        </w:rPr>
        <w:t>-</w:t>
      </w:r>
      <w:r>
        <w:rPr>
          <w:rFonts w:hint="eastAsia" w:hAnsi="宋体"/>
          <w:color w:val="auto"/>
          <w:highlight w:val="none"/>
          <w:u w:val="single"/>
        </w:rPr>
        <w:t>政府采购</w:t>
      </w:r>
      <w:r>
        <w:rPr>
          <w:rFonts w:hAnsi="宋体"/>
          <w:color w:val="auto"/>
          <w:highlight w:val="none"/>
          <w:u w:val="single"/>
        </w:rPr>
        <w:t>-</w:t>
      </w:r>
      <w:r>
        <w:rPr>
          <w:rFonts w:hint="eastAsia" w:hAnsi="宋体"/>
          <w:color w:val="auto"/>
          <w:highlight w:val="none"/>
          <w:u w:val="single"/>
        </w:rPr>
        <w:t>政府采购信用融资”中融资银行和南宁市企业融资货物中心专栏信息申请政府采购信用融资。</w:t>
      </w:r>
      <w:r>
        <w:rPr>
          <w:rFonts w:hint="eastAsia" w:hAnsi="宋体"/>
          <w:color w:val="auto"/>
          <w:highlight w:val="none"/>
          <w:u w:val="single"/>
        </w:rPr>
        <w:fldChar w:fldCharType="end"/>
      </w:r>
    </w:p>
    <w:p w14:paraId="09E51EA1">
      <w:pPr>
        <w:spacing w:line="360" w:lineRule="auto"/>
        <w:ind w:firstLine="420" w:firstLineChars="200"/>
        <w:jc w:val="left"/>
        <w:rPr>
          <w:rFonts w:hAnsi="宋体"/>
          <w:color w:val="auto"/>
          <w:highlight w:val="none"/>
        </w:rPr>
      </w:pPr>
      <w:r>
        <w:rPr>
          <w:rFonts w:hint="eastAsia" w:hAnsi="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color w:val="auto"/>
          <w:highlight w:val="none"/>
        </w:rPr>
        <w:br w:type="page"/>
      </w:r>
    </w:p>
    <w:p w14:paraId="35D4B9AA">
      <w:pPr>
        <w:pStyle w:val="10"/>
        <w:jc w:val="center"/>
        <w:outlineLvl w:val="0"/>
        <w:rPr>
          <w:rFonts w:ascii="Times New Roman" w:hAnsi="Times New Roman"/>
          <w:b/>
          <w:color w:val="auto"/>
          <w:sz w:val="36"/>
          <w:highlight w:val="none"/>
        </w:rPr>
      </w:pPr>
      <w:bookmarkStart w:id="53" w:name="_Toc32584"/>
      <w:bookmarkStart w:id="54" w:name="_Toc1550"/>
      <w:r>
        <w:rPr>
          <w:rFonts w:hint="eastAsia" w:ascii="Times New Roman" w:hAnsi="Times New Roman"/>
          <w:b/>
          <w:color w:val="auto"/>
          <w:sz w:val="36"/>
          <w:highlight w:val="none"/>
        </w:rPr>
        <w:t>第四章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评标方法及评分标准</w:t>
      </w:r>
      <w:bookmarkEnd w:id="53"/>
      <w:bookmarkEnd w:id="54"/>
    </w:p>
    <w:p w14:paraId="3CE38AEC">
      <w:pPr>
        <w:pStyle w:val="10"/>
        <w:jc w:val="center"/>
        <w:outlineLvl w:val="1"/>
        <w:rPr>
          <w:rFonts w:ascii="Times New Roman" w:hAnsi="Times New Roman"/>
          <w:b/>
          <w:bCs/>
          <w:color w:val="auto"/>
          <w:sz w:val="32"/>
          <w:szCs w:val="32"/>
          <w:highlight w:val="none"/>
        </w:rPr>
      </w:pPr>
      <w:bookmarkStart w:id="55" w:name="_Toc16175"/>
      <w:bookmarkStart w:id="56" w:name="_Toc23293"/>
      <w:bookmarkStart w:id="57" w:name="_Toc29291"/>
      <w:r>
        <w:rPr>
          <w:rFonts w:hint="eastAsia" w:ascii="Times New Roman" w:hAnsi="Times New Roman"/>
          <w:b/>
          <w:bCs/>
          <w:color w:val="auto"/>
          <w:sz w:val="32"/>
          <w:szCs w:val="32"/>
          <w:highlight w:val="none"/>
        </w:rPr>
        <w:t>第一节 评标方法</w:t>
      </w:r>
      <w:bookmarkEnd w:id="55"/>
      <w:bookmarkEnd w:id="56"/>
      <w:bookmarkEnd w:id="57"/>
    </w:p>
    <w:p w14:paraId="00554340">
      <w:pPr>
        <w:pStyle w:val="10"/>
        <w:tabs>
          <w:tab w:val="left" w:pos="2472"/>
        </w:tabs>
        <w:spacing w:line="460" w:lineRule="exact"/>
        <w:ind w:firstLine="420" w:firstLineChars="200"/>
        <w:rPr>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6201949D">
      <w:pPr>
        <w:pStyle w:val="10"/>
        <w:spacing w:line="360" w:lineRule="auto"/>
        <w:ind w:firstLine="420"/>
        <w:rPr>
          <w:rFonts w:hAnsi="宋体"/>
          <w:color w:val="auto"/>
          <w:highlight w:val="none"/>
        </w:rPr>
      </w:pPr>
      <w:r>
        <w:rPr>
          <w:rFonts w:hint="eastAsia" w:hAnsi="宋体"/>
          <w:color w:val="auto"/>
          <w:szCs w:val="21"/>
          <w:highlight w:val="none"/>
        </w:rPr>
        <w:t>□最低评标价法，是指投标文件满足招标文件</w:t>
      </w:r>
      <w:r>
        <w:rPr>
          <w:rFonts w:hint="eastAsia" w:hAnsi="宋体"/>
          <w:color w:val="auto"/>
          <w:highlight w:val="none"/>
        </w:rPr>
        <w:t>全部实质性要求，且投标报价最低的投标人为中标候选人的评标方法。</w:t>
      </w:r>
    </w:p>
    <w:p w14:paraId="71AF24DF">
      <w:pPr>
        <w:autoSpaceDE w:val="0"/>
        <w:autoSpaceDN w:val="0"/>
        <w:adjustRightInd w:val="0"/>
        <w:spacing w:line="440" w:lineRule="exact"/>
        <w:ind w:firstLine="420" w:firstLineChars="200"/>
        <w:rPr>
          <w:rFonts w:ascii="宋体" w:hAnsi="宋体"/>
          <w:color w:val="auto"/>
          <w:sz w:val="24"/>
          <w:highlight w:val="none"/>
        </w:rPr>
      </w:pPr>
      <w:r>
        <w:rPr>
          <w:rFonts w:hint="eastAsia" w:ascii="MS Gothic" w:hAnsi="MS Gothic" w:eastAsia="MS Gothic" w:cs="MS Gothic"/>
          <w:color w:val="auto"/>
          <w:highlight w:val="none"/>
        </w:rPr>
        <w:t>☑</w:t>
      </w:r>
      <w:r>
        <w:rPr>
          <w:rFonts w:hint="eastAsia" w:hAnsi="宋体"/>
          <w:color w:val="auto"/>
          <w:highlight w:val="none"/>
        </w:rPr>
        <w:t>综合评分法，</w:t>
      </w:r>
      <w:r>
        <w:rPr>
          <w:rFonts w:hint="eastAsia" w:ascii="宋体" w:hAnsi="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6726856E">
      <w:pPr>
        <w:pStyle w:val="10"/>
        <w:spacing w:line="360" w:lineRule="auto"/>
        <w:ind w:firstLine="420"/>
        <w:rPr>
          <w:rFonts w:hAnsi="宋体"/>
          <w:color w:val="auto"/>
          <w:highlight w:val="none"/>
        </w:rPr>
      </w:pPr>
    </w:p>
    <w:p w14:paraId="4BD9C811">
      <w:pPr>
        <w:pStyle w:val="10"/>
        <w:tabs>
          <w:tab w:val="left" w:pos="2472"/>
        </w:tabs>
        <w:spacing w:line="460" w:lineRule="exact"/>
        <w:jc w:val="center"/>
        <w:outlineLvl w:val="1"/>
        <w:rPr>
          <w:rFonts w:ascii="Times New Roman" w:hAnsi="Times New Roman"/>
          <w:b/>
          <w:bCs/>
          <w:color w:val="auto"/>
          <w:sz w:val="32"/>
          <w:szCs w:val="32"/>
          <w:highlight w:val="none"/>
        </w:rPr>
      </w:pPr>
      <w:bookmarkStart w:id="58" w:name="_Toc26306"/>
      <w:bookmarkStart w:id="59" w:name="_Toc10861"/>
      <w:bookmarkStart w:id="60" w:name="_Toc24566"/>
      <w:r>
        <w:rPr>
          <w:rFonts w:hint="eastAsia" w:ascii="Times New Roman" w:hAnsi="Times New Roman"/>
          <w:b/>
          <w:bCs/>
          <w:color w:val="auto"/>
          <w:sz w:val="32"/>
          <w:szCs w:val="32"/>
          <w:highlight w:val="none"/>
        </w:rPr>
        <w:t>第二节 评标程序</w:t>
      </w:r>
      <w:bookmarkEnd w:id="58"/>
      <w:bookmarkEnd w:id="59"/>
      <w:bookmarkEnd w:id="60"/>
    </w:p>
    <w:p w14:paraId="7CDD1EB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1.符合性审查</w:t>
      </w:r>
    </w:p>
    <w:p w14:paraId="49F08449">
      <w:pPr>
        <w:spacing w:line="360" w:lineRule="auto"/>
        <w:ind w:firstLine="420" w:firstLineChars="200"/>
        <w:rPr>
          <w:rFonts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2B0FBFB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2.符合性审查不通过而导致投标无效的情形</w:t>
      </w:r>
    </w:p>
    <w:p w14:paraId="163A5E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585261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6B6577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2E94E07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207374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（3）报价超出招标文件规定最高限价，或者超出采购预算金额（包括分项预算）的；</w:t>
      </w:r>
    </w:p>
    <w:p w14:paraId="084BC1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D59C17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（5）修正后的报价，投标人不确认的；</w:t>
      </w:r>
    </w:p>
    <w:p w14:paraId="575F94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（6）投标人属于本章第5条第（2）项情形的。</w:t>
      </w:r>
    </w:p>
    <w:p w14:paraId="08DE1F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4C6C37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（1）投标文件未按招标文件要求签署、盖章的；</w:t>
      </w:r>
    </w:p>
    <w:p w14:paraId="6E9D62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（2）委托代理人未能出具有效身份证明或者出具的身份证明与授权委托书中的信息不符的；</w:t>
      </w:r>
    </w:p>
    <w:p w14:paraId="26D9207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（3）投标文件未提供“投标人须知前附表”第13.1条规定中“必须提供”或者“委托时必须提供”的文件资料的;</w:t>
      </w:r>
    </w:p>
    <w:p w14:paraId="72BE7B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（4）投标有效期、项目完成时间（交货时间、货物完成时间或者货物期等）、质保期、售后服务等招标文件中标“▲”的商务条款发生负偏离的；</w:t>
      </w:r>
    </w:p>
    <w:p w14:paraId="109F23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（5）商务条款评审允许负偏离的条款数超过“投标人须知前附表”规定项数的。</w:t>
      </w:r>
    </w:p>
    <w:p w14:paraId="443178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（6）投标文件的实质性内容未使用中文表述、使用计量单位不符合招标文件要求的；</w:t>
      </w:r>
    </w:p>
    <w:p w14:paraId="38E81A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（7）投标文件中的文件资料因填写不齐全或者内容虚假或者出现其他情形而导致被评标委员会认定无效的；</w:t>
      </w:r>
    </w:p>
    <w:p w14:paraId="3B5C81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（8）投标文件含有采购人不能接受的附加条件的；</w:t>
      </w:r>
    </w:p>
    <w:p w14:paraId="66E4FCE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（9）未响应招标文件实质性要求的；</w:t>
      </w:r>
    </w:p>
    <w:p w14:paraId="79C75C2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（10）属于投标人须知正文第9.2条情形的；</w:t>
      </w:r>
    </w:p>
    <w:p w14:paraId="7027E28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（11）法律、法规和招标文件规定的其他无效情形。</w:t>
      </w:r>
    </w:p>
    <w:p w14:paraId="452AD1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16AD4D79">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）不满足招标文件要求的货物内容、技术要求、安全、质量标准，或者与招标文件中标“▲”的技术需求发生负偏离的；</w:t>
      </w:r>
    </w:p>
    <w:p w14:paraId="1181D927">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2</w:t>
      </w:r>
      <w:r>
        <w:rPr>
          <w:rFonts w:hint="eastAsia" w:hAnsi="宋体"/>
          <w:color w:val="auto"/>
          <w:szCs w:val="21"/>
          <w:highlight w:val="none"/>
        </w:rPr>
        <w:t>）技术需求评审允许负偏离的条款数超过“投标人须知前附表”规定项数的；</w:t>
      </w:r>
    </w:p>
    <w:p w14:paraId="3D745781">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3</w:t>
      </w:r>
      <w:r>
        <w:rPr>
          <w:rFonts w:hint="eastAsia" w:hAnsi="宋体"/>
          <w:color w:val="auto"/>
          <w:szCs w:val="21"/>
          <w:highlight w:val="none"/>
        </w:rPr>
        <w:t>）投标文件未提供“投标人须知前附表”第</w:t>
      </w:r>
      <w:r>
        <w:rPr>
          <w:rFonts w:hAnsi="宋体"/>
          <w:color w:val="auto"/>
          <w:szCs w:val="21"/>
          <w:highlight w:val="none"/>
        </w:rPr>
        <w:t>13.1</w:t>
      </w:r>
      <w:r>
        <w:rPr>
          <w:rFonts w:hint="eastAsia" w:hAnsi="宋体"/>
          <w:color w:val="auto"/>
          <w:szCs w:val="21"/>
          <w:highlight w:val="none"/>
        </w:rPr>
        <w:t>条规定中“必须提供”的文件资料的</w:t>
      </w:r>
      <w:r>
        <w:rPr>
          <w:rFonts w:hAnsi="宋体"/>
          <w:color w:val="auto"/>
          <w:szCs w:val="21"/>
          <w:highlight w:val="none"/>
        </w:rPr>
        <w:t>;</w:t>
      </w:r>
    </w:p>
    <w:p w14:paraId="334DBB64">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4</w:t>
      </w:r>
      <w:r>
        <w:rPr>
          <w:rFonts w:hint="eastAsia" w:hAnsi="宋体"/>
          <w:color w:val="auto"/>
          <w:szCs w:val="21"/>
          <w:highlight w:val="none"/>
        </w:rPr>
        <w:t>）虚假投标，或者出现其他情形而导致被评标委员会认定无效的；</w:t>
      </w:r>
    </w:p>
    <w:p w14:paraId="481AC8C3">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5</w:t>
      </w:r>
      <w:r>
        <w:rPr>
          <w:rFonts w:hint="eastAsia" w:hAnsi="宋体"/>
          <w:color w:val="auto"/>
          <w:szCs w:val="21"/>
          <w:highlight w:val="none"/>
        </w:rPr>
        <w:t>）招标文件要求提供技术方案的，投标技术方案不明确，招标文件未允许但存在一个或者一个以上备选（替代）投标方案的。</w:t>
      </w:r>
    </w:p>
    <w:p w14:paraId="4694CE1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3.澄清补正、说明或者补正</w:t>
      </w:r>
    </w:p>
    <w:p w14:paraId="55B2F563">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4D7CB72C">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48BF58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4.投标文件修正</w:t>
      </w:r>
    </w:p>
    <w:p w14:paraId="48569D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4.1投标文件报价出现前后不一致的，按照下列规定修正：</w:t>
      </w:r>
    </w:p>
    <w:p w14:paraId="3DDE40DC">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）报价文件中“开标一览表”内容与投标文件中相应内容不一致的，以“开标一览表”为准；</w:t>
      </w:r>
    </w:p>
    <w:p w14:paraId="126B0B3F">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）大写金额和小写金额不一致的，以大写金额为准；</w:t>
      </w:r>
    </w:p>
    <w:p w14:paraId="2F9B22C4">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）单价金额小数点或者百分比有明显错位的，以开标一览表的总价为准，并修改单价；</w:t>
      </w:r>
    </w:p>
    <w:p w14:paraId="6D91797D">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）总价金额与按单价汇总金额不一致的，以单价金额计算结果为准。</w:t>
      </w:r>
    </w:p>
    <w:p w14:paraId="00EEAAC6">
      <w:pPr>
        <w:spacing w:line="360" w:lineRule="auto"/>
        <w:ind w:firstLine="420" w:firstLineChars="200"/>
        <w:rPr>
          <w:rFonts w:hAnsi="宋体"/>
          <w:color w:val="auto"/>
          <w:highlight w:val="none"/>
        </w:rPr>
      </w:pPr>
      <w:r>
        <w:rPr>
          <w:rFonts w:hint="eastAsia" w:hAnsi="宋体"/>
          <w:color w:val="auto"/>
          <w:highlight w:val="none"/>
        </w:rPr>
        <w:t>同时出现两种以上不一致的，按照以上（</w:t>
      </w:r>
      <w:r>
        <w:rPr>
          <w:rFonts w:hAnsi="宋体"/>
          <w:color w:val="auto"/>
          <w:highlight w:val="none"/>
        </w:rPr>
        <w:t>1</w:t>
      </w:r>
      <w:r>
        <w:rPr>
          <w:rFonts w:hint="eastAsia" w:hAnsi="宋体"/>
          <w:color w:val="auto"/>
          <w:highlight w:val="none"/>
        </w:rPr>
        <w:t>）</w:t>
      </w:r>
      <w:r>
        <w:rPr>
          <w:rFonts w:hAnsi="宋体"/>
          <w:color w:val="auto"/>
          <w:highlight w:val="none"/>
        </w:rPr>
        <w:t>-</w:t>
      </w:r>
      <w:r>
        <w:rPr>
          <w:rFonts w:hint="eastAsia" w:hAnsi="宋体"/>
          <w:color w:val="auto"/>
          <w:highlight w:val="none"/>
        </w:rPr>
        <w:t>（</w:t>
      </w:r>
      <w:r>
        <w:rPr>
          <w:rFonts w:hAnsi="宋体"/>
          <w:color w:val="auto"/>
          <w:highlight w:val="none"/>
        </w:rPr>
        <w:t>4</w:t>
      </w:r>
      <w:r>
        <w:rPr>
          <w:rFonts w:hint="eastAsia" w:hAnsi="宋体"/>
          <w:color w:val="auto"/>
          <w:highlight w:val="none"/>
        </w:rPr>
        <w:t>）规定的顺序修正。修正后的报价经投标人确认后产生约束力，投标人不确认的，其投标无效。</w:t>
      </w:r>
    </w:p>
    <w:p w14:paraId="5F1A12D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4.2经投标人确认修正后的报价若超过采购预算金额或者最高限价，投标人的投标文件作无效投标处理。</w:t>
      </w:r>
    </w:p>
    <w:p w14:paraId="0652BD8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4.3经投标人确认修正后的报价作为签订合同的依据，并以此报价计算价格分。</w:t>
      </w:r>
    </w:p>
    <w:p w14:paraId="2F3E5C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5.比较与评价</w:t>
      </w:r>
    </w:p>
    <w:p w14:paraId="06642783">
      <w:pPr>
        <w:spacing w:line="360" w:lineRule="auto"/>
        <w:ind w:firstLine="420" w:firstLineChars="200"/>
        <w:rPr>
          <w:rFonts w:hAnsi="宋体"/>
          <w:color w:val="auto"/>
          <w:highlight w:val="none"/>
        </w:rPr>
      </w:pPr>
      <w:r>
        <w:rPr>
          <w:rFonts w:hAnsi="宋体"/>
          <w:color w:val="auto"/>
          <w:highlight w:val="none"/>
        </w:rPr>
        <w:t>5.1</w:t>
      </w:r>
      <w:r>
        <w:rPr>
          <w:rFonts w:hint="eastAsia" w:hAnsi="宋体"/>
          <w:color w:val="auto"/>
          <w:highlight w:val="none"/>
        </w:rPr>
        <w:t>评标委员会按照招标文件中规定的评标方法和评标标准，对符合性审查合格的投标文件进行商务和技术评估，综合比较与评价。</w:t>
      </w:r>
    </w:p>
    <w:p w14:paraId="4B4C804A">
      <w:pPr>
        <w:spacing w:line="360" w:lineRule="auto"/>
        <w:ind w:firstLine="420" w:firstLineChars="200"/>
        <w:rPr>
          <w:rFonts w:hAnsi="宋体"/>
          <w:color w:val="auto"/>
          <w:highlight w:val="none"/>
        </w:rPr>
      </w:pPr>
      <w:r>
        <w:rPr>
          <w:rFonts w:hAnsi="宋体"/>
          <w:color w:val="auto"/>
          <w:highlight w:val="none"/>
        </w:rPr>
        <w:t>5.2</w:t>
      </w:r>
      <w:r>
        <w:rPr>
          <w:rFonts w:hint="eastAsia" w:hAnsi="宋体"/>
          <w:color w:val="auto"/>
          <w:highlight w:val="none"/>
        </w:rPr>
        <w:t>评标委员会独立对每个投标人的投标文件进行评价，并汇总每个投标人的得分。</w:t>
      </w:r>
    </w:p>
    <w:p w14:paraId="50E27D75">
      <w:pPr>
        <w:widowControl/>
        <w:spacing w:after="150" w:line="360" w:lineRule="auto"/>
        <w:ind w:firstLine="420" w:firstLineChars="200"/>
        <w:jc w:val="left"/>
        <w:rPr>
          <w:rFonts w:hAnsi="宋体"/>
          <w:color w:val="auto"/>
          <w:highlight w:val="none"/>
        </w:rPr>
      </w:pPr>
      <w:r>
        <w:rPr>
          <w:rFonts w:hAnsi="宋体"/>
          <w:color w:val="auto"/>
          <w:highlight w:val="none"/>
        </w:rPr>
        <w:t>（1）</w:t>
      </w:r>
      <w:r>
        <w:rPr>
          <w:rFonts w:hint="eastAsia" w:hAnsi="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BF3E4E5">
      <w:pPr>
        <w:widowControl/>
        <w:spacing w:after="150" w:line="360" w:lineRule="auto"/>
        <w:ind w:firstLine="420" w:firstLineChars="200"/>
        <w:jc w:val="left"/>
        <w:rPr>
          <w:rFonts w:hAnsi="宋体"/>
          <w:color w:val="auto"/>
          <w:highlight w:val="none"/>
        </w:rPr>
      </w:pPr>
      <w:r>
        <w:rPr>
          <w:rFonts w:hAnsi="宋体"/>
          <w:color w:val="auto"/>
          <w:highlight w:val="none"/>
        </w:rPr>
        <w:t>（2）</w:t>
      </w:r>
      <w:r>
        <w:rPr>
          <w:rFonts w:hint="eastAsia" w:hAnsi="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76A0F48A">
      <w:pPr>
        <w:spacing w:line="360" w:lineRule="auto"/>
        <w:ind w:firstLine="420" w:firstLineChars="200"/>
        <w:rPr>
          <w:rFonts w:hAnsi="宋体"/>
          <w:color w:val="auto"/>
          <w:highlight w:val="none"/>
        </w:rPr>
      </w:pPr>
      <w:r>
        <w:rPr>
          <w:rFonts w:hAnsi="宋体"/>
          <w:color w:val="auto"/>
          <w:highlight w:val="none"/>
        </w:rPr>
        <w:t>5.3</w:t>
      </w:r>
      <w:r>
        <w:rPr>
          <w:rFonts w:hint="eastAsia" w:hAnsi="宋体"/>
          <w:color w:val="auto"/>
          <w:highlight w:val="none"/>
        </w:rPr>
        <w:t>评标委员会按照招标文件中规定的评标方法和标准计算各投标人的报价得分。在计算过程中，不得去掉最高报价或者最低报价。</w:t>
      </w:r>
    </w:p>
    <w:p w14:paraId="17D239B0">
      <w:pPr>
        <w:spacing w:line="360" w:lineRule="auto"/>
        <w:ind w:firstLine="420" w:firstLineChars="200"/>
        <w:rPr>
          <w:rFonts w:hAnsi="宋体"/>
          <w:color w:val="auto"/>
          <w:highlight w:val="none"/>
        </w:rPr>
      </w:pPr>
      <w:r>
        <w:rPr>
          <w:rFonts w:hAnsi="宋体"/>
          <w:color w:val="auto"/>
          <w:highlight w:val="none"/>
        </w:rPr>
        <w:t>5.4</w:t>
      </w:r>
      <w:r>
        <w:rPr>
          <w:rFonts w:hint="eastAsia" w:hAnsi="宋体"/>
          <w:color w:val="auto"/>
          <w:highlight w:val="none"/>
        </w:rPr>
        <w:t>各投标人的得分为所有评委的有效评分的算术平均数。</w:t>
      </w:r>
    </w:p>
    <w:p w14:paraId="76FBC99C">
      <w:pPr>
        <w:spacing w:line="360" w:lineRule="auto"/>
        <w:ind w:firstLine="420" w:firstLineChars="200"/>
        <w:rPr>
          <w:rFonts w:hAnsi="宋体"/>
          <w:color w:val="auto"/>
          <w:highlight w:val="none"/>
        </w:rPr>
      </w:pPr>
      <w:r>
        <w:rPr>
          <w:rFonts w:hAnsi="宋体"/>
          <w:color w:val="auto"/>
          <w:highlight w:val="none"/>
        </w:rPr>
        <w:t>5.5</w:t>
      </w:r>
      <w:r>
        <w:rPr>
          <w:rFonts w:hint="eastAsia" w:hAnsi="宋体"/>
          <w:color w:val="auto"/>
          <w:highlight w:val="none"/>
        </w:rPr>
        <w:t>评标委员会按照招标文件中的规定推荐中标候选人。</w:t>
      </w:r>
    </w:p>
    <w:p w14:paraId="34725A1D">
      <w:pPr>
        <w:spacing w:line="360" w:lineRule="auto"/>
        <w:ind w:firstLine="420" w:firstLineChars="200"/>
        <w:rPr>
          <w:rFonts w:hAnsi="宋体"/>
          <w:color w:val="auto"/>
          <w:highlight w:val="none"/>
        </w:rPr>
      </w:pPr>
      <w:r>
        <w:rPr>
          <w:rFonts w:hAnsi="宋体"/>
          <w:color w:val="auto"/>
          <w:highlight w:val="none"/>
        </w:rPr>
        <w:t>5.6</w:t>
      </w:r>
      <w:r>
        <w:rPr>
          <w:rFonts w:hint="eastAsia" w:hAnsi="宋体"/>
          <w:color w:val="auto"/>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1F7C881">
      <w:pPr>
        <w:spacing w:line="360" w:lineRule="auto"/>
        <w:ind w:firstLine="420" w:firstLineChars="200"/>
        <w:rPr>
          <w:rFonts w:hAnsi="宋体"/>
          <w:color w:val="auto"/>
          <w:highlight w:val="none"/>
        </w:rPr>
      </w:pPr>
      <w:r>
        <w:rPr>
          <w:rFonts w:hint="eastAsia" w:hAnsi="宋体"/>
          <w:color w:val="auto"/>
          <w:highlight w:val="none"/>
        </w:rPr>
        <w:t>5.7强化政府采购异常低价审查</w:t>
      </w:r>
    </w:p>
    <w:p w14:paraId="39D3B8A8">
      <w:pPr>
        <w:spacing w:line="360" w:lineRule="auto"/>
        <w:ind w:firstLine="420" w:firstLineChars="200"/>
        <w:rPr>
          <w:rFonts w:hAnsi="宋体"/>
          <w:color w:val="auto"/>
          <w:highlight w:val="none"/>
        </w:rPr>
      </w:pPr>
      <w:r>
        <w:rPr>
          <w:rFonts w:hint="eastAsia" w:hAnsi="宋体"/>
          <w:color w:val="auto"/>
          <w:highlight w:val="none"/>
        </w:rPr>
        <w:t>（一）采购人应当在采购文件中明确，政府采购评审中出现下列情形之一的，评审委员会应当启动异常低价投标（响应）审查程序：</w:t>
      </w:r>
    </w:p>
    <w:p w14:paraId="0A5FDCED">
      <w:pPr>
        <w:spacing w:line="360" w:lineRule="auto"/>
        <w:ind w:firstLine="420" w:firstLineChars="200"/>
        <w:rPr>
          <w:rFonts w:hAnsi="宋体"/>
          <w:color w:val="auto"/>
          <w:highlight w:val="none"/>
        </w:rPr>
      </w:pPr>
      <w:r>
        <w:rPr>
          <w:rFonts w:hint="eastAsia" w:hAnsi="宋体"/>
          <w:color w:val="auto"/>
          <w:highlight w:val="none"/>
        </w:rPr>
        <w:t>（1）投标（响应）报价低于全部通过符合性审查供应商投标（响应）报价平均值50%的，即投标（响应）报价&lt;全部通过符合性审查供应商投标（响应）报价平均值×50%；</w:t>
      </w:r>
    </w:p>
    <w:p w14:paraId="1AAB260C">
      <w:pPr>
        <w:spacing w:line="360" w:lineRule="auto"/>
        <w:ind w:firstLine="420" w:firstLineChars="200"/>
        <w:rPr>
          <w:rFonts w:hAnsi="宋体"/>
          <w:color w:val="auto"/>
          <w:highlight w:val="none"/>
        </w:rPr>
      </w:pPr>
      <w:r>
        <w:rPr>
          <w:rFonts w:hint="eastAsia" w:hAnsi="宋体"/>
          <w:color w:val="auto"/>
          <w:highlight w:val="none"/>
        </w:rPr>
        <w:t>（2）投标（响应）报价低于通过符合性审查的次低报价供应商投标（响应）报价50%的，即投标（响应）报价&lt;通过符合性审查的次低报价供应商投标（响应）报价×50%；</w:t>
      </w:r>
    </w:p>
    <w:p w14:paraId="32DF6BCF">
      <w:pPr>
        <w:spacing w:line="360" w:lineRule="auto"/>
        <w:ind w:firstLine="420" w:firstLineChars="200"/>
        <w:rPr>
          <w:rFonts w:hAnsi="宋体"/>
          <w:color w:val="auto"/>
          <w:highlight w:val="none"/>
        </w:rPr>
      </w:pPr>
      <w:r>
        <w:rPr>
          <w:rFonts w:hint="eastAsia" w:hAnsi="宋体"/>
          <w:color w:val="auto"/>
          <w:highlight w:val="none"/>
        </w:rPr>
        <w:t>（3）投标（响应）报价低于采购项目最高限价45%的，即投标（响应）报价&lt;采购项目最高限价×45%；</w:t>
      </w:r>
    </w:p>
    <w:p w14:paraId="4037A8AF">
      <w:pPr>
        <w:spacing w:line="360" w:lineRule="auto"/>
        <w:ind w:firstLine="420" w:firstLineChars="200"/>
        <w:rPr>
          <w:rFonts w:hAnsi="宋体"/>
          <w:color w:val="auto"/>
          <w:highlight w:val="none"/>
        </w:rPr>
      </w:pPr>
      <w:r>
        <w:rPr>
          <w:rFonts w:hint="eastAsia" w:hAnsi="宋体"/>
          <w:color w:val="auto"/>
          <w:highlight w:val="none"/>
        </w:rPr>
        <w:t>（4）评审委员会基于专业判断，认为供应商报价过低，有可能影响产品质量或者不能诚信履约的其他情形。</w:t>
      </w:r>
    </w:p>
    <w:p w14:paraId="324F1C2A">
      <w:pPr>
        <w:spacing w:line="360" w:lineRule="auto"/>
        <w:ind w:firstLine="420" w:firstLineChars="200"/>
        <w:rPr>
          <w:rFonts w:hAnsi="宋体"/>
          <w:color w:val="auto"/>
          <w:highlight w:val="none"/>
        </w:rPr>
      </w:pPr>
      <w:r>
        <w:rPr>
          <w:rFonts w:hint="eastAsia" w:hAnsi="宋体"/>
          <w:color w:val="auto"/>
          <w:highlight w:val="none"/>
        </w:rPr>
        <w:t>采购人可以结合具体项目实际情况，提高上述第1项至第3项中启动异常低价投标（响应）审查的数值标准，但是最高不得超过65%。</w:t>
      </w:r>
    </w:p>
    <w:p w14:paraId="1FF841E4">
      <w:pPr>
        <w:spacing w:line="360" w:lineRule="auto"/>
        <w:ind w:firstLine="420" w:firstLineChars="200"/>
        <w:rPr>
          <w:rFonts w:hAnsi="宋体"/>
          <w:color w:val="auto"/>
          <w:highlight w:val="none"/>
        </w:rPr>
      </w:pPr>
      <w:r>
        <w:rPr>
          <w:rFonts w:hint="eastAsia" w:hAnsi="宋体"/>
          <w:color w:val="auto"/>
          <w:highlight w:val="none"/>
        </w:rPr>
        <w:t>相关法律法规对供应商报价有规定的，从其规定。</w:t>
      </w:r>
    </w:p>
    <w:p w14:paraId="12047803">
      <w:pPr>
        <w:spacing w:line="360" w:lineRule="auto"/>
        <w:ind w:firstLine="420" w:firstLineChars="200"/>
        <w:rPr>
          <w:rFonts w:hAnsi="宋体"/>
          <w:color w:val="auto"/>
          <w:highlight w:val="none"/>
        </w:rPr>
      </w:pPr>
      <w:r>
        <w:rPr>
          <w:rFonts w:hint="eastAsia" w:hAnsi="宋体"/>
          <w:color w:val="auto"/>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07CB6B3">
      <w:pPr>
        <w:spacing w:line="360" w:lineRule="auto"/>
        <w:ind w:firstLine="420" w:firstLineChars="200"/>
        <w:rPr>
          <w:rFonts w:hAnsi="宋体"/>
          <w:color w:val="auto"/>
          <w:highlight w:val="none"/>
        </w:rPr>
      </w:pPr>
      <w:r>
        <w:rPr>
          <w:rFonts w:hint="eastAsia" w:hAnsi="宋体"/>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B79BFE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6.评审复核</w:t>
      </w:r>
    </w:p>
    <w:p w14:paraId="68C4CB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6.1评标报告签署前，评标委员会要对评审结果进行复核，复核意见要体现在评标报告中。</w:t>
      </w:r>
    </w:p>
    <w:p w14:paraId="60B45724">
      <w:pPr>
        <w:widowControl/>
        <w:spacing w:line="360" w:lineRule="auto"/>
        <w:ind w:firstLine="420" w:firstLineChars="200"/>
        <w:jc w:val="left"/>
        <w:textAlignment w:val="baseline"/>
        <w:rPr>
          <w:rFonts w:hAnsi="宋体"/>
          <w:color w:val="auto"/>
          <w:highlight w:val="none"/>
        </w:rPr>
      </w:pPr>
      <w:r>
        <w:rPr>
          <w:rFonts w:hAnsi="宋体"/>
          <w:color w:val="auto"/>
          <w:highlight w:val="none"/>
        </w:rPr>
        <w:t>6.2</w:t>
      </w:r>
      <w:r>
        <w:rPr>
          <w:rFonts w:hint="eastAsia" w:hAnsi="宋体"/>
          <w:color w:val="auto"/>
          <w:highlight w:val="none"/>
        </w:rPr>
        <w:t>评标结果汇总完成后，除下列情形外，任何人不得修改评标结果：</w:t>
      </w:r>
    </w:p>
    <w:p w14:paraId="017FE456">
      <w:pPr>
        <w:widowControl/>
        <w:spacing w:line="360" w:lineRule="auto"/>
        <w:jc w:val="left"/>
        <w:textAlignment w:val="baseline"/>
        <w:rPr>
          <w:rFonts w:hAnsi="宋体"/>
          <w:color w:val="auto"/>
          <w:highlight w:val="none"/>
        </w:rPr>
      </w:pPr>
      <w:r>
        <w:rPr>
          <w:rFonts w:hint="eastAsia" w:hAnsi="宋体"/>
          <w:color w:val="auto"/>
          <w:highlight w:val="none"/>
        </w:rPr>
        <w:t>　　（一）分值汇总计算错误的；</w:t>
      </w:r>
    </w:p>
    <w:p w14:paraId="22676C12">
      <w:pPr>
        <w:widowControl/>
        <w:spacing w:line="360" w:lineRule="auto"/>
        <w:jc w:val="left"/>
        <w:textAlignment w:val="baseline"/>
        <w:rPr>
          <w:rFonts w:hAnsi="宋体"/>
          <w:color w:val="auto"/>
          <w:highlight w:val="none"/>
        </w:rPr>
      </w:pPr>
      <w:r>
        <w:rPr>
          <w:rFonts w:hint="eastAsia" w:hAnsi="宋体"/>
          <w:color w:val="auto"/>
          <w:highlight w:val="none"/>
        </w:rPr>
        <w:t>　　（二）分项评分超出评分标准范围的；</w:t>
      </w:r>
    </w:p>
    <w:p w14:paraId="74A9A430">
      <w:pPr>
        <w:widowControl/>
        <w:spacing w:line="360" w:lineRule="auto"/>
        <w:jc w:val="left"/>
        <w:textAlignment w:val="baseline"/>
        <w:rPr>
          <w:rFonts w:hAnsi="宋体"/>
          <w:color w:val="auto"/>
          <w:highlight w:val="none"/>
        </w:rPr>
      </w:pPr>
      <w:r>
        <w:rPr>
          <w:rFonts w:hint="eastAsia" w:hAnsi="宋体"/>
          <w:color w:val="auto"/>
          <w:highlight w:val="none"/>
        </w:rPr>
        <w:t>　　（三）评标委员会成员对客观评审因素评分不一致的；</w:t>
      </w:r>
    </w:p>
    <w:p w14:paraId="2B0CACE1">
      <w:pPr>
        <w:widowControl/>
        <w:spacing w:line="360" w:lineRule="auto"/>
        <w:jc w:val="left"/>
        <w:textAlignment w:val="baseline"/>
        <w:rPr>
          <w:rFonts w:hAnsi="宋体"/>
          <w:color w:val="auto"/>
          <w:highlight w:val="none"/>
        </w:rPr>
      </w:pPr>
      <w:r>
        <w:rPr>
          <w:rFonts w:hint="eastAsia" w:hAnsi="宋体"/>
          <w:color w:val="auto"/>
          <w:highlight w:val="none"/>
        </w:rPr>
        <w:t>　　（四）经评标委员会认定评分畸高、畸低的。</w:t>
      </w:r>
    </w:p>
    <w:p w14:paraId="2050F11B">
      <w:pPr>
        <w:spacing w:line="360" w:lineRule="auto"/>
        <w:ind w:firstLine="420" w:firstLineChars="200"/>
        <w:rPr>
          <w:rFonts w:hAnsi="宋体"/>
          <w:color w:val="auto"/>
          <w:highlight w:val="none"/>
        </w:rPr>
      </w:pPr>
      <w:r>
        <w:rPr>
          <w:rFonts w:hint="eastAsia" w:hAnsi="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C3E6994">
      <w:pPr>
        <w:pStyle w:val="2"/>
        <w:jc w:val="center"/>
        <w:rPr>
          <w:b w:val="0"/>
          <w:color w:val="auto"/>
          <w:sz w:val="30"/>
          <w:szCs w:val="30"/>
          <w:highlight w:val="none"/>
        </w:rPr>
      </w:pPr>
      <w:r>
        <w:rPr>
          <w:rFonts w:hint="eastAsia"/>
          <w:b w:val="0"/>
          <w:color w:val="auto"/>
          <w:sz w:val="30"/>
          <w:szCs w:val="30"/>
          <w:highlight w:val="none"/>
        </w:rPr>
        <w:br w:type="page"/>
      </w:r>
      <w:bookmarkStart w:id="61" w:name="_Toc1958"/>
      <w:bookmarkStart w:id="62" w:name="_Toc13029"/>
      <w:bookmarkStart w:id="63" w:name="_Toc4577"/>
      <w:r>
        <w:rPr>
          <w:rFonts w:hint="eastAsia"/>
          <w:b w:val="0"/>
          <w:color w:val="auto"/>
          <w:sz w:val="30"/>
          <w:szCs w:val="30"/>
          <w:highlight w:val="none"/>
        </w:rPr>
        <w:t>第三节 评分标准</w:t>
      </w:r>
      <w:bookmarkEnd w:id="61"/>
      <w:bookmarkEnd w:id="62"/>
      <w:bookmarkEnd w:id="63"/>
    </w:p>
    <w:p w14:paraId="61654BA0">
      <w:pPr>
        <w:pStyle w:val="10"/>
        <w:ind w:firstLine="602" w:firstLineChars="200"/>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综合评分法</w:t>
      </w:r>
    </w:p>
    <w:p w14:paraId="06131272">
      <w:pPr>
        <w:pStyle w:val="10"/>
        <w:spacing w:line="360" w:lineRule="auto"/>
        <w:ind w:firstLine="420"/>
        <w:rPr>
          <w:rFonts w:hAnsi="宋体"/>
          <w:bCs/>
          <w:color w:val="auto"/>
          <w:highlight w:val="none"/>
        </w:rPr>
      </w:pPr>
      <w:r>
        <w:rPr>
          <w:rFonts w:hint="eastAsia" w:hAnsi="宋体"/>
          <w:bCs/>
          <w:color w:val="auto"/>
          <w:highlight w:val="none"/>
        </w:rPr>
        <w:t>注：</w:t>
      </w:r>
    </w:p>
    <w:p w14:paraId="24B7404F">
      <w:pPr>
        <w:pStyle w:val="10"/>
        <w:spacing w:line="360" w:lineRule="auto"/>
        <w:ind w:firstLine="420"/>
        <w:rPr>
          <w:rFonts w:hAnsi="宋体"/>
          <w:bCs/>
          <w:color w:val="auto"/>
          <w:highlight w:val="none"/>
        </w:rPr>
      </w:pPr>
      <w:r>
        <w:rPr>
          <w:rFonts w:hint="eastAsia" w:hAnsi="宋体"/>
          <w:bCs/>
          <w:color w:val="auto"/>
          <w:highlight w:val="none"/>
        </w:rPr>
        <w:t>1、计分方法按四舍五入取至百分位。</w:t>
      </w:r>
    </w:p>
    <w:p w14:paraId="252AE693">
      <w:pPr>
        <w:pStyle w:val="10"/>
        <w:spacing w:line="360" w:lineRule="auto"/>
        <w:ind w:firstLine="420"/>
        <w:rPr>
          <w:rFonts w:hAnsi="宋体" w:cs="宋体"/>
          <w:b/>
          <w:bCs/>
          <w:color w:val="auto"/>
          <w:kern w:val="44"/>
          <w:sz w:val="24"/>
          <w:szCs w:val="24"/>
          <w:highlight w:val="none"/>
        </w:rPr>
      </w:pPr>
      <w:r>
        <w:rPr>
          <w:rFonts w:hint="eastAsia" w:hAnsi="宋体"/>
          <w:bCs/>
          <w:color w:val="auto"/>
          <w:highlight w:val="none"/>
        </w:rPr>
        <w:t>2、商务技术评审因素为客观评分项的，各评标专家评分应当一致。</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6951"/>
        <w:gridCol w:w="931"/>
      </w:tblGrid>
      <w:tr w14:paraId="396D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79DC6100">
            <w:pPr>
              <w:widowControl/>
              <w:jc w:val="center"/>
              <w:rPr>
                <w:rFonts w:asci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168247C5">
            <w:pPr>
              <w:widowControl/>
              <w:jc w:val="center"/>
              <w:rPr>
                <w:rFonts w:asci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6951" w:type="dxa"/>
            <w:vAlign w:val="center"/>
          </w:tcPr>
          <w:p w14:paraId="1F081354">
            <w:pPr>
              <w:widowControl/>
              <w:jc w:val="center"/>
              <w:rPr>
                <w:rFonts w:asci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931" w:type="dxa"/>
            <w:vAlign w:val="center"/>
          </w:tcPr>
          <w:p w14:paraId="13DA514A">
            <w:pPr>
              <w:widowControl/>
              <w:jc w:val="center"/>
              <w:rPr>
                <w:rFonts w:ascii="宋体" w:cs="宋体"/>
                <w:b/>
                <w:bCs/>
                <w:color w:val="auto"/>
                <w:kern w:val="0"/>
                <w:szCs w:val="21"/>
                <w:highlight w:val="none"/>
              </w:rPr>
            </w:pPr>
            <w:r>
              <w:rPr>
                <w:rFonts w:hint="eastAsia" w:ascii="宋体" w:hAnsi="宋体" w:cs="宋体"/>
                <w:b/>
                <w:bCs/>
                <w:color w:val="auto"/>
                <w:kern w:val="0"/>
                <w:szCs w:val="21"/>
                <w:highlight w:val="none"/>
              </w:rPr>
              <w:t>分值</w:t>
            </w:r>
          </w:p>
        </w:tc>
      </w:tr>
      <w:tr w14:paraId="1C40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2E5ED12E">
            <w:pPr>
              <w:widowControl/>
              <w:jc w:val="center"/>
              <w:rPr>
                <w:rFonts w:ascii="宋体" w:cs="宋体"/>
                <w:color w:val="auto"/>
                <w:kern w:val="0"/>
                <w:szCs w:val="21"/>
                <w:highlight w:val="none"/>
              </w:rPr>
            </w:pPr>
            <w:r>
              <w:rPr>
                <w:rFonts w:ascii="宋体" w:hAnsi="宋体" w:cs="宋体"/>
                <w:color w:val="auto"/>
                <w:kern w:val="0"/>
                <w:szCs w:val="21"/>
                <w:highlight w:val="none"/>
              </w:rPr>
              <w:t>1</w:t>
            </w:r>
          </w:p>
        </w:tc>
        <w:tc>
          <w:tcPr>
            <w:tcW w:w="1086" w:type="dxa"/>
            <w:vAlign w:val="center"/>
          </w:tcPr>
          <w:p w14:paraId="068BA7F5">
            <w:pPr>
              <w:widowControl/>
              <w:jc w:val="center"/>
              <w:rPr>
                <w:rFonts w:ascii="宋体" w:cs="宋体"/>
                <w:color w:val="auto"/>
                <w:kern w:val="0"/>
                <w:szCs w:val="21"/>
                <w:highlight w:val="none"/>
              </w:rPr>
            </w:pPr>
            <w:r>
              <w:rPr>
                <w:rFonts w:hint="eastAsia" w:ascii="宋体" w:hAnsi="宋体" w:cs="宋体"/>
                <w:color w:val="auto"/>
                <w:kern w:val="0"/>
                <w:szCs w:val="21"/>
                <w:highlight w:val="none"/>
              </w:rPr>
              <w:t>价格分</w:t>
            </w:r>
          </w:p>
        </w:tc>
        <w:tc>
          <w:tcPr>
            <w:tcW w:w="6951" w:type="dxa"/>
          </w:tcPr>
          <w:p w14:paraId="36B7181A">
            <w:pPr>
              <w:pStyle w:val="7"/>
              <w:spacing w:after="0"/>
              <w:ind w:firstLine="420" w:firstLineChars="200"/>
              <w:rPr>
                <w:color w:val="auto"/>
                <w:highlight w:val="none"/>
              </w:rPr>
            </w:pPr>
            <w:r>
              <w:rPr>
                <w:rFonts w:hint="eastAsia"/>
                <w:color w:val="auto"/>
                <w:highlight w:val="none"/>
              </w:rPr>
              <w:t>（1）评标报价为投标人的投标报价进行政策性扣除后的价格，评标报价只是作为评标时使用。最终中标人的中标金额等于投标报价。</w:t>
            </w:r>
          </w:p>
          <w:p w14:paraId="29247CD5">
            <w:pPr>
              <w:pStyle w:val="7"/>
              <w:spacing w:after="0"/>
              <w:ind w:firstLine="420" w:firstLineChars="200"/>
              <w:rPr>
                <w:color w:val="auto"/>
                <w:highlight w:val="none"/>
              </w:rPr>
            </w:pPr>
            <w:r>
              <w:rPr>
                <w:rFonts w:hint="eastAsia"/>
                <w:color w:val="auto"/>
                <w:highlight w:val="none"/>
              </w:rPr>
              <w:t>（2）按照《政府采购促进中小企业发展管理办法》（财库〔2020〕46号）的规定，投标人在其投标文件中提供《中小企业声明函》，且其服务为小型和微型企业承接的，对其最后报价给予10%的扣除。</w:t>
            </w:r>
          </w:p>
          <w:p w14:paraId="77D5B39E">
            <w:pPr>
              <w:pStyle w:val="7"/>
              <w:spacing w:after="0"/>
              <w:ind w:firstLine="420" w:firstLineChars="200"/>
              <w:rPr>
                <w:color w:val="auto"/>
                <w:highlight w:val="none"/>
              </w:rPr>
            </w:pPr>
            <w:r>
              <w:rPr>
                <w:rFonts w:hint="eastAsia"/>
                <w:color w:val="auto"/>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C58B619">
            <w:pPr>
              <w:pStyle w:val="7"/>
              <w:spacing w:after="0"/>
              <w:ind w:firstLine="420" w:firstLineChars="200"/>
              <w:rPr>
                <w:color w:val="auto"/>
                <w:highlight w:val="none"/>
              </w:rPr>
            </w:pPr>
            <w:r>
              <w:rPr>
                <w:rFonts w:hint="eastAsia"/>
                <w:color w:val="auto"/>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24EC71B">
            <w:pPr>
              <w:pStyle w:val="7"/>
              <w:spacing w:after="0"/>
              <w:ind w:firstLine="420" w:firstLineChars="200"/>
              <w:rPr>
                <w:color w:val="auto"/>
                <w:highlight w:val="none"/>
              </w:rPr>
            </w:pPr>
            <w:r>
              <w:rPr>
                <w:rFonts w:hint="eastAsia"/>
                <w:color w:val="auto"/>
                <w:highlight w:val="none"/>
              </w:rPr>
              <w:t>（5）政策性扣除计算方法。</w:t>
            </w:r>
          </w:p>
          <w:p w14:paraId="33393179">
            <w:pPr>
              <w:pStyle w:val="7"/>
              <w:spacing w:after="0"/>
              <w:ind w:firstLine="420" w:firstLineChars="200"/>
              <w:rPr>
                <w:color w:val="auto"/>
                <w:highlight w:val="none"/>
              </w:rPr>
            </w:pPr>
            <w:r>
              <w:rPr>
                <w:rFonts w:hint="eastAsia"/>
                <w:color w:val="auto"/>
                <w:highlight w:val="none"/>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 4%）。除上述情况外，评标报价=投标报价。</w:t>
            </w:r>
          </w:p>
          <w:p w14:paraId="342BC08E">
            <w:pPr>
              <w:pStyle w:val="7"/>
              <w:spacing w:after="0"/>
              <w:ind w:firstLine="420" w:firstLineChars="200"/>
              <w:rPr>
                <w:color w:val="auto"/>
                <w:highlight w:val="none"/>
              </w:rPr>
            </w:pPr>
            <w:r>
              <w:rPr>
                <w:rFonts w:hint="eastAsia"/>
                <w:color w:val="auto"/>
                <w:highlight w:val="none"/>
              </w:rPr>
              <w:t>（6）满足招标文件要求且评标报价最低的评标报价为评标基准价，其价格分为满分。</w:t>
            </w:r>
          </w:p>
          <w:p w14:paraId="0D86DA03">
            <w:pPr>
              <w:pStyle w:val="7"/>
              <w:spacing w:after="0"/>
              <w:ind w:firstLine="420" w:firstLineChars="200"/>
              <w:rPr>
                <w:color w:val="auto"/>
                <w:highlight w:val="none"/>
              </w:rPr>
            </w:pPr>
            <w:r>
              <w:rPr>
                <w:rFonts w:hint="eastAsia"/>
                <w:color w:val="auto"/>
                <w:highlight w:val="none"/>
              </w:rPr>
              <w:t xml:space="preserve">（7）价格分计算公式：        </w:t>
            </w:r>
          </w:p>
          <w:p w14:paraId="09665114">
            <w:pPr>
              <w:pStyle w:val="7"/>
              <w:spacing w:after="0"/>
              <w:ind w:firstLine="420" w:firstLineChars="200"/>
              <w:rPr>
                <w:color w:val="auto"/>
                <w:highlight w:val="none"/>
              </w:rPr>
            </w:pPr>
            <w:r>
              <w:rPr>
                <w:rFonts w:hint="eastAsia"/>
                <w:color w:val="auto"/>
                <w:highlight w:val="none"/>
              </w:rPr>
              <w:t>价格分=[评标基准价／评标报价]×10分</w:t>
            </w:r>
          </w:p>
        </w:tc>
        <w:tc>
          <w:tcPr>
            <w:tcW w:w="931" w:type="dxa"/>
            <w:vAlign w:val="center"/>
          </w:tcPr>
          <w:p w14:paraId="35411148">
            <w:pPr>
              <w:widowControl/>
              <w:jc w:val="center"/>
              <w:rPr>
                <w:rFonts w:ascii="宋体" w:cs="宋体"/>
                <w:color w:val="auto"/>
                <w:kern w:val="0"/>
                <w:szCs w:val="21"/>
                <w:highlight w:val="none"/>
              </w:rPr>
            </w:pPr>
            <w:r>
              <w:rPr>
                <w:rFonts w:hint="eastAsia" w:ascii="宋体" w:hAnsi="宋体" w:cs="宋体"/>
                <w:color w:val="auto"/>
                <w:kern w:val="0"/>
                <w:szCs w:val="21"/>
                <w:highlight w:val="none"/>
              </w:rPr>
              <w:t>0~1</w:t>
            </w:r>
            <w:r>
              <w:rPr>
                <w:rFonts w:ascii="宋体" w:hAnsi="宋体" w:cs="宋体"/>
                <w:color w:val="auto"/>
                <w:kern w:val="0"/>
                <w:szCs w:val="21"/>
                <w:highlight w:val="none"/>
              </w:rPr>
              <w:t>0</w:t>
            </w:r>
            <w:r>
              <w:rPr>
                <w:rFonts w:hint="eastAsia" w:ascii="宋体" w:hAnsi="宋体" w:cs="宋体"/>
                <w:color w:val="auto"/>
                <w:kern w:val="0"/>
                <w:szCs w:val="21"/>
                <w:highlight w:val="none"/>
              </w:rPr>
              <w:t>分</w:t>
            </w:r>
          </w:p>
        </w:tc>
      </w:tr>
      <w:tr w14:paraId="5251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7C11EA27">
            <w:pPr>
              <w:widowControl/>
              <w:jc w:val="center"/>
              <w:rPr>
                <w:rFonts w:ascii="宋体" w:cs="宋体"/>
                <w:color w:val="auto"/>
                <w:kern w:val="0"/>
                <w:szCs w:val="21"/>
                <w:highlight w:val="none"/>
              </w:rPr>
            </w:pPr>
            <w:r>
              <w:rPr>
                <w:rFonts w:ascii="宋体" w:hAnsi="宋体" w:cs="宋体"/>
                <w:bCs/>
                <w:color w:val="auto"/>
                <w:kern w:val="0"/>
                <w:szCs w:val="21"/>
                <w:highlight w:val="none"/>
              </w:rPr>
              <w:t>2</w:t>
            </w:r>
          </w:p>
        </w:tc>
        <w:tc>
          <w:tcPr>
            <w:tcW w:w="1086" w:type="dxa"/>
            <w:vAlign w:val="center"/>
          </w:tcPr>
          <w:p w14:paraId="5650D32D">
            <w:pPr>
              <w:widowControl/>
              <w:jc w:val="center"/>
              <w:rPr>
                <w:rFonts w:ascii="宋体" w:cs="宋体"/>
                <w:color w:val="auto"/>
                <w:kern w:val="0"/>
                <w:szCs w:val="21"/>
                <w:highlight w:val="none"/>
              </w:rPr>
            </w:pPr>
            <w:r>
              <w:rPr>
                <w:rFonts w:hint="eastAsia" w:ascii="宋体" w:hAnsi="宋体" w:cs="宋体"/>
                <w:bCs/>
                <w:color w:val="auto"/>
                <w:kern w:val="0"/>
                <w:szCs w:val="21"/>
                <w:highlight w:val="none"/>
              </w:rPr>
              <w:t>技术分</w:t>
            </w:r>
          </w:p>
        </w:tc>
        <w:tc>
          <w:tcPr>
            <w:tcW w:w="6951" w:type="dxa"/>
            <w:vAlign w:val="center"/>
          </w:tcPr>
          <w:p w14:paraId="75C24CAC">
            <w:pPr>
              <w:widowControl/>
              <w:jc w:val="center"/>
              <w:rPr>
                <w:rFonts w:ascii="宋体" w:cs="宋体"/>
                <w:color w:val="auto"/>
                <w:kern w:val="0"/>
                <w:szCs w:val="21"/>
                <w:highlight w:val="none"/>
              </w:rPr>
            </w:pPr>
            <w:r>
              <w:rPr>
                <w:rFonts w:hint="eastAsia" w:ascii="宋体" w:hAnsi="宋体" w:cs="宋体"/>
                <w:color w:val="auto"/>
                <w:kern w:val="0"/>
                <w:szCs w:val="21"/>
                <w:highlight w:val="none"/>
              </w:rPr>
              <w:t>评审因素</w:t>
            </w:r>
          </w:p>
        </w:tc>
        <w:tc>
          <w:tcPr>
            <w:tcW w:w="931" w:type="dxa"/>
          </w:tcPr>
          <w:p w14:paraId="3A044ED5">
            <w:pPr>
              <w:widowControl/>
              <w:jc w:val="center"/>
              <w:rPr>
                <w:rFonts w:ascii="宋体" w:cs="宋体"/>
                <w:color w:val="auto"/>
                <w:kern w:val="0"/>
                <w:szCs w:val="21"/>
                <w:highlight w:val="none"/>
              </w:rPr>
            </w:pPr>
            <w:r>
              <w:rPr>
                <w:rFonts w:hint="eastAsia" w:ascii="宋体" w:hAnsi="宋体" w:cs="宋体"/>
                <w:color w:val="auto"/>
                <w:kern w:val="0"/>
                <w:szCs w:val="21"/>
                <w:highlight w:val="none"/>
              </w:rPr>
              <w:t>0~50分</w:t>
            </w:r>
          </w:p>
        </w:tc>
      </w:tr>
      <w:tr w14:paraId="209E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0A941BC8">
            <w:pPr>
              <w:widowControl/>
              <w:jc w:val="center"/>
              <w:rPr>
                <w:rFonts w:ascii="宋体" w:hAnsi="宋体" w:cs="宋体"/>
                <w:color w:val="auto"/>
                <w:kern w:val="0"/>
                <w:szCs w:val="21"/>
                <w:highlight w:val="none"/>
              </w:rPr>
            </w:pPr>
            <w:r>
              <w:rPr>
                <w:rFonts w:hint="eastAsia" w:ascii="宋体" w:hAnsi="宋体" w:cs="宋体"/>
                <w:bCs/>
                <w:color w:val="auto"/>
                <w:kern w:val="0"/>
                <w:szCs w:val="21"/>
                <w:highlight w:val="none"/>
              </w:rPr>
              <w:t>2.1</w:t>
            </w:r>
          </w:p>
        </w:tc>
        <w:tc>
          <w:tcPr>
            <w:tcW w:w="1086" w:type="dxa"/>
            <w:vAlign w:val="center"/>
          </w:tcPr>
          <w:p w14:paraId="6EFA7715">
            <w:pPr>
              <w:widowControl/>
              <w:jc w:val="center"/>
              <w:rPr>
                <w:rFonts w:ascii="宋体" w:hAnsi="宋体" w:cs="宋体"/>
                <w:bCs/>
                <w:color w:val="auto"/>
                <w:szCs w:val="21"/>
                <w:highlight w:val="none"/>
              </w:rPr>
            </w:pPr>
            <w:r>
              <w:rPr>
                <w:rFonts w:hint="eastAsia" w:ascii="宋体" w:hAnsi="宋体" w:cs="宋体"/>
                <w:bCs/>
                <w:color w:val="auto"/>
                <w:szCs w:val="21"/>
                <w:highlight w:val="none"/>
              </w:rPr>
              <w:t>对项目背景的分析（满分6分）</w:t>
            </w:r>
          </w:p>
        </w:tc>
        <w:tc>
          <w:tcPr>
            <w:tcW w:w="6951" w:type="dxa"/>
            <w:vAlign w:val="center"/>
          </w:tcPr>
          <w:p w14:paraId="19B76002">
            <w:pPr>
              <w:pStyle w:val="7"/>
              <w:spacing w:after="0"/>
              <w:ind w:firstLine="420" w:firstLineChars="200"/>
              <w:rPr>
                <w:color w:val="auto"/>
                <w:highlight w:val="none"/>
              </w:rPr>
            </w:pPr>
            <w:r>
              <w:rPr>
                <w:rFonts w:hint="eastAsia"/>
                <w:color w:val="auto"/>
                <w:highlight w:val="none"/>
              </w:rPr>
              <w:t>一档（2分）：对项目工作背景、编制依据、编制范围等认识较为粗浅，仅能形成简单结论。</w:t>
            </w:r>
          </w:p>
          <w:p w14:paraId="2AEAFE7A">
            <w:pPr>
              <w:pStyle w:val="7"/>
              <w:spacing w:after="0"/>
              <w:ind w:firstLine="420" w:firstLineChars="200"/>
              <w:rPr>
                <w:color w:val="auto"/>
                <w:highlight w:val="none"/>
              </w:rPr>
            </w:pPr>
            <w:r>
              <w:rPr>
                <w:rFonts w:hint="eastAsia"/>
                <w:color w:val="auto"/>
                <w:highlight w:val="none"/>
              </w:rPr>
              <w:t>二档（4分）：能阐述项目工作背景、编制依据等基本内容，初步明确方案任务。</w:t>
            </w:r>
          </w:p>
          <w:p w14:paraId="14314851">
            <w:pPr>
              <w:pStyle w:val="7"/>
              <w:spacing w:after="0"/>
              <w:ind w:firstLine="420" w:firstLineChars="200"/>
              <w:rPr>
                <w:color w:val="auto"/>
                <w:highlight w:val="none"/>
              </w:rPr>
            </w:pPr>
            <w:r>
              <w:rPr>
                <w:rFonts w:hint="eastAsia"/>
                <w:color w:val="auto"/>
                <w:highlight w:val="none"/>
              </w:rPr>
              <w:t>三档（6分）：全面、精准阐述项目工作背景、编制目的、编制依据及编制范围，清晰明确本轮动态维护的核心任务，且动态调整内容严格遵循上级政策文件要求。</w:t>
            </w:r>
          </w:p>
          <w:p w14:paraId="41B01588">
            <w:pPr>
              <w:pStyle w:val="7"/>
              <w:spacing w:after="0"/>
              <w:ind w:firstLine="420" w:firstLineChars="200"/>
              <w:rPr>
                <w:color w:val="auto"/>
                <w:highlight w:val="none"/>
              </w:rPr>
            </w:pPr>
            <w:r>
              <w:rPr>
                <w:rFonts w:hint="eastAsia"/>
                <w:color w:val="auto"/>
                <w:highlight w:val="none"/>
              </w:rPr>
              <w:t>注：投标文件中未提供本项内容或达不到一档要求的不得分。</w:t>
            </w:r>
          </w:p>
        </w:tc>
        <w:tc>
          <w:tcPr>
            <w:tcW w:w="931" w:type="dxa"/>
            <w:vAlign w:val="center"/>
          </w:tcPr>
          <w:p w14:paraId="1B36CE8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0~6分</w:t>
            </w:r>
          </w:p>
        </w:tc>
      </w:tr>
      <w:tr w14:paraId="5DEF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6E2D4B58">
            <w:pPr>
              <w:widowControl/>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086" w:type="dxa"/>
            <w:vAlign w:val="center"/>
          </w:tcPr>
          <w:p w14:paraId="5AB06BB9">
            <w:pPr>
              <w:jc w:val="center"/>
              <w:rPr>
                <w:rFonts w:ascii="宋体" w:hAnsi="宋体" w:cs="宋体"/>
                <w:bCs/>
                <w:color w:val="auto"/>
                <w:szCs w:val="21"/>
                <w:highlight w:val="none"/>
              </w:rPr>
            </w:pPr>
            <w:r>
              <w:rPr>
                <w:rFonts w:hint="eastAsia" w:ascii="宋体" w:hAnsi="宋体" w:cs="宋体"/>
                <w:bCs/>
                <w:color w:val="auto"/>
                <w:szCs w:val="21"/>
                <w:highlight w:val="none"/>
              </w:rPr>
              <w:t>规划实施体检评估的分析（满分6分）</w:t>
            </w:r>
          </w:p>
        </w:tc>
        <w:tc>
          <w:tcPr>
            <w:tcW w:w="6951" w:type="dxa"/>
            <w:vAlign w:val="center"/>
          </w:tcPr>
          <w:p w14:paraId="3D2182AE">
            <w:pPr>
              <w:pStyle w:val="7"/>
              <w:spacing w:after="0"/>
              <w:ind w:firstLine="420" w:firstLineChars="200"/>
              <w:rPr>
                <w:color w:val="auto"/>
                <w:highlight w:val="none"/>
              </w:rPr>
            </w:pPr>
            <w:r>
              <w:rPr>
                <w:rFonts w:hint="eastAsia"/>
                <w:color w:val="auto"/>
                <w:highlight w:val="none"/>
              </w:rPr>
              <w:t>一档（2分）：仅对南宁市国土空间总体规划实施情况做基础表面分析，识别出简单的规划实施问题。</w:t>
            </w:r>
          </w:p>
          <w:p w14:paraId="499F2B52">
            <w:pPr>
              <w:pStyle w:val="7"/>
              <w:spacing w:after="0"/>
              <w:ind w:firstLine="420" w:firstLineChars="200"/>
              <w:rPr>
                <w:color w:val="auto"/>
                <w:highlight w:val="none"/>
              </w:rPr>
            </w:pPr>
            <w:r>
              <w:rPr>
                <w:rFonts w:hint="eastAsia"/>
                <w:color w:val="auto"/>
                <w:highlight w:val="none"/>
              </w:rPr>
              <w:t>二档（4分）：结合部分发展要求对规划实施情况进行分析，能识别出部分规划实施中的矛盾问题，初步论述动态维护必要性。</w:t>
            </w:r>
          </w:p>
          <w:p w14:paraId="7A4DC805">
            <w:pPr>
              <w:pStyle w:val="7"/>
              <w:spacing w:after="0"/>
              <w:ind w:firstLine="420" w:firstLineChars="200"/>
              <w:rPr>
                <w:color w:val="auto"/>
                <w:highlight w:val="none"/>
              </w:rPr>
            </w:pPr>
            <w:r>
              <w:rPr>
                <w:rFonts w:hint="eastAsia"/>
                <w:color w:val="auto"/>
                <w:highlight w:val="none"/>
              </w:rPr>
              <w:t>三档（6分）：紧扣国家和自治区重大战略需求，精准识别底线管控、规模结构、空间布局、支撑体系、实施保障等方面的矛盾问题与短板，全面分析规划实施情况，充分论述动态维护必要性，明确提出动态维护建议。</w:t>
            </w:r>
          </w:p>
          <w:p w14:paraId="14FF62DA">
            <w:pPr>
              <w:pStyle w:val="7"/>
              <w:spacing w:after="0"/>
              <w:ind w:firstLine="420" w:firstLineChars="200"/>
              <w:rPr>
                <w:color w:val="auto"/>
                <w:highlight w:val="none"/>
              </w:rPr>
            </w:pPr>
            <w:r>
              <w:rPr>
                <w:rFonts w:hint="eastAsia"/>
                <w:color w:val="auto"/>
                <w:highlight w:val="none"/>
              </w:rPr>
              <w:t>注：投标文件中未提供本项内容或达不到一档要求的不得分。</w:t>
            </w:r>
          </w:p>
        </w:tc>
        <w:tc>
          <w:tcPr>
            <w:tcW w:w="931" w:type="dxa"/>
            <w:vAlign w:val="center"/>
          </w:tcPr>
          <w:p w14:paraId="248002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0~6分</w:t>
            </w:r>
          </w:p>
        </w:tc>
      </w:tr>
      <w:tr w14:paraId="3409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3988617D">
            <w:pPr>
              <w:widowControl/>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2.3</w:t>
            </w:r>
          </w:p>
        </w:tc>
        <w:tc>
          <w:tcPr>
            <w:tcW w:w="1086" w:type="dxa"/>
            <w:vAlign w:val="center"/>
          </w:tcPr>
          <w:p w14:paraId="4010D1BA">
            <w:pPr>
              <w:jc w:val="center"/>
              <w:rPr>
                <w:rFonts w:ascii="宋体" w:hAnsi="宋体" w:cs="宋体"/>
                <w:bCs/>
                <w:color w:val="auto"/>
                <w:szCs w:val="21"/>
                <w:highlight w:val="none"/>
              </w:rPr>
            </w:pPr>
            <w:r>
              <w:rPr>
                <w:rFonts w:hint="eastAsia" w:ascii="宋体" w:hAnsi="宋体" w:cs="宋体"/>
                <w:bCs/>
                <w:color w:val="auto"/>
                <w:szCs w:val="21"/>
                <w:highlight w:val="none"/>
              </w:rPr>
              <w:t>三条控制线动态维护的分析（满分8分）</w:t>
            </w:r>
          </w:p>
        </w:tc>
        <w:tc>
          <w:tcPr>
            <w:tcW w:w="6951" w:type="dxa"/>
            <w:vAlign w:val="center"/>
          </w:tcPr>
          <w:p w14:paraId="2AD8422F">
            <w:pPr>
              <w:ind w:firstLine="422"/>
              <w:rPr>
                <w:rFonts w:hint="eastAsia" w:ascii="宋体" w:hAnsi="宋体"/>
                <w:color w:val="auto"/>
                <w:szCs w:val="21"/>
                <w:highlight w:val="none"/>
              </w:rPr>
            </w:pPr>
            <w:r>
              <w:rPr>
                <w:rFonts w:hint="eastAsia" w:ascii="宋体" w:hAnsi="宋体"/>
                <w:color w:val="auto"/>
                <w:szCs w:val="21"/>
                <w:highlight w:val="none"/>
              </w:rPr>
              <w:t>一档（2分）：仅简单提及耕地和永久基本农田、生态保护、城镇开发边界维护的基本思路，有简单的具体优化调整措施。</w:t>
            </w:r>
          </w:p>
          <w:p w14:paraId="604A93D3">
            <w:pPr>
              <w:ind w:firstLine="422"/>
              <w:rPr>
                <w:rFonts w:ascii="宋体" w:hAnsi="宋体"/>
                <w:color w:val="auto"/>
                <w:szCs w:val="21"/>
                <w:highlight w:val="none"/>
              </w:rPr>
            </w:pPr>
            <w:r>
              <w:rPr>
                <w:rFonts w:hint="eastAsia" w:ascii="宋体" w:hAnsi="宋体"/>
                <w:color w:val="auto"/>
                <w:szCs w:val="21"/>
                <w:highlight w:val="none"/>
              </w:rPr>
              <w:t>二档（6分）：针对三条控制线分别提出维护思路，结合部分专项规划制定初步优化调整措施，城镇开发边界维护基本遵循相关原则，能体现一定的空间优化思路。</w:t>
            </w:r>
          </w:p>
          <w:p w14:paraId="2815FBE4">
            <w:pPr>
              <w:ind w:firstLine="422"/>
              <w:rPr>
                <w:rFonts w:ascii="宋体" w:hAnsi="宋体"/>
                <w:color w:val="auto"/>
                <w:szCs w:val="21"/>
                <w:highlight w:val="none"/>
              </w:rPr>
            </w:pPr>
            <w:r>
              <w:rPr>
                <w:rFonts w:hint="eastAsia" w:ascii="宋体" w:hAnsi="宋体"/>
                <w:color w:val="auto"/>
                <w:szCs w:val="21"/>
                <w:highlight w:val="none"/>
              </w:rPr>
              <w:t>三档（8分）：对耕地和永久基本农田保护红线、生态保护红线、城镇开发边界按情形分类制定科学维护措施，制定的正向优化方案契合南宁发展实际，能有效巩固生态功能筑牢生态屏障、严守耕地红线守牢粮食安全、促进城市集约节约用地。</w:t>
            </w:r>
          </w:p>
          <w:p w14:paraId="6E6D256E">
            <w:pPr>
              <w:pStyle w:val="7"/>
              <w:spacing w:after="0"/>
              <w:ind w:firstLine="420" w:firstLineChars="200"/>
              <w:rPr>
                <w:color w:val="auto"/>
                <w:highlight w:val="none"/>
              </w:rPr>
            </w:pPr>
            <w:r>
              <w:rPr>
                <w:rFonts w:hint="eastAsia"/>
                <w:color w:val="auto"/>
                <w:highlight w:val="none"/>
              </w:rPr>
              <w:t>注：投标文件中未提供本项内容或达不到一档要求的不得分。</w:t>
            </w:r>
          </w:p>
        </w:tc>
        <w:tc>
          <w:tcPr>
            <w:tcW w:w="931" w:type="dxa"/>
            <w:vAlign w:val="center"/>
          </w:tcPr>
          <w:p w14:paraId="6C41D15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0~8分</w:t>
            </w:r>
          </w:p>
        </w:tc>
      </w:tr>
      <w:tr w14:paraId="6C07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75FA4F7C">
            <w:pPr>
              <w:widowControl/>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2.4</w:t>
            </w:r>
          </w:p>
        </w:tc>
        <w:tc>
          <w:tcPr>
            <w:tcW w:w="1086" w:type="dxa"/>
            <w:vAlign w:val="center"/>
          </w:tcPr>
          <w:p w14:paraId="1EC85211">
            <w:pPr>
              <w:jc w:val="center"/>
              <w:rPr>
                <w:rFonts w:ascii="宋体" w:hAnsi="宋体" w:cs="宋体"/>
                <w:bCs/>
                <w:color w:val="auto"/>
                <w:szCs w:val="21"/>
                <w:highlight w:val="none"/>
              </w:rPr>
            </w:pPr>
            <w:r>
              <w:rPr>
                <w:rFonts w:hint="eastAsia" w:ascii="宋体" w:hAnsi="宋体" w:cs="宋体"/>
                <w:bCs/>
                <w:color w:val="auto"/>
                <w:szCs w:val="21"/>
                <w:highlight w:val="none"/>
              </w:rPr>
              <w:t>其他核心内容动态维护的分析（满分8分）</w:t>
            </w:r>
          </w:p>
        </w:tc>
        <w:tc>
          <w:tcPr>
            <w:tcW w:w="6951" w:type="dxa"/>
            <w:vAlign w:val="center"/>
          </w:tcPr>
          <w:p w14:paraId="06012022">
            <w:pPr>
              <w:pStyle w:val="7"/>
              <w:spacing w:after="0"/>
              <w:ind w:firstLine="420" w:firstLineChars="200"/>
              <w:rPr>
                <w:color w:val="auto"/>
                <w:highlight w:val="none"/>
              </w:rPr>
            </w:pPr>
            <w:r>
              <w:rPr>
                <w:rFonts w:hint="eastAsia"/>
                <w:color w:val="auto"/>
                <w:highlight w:val="none"/>
              </w:rPr>
              <w:t>一档（2分）：对重点建设项目清单、村庄建设用地、乡镇级主体功能区、规划专栏等维护做简单维护分析。</w:t>
            </w:r>
          </w:p>
          <w:p w14:paraId="743A768A">
            <w:pPr>
              <w:pStyle w:val="7"/>
              <w:spacing w:after="0"/>
              <w:ind w:firstLine="420" w:firstLineChars="200"/>
              <w:rPr>
                <w:color w:val="auto"/>
                <w:highlight w:val="none"/>
              </w:rPr>
            </w:pPr>
            <w:r>
              <w:rPr>
                <w:rFonts w:hint="eastAsia"/>
                <w:color w:val="auto"/>
                <w:highlight w:val="none"/>
              </w:rPr>
              <w:t>二档（6分）：针对重点建设项目清单、村庄建设用地、乡镇级主体功能区、规划专栏等提出初步维护思路，重点建设项目清单按情形做简单分类，村庄建设用地和乡镇级主体功能区维护贴合相关规则。</w:t>
            </w:r>
          </w:p>
          <w:p w14:paraId="01E28333">
            <w:pPr>
              <w:pStyle w:val="7"/>
              <w:spacing w:after="0"/>
              <w:ind w:firstLine="420" w:firstLineChars="200"/>
              <w:rPr>
                <w:color w:val="auto"/>
                <w:highlight w:val="none"/>
              </w:rPr>
            </w:pPr>
            <w:r>
              <w:rPr>
                <w:rFonts w:hint="eastAsia"/>
                <w:color w:val="auto"/>
                <w:highlight w:val="none"/>
              </w:rPr>
              <w:t>三档（8分）：按情形分类阐述重点建设项目清单调整方案；村庄建设用地维护全面衔接已批复村庄规划及乡村地区“通则式”规划管理规定；乡镇级主体功能区调整符合县级主体功能定位，能适应区域协调、行政管理需求；规划专栏维护精准对接国家和自治区重大战略、“十五五”规划等落实衔接情况。</w:t>
            </w:r>
          </w:p>
          <w:p w14:paraId="69CFE0C4">
            <w:pPr>
              <w:pStyle w:val="7"/>
              <w:spacing w:after="0"/>
              <w:ind w:firstLine="420" w:firstLineChars="200"/>
              <w:rPr>
                <w:color w:val="auto"/>
                <w:highlight w:val="none"/>
              </w:rPr>
            </w:pPr>
            <w:r>
              <w:rPr>
                <w:rFonts w:hint="eastAsia"/>
                <w:color w:val="auto"/>
                <w:highlight w:val="none"/>
              </w:rPr>
              <w:t>注：投标文件中未提供本项内容或达不到一档要求的不得分。</w:t>
            </w:r>
          </w:p>
        </w:tc>
        <w:tc>
          <w:tcPr>
            <w:tcW w:w="931" w:type="dxa"/>
            <w:vAlign w:val="center"/>
          </w:tcPr>
          <w:p w14:paraId="66EEA39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0~8分</w:t>
            </w:r>
          </w:p>
        </w:tc>
      </w:tr>
      <w:tr w14:paraId="1D5F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7497A063">
            <w:pPr>
              <w:widowControl/>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2.5</w:t>
            </w:r>
          </w:p>
        </w:tc>
        <w:tc>
          <w:tcPr>
            <w:tcW w:w="1086" w:type="dxa"/>
            <w:vAlign w:val="center"/>
          </w:tcPr>
          <w:p w14:paraId="77F0F9E9">
            <w:pPr>
              <w:jc w:val="center"/>
              <w:rPr>
                <w:rFonts w:ascii="宋体" w:hAnsi="宋体" w:cs="宋体"/>
                <w:bCs/>
                <w:color w:val="auto"/>
                <w:szCs w:val="21"/>
                <w:highlight w:val="none"/>
              </w:rPr>
            </w:pPr>
            <w:r>
              <w:rPr>
                <w:rFonts w:hint="eastAsia" w:ascii="宋体" w:hAnsi="宋体" w:cs="宋体"/>
                <w:bCs/>
                <w:color w:val="auto"/>
                <w:szCs w:val="21"/>
                <w:highlight w:val="none"/>
              </w:rPr>
              <w:t>各类规划布局及控制线维护的分析（满分6分）</w:t>
            </w:r>
          </w:p>
        </w:tc>
        <w:tc>
          <w:tcPr>
            <w:tcW w:w="6951" w:type="dxa"/>
            <w:vAlign w:val="center"/>
          </w:tcPr>
          <w:p w14:paraId="72B05AE6">
            <w:pPr>
              <w:ind w:firstLine="422"/>
              <w:rPr>
                <w:rFonts w:ascii="宋体" w:hAnsi="宋体"/>
                <w:color w:val="auto"/>
                <w:szCs w:val="21"/>
                <w:highlight w:val="none"/>
              </w:rPr>
            </w:pPr>
            <w:r>
              <w:rPr>
                <w:rFonts w:hint="eastAsia" w:ascii="宋体" w:hAnsi="宋体"/>
                <w:color w:val="auto"/>
                <w:szCs w:val="21"/>
                <w:highlight w:val="none"/>
              </w:rPr>
              <w:t>一档（2分）：对规划分区、中心城区用地布局、城市重要控制线等维护优化措施单一。</w:t>
            </w:r>
          </w:p>
          <w:p w14:paraId="729C221D">
            <w:pPr>
              <w:ind w:firstLine="422"/>
              <w:rPr>
                <w:rFonts w:ascii="宋体" w:hAnsi="宋体"/>
                <w:color w:val="auto"/>
                <w:szCs w:val="21"/>
                <w:highlight w:val="none"/>
              </w:rPr>
            </w:pPr>
            <w:r>
              <w:rPr>
                <w:rFonts w:hint="eastAsia" w:ascii="宋体" w:hAnsi="宋体"/>
                <w:color w:val="auto"/>
                <w:szCs w:val="21"/>
                <w:highlight w:val="none"/>
              </w:rPr>
              <w:t>二档（4分）：针对规划分区、中心城区用地布局、城市重要控制线等分别提出初步维护方案，能结合部分发展实际及管控要求做简单优化，基本保障规划分区主导功能稳定、补齐少量公共服务短板。</w:t>
            </w:r>
          </w:p>
          <w:p w14:paraId="6AD5966A">
            <w:pPr>
              <w:ind w:firstLine="422"/>
              <w:rPr>
                <w:rFonts w:ascii="宋体" w:hAnsi="宋体"/>
                <w:color w:val="auto"/>
                <w:szCs w:val="21"/>
                <w:highlight w:val="none"/>
              </w:rPr>
            </w:pPr>
            <w:r>
              <w:rPr>
                <w:rFonts w:hint="eastAsia" w:ascii="宋体" w:hAnsi="宋体"/>
                <w:color w:val="auto"/>
                <w:szCs w:val="21"/>
                <w:highlight w:val="none"/>
              </w:rPr>
              <w:t>三档（6分）：规划分区优化方案衔接相关自然资源管理工作、三条控制线布局优化、相关专项规划编制等，主导功能保持基本稳定；中心城区用地布局优化方案能结合人口结构变化和经济社会发展，优化后城市功能更完善；城市重要控制线未突破总体规划强制性内容。</w:t>
            </w:r>
          </w:p>
          <w:p w14:paraId="1EF83F4B">
            <w:pPr>
              <w:pStyle w:val="7"/>
              <w:spacing w:after="0"/>
              <w:ind w:firstLine="420" w:firstLineChars="200"/>
              <w:rPr>
                <w:color w:val="auto"/>
                <w:highlight w:val="none"/>
              </w:rPr>
            </w:pPr>
            <w:r>
              <w:rPr>
                <w:rFonts w:hint="eastAsia"/>
                <w:color w:val="auto"/>
                <w:highlight w:val="none"/>
              </w:rPr>
              <w:t>注：投标文件中未提供本项内容或达不到一档要求的不得分。</w:t>
            </w:r>
          </w:p>
        </w:tc>
        <w:tc>
          <w:tcPr>
            <w:tcW w:w="931" w:type="dxa"/>
            <w:vAlign w:val="center"/>
          </w:tcPr>
          <w:p w14:paraId="34A0F18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0~6分</w:t>
            </w:r>
          </w:p>
        </w:tc>
      </w:tr>
      <w:tr w14:paraId="32C6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69E9FE9C">
            <w:pPr>
              <w:widowControl/>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2.6</w:t>
            </w:r>
          </w:p>
        </w:tc>
        <w:tc>
          <w:tcPr>
            <w:tcW w:w="1086" w:type="dxa"/>
            <w:vAlign w:val="center"/>
          </w:tcPr>
          <w:p w14:paraId="50D996EA">
            <w:pPr>
              <w:jc w:val="center"/>
              <w:rPr>
                <w:rFonts w:ascii="宋体" w:hAnsi="宋体" w:cs="宋体"/>
                <w:bCs/>
                <w:color w:val="auto"/>
                <w:szCs w:val="21"/>
                <w:highlight w:val="none"/>
              </w:rPr>
            </w:pPr>
            <w:r>
              <w:rPr>
                <w:rFonts w:hint="eastAsia" w:ascii="宋体" w:hAnsi="宋体" w:cs="宋体"/>
                <w:bCs/>
                <w:color w:val="auto"/>
                <w:szCs w:val="21"/>
                <w:highlight w:val="none"/>
              </w:rPr>
              <w:t>动态维护可行性分析的分析（满分6分）</w:t>
            </w:r>
          </w:p>
        </w:tc>
        <w:tc>
          <w:tcPr>
            <w:tcW w:w="6951" w:type="dxa"/>
            <w:vAlign w:val="center"/>
          </w:tcPr>
          <w:p w14:paraId="467F6C98">
            <w:pPr>
              <w:ind w:firstLine="422"/>
              <w:rPr>
                <w:rFonts w:ascii="宋体" w:hAnsi="宋体"/>
                <w:color w:val="auto"/>
                <w:szCs w:val="21"/>
                <w:highlight w:val="none"/>
              </w:rPr>
            </w:pPr>
            <w:r>
              <w:rPr>
                <w:rFonts w:hint="eastAsia" w:ascii="宋体" w:hAnsi="宋体"/>
                <w:color w:val="auto"/>
                <w:szCs w:val="21"/>
                <w:highlight w:val="none"/>
              </w:rPr>
              <w:t>一档（2分）：对维护方案有简单的分析，工作符合相关要求。</w:t>
            </w:r>
          </w:p>
          <w:p w14:paraId="2175D80A">
            <w:pPr>
              <w:ind w:firstLine="422"/>
              <w:rPr>
                <w:rFonts w:ascii="宋体" w:hAnsi="宋体"/>
                <w:color w:val="auto"/>
                <w:szCs w:val="21"/>
                <w:highlight w:val="none"/>
              </w:rPr>
            </w:pPr>
            <w:r>
              <w:rPr>
                <w:rFonts w:hint="eastAsia" w:ascii="宋体" w:hAnsi="宋体"/>
                <w:color w:val="auto"/>
                <w:szCs w:val="21"/>
                <w:highlight w:val="none"/>
              </w:rPr>
              <w:t>二档（4分）：结合部分国家和自治区相关规定，对维护方案正向优化要求符合性做初步分析和简单论证。</w:t>
            </w:r>
          </w:p>
          <w:p w14:paraId="40EDC2C9">
            <w:pPr>
              <w:ind w:firstLine="422"/>
              <w:rPr>
                <w:rFonts w:ascii="宋体" w:hAnsi="宋体"/>
                <w:color w:val="auto"/>
                <w:szCs w:val="21"/>
                <w:highlight w:val="none"/>
              </w:rPr>
            </w:pPr>
            <w:r>
              <w:rPr>
                <w:rFonts w:hint="eastAsia" w:ascii="宋体" w:hAnsi="宋体"/>
                <w:color w:val="auto"/>
                <w:szCs w:val="21"/>
                <w:highlight w:val="none"/>
              </w:rPr>
              <w:t>三档（6分）：严格依据国家和自治区相关规定，深入分析维护方案是否符合正向优化要求，对涉及的所有底线红线管控、各类规划管控要求的符合性做系统的论证分析，论证逻辑清晰、依据充分。</w:t>
            </w:r>
          </w:p>
          <w:p w14:paraId="7C5679F9">
            <w:pPr>
              <w:pStyle w:val="7"/>
              <w:spacing w:after="0"/>
              <w:ind w:firstLine="420" w:firstLineChars="200"/>
              <w:rPr>
                <w:color w:val="auto"/>
                <w:highlight w:val="none"/>
              </w:rPr>
            </w:pPr>
            <w:r>
              <w:rPr>
                <w:rFonts w:hint="eastAsia"/>
                <w:color w:val="auto"/>
                <w:highlight w:val="none"/>
              </w:rPr>
              <w:t>注：投标文件中未提供本项内容或达不到一档要求的不得分。</w:t>
            </w:r>
          </w:p>
        </w:tc>
        <w:tc>
          <w:tcPr>
            <w:tcW w:w="931" w:type="dxa"/>
            <w:vAlign w:val="center"/>
          </w:tcPr>
          <w:p w14:paraId="1C92474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0~6分</w:t>
            </w:r>
          </w:p>
        </w:tc>
      </w:tr>
      <w:tr w14:paraId="790C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0241FD09">
            <w:pPr>
              <w:widowControl/>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2.7</w:t>
            </w:r>
          </w:p>
        </w:tc>
        <w:tc>
          <w:tcPr>
            <w:tcW w:w="1086" w:type="dxa"/>
            <w:vAlign w:val="center"/>
          </w:tcPr>
          <w:p w14:paraId="3894EE41">
            <w:pPr>
              <w:jc w:val="center"/>
              <w:rPr>
                <w:rFonts w:ascii="宋体" w:hAnsi="宋体" w:cs="宋体"/>
                <w:bCs/>
                <w:color w:val="auto"/>
                <w:szCs w:val="21"/>
                <w:highlight w:val="none"/>
              </w:rPr>
            </w:pPr>
            <w:r>
              <w:rPr>
                <w:rFonts w:hint="eastAsia" w:ascii="宋体" w:hAnsi="宋体" w:cs="宋体"/>
                <w:bCs/>
                <w:color w:val="auto"/>
                <w:szCs w:val="21"/>
                <w:highlight w:val="none"/>
              </w:rPr>
              <w:t>实施保障措施（满分3分）</w:t>
            </w:r>
          </w:p>
        </w:tc>
        <w:tc>
          <w:tcPr>
            <w:tcW w:w="6951" w:type="dxa"/>
            <w:vAlign w:val="center"/>
          </w:tcPr>
          <w:p w14:paraId="4484FEFE">
            <w:pPr>
              <w:ind w:firstLine="422"/>
              <w:rPr>
                <w:rFonts w:ascii="宋体" w:hAnsi="宋体"/>
                <w:color w:val="auto"/>
                <w:szCs w:val="21"/>
                <w:highlight w:val="none"/>
              </w:rPr>
            </w:pPr>
            <w:r>
              <w:rPr>
                <w:rFonts w:hint="eastAsia" w:ascii="宋体" w:hAnsi="宋体"/>
                <w:color w:val="auto"/>
                <w:szCs w:val="21"/>
                <w:highlight w:val="none"/>
              </w:rPr>
              <w:t>一档（1</w:t>
            </w:r>
            <w:r>
              <w:rPr>
                <w:rFonts w:ascii="宋体" w:hAnsi="宋体"/>
                <w:color w:val="auto"/>
                <w:szCs w:val="21"/>
                <w:highlight w:val="none"/>
              </w:rPr>
              <w:t>分）：</w:t>
            </w:r>
            <w:r>
              <w:rPr>
                <w:rFonts w:hint="eastAsia" w:ascii="宋体" w:hAnsi="宋体"/>
                <w:color w:val="auto"/>
                <w:szCs w:val="21"/>
                <w:highlight w:val="none"/>
              </w:rPr>
              <w:t>提出简单</w:t>
            </w:r>
            <w:r>
              <w:rPr>
                <w:rFonts w:hint="eastAsia" w:ascii="宋体" w:hAnsi="宋体"/>
                <w:color w:val="auto"/>
                <w:szCs w:val="21"/>
                <w:highlight w:val="none"/>
                <w:lang w:eastAsia="zh-CN"/>
              </w:rPr>
              <w:t>的</w:t>
            </w:r>
            <w:r>
              <w:rPr>
                <w:rFonts w:hint="eastAsia" w:ascii="宋体" w:hAnsi="宋体"/>
                <w:color w:val="auto"/>
                <w:szCs w:val="21"/>
                <w:highlight w:val="none"/>
              </w:rPr>
              <w:t>实施保障要求。</w:t>
            </w:r>
          </w:p>
          <w:p w14:paraId="3D373CC7">
            <w:pPr>
              <w:ind w:firstLine="422"/>
              <w:rPr>
                <w:rFonts w:ascii="宋体" w:hAnsi="宋体"/>
                <w:color w:val="auto"/>
                <w:szCs w:val="21"/>
                <w:highlight w:val="none"/>
              </w:rPr>
            </w:pPr>
            <w:r>
              <w:rPr>
                <w:rFonts w:hint="eastAsia" w:ascii="宋体" w:hAnsi="宋体"/>
                <w:color w:val="auto"/>
                <w:szCs w:val="21"/>
                <w:highlight w:val="none"/>
              </w:rPr>
              <w:t>二档（2</w:t>
            </w:r>
            <w:r>
              <w:rPr>
                <w:rFonts w:ascii="宋体" w:hAnsi="宋体"/>
                <w:color w:val="auto"/>
                <w:szCs w:val="21"/>
                <w:highlight w:val="none"/>
              </w:rPr>
              <w:t>分）：</w:t>
            </w:r>
            <w:r>
              <w:rPr>
                <w:rFonts w:hint="eastAsia" w:ascii="宋体" w:hAnsi="宋体"/>
                <w:color w:val="auto"/>
                <w:szCs w:val="21"/>
                <w:highlight w:val="none"/>
              </w:rPr>
              <w:t>提出基础实施保障要求，有一定指导性。</w:t>
            </w:r>
          </w:p>
          <w:p w14:paraId="0B23645B">
            <w:pPr>
              <w:ind w:firstLine="422"/>
              <w:rPr>
                <w:rFonts w:ascii="宋体" w:hAnsi="宋体"/>
                <w:color w:val="auto"/>
                <w:szCs w:val="21"/>
                <w:highlight w:val="none"/>
              </w:rPr>
            </w:pPr>
            <w:r>
              <w:rPr>
                <w:rFonts w:hint="eastAsia" w:ascii="宋体" w:hAnsi="宋体"/>
                <w:color w:val="auto"/>
                <w:szCs w:val="21"/>
                <w:highlight w:val="none"/>
              </w:rPr>
              <w:t>三档（3</w:t>
            </w:r>
            <w:r>
              <w:rPr>
                <w:rFonts w:ascii="宋体" w:hAnsi="宋体"/>
                <w:color w:val="auto"/>
                <w:szCs w:val="21"/>
                <w:highlight w:val="none"/>
              </w:rPr>
              <w:t>分）：</w:t>
            </w:r>
            <w:r>
              <w:rPr>
                <w:rFonts w:hint="eastAsia" w:ascii="宋体" w:hAnsi="宋体"/>
                <w:color w:val="auto"/>
                <w:szCs w:val="21"/>
                <w:highlight w:val="none"/>
              </w:rPr>
              <w:t>结合项目实际及南宁市国土空间规划管理工作需求，制定系统的实施保障措施，措施可操作性高，全方位保障动态维护方案有效落地实施。</w:t>
            </w:r>
          </w:p>
          <w:p w14:paraId="67CDA42A">
            <w:pPr>
              <w:pStyle w:val="7"/>
              <w:spacing w:after="0"/>
              <w:ind w:firstLine="420" w:firstLineChars="200"/>
              <w:rPr>
                <w:color w:val="auto"/>
                <w:highlight w:val="none"/>
              </w:rPr>
            </w:pPr>
            <w:r>
              <w:rPr>
                <w:rFonts w:hint="eastAsia"/>
                <w:color w:val="auto"/>
                <w:highlight w:val="none"/>
              </w:rPr>
              <w:t>注：投标文件中未提供本项内容或达不到一档要求的不得分。</w:t>
            </w:r>
          </w:p>
        </w:tc>
        <w:tc>
          <w:tcPr>
            <w:tcW w:w="931" w:type="dxa"/>
            <w:vAlign w:val="center"/>
          </w:tcPr>
          <w:p w14:paraId="571FC66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0~3分</w:t>
            </w:r>
          </w:p>
        </w:tc>
      </w:tr>
      <w:tr w14:paraId="18A4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6D00F70A">
            <w:pPr>
              <w:widowControl/>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2.8</w:t>
            </w:r>
          </w:p>
        </w:tc>
        <w:tc>
          <w:tcPr>
            <w:tcW w:w="1086" w:type="dxa"/>
            <w:vAlign w:val="center"/>
          </w:tcPr>
          <w:p w14:paraId="59122541">
            <w:pPr>
              <w:jc w:val="center"/>
              <w:rPr>
                <w:rFonts w:ascii="宋体" w:hAnsi="宋体" w:cs="宋体"/>
                <w:bCs/>
                <w:color w:val="auto"/>
                <w:szCs w:val="21"/>
                <w:highlight w:val="none"/>
              </w:rPr>
            </w:pPr>
            <w:r>
              <w:rPr>
                <w:rFonts w:hint="eastAsia" w:ascii="宋体" w:hAnsi="宋体" w:cs="宋体"/>
                <w:bCs/>
                <w:color w:val="auto"/>
                <w:szCs w:val="21"/>
                <w:highlight w:val="none"/>
              </w:rPr>
              <w:t>近期建设计划（满分4分）</w:t>
            </w:r>
          </w:p>
        </w:tc>
        <w:tc>
          <w:tcPr>
            <w:tcW w:w="6951" w:type="dxa"/>
            <w:vAlign w:val="center"/>
          </w:tcPr>
          <w:p w14:paraId="282C1ABD">
            <w:pPr>
              <w:ind w:firstLine="422"/>
              <w:rPr>
                <w:rFonts w:ascii="宋体" w:hAnsi="宋体"/>
                <w:color w:val="auto"/>
                <w:szCs w:val="21"/>
                <w:highlight w:val="none"/>
              </w:rPr>
            </w:pPr>
            <w:r>
              <w:rPr>
                <w:rFonts w:hint="eastAsia" w:ascii="宋体" w:hAnsi="宋体"/>
                <w:color w:val="auto"/>
                <w:szCs w:val="21"/>
                <w:highlight w:val="none"/>
              </w:rPr>
              <w:t>一档（1</w:t>
            </w:r>
            <w:r>
              <w:rPr>
                <w:rFonts w:ascii="宋体" w:hAnsi="宋体"/>
                <w:color w:val="auto"/>
                <w:szCs w:val="21"/>
                <w:highlight w:val="none"/>
              </w:rPr>
              <w:t>分）：</w:t>
            </w:r>
            <w:r>
              <w:rPr>
                <w:rFonts w:hint="eastAsia" w:ascii="宋体" w:hAnsi="宋体"/>
                <w:color w:val="auto"/>
                <w:szCs w:val="21"/>
                <w:highlight w:val="none"/>
              </w:rPr>
              <w:t>有简单的近期</w:t>
            </w:r>
            <w:r>
              <w:rPr>
                <w:rFonts w:ascii="宋体" w:hAnsi="宋体"/>
                <w:color w:val="auto"/>
                <w:szCs w:val="21"/>
                <w:highlight w:val="none"/>
              </w:rPr>
              <w:t>建设</w:t>
            </w:r>
            <w:r>
              <w:rPr>
                <w:rFonts w:hint="eastAsia" w:ascii="宋体" w:hAnsi="宋体"/>
                <w:color w:val="auto"/>
                <w:szCs w:val="21"/>
                <w:highlight w:val="none"/>
              </w:rPr>
              <w:t>计划。</w:t>
            </w:r>
          </w:p>
          <w:p w14:paraId="3F0A7C42">
            <w:pPr>
              <w:ind w:firstLine="422"/>
              <w:rPr>
                <w:rFonts w:ascii="宋体" w:hAnsi="宋体"/>
                <w:color w:val="auto"/>
                <w:szCs w:val="21"/>
                <w:highlight w:val="none"/>
              </w:rPr>
            </w:pPr>
            <w:r>
              <w:rPr>
                <w:rFonts w:hint="eastAsia" w:ascii="宋体" w:hAnsi="宋体"/>
                <w:color w:val="auto"/>
                <w:szCs w:val="21"/>
                <w:highlight w:val="none"/>
              </w:rPr>
              <w:t>二档（2</w:t>
            </w:r>
            <w:r>
              <w:rPr>
                <w:rFonts w:ascii="宋体" w:hAnsi="宋体"/>
                <w:color w:val="auto"/>
                <w:szCs w:val="21"/>
                <w:highlight w:val="none"/>
              </w:rPr>
              <w:t>分）：</w:t>
            </w:r>
            <w:r>
              <w:rPr>
                <w:rFonts w:hint="eastAsia" w:ascii="宋体" w:hAnsi="宋体"/>
                <w:color w:val="auto"/>
                <w:szCs w:val="21"/>
                <w:highlight w:val="none"/>
              </w:rPr>
              <w:t>有较为完整的近期</w:t>
            </w:r>
            <w:r>
              <w:rPr>
                <w:rFonts w:ascii="宋体" w:hAnsi="宋体"/>
                <w:color w:val="auto"/>
                <w:szCs w:val="21"/>
                <w:highlight w:val="none"/>
              </w:rPr>
              <w:t>建设</w:t>
            </w:r>
            <w:r>
              <w:rPr>
                <w:rFonts w:hint="eastAsia" w:ascii="宋体" w:hAnsi="宋体"/>
                <w:color w:val="auto"/>
                <w:szCs w:val="21"/>
                <w:highlight w:val="none"/>
              </w:rPr>
              <w:t>计划</w:t>
            </w:r>
            <w:r>
              <w:rPr>
                <w:rFonts w:ascii="宋体" w:hAnsi="宋体"/>
                <w:color w:val="auto"/>
                <w:szCs w:val="21"/>
                <w:highlight w:val="none"/>
              </w:rPr>
              <w:t>，但部分任务表述简略，具体措施不够明确</w:t>
            </w:r>
            <w:r>
              <w:rPr>
                <w:rFonts w:hint="eastAsia" w:ascii="宋体" w:hAnsi="宋体"/>
                <w:color w:val="auto"/>
                <w:szCs w:val="21"/>
                <w:highlight w:val="none"/>
              </w:rPr>
              <w:t>。</w:t>
            </w:r>
          </w:p>
          <w:p w14:paraId="104DC147">
            <w:pPr>
              <w:ind w:firstLine="422"/>
              <w:rPr>
                <w:rFonts w:ascii="宋体" w:hAnsi="宋体"/>
                <w:color w:val="auto"/>
                <w:szCs w:val="21"/>
                <w:highlight w:val="none"/>
              </w:rPr>
            </w:pPr>
            <w:r>
              <w:rPr>
                <w:rFonts w:hint="eastAsia" w:ascii="宋体" w:hAnsi="宋体"/>
                <w:color w:val="auto"/>
                <w:szCs w:val="21"/>
                <w:highlight w:val="none"/>
              </w:rPr>
              <w:t>三档（4</w:t>
            </w:r>
            <w:r>
              <w:rPr>
                <w:rFonts w:ascii="宋体" w:hAnsi="宋体"/>
                <w:color w:val="auto"/>
                <w:szCs w:val="21"/>
                <w:highlight w:val="none"/>
              </w:rPr>
              <w:t>分）：</w:t>
            </w:r>
            <w:r>
              <w:rPr>
                <w:rFonts w:hint="eastAsia" w:ascii="宋体" w:hAnsi="宋体"/>
                <w:color w:val="auto"/>
                <w:szCs w:val="21"/>
                <w:highlight w:val="none"/>
              </w:rPr>
              <w:t>从</w:t>
            </w:r>
            <w:r>
              <w:rPr>
                <w:rFonts w:ascii="宋体" w:hAnsi="宋体"/>
                <w:color w:val="auto"/>
                <w:szCs w:val="21"/>
                <w:highlight w:val="none"/>
              </w:rPr>
              <w:t>耕地和生态保护、向海战略实施、城乡建设管理等方面提出</w:t>
            </w:r>
            <w:r>
              <w:rPr>
                <w:rFonts w:hint="eastAsia" w:ascii="宋体" w:hAnsi="宋体"/>
                <w:color w:val="auto"/>
                <w:szCs w:val="21"/>
                <w:highlight w:val="none"/>
              </w:rPr>
              <w:t>系统全面的近期</w:t>
            </w:r>
            <w:r>
              <w:rPr>
                <w:rFonts w:ascii="宋体" w:hAnsi="宋体"/>
                <w:color w:val="auto"/>
                <w:szCs w:val="21"/>
                <w:highlight w:val="none"/>
              </w:rPr>
              <w:t>建设</w:t>
            </w:r>
            <w:r>
              <w:rPr>
                <w:rFonts w:hint="eastAsia" w:ascii="宋体" w:hAnsi="宋体"/>
                <w:color w:val="auto"/>
                <w:szCs w:val="21"/>
                <w:highlight w:val="none"/>
              </w:rPr>
              <w:t>计划，</w:t>
            </w:r>
            <w:r>
              <w:rPr>
                <w:rFonts w:ascii="宋体" w:hAnsi="宋体"/>
                <w:color w:val="auto"/>
                <w:szCs w:val="21"/>
                <w:highlight w:val="none"/>
              </w:rPr>
              <w:t>任务明确、措施具体</w:t>
            </w:r>
            <w:r>
              <w:rPr>
                <w:rFonts w:hint="eastAsia" w:ascii="宋体" w:hAnsi="宋体"/>
                <w:color w:val="auto"/>
                <w:szCs w:val="21"/>
                <w:highlight w:val="none"/>
              </w:rPr>
              <w:t>可行</w:t>
            </w:r>
            <w:r>
              <w:rPr>
                <w:rFonts w:ascii="宋体" w:hAnsi="宋体"/>
                <w:color w:val="auto"/>
                <w:szCs w:val="21"/>
                <w:highlight w:val="none"/>
              </w:rPr>
              <w:t>、可操作性强</w:t>
            </w:r>
            <w:r>
              <w:rPr>
                <w:rFonts w:hint="eastAsia" w:ascii="宋体" w:hAnsi="宋体"/>
                <w:color w:val="auto"/>
                <w:szCs w:val="21"/>
                <w:highlight w:val="none"/>
              </w:rPr>
              <w:t>，</w:t>
            </w:r>
            <w:r>
              <w:rPr>
                <w:rFonts w:ascii="宋体" w:hAnsi="宋体"/>
                <w:color w:val="auto"/>
                <w:szCs w:val="21"/>
                <w:highlight w:val="none"/>
              </w:rPr>
              <w:t>符合南宁市发展实际。</w:t>
            </w:r>
          </w:p>
          <w:p w14:paraId="11FC7758">
            <w:pPr>
              <w:pStyle w:val="7"/>
              <w:spacing w:after="0"/>
              <w:ind w:firstLine="420" w:firstLineChars="200"/>
              <w:rPr>
                <w:color w:val="auto"/>
                <w:highlight w:val="none"/>
              </w:rPr>
            </w:pPr>
            <w:r>
              <w:rPr>
                <w:rFonts w:hint="eastAsia"/>
                <w:color w:val="auto"/>
                <w:highlight w:val="none"/>
              </w:rPr>
              <w:t>注：投标文件中未提供本项内容或达不到一档要求的不得分。</w:t>
            </w:r>
          </w:p>
        </w:tc>
        <w:tc>
          <w:tcPr>
            <w:tcW w:w="931" w:type="dxa"/>
            <w:vAlign w:val="center"/>
          </w:tcPr>
          <w:p w14:paraId="1D7B277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0~4分</w:t>
            </w:r>
          </w:p>
        </w:tc>
      </w:tr>
      <w:tr w14:paraId="75A2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03094144">
            <w:pPr>
              <w:widowControl/>
              <w:jc w:val="center"/>
              <w:rPr>
                <w:rFonts w:ascii="宋体" w:hAnsi="宋体" w:cs="宋体"/>
                <w:bCs/>
                <w:color w:val="auto"/>
                <w:kern w:val="0"/>
                <w:szCs w:val="21"/>
                <w:highlight w:val="none"/>
              </w:rPr>
            </w:pPr>
            <w:r>
              <w:rPr>
                <w:rFonts w:ascii="宋体" w:hAnsi="宋体" w:cs="宋体"/>
                <w:bCs/>
                <w:color w:val="auto"/>
                <w:kern w:val="0"/>
                <w:szCs w:val="21"/>
                <w:highlight w:val="none"/>
              </w:rPr>
              <w:t>2.</w:t>
            </w:r>
            <w:r>
              <w:rPr>
                <w:rFonts w:hint="eastAsia" w:ascii="宋体" w:hAnsi="宋体" w:cs="宋体"/>
                <w:bCs/>
                <w:color w:val="auto"/>
                <w:kern w:val="0"/>
                <w:szCs w:val="21"/>
                <w:highlight w:val="none"/>
              </w:rPr>
              <w:t>9</w:t>
            </w:r>
          </w:p>
        </w:tc>
        <w:tc>
          <w:tcPr>
            <w:tcW w:w="1086" w:type="dxa"/>
            <w:vAlign w:val="center"/>
          </w:tcPr>
          <w:p w14:paraId="15197C29">
            <w:pPr>
              <w:jc w:val="center"/>
              <w:rPr>
                <w:rFonts w:ascii="宋体" w:hAnsi="宋体" w:cs="宋体"/>
                <w:bCs/>
                <w:color w:val="auto"/>
                <w:szCs w:val="21"/>
                <w:highlight w:val="none"/>
              </w:rPr>
            </w:pPr>
            <w:r>
              <w:rPr>
                <w:rFonts w:hint="eastAsia" w:ascii="宋体" w:hAnsi="宋体" w:cs="宋体"/>
                <w:bCs/>
                <w:color w:val="auto"/>
                <w:szCs w:val="21"/>
                <w:highlight w:val="none"/>
              </w:rPr>
              <w:t>项目实施方案分（满分3分）</w:t>
            </w:r>
          </w:p>
        </w:tc>
        <w:tc>
          <w:tcPr>
            <w:tcW w:w="6951" w:type="dxa"/>
            <w:vAlign w:val="center"/>
          </w:tcPr>
          <w:p w14:paraId="0DBCFC0E">
            <w:pPr>
              <w:ind w:firstLine="422"/>
              <w:rPr>
                <w:rFonts w:ascii="宋体" w:hAnsi="宋体"/>
                <w:color w:val="auto"/>
                <w:szCs w:val="21"/>
                <w:highlight w:val="none"/>
              </w:rPr>
            </w:pPr>
            <w:bookmarkStart w:id="64" w:name="_Hlk129876826"/>
            <w:r>
              <w:rPr>
                <w:rFonts w:hint="eastAsia" w:ascii="宋体" w:hAnsi="宋体"/>
                <w:color w:val="auto"/>
                <w:szCs w:val="21"/>
                <w:highlight w:val="none"/>
              </w:rPr>
              <w:t>一档（1</w:t>
            </w:r>
            <w:r>
              <w:rPr>
                <w:rFonts w:ascii="宋体" w:hAnsi="宋体"/>
                <w:color w:val="auto"/>
                <w:szCs w:val="21"/>
                <w:highlight w:val="none"/>
              </w:rPr>
              <w:t>分）：投标人能</w:t>
            </w:r>
            <w:r>
              <w:rPr>
                <w:rFonts w:hint="eastAsia" w:ascii="宋体" w:hAnsi="宋体"/>
                <w:color w:val="auto"/>
                <w:szCs w:val="21"/>
                <w:highlight w:val="none"/>
              </w:rPr>
              <w:t>提供</w:t>
            </w:r>
            <w:r>
              <w:rPr>
                <w:rFonts w:ascii="宋体" w:hAnsi="宋体"/>
                <w:color w:val="auto"/>
                <w:szCs w:val="21"/>
                <w:highlight w:val="none"/>
              </w:rPr>
              <w:t>工作安排，投标人有基本的质量管理制度和保密制度。</w:t>
            </w:r>
          </w:p>
          <w:p w14:paraId="261E5052">
            <w:pPr>
              <w:ind w:firstLine="422"/>
              <w:rPr>
                <w:rFonts w:ascii="宋体" w:hAnsi="宋体"/>
                <w:color w:val="auto"/>
                <w:szCs w:val="21"/>
                <w:highlight w:val="none"/>
              </w:rPr>
            </w:pPr>
            <w:r>
              <w:rPr>
                <w:rFonts w:hint="eastAsia" w:ascii="宋体" w:hAnsi="宋体"/>
                <w:color w:val="auto"/>
                <w:szCs w:val="21"/>
                <w:highlight w:val="none"/>
              </w:rPr>
              <w:t>二档（2</w:t>
            </w:r>
            <w:r>
              <w:rPr>
                <w:rFonts w:ascii="宋体" w:hAnsi="宋体"/>
                <w:color w:val="auto"/>
                <w:szCs w:val="21"/>
                <w:highlight w:val="none"/>
              </w:rPr>
              <w:t>分）：投标人能提供</w:t>
            </w:r>
            <w:r>
              <w:rPr>
                <w:rFonts w:hint="eastAsia" w:ascii="宋体" w:hAnsi="宋体"/>
                <w:color w:val="auto"/>
                <w:szCs w:val="21"/>
                <w:highlight w:val="none"/>
              </w:rPr>
              <w:t>简单</w:t>
            </w:r>
            <w:r>
              <w:rPr>
                <w:rFonts w:ascii="宋体" w:hAnsi="宋体"/>
                <w:color w:val="auto"/>
                <w:szCs w:val="21"/>
                <w:highlight w:val="none"/>
              </w:rPr>
              <w:t>各个阶段工作安排，有质量管理制度和措施，有保密管理制度和措施，项目工作计划编排科学合理</w:t>
            </w:r>
            <w:r>
              <w:rPr>
                <w:rFonts w:hint="eastAsia" w:ascii="宋体" w:hAnsi="宋体"/>
                <w:color w:val="auto"/>
                <w:szCs w:val="21"/>
                <w:highlight w:val="none"/>
              </w:rPr>
              <w:t>，</w:t>
            </w:r>
            <w:r>
              <w:rPr>
                <w:rFonts w:ascii="宋体" w:hAnsi="宋体"/>
                <w:color w:val="auto"/>
                <w:szCs w:val="21"/>
                <w:highlight w:val="none"/>
              </w:rPr>
              <w:t>制度较为完善，措施简单可行。</w:t>
            </w:r>
          </w:p>
          <w:p w14:paraId="73FC2C35">
            <w:pPr>
              <w:ind w:firstLine="422"/>
              <w:rPr>
                <w:rFonts w:ascii="宋体" w:hAnsi="宋体"/>
                <w:color w:val="auto"/>
                <w:szCs w:val="21"/>
                <w:highlight w:val="none"/>
              </w:rPr>
            </w:pPr>
            <w:r>
              <w:rPr>
                <w:rFonts w:hint="eastAsia" w:ascii="宋体" w:hAnsi="宋体"/>
                <w:color w:val="auto"/>
                <w:szCs w:val="21"/>
                <w:highlight w:val="none"/>
              </w:rPr>
              <w:t>三档（3</w:t>
            </w:r>
            <w:r>
              <w:rPr>
                <w:rFonts w:ascii="宋体" w:hAnsi="宋体"/>
                <w:color w:val="auto"/>
                <w:szCs w:val="21"/>
                <w:highlight w:val="none"/>
              </w:rPr>
              <w:t>分）：投标人能提供详细的各个阶段工作</w:t>
            </w:r>
            <w:r>
              <w:rPr>
                <w:rFonts w:hint="eastAsia" w:ascii="宋体" w:hAnsi="宋体"/>
                <w:color w:val="auto"/>
                <w:szCs w:val="21"/>
                <w:highlight w:val="none"/>
              </w:rPr>
              <w:t>任务</w:t>
            </w:r>
            <w:r>
              <w:rPr>
                <w:rFonts w:ascii="宋体" w:hAnsi="宋体"/>
                <w:color w:val="auto"/>
                <w:szCs w:val="21"/>
                <w:highlight w:val="none"/>
              </w:rPr>
              <w:t>及各个阶段的时间节点等进度安排</w:t>
            </w:r>
            <w:r>
              <w:rPr>
                <w:rFonts w:hint="eastAsia" w:ascii="宋体" w:hAnsi="宋体"/>
                <w:color w:val="auto"/>
                <w:szCs w:val="21"/>
                <w:highlight w:val="none"/>
              </w:rPr>
              <w:t>，</w:t>
            </w:r>
            <w:r>
              <w:rPr>
                <w:rFonts w:ascii="宋体" w:hAnsi="宋体"/>
                <w:color w:val="auto"/>
                <w:szCs w:val="21"/>
                <w:highlight w:val="none"/>
              </w:rPr>
              <w:t>有具体的质量管理制度和措施，制度完善，措施有效到位；有具体的保密管理制度和措施，制度完善，措施有效到位。</w:t>
            </w:r>
          </w:p>
          <w:bookmarkEnd w:id="64"/>
          <w:p w14:paraId="2C38E5F7">
            <w:pPr>
              <w:pStyle w:val="7"/>
              <w:spacing w:after="0"/>
              <w:ind w:firstLine="420" w:firstLineChars="200"/>
              <w:rPr>
                <w:color w:val="auto"/>
                <w:highlight w:val="none"/>
              </w:rPr>
            </w:pPr>
            <w:r>
              <w:rPr>
                <w:rFonts w:hint="eastAsia"/>
                <w:color w:val="auto"/>
                <w:highlight w:val="none"/>
              </w:rPr>
              <w:t>注：投标文件中未提供本项内容或达不到一档要求的不得分。</w:t>
            </w:r>
          </w:p>
        </w:tc>
        <w:tc>
          <w:tcPr>
            <w:tcW w:w="931" w:type="dxa"/>
            <w:vAlign w:val="center"/>
          </w:tcPr>
          <w:p w14:paraId="1DDB003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0~3分</w:t>
            </w:r>
          </w:p>
        </w:tc>
      </w:tr>
      <w:tr w14:paraId="2FA4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04B35C81">
            <w:pPr>
              <w:widowControl/>
              <w:jc w:val="center"/>
              <w:rPr>
                <w:rFonts w:ascii="宋体" w:cs="宋体"/>
                <w:color w:val="auto"/>
                <w:kern w:val="0"/>
                <w:szCs w:val="21"/>
                <w:highlight w:val="none"/>
              </w:rPr>
            </w:pPr>
            <w:r>
              <w:rPr>
                <w:rFonts w:ascii="宋体" w:hAnsi="宋体" w:cs="宋体"/>
                <w:color w:val="auto"/>
                <w:kern w:val="0"/>
                <w:szCs w:val="21"/>
                <w:highlight w:val="none"/>
              </w:rPr>
              <w:t>3</w:t>
            </w:r>
          </w:p>
        </w:tc>
        <w:tc>
          <w:tcPr>
            <w:tcW w:w="1086" w:type="dxa"/>
            <w:vAlign w:val="center"/>
          </w:tcPr>
          <w:p w14:paraId="6FF06D98">
            <w:pPr>
              <w:widowControl/>
              <w:jc w:val="center"/>
              <w:rPr>
                <w:rFonts w:ascii="宋体" w:cs="宋体"/>
                <w:bCs/>
                <w:color w:val="auto"/>
                <w:szCs w:val="21"/>
                <w:highlight w:val="none"/>
              </w:rPr>
            </w:pPr>
            <w:r>
              <w:rPr>
                <w:rFonts w:hint="eastAsia" w:ascii="宋体" w:hAnsi="宋体" w:cs="宋体"/>
                <w:bCs/>
                <w:color w:val="auto"/>
                <w:szCs w:val="21"/>
                <w:highlight w:val="none"/>
              </w:rPr>
              <w:t>商务分</w:t>
            </w:r>
          </w:p>
        </w:tc>
        <w:tc>
          <w:tcPr>
            <w:tcW w:w="6951" w:type="dxa"/>
            <w:vAlign w:val="center"/>
          </w:tcPr>
          <w:p w14:paraId="75A94AEA">
            <w:pPr>
              <w:widowControl/>
              <w:jc w:val="center"/>
              <w:rPr>
                <w:rFonts w:ascii="宋体" w:cs="宋体"/>
                <w:color w:val="auto"/>
                <w:kern w:val="0"/>
                <w:szCs w:val="21"/>
                <w:highlight w:val="none"/>
              </w:rPr>
            </w:pPr>
            <w:r>
              <w:rPr>
                <w:rFonts w:hint="eastAsia" w:ascii="宋体" w:hAnsi="宋体" w:cs="宋体"/>
                <w:color w:val="auto"/>
                <w:kern w:val="0"/>
                <w:szCs w:val="21"/>
                <w:highlight w:val="none"/>
              </w:rPr>
              <w:t>评审因素</w:t>
            </w:r>
          </w:p>
        </w:tc>
        <w:tc>
          <w:tcPr>
            <w:tcW w:w="931" w:type="dxa"/>
            <w:vAlign w:val="center"/>
          </w:tcPr>
          <w:p w14:paraId="7AABE605">
            <w:pPr>
              <w:widowControl/>
              <w:jc w:val="center"/>
              <w:rPr>
                <w:rFonts w:ascii="宋体" w:cs="宋体"/>
                <w:color w:val="auto"/>
                <w:kern w:val="0"/>
                <w:szCs w:val="21"/>
                <w:highlight w:val="none"/>
              </w:rPr>
            </w:pPr>
            <w:r>
              <w:rPr>
                <w:rFonts w:hint="eastAsia" w:ascii="宋体" w:hAnsi="宋体" w:cs="宋体"/>
                <w:color w:val="auto"/>
                <w:kern w:val="0"/>
                <w:szCs w:val="21"/>
                <w:highlight w:val="none"/>
              </w:rPr>
              <w:t>0~40分</w:t>
            </w:r>
          </w:p>
        </w:tc>
      </w:tr>
      <w:tr w14:paraId="4773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Align w:val="center"/>
          </w:tcPr>
          <w:p w14:paraId="4C4973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086" w:type="dxa"/>
            <w:vAlign w:val="center"/>
          </w:tcPr>
          <w:p w14:paraId="38DF51BB">
            <w:pPr>
              <w:jc w:val="center"/>
              <w:rPr>
                <w:rFonts w:ascii="宋体" w:cs="宋体"/>
                <w:bCs/>
                <w:color w:val="auto"/>
                <w:szCs w:val="21"/>
                <w:highlight w:val="none"/>
              </w:rPr>
            </w:pPr>
            <w:r>
              <w:rPr>
                <w:rFonts w:hint="eastAsia" w:ascii="宋体" w:cs="宋体"/>
                <w:bCs/>
                <w:color w:val="auto"/>
                <w:szCs w:val="21"/>
                <w:highlight w:val="none"/>
              </w:rPr>
              <w:t>拟投入人员（满分10分）</w:t>
            </w:r>
          </w:p>
        </w:tc>
        <w:tc>
          <w:tcPr>
            <w:tcW w:w="6951" w:type="dxa"/>
          </w:tcPr>
          <w:p w14:paraId="6A4F40EF">
            <w:pPr>
              <w:ind w:firstLine="420" w:firstLineChars="200"/>
              <w:jc w:val="left"/>
              <w:rPr>
                <w:color w:val="auto"/>
                <w:highlight w:val="none"/>
              </w:rPr>
            </w:pPr>
            <w:r>
              <w:rPr>
                <w:rFonts w:hint="eastAsia"/>
                <w:color w:val="auto"/>
                <w:highlight w:val="none"/>
              </w:rPr>
              <w:t>①项目负责人：具有正高级（包含享受教授、研究员待遇的高级）城乡（市）规划专业职称且有注册城乡规划师的得5分</w:t>
            </w:r>
            <w:r>
              <w:rPr>
                <w:rFonts w:hint="eastAsia"/>
                <w:color w:val="auto"/>
                <w:highlight w:val="none"/>
                <w:lang w:eastAsia="zh-CN"/>
              </w:rPr>
              <w:t>；</w:t>
            </w:r>
            <w:r>
              <w:rPr>
                <w:rFonts w:hint="eastAsia"/>
                <w:color w:val="auto"/>
                <w:highlight w:val="none"/>
              </w:rPr>
              <w:t>具有</w:t>
            </w:r>
            <w:r>
              <w:rPr>
                <w:rFonts w:hint="eastAsia"/>
                <w:color w:val="auto"/>
                <w:highlight w:val="none"/>
                <w:lang w:val="en-US" w:eastAsia="zh-CN"/>
              </w:rPr>
              <w:t>副</w:t>
            </w:r>
            <w:r>
              <w:rPr>
                <w:rFonts w:hint="eastAsia"/>
                <w:color w:val="auto"/>
                <w:highlight w:val="none"/>
              </w:rPr>
              <w:t>高级（包含享受</w:t>
            </w:r>
            <w:r>
              <w:rPr>
                <w:rFonts w:hint="eastAsia"/>
                <w:color w:val="auto"/>
                <w:highlight w:val="none"/>
                <w:lang w:val="en-US" w:eastAsia="zh-CN"/>
              </w:rPr>
              <w:t>副</w:t>
            </w:r>
            <w:r>
              <w:rPr>
                <w:rFonts w:hint="eastAsia"/>
                <w:color w:val="auto"/>
                <w:highlight w:val="none"/>
              </w:rPr>
              <w:t>教授、</w:t>
            </w:r>
            <w:r>
              <w:rPr>
                <w:rFonts w:hint="eastAsia"/>
                <w:color w:val="auto"/>
                <w:highlight w:val="none"/>
                <w:lang w:val="en-US" w:eastAsia="zh-CN"/>
              </w:rPr>
              <w:t>副</w:t>
            </w:r>
            <w:r>
              <w:rPr>
                <w:rFonts w:hint="eastAsia"/>
                <w:color w:val="auto"/>
                <w:highlight w:val="none"/>
              </w:rPr>
              <w:t>研究员待遇的</w:t>
            </w:r>
            <w:r>
              <w:rPr>
                <w:rFonts w:hint="eastAsia"/>
                <w:color w:val="auto"/>
                <w:highlight w:val="none"/>
                <w:lang w:val="en-US" w:eastAsia="zh-CN"/>
              </w:rPr>
              <w:t>副</w:t>
            </w:r>
            <w:r>
              <w:rPr>
                <w:rFonts w:hint="eastAsia"/>
                <w:color w:val="auto"/>
                <w:highlight w:val="none"/>
              </w:rPr>
              <w:t>高级）城乡（市）规划专业职称且有注册城乡规划师的得</w:t>
            </w:r>
            <w:r>
              <w:rPr>
                <w:rFonts w:hint="eastAsia"/>
                <w:color w:val="auto"/>
                <w:highlight w:val="none"/>
                <w:lang w:val="en-US" w:eastAsia="zh-CN"/>
              </w:rPr>
              <w:t>2</w:t>
            </w:r>
            <w:r>
              <w:rPr>
                <w:rFonts w:hint="eastAsia"/>
                <w:color w:val="auto"/>
                <w:highlight w:val="none"/>
              </w:rPr>
              <w:t>分。本项满分5分。</w:t>
            </w:r>
          </w:p>
          <w:p w14:paraId="7D7AEE08">
            <w:pPr>
              <w:ind w:firstLine="420" w:firstLineChars="200"/>
              <w:jc w:val="left"/>
              <w:rPr>
                <w:color w:val="auto"/>
                <w:highlight w:val="none"/>
              </w:rPr>
            </w:pPr>
            <w:r>
              <w:rPr>
                <w:rFonts w:hint="eastAsia"/>
                <w:color w:val="auto"/>
                <w:highlight w:val="none"/>
              </w:rPr>
              <w:t>②除项目负责人外，项目组成员每增加1名正高级（包含享受教授、研究员待遇的高级）规划类相关专业职称的得1分，每增加1名</w:t>
            </w:r>
            <w:r>
              <w:rPr>
                <w:rFonts w:hint="eastAsia"/>
                <w:color w:val="auto"/>
                <w:highlight w:val="none"/>
                <w:lang w:val="en-US" w:eastAsia="zh-CN"/>
              </w:rPr>
              <w:t>副</w:t>
            </w:r>
            <w:r>
              <w:rPr>
                <w:rFonts w:hint="eastAsia"/>
                <w:color w:val="auto"/>
                <w:highlight w:val="none"/>
              </w:rPr>
              <w:t>高级（包含享受</w:t>
            </w:r>
            <w:r>
              <w:rPr>
                <w:rFonts w:hint="eastAsia"/>
                <w:color w:val="auto"/>
                <w:highlight w:val="none"/>
                <w:lang w:val="en-US" w:eastAsia="zh-CN"/>
              </w:rPr>
              <w:t>副</w:t>
            </w:r>
            <w:r>
              <w:rPr>
                <w:rFonts w:hint="eastAsia"/>
                <w:color w:val="auto"/>
                <w:highlight w:val="none"/>
              </w:rPr>
              <w:t>教授、</w:t>
            </w:r>
            <w:r>
              <w:rPr>
                <w:rFonts w:hint="eastAsia"/>
                <w:color w:val="auto"/>
                <w:highlight w:val="none"/>
                <w:lang w:val="en-US" w:eastAsia="zh-CN"/>
              </w:rPr>
              <w:t>副</w:t>
            </w:r>
            <w:r>
              <w:rPr>
                <w:rFonts w:hint="eastAsia"/>
                <w:color w:val="auto"/>
                <w:highlight w:val="none"/>
              </w:rPr>
              <w:t>研究员待遇的</w:t>
            </w:r>
            <w:r>
              <w:rPr>
                <w:rFonts w:hint="eastAsia"/>
                <w:color w:val="auto"/>
                <w:highlight w:val="none"/>
                <w:lang w:val="en-US" w:eastAsia="zh-CN"/>
              </w:rPr>
              <w:t>副</w:t>
            </w:r>
            <w:r>
              <w:rPr>
                <w:rFonts w:hint="eastAsia"/>
                <w:color w:val="auto"/>
                <w:highlight w:val="none"/>
              </w:rPr>
              <w:t>高级）规划类相关专业职称的得</w:t>
            </w:r>
            <w:r>
              <w:rPr>
                <w:rFonts w:hint="eastAsia"/>
                <w:color w:val="auto"/>
                <w:highlight w:val="none"/>
                <w:lang w:val="en-US" w:eastAsia="zh-CN"/>
              </w:rPr>
              <w:t>0.5</w:t>
            </w:r>
            <w:r>
              <w:rPr>
                <w:rFonts w:hint="eastAsia"/>
                <w:color w:val="auto"/>
                <w:highlight w:val="none"/>
              </w:rPr>
              <w:t>分</w:t>
            </w:r>
            <w:r>
              <w:rPr>
                <w:rFonts w:hint="eastAsia"/>
                <w:color w:val="auto"/>
                <w:highlight w:val="none"/>
                <w:lang w:eastAsia="zh-CN"/>
              </w:rPr>
              <w:t>，</w:t>
            </w:r>
            <w:r>
              <w:rPr>
                <w:rFonts w:hint="eastAsia"/>
                <w:color w:val="auto"/>
                <w:highlight w:val="none"/>
              </w:rPr>
              <w:t>每增加1名</w:t>
            </w:r>
            <w:r>
              <w:rPr>
                <w:rFonts w:hint="eastAsia"/>
                <w:color w:val="auto"/>
                <w:highlight w:val="none"/>
                <w:lang w:val="en-US" w:eastAsia="zh-CN"/>
              </w:rPr>
              <w:t>中级</w:t>
            </w:r>
            <w:r>
              <w:rPr>
                <w:rFonts w:hint="eastAsia"/>
                <w:color w:val="auto"/>
                <w:highlight w:val="none"/>
              </w:rPr>
              <w:t>（包含享受</w:t>
            </w:r>
            <w:r>
              <w:rPr>
                <w:rFonts w:hint="eastAsia"/>
                <w:color w:val="auto"/>
                <w:highlight w:val="none"/>
                <w:lang w:val="en-US" w:eastAsia="zh-CN"/>
              </w:rPr>
              <w:t>讲师</w:t>
            </w:r>
            <w:r>
              <w:rPr>
                <w:rFonts w:hint="eastAsia"/>
                <w:color w:val="auto"/>
                <w:highlight w:val="none"/>
              </w:rPr>
              <w:t>、助理研究员待遇</w:t>
            </w:r>
            <w:r>
              <w:rPr>
                <w:rFonts w:hint="eastAsia"/>
                <w:color w:val="auto"/>
                <w:highlight w:val="none"/>
                <w:lang w:eastAsia="zh-CN"/>
              </w:rPr>
              <w:t>的</w:t>
            </w:r>
            <w:r>
              <w:rPr>
                <w:rFonts w:hint="eastAsia"/>
                <w:color w:val="auto"/>
                <w:highlight w:val="none"/>
                <w:lang w:val="en-US" w:eastAsia="zh-CN"/>
              </w:rPr>
              <w:t>中级</w:t>
            </w:r>
            <w:r>
              <w:rPr>
                <w:rFonts w:hint="eastAsia"/>
                <w:color w:val="auto"/>
                <w:highlight w:val="none"/>
              </w:rPr>
              <w:t>）规划类相关专业职称的得</w:t>
            </w:r>
            <w:r>
              <w:rPr>
                <w:rFonts w:hint="eastAsia"/>
                <w:color w:val="auto"/>
                <w:highlight w:val="none"/>
                <w:lang w:val="en-US" w:eastAsia="zh-CN"/>
              </w:rPr>
              <w:t>0.2</w:t>
            </w:r>
            <w:r>
              <w:rPr>
                <w:rFonts w:hint="eastAsia"/>
                <w:color w:val="auto"/>
                <w:highlight w:val="none"/>
              </w:rPr>
              <w:t>分</w:t>
            </w:r>
            <w:r>
              <w:rPr>
                <w:rFonts w:hint="eastAsia"/>
                <w:color w:val="auto"/>
                <w:highlight w:val="none"/>
                <w:lang w:eastAsia="zh-CN"/>
              </w:rPr>
              <w:t>，</w:t>
            </w:r>
            <w:r>
              <w:rPr>
                <w:rFonts w:hint="eastAsia"/>
                <w:color w:val="auto"/>
                <w:highlight w:val="none"/>
              </w:rPr>
              <w:t>最高得5分。</w:t>
            </w:r>
          </w:p>
          <w:p w14:paraId="700AA79B">
            <w:pPr>
              <w:ind w:firstLine="420" w:firstLineChars="200"/>
              <w:jc w:val="left"/>
              <w:rPr>
                <w:color w:val="auto"/>
                <w:highlight w:val="none"/>
              </w:rPr>
            </w:pPr>
            <w:r>
              <w:rPr>
                <w:rFonts w:hint="eastAsia"/>
                <w:color w:val="auto"/>
                <w:highlight w:val="none"/>
              </w:rPr>
              <w:t>注：相关技术人员须为供应商在岗在职的人员，须具备规划类相关专业（规划类相关专业指：城乡（市）规划、城市交通、市政给水排水等），以其“职称证书”载明的专业或“资格证书”载明的专业为准。在投标文件中提供实施人员职称证书扫描件、人员在职在岗证明材料扫描件（如：与投标人签订的劳动合同或投标人为其缴纳的投标截止之日前半年内投标人任意1个月社保证明）并加盖公章。</w:t>
            </w:r>
          </w:p>
        </w:tc>
        <w:tc>
          <w:tcPr>
            <w:tcW w:w="931" w:type="dxa"/>
            <w:vAlign w:val="center"/>
          </w:tcPr>
          <w:p w14:paraId="63CCEB81">
            <w:pPr>
              <w:widowControl/>
              <w:jc w:val="center"/>
              <w:rPr>
                <w:rFonts w:ascii="宋体" w:cs="宋体"/>
                <w:color w:val="auto"/>
                <w:kern w:val="0"/>
                <w:szCs w:val="21"/>
                <w:highlight w:val="none"/>
              </w:rPr>
            </w:pPr>
            <w:r>
              <w:rPr>
                <w:rFonts w:hint="eastAsia" w:ascii="宋体" w:cs="宋体"/>
                <w:color w:val="auto"/>
                <w:kern w:val="0"/>
                <w:szCs w:val="21"/>
                <w:highlight w:val="none"/>
              </w:rPr>
              <w:t>0~10分</w:t>
            </w:r>
          </w:p>
        </w:tc>
      </w:tr>
      <w:tr w14:paraId="710D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Align w:val="center"/>
          </w:tcPr>
          <w:p w14:paraId="38E76EDB">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2</w:t>
            </w:r>
          </w:p>
        </w:tc>
        <w:tc>
          <w:tcPr>
            <w:tcW w:w="1086" w:type="dxa"/>
            <w:vAlign w:val="center"/>
          </w:tcPr>
          <w:p w14:paraId="21948946">
            <w:pPr>
              <w:jc w:val="center"/>
              <w:rPr>
                <w:rFonts w:ascii="宋体" w:cs="宋体"/>
                <w:bCs/>
                <w:color w:val="auto"/>
                <w:szCs w:val="21"/>
                <w:highlight w:val="none"/>
              </w:rPr>
            </w:pPr>
            <w:r>
              <w:rPr>
                <w:rFonts w:hint="eastAsia" w:ascii="宋体" w:cs="宋体"/>
                <w:bCs/>
                <w:color w:val="auto"/>
                <w:szCs w:val="21"/>
                <w:highlight w:val="none"/>
              </w:rPr>
              <w:t>项目业绩（满分30分）</w:t>
            </w:r>
          </w:p>
        </w:tc>
        <w:tc>
          <w:tcPr>
            <w:tcW w:w="6951" w:type="dxa"/>
          </w:tcPr>
          <w:p w14:paraId="2338632B">
            <w:pPr>
              <w:ind w:firstLine="420" w:firstLineChars="200"/>
              <w:jc w:val="left"/>
              <w:rPr>
                <w:color w:val="auto"/>
                <w:highlight w:val="none"/>
              </w:rPr>
            </w:pPr>
            <w:r>
              <w:rPr>
                <w:rFonts w:hint="eastAsia"/>
                <w:color w:val="auto"/>
                <w:highlight w:val="none"/>
              </w:rPr>
              <w:t>2023年1月1日以来（以合同签订时间为准），供应商承接过同类项目（如城市体检、国土空间总体规划城镇开发边界统筹优化方案等项目）的每项加3分。本项最多</w:t>
            </w:r>
            <w:r>
              <w:rPr>
                <w:rFonts w:hint="eastAsia"/>
                <w:color w:val="auto"/>
                <w:highlight w:val="none"/>
                <w:lang w:val="en-US" w:eastAsia="zh-CN"/>
              </w:rPr>
              <w:t>30</w:t>
            </w:r>
            <w:r>
              <w:rPr>
                <w:rFonts w:hint="eastAsia"/>
                <w:color w:val="auto"/>
                <w:highlight w:val="none"/>
              </w:rPr>
              <w:t>分，同一业绩不重复计分（提供合同封面页及盖章页或中标通知书的扫描件并加盖公章）。</w:t>
            </w:r>
          </w:p>
        </w:tc>
        <w:tc>
          <w:tcPr>
            <w:tcW w:w="931" w:type="dxa"/>
            <w:vAlign w:val="center"/>
          </w:tcPr>
          <w:p w14:paraId="4541314D">
            <w:pPr>
              <w:widowControl/>
              <w:jc w:val="center"/>
              <w:rPr>
                <w:rFonts w:ascii="宋体" w:cs="宋体"/>
                <w:color w:val="auto"/>
                <w:kern w:val="0"/>
                <w:szCs w:val="21"/>
                <w:highlight w:val="none"/>
              </w:rPr>
            </w:pPr>
            <w:r>
              <w:rPr>
                <w:rFonts w:hint="eastAsia" w:ascii="宋体" w:cs="宋体"/>
                <w:color w:val="auto"/>
                <w:kern w:val="0"/>
                <w:szCs w:val="21"/>
                <w:highlight w:val="none"/>
              </w:rPr>
              <w:t>0~30分</w:t>
            </w:r>
          </w:p>
        </w:tc>
      </w:tr>
      <w:tr w14:paraId="1838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89" w:type="dxa"/>
            <w:gridSpan w:val="3"/>
          </w:tcPr>
          <w:p w14:paraId="23302090">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总得分＝</w:t>
            </w:r>
            <w:r>
              <w:rPr>
                <w:rFonts w:ascii="宋体" w:hAnsi="宋体" w:cs="宋体"/>
                <w:bCs/>
                <w:color w:val="auto"/>
                <w:szCs w:val="21"/>
                <w:highlight w:val="none"/>
              </w:rPr>
              <w:t>1</w:t>
            </w:r>
            <w:r>
              <w:rPr>
                <w:rFonts w:hint="eastAsia" w:ascii="宋体" w:hAnsi="宋体" w:cs="宋体"/>
                <w:bCs/>
                <w:color w:val="auto"/>
                <w:szCs w:val="21"/>
                <w:highlight w:val="none"/>
              </w:rPr>
              <w:t>＋</w:t>
            </w:r>
            <w:r>
              <w:rPr>
                <w:rFonts w:ascii="宋体" w:hAnsi="宋体" w:cs="宋体"/>
                <w:bCs/>
                <w:color w:val="auto"/>
                <w:szCs w:val="21"/>
                <w:highlight w:val="none"/>
              </w:rPr>
              <w:t>2</w:t>
            </w:r>
            <w:r>
              <w:rPr>
                <w:rFonts w:hint="eastAsia" w:ascii="宋体" w:hAnsi="宋体" w:cs="宋体"/>
                <w:bCs/>
                <w:color w:val="auto"/>
                <w:szCs w:val="21"/>
                <w:highlight w:val="none"/>
              </w:rPr>
              <w:t>＋</w:t>
            </w:r>
            <w:r>
              <w:rPr>
                <w:rFonts w:ascii="宋体" w:hAnsi="宋体" w:cs="宋体"/>
                <w:bCs/>
                <w:color w:val="auto"/>
                <w:szCs w:val="21"/>
                <w:highlight w:val="none"/>
              </w:rPr>
              <w:t>3</w:t>
            </w:r>
          </w:p>
        </w:tc>
        <w:tc>
          <w:tcPr>
            <w:tcW w:w="931" w:type="dxa"/>
            <w:vAlign w:val="center"/>
          </w:tcPr>
          <w:p w14:paraId="085DF97A">
            <w:pPr>
              <w:widowControl/>
              <w:jc w:val="center"/>
              <w:rPr>
                <w:rFonts w:ascii="宋体" w:cs="宋体"/>
                <w:color w:val="auto"/>
                <w:kern w:val="0"/>
                <w:szCs w:val="21"/>
                <w:highlight w:val="none"/>
              </w:rPr>
            </w:pPr>
          </w:p>
        </w:tc>
      </w:tr>
    </w:tbl>
    <w:p w14:paraId="464F4AAC">
      <w:pPr>
        <w:rPr>
          <w:color w:val="auto"/>
          <w:highlight w:val="none"/>
        </w:rPr>
      </w:pPr>
    </w:p>
    <w:p w14:paraId="6AF08265">
      <w:pPr>
        <w:pStyle w:val="2"/>
        <w:spacing w:before="0" w:after="0" w:line="360" w:lineRule="auto"/>
        <w:ind w:firstLine="602" w:firstLineChars="200"/>
        <w:jc w:val="center"/>
        <w:rPr>
          <w:b w:val="0"/>
          <w:color w:val="auto"/>
          <w:sz w:val="30"/>
          <w:szCs w:val="30"/>
          <w:highlight w:val="none"/>
        </w:rPr>
      </w:pPr>
      <w:bookmarkStart w:id="65" w:name="_Toc20306"/>
      <w:bookmarkStart w:id="66" w:name="_Toc23510"/>
      <w:bookmarkStart w:id="67" w:name="_Toc5424"/>
      <w:r>
        <w:rPr>
          <w:rFonts w:hint="eastAsia"/>
          <w:color w:val="auto"/>
          <w:sz w:val="30"/>
          <w:szCs w:val="30"/>
          <w:highlight w:val="none"/>
        </w:rPr>
        <w:t>第四节 中标候选人推荐原则</w:t>
      </w:r>
      <w:bookmarkEnd w:id="65"/>
      <w:bookmarkEnd w:id="66"/>
      <w:bookmarkEnd w:id="67"/>
    </w:p>
    <w:p w14:paraId="27C75BB2">
      <w:pPr>
        <w:pStyle w:val="10"/>
        <w:numPr>
          <w:ilvl w:val="0"/>
          <w:numId w:val="2"/>
        </w:numPr>
        <w:spacing w:line="360" w:lineRule="auto"/>
        <w:contextualSpacing/>
        <w:rPr>
          <w:rFonts w:hAnsi="宋体"/>
          <w:b/>
          <w:bCs/>
          <w:color w:val="auto"/>
          <w:sz w:val="24"/>
          <w:szCs w:val="24"/>
          <w:highlight w:val="none"/>
        </w:rPr>
      </w:pPr>
      <w:r>
        <w:rPr>
          <w:rFonts w:hint="eastAsia" w:hAnsi="宋体"/>
          <w:b/>
          <w:bCs/>
          <w:color w:val="auto"/>
          <w:sz w:val="24"/>
          <w:szCs w:val="24"/>
          <w:highlight w:val="none"/>
        </w:rPr>
        <w:t>综合评分法</w:t>
      </w:r>
    </w:p>
    <w:p w14:paraId="26159102">
      <w:pPr>
        <w:spacing w:line="360" w:lineRule="auto"/>
        <w:ind w:firstLine="420" w:firstLineChars="200"/>
        <w:rPr>
          <w:rFonts w:ascii="宋体" w:hAnsi="宋体"/>
          <w:color w:val="auto"/>
          <w:szCs w:val="20"/>
          <w:highlight w:val="none"/>
        </w:rPr>
      </w:pPr>
      <w:r>
        <w:rPr>
          <w:rFonts w:hint="eastAsia" w:ascii="宋体" w:hAnsi="宋体"/>
          <w:color w:val="auto"/>
          <w:szCs w:val="20"/>
          <w:highlight w:val="none"/>
        </w:rPr>
        <w:t>评标委员会将按总得分由高到低排列中标候选供应商顺序。总得分相同时，依次按投标报价低优先、技术分高优先、质量保证期长优先、提交服务成果时间短优先、处理问题到达时间短优先的顺序排列，并依照次序确定中标候选人。</w:t>
      </w:r>
    </w:p>
    <w:p w14:paraId="2468CF4C">
      <w:pPr>
        <w:spacing w:line="360" w:lineRule="auto"/>
        <w:ind w:firstLine="420" w:firstLineChars="200"/>
        <w:rPr>
          <w:rFonts w:ascii="宋体" w:hAnsi="宋体"/>
          <w:color w:val="auto"/>
          <w:szCs w:val="20"/>
          <w:highlight w:val="none"/>
        </w:rPr>
      </w:pPr>
    </w:p>
    <w:p w14:paraId="63E55AB8">
      <w:pPr>
        <w:pStyle w:val="2"/>
        <w:spacing w:before="0" w:after="0" w:line="360" w:lineRule="auto"/>
        <w:ind w:firstLine="600" w:firstLineChars="200"/>
        <w:jc w:val="center"/>
        <w:rPr>
          <w:b w:val="0"/>
          <w:color w:val="auto"/>
          <w:sz w:val="30"/>
          <w:szCs w:val="30"/>
          <w:highlight w:val="none"/>
        </w:rPr>
      </w:pPr>
      <w:bookmarkStart w:id="68" w:name="_Toc30503"/>
      <w:bookmarkStart w:id="69" w:name="_Toc21619"/>
      <w:bookmarkStart w:id="70" w:name="_Toc26112"/>
      <w:r>
        <w:rPr>
          <w:rFonts w:hint="eastAsia"/>
          <w:b w:val="0"/>
          <w:color w:val="auto"/>
          <w:sz w:val="30"/>
          <w:szCs w:val="30"/>
          <w:highlight w:val="none"/>
        </w:rPr>
        <w:t>第五节 评标报告</w:t>
      </w:r>
      <w:bookmarkEnd w:id="68"/>
      <w:bookmarkEnd w:id="69"/>
      <w:bookmarkEnd w:id="70"/>
    </w:p>
    <w:p w14:paraId="70D622F3">
      <w:pPr>
        <w:pStyle w:val="25"/>
        <w:spacing w:before="0"/>
        <w:ind w:firstLine="482"/>
        <w:rPr>
          <w:rFonts w:ascii="宋体" w:hAnsi="宋体"/>
          <w:b/>
          <w:bCs/>
          <w:color w:val="auto"/>
          <w:szCs w:val="24"/>
          <w:highlight w:val="none"/>
        </w:rPr>
      </w:pPr>
      <w:r>
        <w:rPr>
          <w:rFonts w:hint="eastAsia" w:ascii="宋体" w:hAnsi="宋体"/>
          <w:b/>
          <w:bCs/>
          <w:color w:val="auto"/>
          <w:szCs w:val="24"/>
          <w:highlight w:val="none"/>
        </w:rPr>
        <w:t>（一）评标报告与推荐中标候选人</w:t>
      </w:r>
    </w:p>
    <w:p w14:paraId="6207C9DF">
      <w:pPr>
        <w:pStyle w:val="10"/>
        <w:tabs>
          <w:tab w:val="left" w:pos="2472"/>
        </w:tabs>
        <w:spacing w:line="360" w:lineRule="auto"/>
        <w:ind w:firstLine="420" w:firstLineChars="200"/>
        <w:rPr>
          <w:rFonts w:hAnsi="宋体"/>
          <w:color w:val="auto"/>
          <w:highlight w:val="none"/>
        </w:rPr>
      </w:pPr>
      <w:r>
        <w:rPr>
          <w:rFonts w:hint="eastAsia" w:hAnsi="宋体"/>
          <w:color w:val="auto"/>
          <w:highlight w:val="none"/>
        </w:rPr>
        <w:t>评标委员会根据原始评标记录和评标结果编写评标报告，并通过电子交易平台向采购人、采购代理机构提交。</w:t>
      </w:r>
    </w:p>
    <w:p w14:paraId="5FD86B1E">
      <w:pPr>
        <w:widowControl/>
        <w:spacing w:line="360" w:lineRule="auto"/>
        <w:ind w:firstLine="482" w:firstLineChars="200"/>
        <w:jc w:val="left"/>
        <w:rPr>
          <w:rFonts w:ascii="宋体" w:hAnsi="宋体"/>
          <w:b/>
          <w:bCs/>
          <w:color w:val="auto"/>
          <w:sz w:val="24"/>
          <w:highlight w:val="none"/>
        </w:rPr>
      </w:pPr>
      <w:r>
        <w:rPr>
          <w:rFonts w:hint="eastAsia" w:ascii="宋体" w:hAnsi="宋体"/>
          <w:b/>
          <w:bCs/>
          <w:color w:val="auto"/>
          <w:sz w:val="24"/>
          <w:highlight w:val="none"/>
        </w:rPr>
        <w:t>（二）评标争议事项处理</w:t>
      </w:r>
    </w:p>
    <w:p w14:paraId="0C924873">
      <w:pPr>
        <w:pStyle w:val="10"/>
        <w:tabs>
          <w:tab w:val="left" w:pos="2472"/>
        </w:tabs>
        <w:spacing w:line="360" w:lineRule="auto"/>
        <w:ind w:firstLine="420" w:firstLineChars="200"/>
        <w:rPr>
          <w:rFonts w:ascii="Times New Roman" w:hAnsi="Times New Roman"/>
          <w:b/>
          <w:color w:val="auto"/>
          <w:sz w:val="36"/>
          <w:highlight w:val="none"/>
        </w:rPr>
      </w:pPr>
      <w:r>
        <w:rPr>
          <w:rFonts w:hint="eastAsia" w:hAnsi="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2F2227E">
      <w:pPr>
        <w:pStyle w:val="10"/>
        <w:tabs>
          <w:tab w:val="left" w:pos="2472"/>
        </w:tabs>
        <w:spacing w:line="460" w:lineRule="exact"/>
        <w:jc w:val="center"/>
        <w:rPr>
          <w:rFonts w:ascii="Times New Roman" w:hAnsi="Times New Roman"/>
          <w:b/>
          <w:color w:val="auto"/>
          <w:sz w:val="36"/>
          <w:highlight w:val="none"/>
        </w:rPr>
      </w:pPr>
      <w:r>
        <w:rPr>
          <w:rFonts w:ascii="Times New Roman" w:hAnsi="Times New Roman"/>
          <w:b/>
          <w:color w:val="auto"/>
          <w:sz w:val="36"/>
          <w:highlight w:val="none"/>
        </w:rPr>
        <w:br w:type="page"/>
      </w:r>
    </w:p>
    <w:p w14:paraId="7E2216E2">
      <w:pPr>
        <w:pStyle w:val="10"/>
        <w:tabs>
          <w:tab w:val="left" w:pos="2472"/>
        </w:tabs>
        <w:spacing w:line="460" w:lineRule="exact"/>
        <w:jc w:val="center"/>
        <w:outlineLvl w:val="0"/>
        <w:rPr>
          <w:rFonts w:ascii="Times New Roman" w:hAnsi="Times New Roman"/>
          <w:b/>
          <w:color w:val="auto"/>
          <w:sz w:val="36"/>
          <w:highlight w:val="none"/>
        </w:rPr>
      </w:pPr>
      <w:bookmarkStart w:id="71" w:name="_Toc12678"/>
      <w:r>
        <w:rPr>
          <w:rFonts w:hint="eastAsia" w:ascii="Times New Roman" w:hAnsi="Times New Roman"/>
          <w:b/>
          <w:color w:val="auto"/>
          <w:sz w:val="36"/>
          <w:highlight w:val="none"/>
        </w:rPr>
        <w:t>第五章 拟签订的合同文本</w:t>
      </w:r>
      <w:bookmarkEnd w:id="71"/>
    </w:p>
    <w:p w14:paraId="14E146DA">
      <w:pPr>
        <w:spacing w:line="360" w:lineRule="auto"/>
        <w:rPr>
          <w:rFonts w:hint="eastAsia" w:ascii="仿宋_GB2312" w:hAnsi="楷体" w:eastAsia="仿宋_GB2312"/>
          <w:color w:val="auto"/>
          <w:sz w:val="24"/>
          <w:highlight w:val="none"/>
        </w:rPr>
      </w:pPr>
    </w:p>
    <w:p w14:paraId="0C5C765D">
      <w:pPr>
        <w:spacing w:line="360" w:lineRule="auto"/>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“广西政府采购云平台”合同编号：</w:t>
      </w:r>
      <w:r>
        <w:rPr>
          <w:rFonts w:hint="eastAsia" w:ascii="仿宋_GB2312" w:hAnsi="楷体" w:eastAsia="仿宋_GB2312"/>
          <w:color w:val="auto"/>
          <w:sz w:val="24"/>
          <w:highlight w:val="none"/>
          <w:u w:val="single"/>
        </w:rPr>
        <w:t xml:space="preserve">           </w:t>
      </w:r>
    </w:p>
    <w:p w14:paraId="5235830F">
      <w:pPr>
        <w:spacing w:line="360" w:lineRule="auto"/>
        <w:jc w:val="center"/>
        <w:rPr>
          <w:rFonts w:ascii="宋体"/>
          <w:b/>
          <w:bCs/>
          <w:color w:val="auto"/>
          <w:sz w:val="52"/>
          <w:highlight w:val="none"/>
        </w:rPr>
      </w:pPr>
      <w:r>
        <w:rPr>
          <w:rFonts w:hint="eastAsia" w:ascii="宋体"/>
          <w:b/>
          <w:bCs/>
          <w:color w:val="auto"/>
          <w:sz w:val="52"/>
          <w:highlight w:val="none"/>
        </w:rPr>
        <w:t>南 宁 市 政 府 采 购</w:t>
      </w:r>
    </w:p>
    <w:p w14:paraId="69F1B5E8">
      <w:pPr>
        <w:spacing w:line="360" w:lineRule="auto"/>
        <w:ind w:firstLine="420" w:firstLineChars="200"/>
        <w:rPr>
          <w:rFonts w:ascii="宋体"/>
          <w:color w:val="auto"/>
          <w:highlight w:val="none"/>
        </w:rPr>
      </w:pPr>
    </w:p>
    <w:p w14:paraId="78DC6EDA">
      <w:pPr>
        <w:spacing w:line="360" w:lineRule="auto"/>
        <w:ind w:firstLine="420" w:firstLineChars="200"/>
        <w:rPr>
          <w:rFonts w:ascii="宋体"/>
          <w:color w:val="auto"/>
          <w:highlight w:val="none"/>
        </w:rPr>
      </w:pPr>
      <w:r>
        <w:rPr>
          <w:rFonts w:hint="eastAsia" w:ascii="宋体"/>
          <w:color w:val="auto"/>
          <w:highlight w:val="none"/>
        </w:rPr>
        <w:t xml:space="preserve">                                                 </w:t>
      </w:r>
    </w:p>
    <w:p w14:paraId="3B959EC7">
      <w:pPr>
        <w:spacing w:line="360" w:lineRule="auto"/>
        <w:jc w:val="center"/>
        <w:rPr>
          <w:rFonts w:ascii="宋体"/>
          <w:b/>
          <w:bCs/>
          <w:color w:val="auto"/>
          <w:sz w:val="44"/>
          <w:highlight w:val="none"/>
        </w:rPr>
      </w:pPr>
      <w:r>
        <w:rPr>
          <w:rFonts w:hint="eastAsia" w:ascii="宋体"/>
          <w:b/>
          <w:bCs/>
          <w:color w:val="auto"/>
          <w:sz w:val="44"/>
          <w:highlight w:val="none"/>
          <w:u w:val="single"/>
        </w:rPr>
        <w:t xml:space="preserve"> 南宁市国土空间总体规划动态维护工作 </w:t>
      </w:r>
      <w:r>
        <w:rPr>
          <w:rFonts w:hint="eastAsia" w:ascii="宋体"/>
          <w:b/>
          <w:bCs/>
          <w:color w:val="auto"/>
          <w:sz w:val="44"/>
          <w:highlight w:val="none"/>
        </w:rPr>
        <w:t>合同</w:t>
      </w:r>
    </w:p>
    <w:p w14:paraId="75F8FC40">
      <w:pPr>
        <w:spacing w:line="360" w:lineRule="auto"/>
        <w:jc w:val="center"/>
        <w:rPr>
          <w:rFonts w:ascii="宋体"/>
          <w:b/>
          <w:bCs/>
          <w:color w:val="auto"/>
          <w:sz w:val="44"/>
          <w:highlight w:val="none"/>
        </w:rPr>
      </w:pPr>
    </w:p>
    <w:p w14:paraId="6BF219C9">
      <w:pPr>
        <w:spacing w:line="360" w:lineRule="auto"/>
        <w:jc w:val="center"/>
        <w:rPr>
          <w:rFonts w:ascii="宋体"/>
          <w:b/>
          <w:bCs/>
          <w:color w:val="auto"/>
          <w:sz w:val="44"/>
          <w:highlight w:val="none"/>
        </w:rPr>
      </w:pPr>
    </w:p>
    <w:p w14:paraId="41D41BA5">
      <w:pPr>
        <w:spacing w:line="360" w:lineRule="auto"/>
        <w:ind w:firstLine="3507" w:firstLineChars="794"/>
        <w:rPr>
          <w:rFonts w:ascii="宋体"/>
          <w:b/>
          <w:bCs/>
          <w:color w:val="auto"/>
          <w:sz w:val="44"/>
          <w:highlight w:val="none"/>
        </w:rPr>
      </w:pPr>
    </w:p>
    <w:p w14:paraId="01356AE0">
      <w:pPr>
        <w:spacing w:line="360" w:lineRule="auto"/>
        <w:ind w:firstLine="3507" w:firstLineChars="794"/>
        <w:rPr>
          <w:rFonts w:ascii="宋体"/>
          <w:b/>
          <w:bCs/>
          <w:color w:val="auto"/>
          <w:sz w:val="44"/>
          <w:highlight w:val="none"/>
        </w:rPr>
      </w:pPr>
    </w:p>
    <w:p w14:paraId="7951D65C">
      <w:pPr>
        <w:ind w:firstLine="1995" w:firstLineChars="552"/>
        <w:jc w:val="left"/>
        <w:rPr>
          <w:rFonts w:ascii="宋体" w:hAnsi="宋体"/>
          <w:b/>
          <w:color w:val="auto"/>
          <w:sz w:val="36"/>
          <w:szCs w:val="36"/>
          <w:highlight w:val="none"/>
        </w:rPr>
      </w:pPr>
      <w:r>
        <w:rPr>
          <w:rFonts w:hint="eastAsia" w:ascii="宋体" w:hAnsi="宋体"/>
          <w:b/>
          <w:color w:val="auto"/>
          <w:sz w:val="36"/>
          <w:szCs w:val="36"/>
          <w:highlight w:val="none"/>
        </w:rPr>
        <w:t>项目编号：</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eastAsia="zh-CN"/>
        </w:rPr>
        <w:t>NNZC2026-G3-990369-GXGG</w:t>
      </w:r>
      <w:r>
        <w:rPr>
          <w:rFonts w:hint="eastAsia" w:ascii="宋体" w:hAnsi="宋体"/>
          <w:b/>
          <w:color w:val="auto"/>
          <w:sz w:val="36"/>
          <w:szCs w:val="36"/>
          <w:highlight w:val="none"/>
          <w:u w:val="single"/>
        </w:rPr>
        <w:t xml:space="preserve"> </w:t>
      </w:r>
    </w:p>
    <w:p w14:paraId="53997019">
      <w:pPr>
        <w:ind w:firstLine="1970" w:firstLineChars="545"/>
        <w:rPr>
          <w:rFonts w:ascii="宋体" w:hAnsi="宋体"/>
          <w:b/>
          <w:color w:val="auto"/>
          <w:sz w:val="36"/>
          <w:szCs w:val="36"/>
          <w:highlight w:val="none"/>
          <w:u w:val="single"/>
        </w:rPr>
      </w:pPr>
      <w:r>
        <w:rPr>
          <w:rFonts w:hint="eastAsia" w:ascii="宋体" w:hAnsi="宋体"/>
          <w:b/>
          <w:color w:val="auto"/>
          <w:sz w:val="36"/>
          <w:szCs w:val="36"/>
          <w:highlight w:val="none"/>
        </w:rPr>
        <w:t>计划编号：</w:t>
      </w:r>
      <w:r>
        <w:rPr>
          <w:rFonts w:hint="eastAsia" w:ascii="宋体" w:hAnsi="宋体"/>
          <w:b/>
          <w:color w:val="auto"/>
          <w:sz w:val="36"/>
          <w:szCs w:val="36"/>
          <w:highlight w:val="none"/>
          <w:u w:val="single"/>
        </w:rPr>
        <w:t xml:space="preserve"> NNZC[2026]1612号         </w:t>
      </w:r>
    </w:p>
    <w:p w14:paraId="406E4B05">
      <w:pPr>
        <w:ind w:firstLine="1995" w:firstLineChars="552"/>
        <w:rPr>
          <w:rFonts w:ascii="宋体" w:hAnsi="宋体"/>
          <w:b/>
          <w:color w:val="auto"/>
          <w:sz w:val="36"/>
          <w:szCs w:val="36"/>
          <w:highlight w:val="none"/>
          <w:u w:val="single"/>
        </w:rPr>
      </w:pPr>
    </w:p>
    <w:p w14:paraId="6240D3C9">
      <w:pPr>
        <w:ind w:firstLine="1995" w:firstLineChars="552"/>
        <w:rPr>
          <w:rFonts w:ascii="宋体" w:hAnsi="宋体"/>
          <w:b/>
          <w:color w:val="auto"/>
          <w:sz w:val="36"/>
          <w:szCs w:val="36"/>
          <w:highlight w:val="none"/>
          <w:u w:val="single"/>
        </w:rPr>
      </w:pPr>
    </w:p>
    <w:p w14:paraId="6C099F1B">
      <w:pPr>
        <w:ind w:firstLine="1995" w:firstLineChars="552"/>
        <w:rPr>
          <w:rFonts w:ascii="宋体" w:hAnsi="宋体"/>
          <w:b/>
          <w:color w:val="auto"/>
          <w:sz w:val="36"/>
          <w:szCs w:val="36"/>
          <w:highlight w:val="none"/>
          <w:u w:val="single"/>
        </w:rPr>
      </w:pPr>
    </w:p>
    <w:p w14:paraId="4829CDE3">
      <w:pPr>
        <w:tabs>
          <w:tab w:val="left" w:pos="7200"/>
        </w:tabs>
        <w:spacing w:line="360" w:lineRule="auto"/>
        <w:ind w:firstLine="1995" w:firstLineChars="552"/>
        <w:rPr>
          <w:rFonts w:ascii="宋体" w:hAnsi="宋体"/>
          <w:b/>
          <w:color w:val="auto"/>
          <w:sz w:val="36"/>
          <w:szCs w:val="36"/>
          <w:highlight w:val="none"/>
          <w:u w:val="single"/>
        </w:rPr>
      </w:pPr>
      <w:r>
        <w:rPr>
          <w:rFonts w:hint="eastAsia" w:ascii="宋体" w:hAnsi="宋体"/>
          <w:b/>
          <w:color w:val="auto"/>
          <w:sz w:val="36"/>
          <w:szCs w:val="36"/>
          <w:highlight w:val="none"/>
        </w:rPr>
        <w:t>采  购  人：</w:t>
      </w:r>
      <w:r>
        <w:rPr>
          <w:rFonts w:hint="eastAsia" w:ascii="宋体" w:hAnsi="宋体"/>
          <w:b/>
          <w:color w:val="auto"/>
          <w:sz w:val="36"/>
          <w:szCs w:val="36"/>
          <w:highlight w:val="none"/>
          <w:u w:val="single"/>
        </w:rPr>
        <w:t xml:space="preserve"> 南宁市自然资源局 </w:t>
      </w:r>
    </w:p>
    <w:p w14:paraId="06CC59B5">
      <w:pPr>
        <w:tabs>
          <w:tab w:val="left" w:pos="7380"/>
        </w:tabs>
        <w:spacing w:line="360" w:lineRule="auto"/>
        <w:ind w:firstLine="1995" w:firstLineChars="552"/>
        <w:rPr>
          <w:rFonts w:ascii="宋体"/>
          <w:b/>
          <w:bCs/>
          <w:color w:val="auto"/>
          <w:sz w:val="44"/>
          <w:highlight w:val="none"/>
        </w:rPr>
      </w:pPr>
      <w:r>
        <w:rPr>
          <w:rFonts w:hint="eastAsia" w:ascii="宋体" w:hAnsi="宋体"/>
          <w:b/>
          <w:color w:val="auto"/>
          <w:sz w:val="36"/>
          <w:szCs w:val="36"/>
          <w:highlight w:val="none"/>
        </w:rPr>
        <w:t>中标供应商：</w:t>
      </w:r>
      <w:r>
        <w:rPr>
          <w:rFonts w:hint="eastAsia" w:ascii="宋体" w:hAnsi="宋体"/>
          <w:b/>
          <w:color w:val="auto"/>
          <w:sz w:val="36"/>
          <w:szCs w:val="36"/>
          <w:highlight w:val="none"/>
          <w:u w:val="single"/>
        </w:rPr>
        <w:t xml:space="preserve">                   </w:t>
      </w:r>
    </w:p>
    <w:p w14:paraId="689A18DE">
      <w:pPr>
        <w:tabs>
          <w:tab w:val="left" w:pos="7380"/>
        </w:tabs>
        <w:spacing w:line="360" w:lineRule="auto"/>
        <w:rPr>
          <w:rFonts w:ascii="宋体"/>
          <w:b/>
          <w:bCs/>
          <w:color w:val="auto"/>
          <w:sz w:val="44"/>
          <w:highlight w:val="none"/>
        </w:rPr>
      </w:pPr>
    </w:p>
    <w:p w14:paraId="2333E69D">
      <w:pPr>
        <w:spacing w:before="120" w:line="360" w:lineRule="auto"/>
        <w:ind w:firstLine="960" w:firstLineChars="400"/>
        <w:rPr>
          <w:rFonts w:ascii="仿宋_GB2312" w:hAnsi="楷体" w:eastAsia="仿宋_GB2312"/>
          <w:color w:val="auto"/>
          <w:sz w:val="24"/>
          <w:highlight w:val="none"/>
        </w:rPr>
      </w:pPr>
    </w:p>
    <w:p w14:paraId="1922E330">
      <w:pPr>
        <w:spacing w:before="120" w:line="360" w:lineRule="auto"/>
        <w:ind w:firstLine="2280" w:firstLineChars="95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签订日期：</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年</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月</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w:t>
      </w:r>
    </w:p>
    <w:p w14:paraId="42D4F3CE">
      <w:pPr>
        <w:spacing w:line="360" w:lineRule="auto"/>
        <w:ind w:firstLine="883" w:firstLineChars="200"/>
        <w:rPr>
          <w:rFonts w:ascii="仿宋_GB2312" w:hAnsi="楷体" w:eastAsia="仿宋_GB2312"/>
          <w:color w:val="auto"/>
          <w:sz w:val="24"/>
          <w:highlight w:val="none"/>
          <w:u w:val="single"/>
        </w:rPr>
      </w:pPr>
      <w:r>
        <w:rPr>
          <w:rFonts w:hint="eastAsia" w:ascii="宋体"/>
          <w:b/>
          <w:bCs/>
          <w:color w:val="auto"/>
          <w:sz w:val="44"/>
          <w:highlight w:val="none"/>
        </w:rPr>
        <w:br w:type="page"/>
      </w:r>
    </w:p>
    <w:p w14:paraId="7E9A0657">
      <w:pPr>
        <w:snapToGrid w:val="0"/>
        <w:spacing w:line="360" w:lineRule="auto"/>
        <w:jc w:val="center"/>
        <w:rPr>
          <w:rFonts w:ascii="仿宋_GB2312" w:hAnsi="楷体" w:eastAsia="仿宋_GB2312"/>
          <w:b/>
          <w:color w:val="auto"/>
          <w:sz w:val="24"/>
          <w:highlight w:val="none"/>
        </w:rPr>
      </w:pPr>
      <w:r>
        <w:rPr>
          <w:rFonts w:hint="eastAsia" w:ascii="仿宋_GB2312" w:hAnsi="楷体" w:eastAsia="仿宋_GB2312"/>
          <w:b/>
          <w:color w:val="auto"/>
          <w:sz w:val="24"/>
          <w:highlight w:val="none"/>
        </w:rPr>
        <w:t>合同目录</w:t>
      </w:r>
    </w:p>
    <w:p w14:paraId="75F23602">
      <w:pPr>
        <w:snapToGrid w:val="0"/>
        <w:spacing w:line="360" w:lineRule="auto"/>
        <w:jc w:val="center"/>
        <w:rPr>
          <w:rFonts w:ascii="宋体"/>
          <w:b/>
          <w:bCs/>
          <w:color w:val="auto"/>
          <w:sz w:val="44"/>
          <w:highlight w:val="none"/>
        </w:rPr>
      </w:pPr>
    </w:p>
    <w:p w14:paraId="680ED50C">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14:paraId="1C1023F9">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14:paraId="3240CF8A">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14:paraId="7B66B0EE">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14:paraId="2D9E8576">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4.1中标通知书 …………………………………………………………………（页码）</w:t>
      </w:r>
    </w:p>
    <w:p w14:paraId="3572C208">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4.2招标文件服务需求一览表 …………………………………………………（页码）</w:t>
      </w:r>
    </w:p>
    <w:p w14:paraId="0E8A6F4C">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4.3招标文件的更改通知（如有） ……………………………………………（页码）</w:t>
      </w:r>
    </w:p>
    <w:p w14:paraId="6FDC6789">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4.4投标函 ………………………………………………………………………（页码）</w:t>
      </w:r>
    </w:p>
    <w:p w14:paraId="757CE40F">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4.5报价表 ………………………………………………………………………（页码）</w:t>
      </w:r>
    </w:p>
    <w:p w14:paraId="534605DD">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4.6投标服务技术资料表 ………………………………………………………（页码）</w:t>
      </w:r>
    </w:p>
    <w:p w14:paraId="405BD736">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14:paraId="1E5C09FC">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4.8中标供应商澄清函（如有请提供） ………………………………………（页码）</w:t>
      </w:r>
    </w:p>
    <w:p w14:paraId="4BF7DA71">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14:paraId="7E840F57">
      <w:pPr>
        <w:snapToGrid w:val="0"/>
        <w:spacing w:line="360" w:lineRule="auto"/>
        <w:rPr>
          <w:rFonts w:ascii="仿宋_GB2312" w:hAnsi="仿宋" w:eastAsia="仿宋_GB2312" w:cs="仿宋_GB2312"/>
          <w:color w:val="auto"/>
          <w:kern w:val="0"/>
          <w:sz w:val="24"/>
          <w:highlight w:val="none"/>
        </w:rPr>
      </w:pPr>
    </w:p>
    <w:p w14:paraId="2B4D8B32">
      <w:pPr>
        <w:widowControl/>
        <w:jc w:val="left"/>
        <w:rPr>
          <w:rFonts w:ascii="宋体" w:hAnsi="Courier New"/>
          <w:color w:val="auto"/>
          <w:spacing w:val="-4"/>
          <w:sz w:val="18"/>
          <w:szCs w:val="20"/>
          <w:highlight w:val="none"/>
        </w:rPr>
        <w:sectPr>
          <w:footerReference r:id="rId7" w:type="default"/>
          <w:pgSz w:w="11906" w:h="16838"/>
          <w:pgMar w:top="1134" w:right="1134" w:bottom="1134" w:left="1134" w:header="720" w:footer="720" w:gutter="0"/>
          <w:cols w:space="720" w:num="1"/>
          <w:docGrid w:type="lines" w:linePitch="331" w:charSpace="0"/>
        </w:sectPr>
      </w:pPr>
    </w:p>
    <w:p w14:paraId="58E1CA1D">
      <w:pPr>
        <w:autoSpaceDE w:val="0"/>
        <w:autoSpaceDN w:val="0"/>
        <w:adjustRightInd w:val="0"/>
        <w:snapToGrid w:val="0"/>
        <w:spacing w:after="120" w:line="360" w:lineRule="auto"/>
        <w:ind w:left="420" w:leftChars="200" w:firstLine="562" w:firstLineChars="200"/>
        <w:jc w:val="center"/>
        <w:rPr>
          <w:rFonts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t>第一部分 合同书</w:t>
      </w:r>
    </w:p>
    <w:p w14:paraId="6913A94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公开招标方式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rPr>
        <w:t xml:space="preserve"> 南宁市国土空间总体规划动态维护工作 </w:t>
      </w:r>
      <w:r>
        <w:rPr>
          <w:rFonts w:hint="eastAsia" w:ascii="仿宋_GB2312" w:hAnsi="楷体" w:eastAsia="仿宋_GB2312"/>
          <w:color w:val="auto"/>
          <w:sz w:val="24"/>
          <w:highlight w:val="none"/>
        </w:rPr>
        <w:t>进行了采购。经</w:t>
      </w:r>
      <w:r>
        <w:rPr>
          <w:rFonts w:hint="eastAsia" w:ascii="仿宋_GB2312" w:hAnsi="楷体" w:eastAsia="仿宋_GB2312"/>
          <w:color w:val="auto"/>
          <w:sz w:val="24"/>
          <w:highlight w:val="none"/>
          <w:u w:val="single"/>
        </w:rPr>
        <w:t xml:space="preserve"> 评标委员会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（中标人名称）</w:t>
      </w:r>
      <w:r>
        <w:rPr>
          <w:rFonts w:hint="eastAsia" w:ascii="仿宋_GB2312" w:hAnsi="楷体" w:eastAsia="仿宋_GB2312"/>
          <w:color w:val="auto"/>
          <w:sz w:val="24"/>
          <w:highlight w:val="none"/>
        </w:rPr>
        <w:t>为该项目中标人。现于中标通知书发出之日起</w:t>
      </w:r>
      <w:r>
        <w:rPr>
          <w:rFonts w:hint="eastAsia" w:ascii="仿宋_GB2312" w:hAnsi="楷体" w:eastAsia="仿宋_GB2312"/>
          <w:color w:val="auto"/>
          <w:sz w:val="24"/>
          <w:highlight w:val="none"/>
          <w:u w:val="single"/>
        </w:rPr>
        <w:t xml:space="preserve"> 25</w:t>
      </w:r>
      <w:r>
        <w:rPr>
          <w:rFonts w:hint="eastAsia" w:ascii="仿宋_GB2312" w:hAnsi="楷体" w:eastAsia="仿宋_GB2312"/>
          <w:color w:val="auto"/>
          <w:sz w:val="24"/>
          <w:highlight w:val="none"/>
        </w:rPr>
        <w:t>日内，按照采购文件确定的事项签订本合同。</w:t>
      </w:r>
    </w:p>
    <w:p w14:paraId="3251F47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南宁市自然资源局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（中标人名称）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0D1C53BF">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1.1 合同组成部分</w:t>
      </w:r>
    </w:p>
    <w:p w14:paraId="12C58A0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3F4DC90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2625BCC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1.1.2 中标通知书；</w:t>
      </w:r>
    </w:p>
    <w:p w14:paraId="10C7F0B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1.1.3 投标文件及“投标报价”（含澄清或者说明文件）；</w:t>
      </w:r>
    </w:p>
    <w:p w14:paraId="616A6ED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1.1.4 招标文件（含澄清或者修改文件）；</w:t>
      </w:r>
    </w:p>
    <w:p w14:paraId="4B2A866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3972A031">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1.2 标的物</w:t>
      </w:r>
    </w:p>
    <w:p w14:paraId="7D7846E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14:paraId="0A45C4BF">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3199945A">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BDD06AD">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1.3 价款</w:t>
      </w:r>
    </w:p>
    <w:p w14:paraId="19560DB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 xml:space="preserve"> 元人民币，含税）。其中增值税税款为</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元。如国家税收政策变化，导致增值税税率调整的，则按照调整后的税率开具增值税发票。</w:t>
      </w:r>
    </w:p>
    <w:p w14:paraId="1558EA7E">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5974"/>
        <w:gridCol w:w="2250"/>
      </w:tblGrid>
      <w:tr w14:paraId="6D4C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F28A26B">
            <w:pPr>
              <w:spacing w:line="360" w:lineRule="auto"/>
              <w:jc w:val="center"/>
              <w:rPr>
                <w:rFonts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5974" w:type="dxa"/>
            <w:tcBorders>
              <w:top w:val="single" w:color="auto" w:sz="4" w:space="0"/>
              <w:left w:val="single" w:color="auto" w:sz="4" w:space="0"/>
              <w:bottom w:val="single" w:color="auto" w:sz="4" w:space="0"/>
              <w:right w:val="single" w:color="auto" w:sz="4" w:space="0"/>
            </w:tcBorders>
            <w:vAlign w:val="center"/>
          </w:tcPr>
          <w:p w14:paraId="24EB90A7">
            <w:pPr>
              <w:spacing w:line="360" w:lineRule="auto"/>
              <w:jc w:val="center"/>
              <w:rPr>
                <w:rFonts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2250" w:type="dxa"/>
            <w:tcBorders>
              <w:top w:val="single" w:color="auto" w:sz="4" w:space="0"/>
              <w:left w:val="single" w:color="auto" w:sz="4" w:space="0"/>
              <w:bottom w:val="single" w:color="auto" w:sz="4" w:space="0"/>
              <w:right w:val="single" w:color="auto" w:sz="4" w:space="0"/>
            </w:tcBorders>
            <w:vAlign w:val="center"/>
          </w:tcPr>
          <w:p w14:paraId="7C192FD4">
            <w:pPr>
              <w:spacing w:line="360" w:lineRule="auto"/>
              <w:jc w:val="center"/>
              <w:rPr>
                <w:rFonts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14:paraId="20A3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8EFE401">
            <w:pPr>
              <w:spacing w:line="360" w:lineRule="auto"/>
              <w:jc w:val="center"/>
              <w:rPr>
                <w:rFonts w:ascii="仿宋_GB2312" w:hAnsi="楷体" w:eastAsia="仿宋_GB2312"/>
                <w:color w:val="auto"/>
                <w:sz w:val="24"/>
                <w:highlight w:val="none"/>
              </w:rPr>
            </w:pPr>
            <w:r>
              <w:rPr>
                <w:rFonts w:hint="eastAsia" w:ascii="仿宋_GB2312" w:hAnsi="楷体" w:eastAsia="仿宋_GB2312"/>
                <w:color w:val="auto"/>
                <w:sz w:val="24"/>
                <w:highlight w:val="none"/>
              </w:rPr>
              <w:t>1</w:t>
            </w:r>
          </w:p>
        </w:tc>
        <w:tc>
          <w:tcPr>
            <w:tcW w:w="5974" w:type="dxa"/>
            <w:tcBorders>
              <w:top w:val="single" w:color="auto" w:sz="4" w:space="0"/>
              <w:left w:val="single" w:color="auto" w:sz="4" w:space="0"/>
              <w:bottom w:val="single" w:color="auto" w:sz="4" w:space="0"/>
              <w:right w:val="single" w:color="auto" w:sz="4" w:space="0"/>
            </w:tcBorders>
            <w:vAlign w:val="center"/>
          </w:tcPr>
          <w:p w14:paraId="660ACC42">
            <w:pPr>
              <w:spacing w:line="360" w:lineRule="auto"/>
              <w:jc w:val="center"/>
              <w:rPr>
                <w:rFonts w:ascii="仿宋_GB2312" w:hAnsi="楷体" w:eastAsia="仿宋_GB2312"/>
                <w:color w:val="auto"/>
                <w:sz w:val="24"/>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14:paraId="474AEE45">
            <w:pPr>
              <w:spacing w:line="360" w:lineRule="auto"/>
              <w:jc w:val="center"/>
              <w:rPr>
                <w:rFonts w:ascii="仿宋_GB2312" w:hAnsi="楷体" w:eastAsia="仿宋_GB2312"/>
                <w:color w:val="auto"/>
                <w:sz w:val="24"/>
                <w:highlight w:val="none"/>
              </w:rPr>
            </w:pPr>
          </w:p>
        </w:tc>
      </w:tr>
      <w:tr w14:paraId="3E38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92" w:type="dxa"/>
            <w:gridSpan w:val="2"/>
            <w:tcBorders>
              <w:top w:val="single" w:color="auto" w:sz="4" w:space="0"/>
              <w:left w:val="single" w:color="auto" w:sz="4" w:space="0"/>
              <w:bottom w:val="single" w:color="auto" w:sz="4" w:space="0"/>
              <w:right w:val="single" w:color="auto" w:sz="4" w:space="0"/>
            </w:tcBorders>
            <w:vAlign w:val="center"/>
          </w:tcPr>
          <w:p w14:paraId="436ECB1F">
            <w:pPr>
              <w:spacing w:line="360" w:lineRule="auto"/>
              <w:jc w:val="center"/>
              <w:rPr>
                <w:rFonts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2250" w:type="dxa"/>
            <w:tcBorders>
              <w:top w:val="single" w:color="auto" w:sz="4" w:space="0"/>
              <w:left w:val="single" w:color="auto" w:sz="4" w:space="0"/>
              <w:bottom w:val="single" w:color="auto" w:sz="4" w:space="0"/>
              <w:right w:val="single" w:color="auto" w:sz="4" w:space="0"/>
            </w:tcBorders>
            <w:vAlign w:val="center"/>
          </w:tcPr>
          <w:p w14:paraId="0C734C0A">
            <w:pPr>
              <w:spacing w:line="360" w:lineRule="auto"/>
              <w:jc w:val="center"/>
              <w:rPr>
                <w:rFonts w:ascii="仿宋_GB2312" w:hAnsi="楷体" w:eastAsia="仿宋_GB2312"/>
                <w:color w:val="auto"/>
                <w:sz w:val="24"/>
                <w:highlight w:val="none"/>
              </w:rPr>
            </w:pPr>
          </w:p>
        </w:tc>
      </w:tr>
    </w:tbl>
    <w:p w14:paraId="27B870F4">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1.4 付款方式和发票开具方式</w:t>
      </w:r>
    </w:p>
    <w:p w14:paraId="69D207D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 xml:space="preserve">1.4.1 </w:t>
      </w:r>
      <w:r>
        <w:rPr>
          <w:rFonts w:hint="eastAsia" w:ascii="仿宋_GB2312" w:hAnsi="楷体" w:eastAsia="仿宋_GB2312"/>
          <w:color w:val="auto"/>
          <w:sz w:val="24"/>
          <w:highlight w:val="none"/>
          <w:u w:val="single"/>
        </w:rPr>
        <w:t xml:space="preserve">                 。</w:t>
      </w:r>
    </w:p>
    <w:p w14:paraId="3982F28F">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1.5 服务期限、地点</w:t>
      </w:r>
    </w:p>
    <w:p w14:paraId="6FA027AC">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1.5.1 服务期限：</w:t>
      </w:r>
      <w:r>
        <w:rPr>
          <w:rFonts w:hint="eastAsia" w:ascii="仿宋_GB2312" w:hAnsi="楷体" w:eastAsia="仿宋_GB2312"/>
          <w:color w:val="auto"/>
          <w:sz w:val="24"/>
          <w:highlight w:val="none"/>
          <w:u w:val="single"/>
        </w:rPr>
        <w:t xml:space="preserve">                ；</w:t>
      </w:r>
    </w:p>
    <w:p w14:paraId="6E1ED58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1.5.2 服务地点：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2FF1EF50">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1.6 违约责任</w:t>
      </w:r>
    </w:p>
    <w:p w14:paraId="6F76991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除不可抗力外，如果乙方没有按照本合同约定的服务期限、地点提供服务，甲方可要求乙方支付违约金，每迟延提供服务一日的违约金按合同总价的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计算，最高限额为本合同总价的</w:t>
      </w:r>
      <w:r>
        <w:rPr>
          <w:rFonts w:hint="eastAsia" w:ascii="仿宋_GB2312" w:hAnsi="楷体" w:eastAsia="仿宋_GB2312"/>
          <w:color w:val="auto"/>
          <w:sz w:val="24"/>
          <w:highlight w:val="none"/>
          <w:u w:val="single"/>
        </w:rPr>
        <w:t>20</w:t>
      </w:r>
      <w:r>
        <w:rPr>
          <w:rFonts w:hint="eastAsia" w:ascii="仿宋_GB2312" w:hAnsi="楷体" w:eastAsia="仿宋_GB2312"/>
          <w:color w:val="auto"/>
          <w:sz w:val="24"/>
          <w:highlight w:val="none"/>
        </w:rPr>
        <w:t>%；迟延超过【20】日的，甲方有权在要求乙方支付违约金的同时，书面通知乙方解除本合同，乙方应退回全部已收取的合同价款并按合同总金额的</w:t>
      </w:r>
      <w:r>
        <w:rPr>
          <w:rFonts w:hint="eastAsia" w:ascii="仿宋_GB2312" w:hAnsi="楷体" w:eastAsia="仿宋_GB2312"/>
          <w:color w:val="auto"/>
          <w:sz w:val="24"/>
          <w:highlight w:val="none"/>
          <w:u w:val="single"/>
        </w:rPr>
        <w:t>20%</w:t>
      </w:r>
      <w:r>
        <w:rPr>
          <w:rFonts w:hint="eastAsia" w:ascii="仿宋_GB2312" w:hAnsi="楷体" w:eastAsia="仿宋_GB2312"/>
          <w:color w:val="auto"/>
          <w:sz w:val="24"/>
          <w:highlight w:val="none"/>
        </w:rPr>
        <w:t>向甲方支付违约金；</w:t>
      </w:r>
    </w:p>
    <w:p w14:paraId="33DCF18F">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计算，最高限额为欠付金额的</w:t>
      </w:r>
      <w:r>
        <w:rPr>
          <w:rFonts w:hint="eastAsia" w:ascii="仿宋_GB2312" w:hAnsi="楷体" w:eastAsia="仿宋_GB2312"/>
          <w:color w:val="auto"/>
          <w:sz w:val="24"/>
          <w:highlight w:val="none"/>
          <w:u w:val="single"/>
        </w:rPr>
        <w:t>20</w:t>
      </w:r>
      <w:r>
        <w:rPr>
          <w:rFonts w:hint="eastAsia" w:ascii="仿宋_GB2312" w:hAnsi="楷体" w:eastAsia="仿宋_GB2312"/>
          <w:color w:val="auto"/>
          <w:sz w:val="24"/>
          <w:highlight w:val="none"/>
        </w:rPr>
        <w:t>%；迟延付款的违约金计算数额达到前述最高限额之日起，乙方有权在要求甲方支付违约金的同时，书面通知甲方解除本合同；</w:t>
      </w:r>
    </w:p>
    <w:p w14:paraId="3E2BD6E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2DF976F">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6C1566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21CF93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2C91DBF2">
      <w:pPr>
        <w:pStyle w:val="7"/>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1.6.7 如果乙方在服务期间不按照合同内容的约定履行服务和经甲方考核不合格的，甲方有权终止合同。</w:t>
      </w:r>
    </w:p>
    <w:p w14:paraId="72AF9D64">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1.7 合同争议的解决</w:t>
      </w:r>
    </w:p>
    <w:p w14:paraId="56360B4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olor w:val="auto"/>
          <w:sz w:val="24"/>
          <w:highlight w:val="none"/>
          <w:u w:val="single"/>
        </w:rPr>
        <w:t>1.7.2</w:t>
      </w:r>
      <w:r>
        <w:rPr>
          <w:rFonts w:hint="eastAsia" w:ascii="仿宋_GB2312" w:hAnsi="楷体" w:eastAsia="仿宋_GB2312"/>
          <w:color w:val="auto"/>
          <w:sz w:val="24"/>
          <w:highlight w:val="none"/>
        </w:rPr>
        <w:t>种方式解决：</w:t>
      </w:r>
    </w:p>
    <w:p w14:paraId="725C5A1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南宁市</w:t>
      </w:r>
      <w:r>
        <w:rPr>
          <w:rFonts w:hint="eastAsia" w:ascii="仿宋_GB2312" w:hAnsi="楷体" w:eastAsia="仿宋_GB2312"/>
          <w:color w:val="auto"/>
          <w:sz w:val="24"/>
          <w:highlight w:val="none"/>
        </w:rPr>
        <w:t>仲裁委员会依申请仲裁时其现行有效的仲裁规则裁决；</w:t>
      </w:r>
    </w:p>
    <w:p w14:paraId="5BFA263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甲方所在地有管辖权 的</w:t>
      </w:r>
      <w:r>
        <w:rPr>
          <w:rFonts w:hint="eastAsia" w:ascii="仿宋_GB2312" w:hAnsi="楷体" w:eastAsia="仿宋_GB2312"/>
          <w:color w:val="auto"/>
          <w:sz w:val="24"/>
          <w:highlight w:val="none"/>
        </w:rPr>
        <w:t>人民法院起诉。</w:t>
      </w:r>
    </w:p>
    <w:p w14:paraId="2699B705">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1.8 合同延续年限、条件和方式</w:t>
      </w:r>
    </w:p>
    <w:p w14:paraId="6C225555">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服务期满后，本项目不续签。</w:t>
      </w:r>
    </w:p>
    <w:p w14:paraId="472DE77D">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1.9 合同生效</w:t>
      </w:r>
    </w:p>
    <w:p w14:paraId="47167EE6">
      <w:pPr>
        <w:spacing w:line="360" w:lineRule="auto"/>
        <w:ind w:firstLine="480" w:firstLineChars="200"/>
        <w:rPr>
          <w:rFonts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本合同自双方当事人加盖有效公章</w:t>
      </w:r>
      <w:r>
        <w:rPr>
          <w:rFonts w:hint="eastAsia" w:ascii="仿宋_GB2312" w:hAnsi="楷体" w:eastAsia="仿宋_GB2312"/>
          <w:color w:val="auto"/>
          <w:sz w:val="24"/>
          <w:highlight w:val="none"/>
          <w:lang w:val="en-US" w:eastAsia="zh-CN"/>
        </w:rPr>
        <w:t>或合同专用章</w:t>
      </w:r>
      <w:r>
        <w:rPr>
          <w:rFonts w:hint="eastAsia" w:ascii="仿宋_GB2312" w:hAnsi="楷体" w:eastAsia="仿宋_GB2312"/>
          <w:color w:val="auto"/>
          <w:sz w:val="24"/>
          <w:highlight w:val="none"/>
        </w:rPr>
        <w:t>时生效。</w:t>
      </w:r>
    </w:p>
    <w:p w14:paraId="450F2B40">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                                  乙方：</w:t>
      </w:r>
    </w:p>
    <w:p w14:paraId="47321933">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14:paraId="67FD9E74">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                                   住所：</w:t>
      </w:r>
    </w:p>
    <w:p w14:paraId="07B4BBAF">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14:paraId="3B90DF7F">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                       或授权代表（签字）： </w:t>
      </w:r>
    </w:p>
    <w:p w14:paraId="3FDAEA72">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14:paraId="4C60F30D">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                           约定送达地址：</w:t>
      </w:r>
    </w:p>
    <w:p w14:paraId="3E59192F">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                               邮政编码：</w:t>
      </w:r>
    </w:p>
    <w:p w14:paraId="7B27E348">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                                    电话： </w:t>
      </w:r>
    </w:p>
    <w:p w14:paraId="44473EBC">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14:paraId="7C3E9C9E">
      <w:pPr>
        <w:spacing w:line="360" w:lineRule="auto"/>
        <w:ind w:firstLine="200"/>
        <w:rPr>
          <w:rFonts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14:paraId="090B4FF0">
      <w:pPr>
        <w:spacing w:line="360" w:lineRule="auto"/>
        <w:ind w:firstLine="200"/>
        <w:rPr>
          <w:rFonts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14:paraId="12066B74">
      <w:pPr>
        <w:spacing w:line="360" w:lineRule="auto"/>
        <w:ind w:firstLine="200"/>
        <w:rPr>
          <w:rFonts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14:paraId="1B54FCA3">
      <w:pPr>
        <w:spacing w:line="360" w:lineRule="auto"/>
        <w:ind w:firstLine="200"/>
        <w:rPr>
          <w:rFonts w:ascii="仿宋_GB2312" w:hAnsi="楷体" w:eastAsia="仿宋_GB2312"/>
          <w:color w:val="auto"/>
          <w:sz w:val="24"/>
          <w:highlight w:val="none"/>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开户账号：</w:t>
      </w:r>
    </w:p>
    <w:p w14:paraId="266CB53C">
      <w:pPr>
        <w:spacing w:line="360" w:lineRule="auto"/>
        <w:ind w:firstLine="200"/>
        <w:jc w:val="center"/>
        <w:rPr>
          <w:rFonts w:ascii="仿宋_GB2312" w:hAnsi="楷体" w:eastAsia="仿宋_GB2312"/>
          <w:b/>
          <w:color w:val="auto"/>
          <w:sz w:val="28"/>
          <w:szCs w:val="28"/>
          <w:highlight w:val="none"/>
        </w:rPr>
      </w:pPr>
      <w:r>
        <w:rPr>
          <w:rFonts w:hint="eastAsia" w:ascii="仿宋_GB2312" w:hAnsi="楷体" w:eastAsia="仿宋_GB2312"/>
          <w:b/>
          <w:color w:val="auto"/>
          <w:highlight w:val="none"/>
        </w:rPr>
        <w:br w:type="page"/>
      </w:r>
      <w:r>
        <w:rPr>
          <w:rFonts w:hint="eastAsia" w:ascii="仿宋_GB2312" w:hAnsi="楷体" w:eastAsia="仿宋_GB2312"/>
          <w:b/>
          <w:color w:val="auto"/>
          <w:sz w:val="28"/>
          <w:szCs w:val="28"/>
          <w:highlight w:val="none"/>
        </w:rPr>
        <w:t>第二部分 合同一般条款</w:t>
      </w:r>
    </w:p>
    <w:p w14:paraId="3371853B">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 定义</w:t>
      </w:r>
    </w:p>
    <w:p w14:paraId="2510F86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17159A2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14:paraId="32C86A4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14:paraId="4DA19C3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4BF2472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2.1.4 “甲方”系指与中标人签署合同的采购人；采购人委托采购机构代表其与乙方签订合同的，采购人的授权委托书作为合同附件。</w:t>
      </w:r>
    </w:p>
    <w:p w14:paraId="289FF82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C000CB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2.1.6 “现场”系指合同约定标的物将要运至或者实施或者安装的地点。</w:t>
      </w:r>
    </w:p>
    <w:p w14:paraId="48F3CD4C">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2.2 技术规范</w:t>
      </w:r>
    </w:p>
    <w:p w14:paraId="4C17C52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6F2921A">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2.3 知识产权</w:t>
      </w:r>
    </w:p>
    <w:p w14:paraId="62DBC6B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24640B97">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2.4 履约检查和问题反馈</w:t>
      </w:r>
    </w:p>
    <w:p w14:paraId="2D1D6BE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2.4.1甲方有权在其认为必要时，对乙方是否能够按照合同约定提供服务进行履约检查，以确保乙方所交付的标的物能够依约满足甲方之项目需求，但不得因履约检查妨碍乙方的正常工作，乙方应予积极配合；</w:t>
      </w:r>
    </w:p>
    <w:p w14:paraId="5CC18B2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2.4.2 合同履行期间，甲方有权将履行过程中出现的问题反馈给乙方，双方当事人应以书面形式约定需要完善和改进的内容。</w:t>
      </w:r>
    </w:p>
    <w:p w14:paraId="080367C1">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2.5 结算方式和付款条件</w:t>
      </w:r>
    </w:p>
    <w:p w14:paraId="05B006C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4D007B1F">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2.6 技术资料和保密义务</w:t>
      </w:r>
    </w:p>
    <w:p w14:paraId="2680400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2.6.1 乙方有权依据合同约定和项目需要，向甲方了解有关情况，调阅有关资料等，甲方应予积极配合；</w:t>
      </w:r>
    </w:p>
    <w:p w14:paraId="21246E3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2.6.2 乙方有义务妥善保管和保护由甲方提供的前款信息和资料等；</w:t>
      </w:r>
    </w:p>
    <w:p w14:paraId="0DA4CD2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65F5293">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2.7 质量保证</w:t>
      </w:r>
    </w:p>
    <w:p w14:paraId="11EF791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2.7.1 乙方应建立和完善履行合同的内部质量保证体系，并提供相关内部规章制度给甲方，以便甲方进行监督检查；</w:t>
      </w:r>
    </w:p>
    <w:p w14:paraId="2B0631B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2.7.2 乙方应保证履行合同的人员数量和素质、软件和硬件设备的配置、场地、环境和设施等满足全面履行合同的要求，并应接受甲方的监督检查。</w:t>
      </w:r>
    </w:p>
    <w:p w14:paraId="27AE0DB4">
      <w:pPr>
        <w:spacing w:line="360" w:lineRule="auto"/>
        <w:ind w:firstLine="480" w:firstLineChars="200"/>
        <w:rPr>
          <w:rFonts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2.7.3乙方应确保项目技术人员的数量和水平与投标文件一致。未经甲方书面同意，乙方不得擅自更换投标文件中注明的项目经理。否则</w:t>
      </w:r>
      <w:r>
        <w:rPr>
          <w:rFonts w:hint="eastAsia" w:ascii="仿宋_GB2312" w:hAnsi="仿宋" w:eastAsia="仿宋_GB2312" w:cs="仿宋_GB2312"/>
          <w:color w:val="auto"/>
          <w:kern w:val="0"/>
          <w:sz w:val="24"/>
          <w:highlight w:val="none"/>
        </w:rPr>
        <w:t>甲方有权放弃或终止合同，并没收履约保证金。</w:t>
      </w:r>
    </w:p>
    <w:p w14:paraId="5B506C29">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2.8 合同变更</w:t>
      </w:r>
    </w:p>
    <w:p w14:paraId="37523C7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2.8.1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68E62CF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2.8.2 合同继续履行将损害国家利益和社会公共利益的，双方当事人应当以书面形式变更合同。有过错的一方应当承担赔偿责任，双方当事人都有过错的，各自承担相应的责任。</w:t>
      </w:r>
    </w:p>
    <w:p w14:paraId="6158F9F7">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2.9 合同转让和分包</w:t>
      </w:r>
    </w:p>
    <w:p w14:paraId="2D7A75F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E0B3FAB">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2.10 不可抗力</w:t>
      </w:r>
    </w:p>
    <w:p w14:paraId="209667E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2.10.1如果任何一方遭遇法律规定的不可抗力，致使合同履行受阻时，履行合同的期限应予延长，延长的期限应相当于不可抗力所影响的时间；</w:t>
      </w:r>
    </w:p>
    <w:p w14:paraId="451CC82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2.10.2受不可抗力影响的一方在不可抗力发生后，应在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14:paraId="7C378C0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2.10.3 因不可抗力致使不能实现合同目的的，当事人可以解除合同；</w:t>
      </w:r>
    </w:p>
    <w:p w14:paraId="7A04FA0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2.10.4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14:paraId="2BF8018F">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2.11 税费</w:t>
      </w:r>
    </w:p>
    <w:p w14:paraId="646094E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683D4678">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2.12 乙方破产</w:t>
      </w:r>
    </w:p>
    <w:p w14:paraId="11C560A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C19D88F">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2.13 合同中止、终止</w:t>
      </w:r>
    </w:p>
    <w:p w14:paraId="6695C36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2.13.1 双方当事人不得擅自中止或者终止合同；</w:t>
      </w:r>
    </w:p>
    <w:p w14:paraId="1A7573D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2.13.2合同继续履行将损害国家利益和社会公共利益的，双方当事人应当中止或者终止合同。有过错的一方应当承担赔偿责任，双方当事人都有过错的，各自承担相应的责任。</w:t>
      </w:r>
    </w:p>
    <w:p w14:paraId="26EA1F3B">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2.14 验收</w:t>
      </w:r>
    </w:p>
    <w:p w14:paraId="7EBCD44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2.14.1合同期满或者履行完毕后，乙方在</w:t>
      </w:r>
      <w:r>
        <w:rPr>
          <w:rFonts w:hint="eastAsia" w:ascii="仿宋_GB2312" w:hAnsi="楷体" w:eastAsia="仿宋_GB2312"/>
          <w:b/>
          <w:i/>
          <w:color w:val="auto"/>
          <w:sz w:val="24"/>
          <w:highlight w:val="none"/>
          <w:u w:val="single"/>
        </w:rPr>
        <w:t xml:space="preserve">       </w:t>
      </w:r>
      <w:r>
        <w:rPr>
          <w:rFonts w:hint="eastAsia" w:ascii="仿宋_GB2312" w:hAnsi="楷体" w:eastAsia="仿宋_GB2312"/>
          <w:color w:val="auto"/>
          <w:sz w:val="24"/>
          <w:highlight w:val="none"/>
        </w:rPr>
        <w:t>（根据项目实际情况描述）约定时间内组织验收，并可依法邀请相关方参加，验收应出具验收书。</w:t>
      </w:r>
    </w:p>
    <w:p w14:paraId="2D288A5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2.14.2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74F669A">
      <w:pPr>
        <w:tabs>
          <w:tab w:val="left" w:pos="904"/>
        </w:tabs>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2.14.3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0C1FCA43">
      <w:pPr>
        <w:tabs>
          <w:tab w:val="left" w:pos="904"/>
        </w:tabs>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2.14.4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A9F152D">
      <w:pPr>
        <w:tabs>
          <w:tab w:val="left" w:pos="904"/>
        </w:tabs>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2.14.5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3FC38F7">
      <w:pPr>
        <w:tabs>
          <w:tab w:val="left" w:pos="904"/>
        </w:tabs>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2.14.6验收内容及资料要求：</w:t>
      </w:r>
    </w:p>
    <w:p w14:paraId="7E22187E">
      <w:pPr>
        <w:tabs>
          <w:tab w:val="left" w:pos="904"/>
        </w:tabs>
        <w:snapToGri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根根据采购文件确定的技术指标或者服务要求确定验收指标和标准。未进行相应约定的，应当符合国家强制性规定、政策要求、安全标准、行业或企业有关标准等。</w:t>
      </w:r>
    </w:p>
    <w:p w14:paraId="7D12A5E3">
      <w:pPr>
        <w:tabs>
          <w:tab w:val="left" w:pos="904"/>
        </w:tabs>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2.14.7</w:t>
      </w:r>
      <w:r>
        <w:rPr>
          <w:rFonts w:hint="eastAsia" w:ascii="仿宋" w:hAnsi="仿宋" w:eastAsia="仿宋" w:cs="仿宋"/>
          <w:color w:val="auto"/>
          <w:sz w:val="24"/>
          <w:highlight w:val="none"/>
        </w:rPr>
        <w:t>验收内容</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914"/>
        <w:gridCol w:w="5930"/>
      </w:tblGrid>
      <w:tr w14:paraId="777C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tcBorders>
              <w:top w:val="single" w:color="auto" w:sz="4" w:space="0"/>
              <w:left w:val="single" w:color="auto" w:sz="4" w:space="0"/>
              <w:bottom w:val="single" w:color="auto" w:sz="4" w:space="0"/>
              <w:right w:val="single" w:color="auto" w:sz="4" w:space="0"/>
            </w:tcBorders>
            <w:vAlign w:val="center"/>
          </w:tcPr>
          <w:p w14:paraId="4F72E914">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06648899">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59D91160">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验收标准</w:t>
            </w:r>
          </w:p>
        </w:tc>
      </w:tr>
      <w:tr w14:paraId="497C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7AA5A683">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vAlign w:val="center"/>
          </w:tcPr>
          <w:p w14:paraId="3FF1E767">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服务要求</w:t>
            </w:r>
          </w:p>
        </w:tc>
        <w:tc>
          <w:tcPr>
            <w:tcW w:w="5930" w:type="dxa"/>
            <w:tcBorders>
              <w:top w:val="single" w:color="auto" w:sz="4" w:space="0"/>
              <w:left w:val="single" w:color="auto" w:sz="4" w:space="0"/>
              <w:bottom w:val="single" w:color="auto" w:sz="4" w:space="0"/>
              <w:right w:val="single" w:color="auto" w:sz="4" w:space="0"/>
            </w:tcBorders>
            <w:vAlign w:val="center"/>
          </w:tcPr>
          <w:p w14:paraId="3E471EFA">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是否按照采购文件及投标文件的承诺提供服务</w:t>
            </w:r>
          </w:p>
        </w:tc>
      </w:tr>
    </w:tbl>
    <w:p w14:paraId="3E71D5BF">
      <w:pPr>
        <w:tabs>
          <w:tab w:val="left" w:pos="904"/>
        </w:tabs>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3021D74E">
      <w:pPr>
        <w:tabs>
          <w:tab w:val="left" w:pos="904"/>
        </w:tabs>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2.14.8验收资料要求</w:t>
      </w:r>
    </w:p>
    <w:p w14:paraId="1D4D99CA">
      <w:pPr>
        <w:tabs>
          <w:tab w:val="left" w:pos="904"/>
        </w:tabs>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14:paraId="451194AD">
      <w:pPr>
        <w:tabs>
          <w:tab w:val="left" w:pos="904"/>
        </w:tabs>
        <w:adjustRightInd w:val="0"/>
        <w:snapToGrid w:val="0"/>
        <w:spacing w:line="360" w:lineRule="auto"/>
        <w:ind w:firstLine="240" w:firstLineChars="100"/>
        <w:jc w:val="left"/>
        <w:rPr>
          <w:rFonts w:ascii="仿宋" w:hAnsi="仿宋" w:eastAsia="仿宋" w:cs="仿宋"/>
          <w:color w:val="auto"/>
          <w:sz w:val="24"/>
          <w:highlight w:val="none"/>
        </w:rPr>
      </w:pPr>
      <w:r>
        <w:rPr>
          <w:rFonts w:hint="eastAsia" w:ascii="仿宋" w:hAnsi="仿宋" w:eastAsia="仿宋" w:cs="仿宋"/>
          <w:color w:val="auto"/>
          <w:sz w:val="24"/>
          <w:highlight w:val="none"/>
        </w:rPr>
        <w:t>（1）采购文件；</w:t>
      </w:r>
    </w:p>
    <w:p w14:paraId="4E8196D3">
      <w:pPr>
        <w:tabs>
          <w:tab w:val="left" w:pos="904"/>
        </w:tabs>
        <w:adjustRightInd w:val="0"/>
        <w:snapToGrid w:val="0"/>
        <w:spacing w:line="360" w:lineRule="auto"/>
        <w:ind w:firstLine="240" w:firstLineChars="100"/>
        <w:jc w:val="left"/>
        <w:rPr>
          <w:rFonts w:ascii="仿宋" w:hAnsi="仿宋" w:eastAsia="仿宋" w:cs="仿宋"/>
          <w:color w:val="auto"/>
          <w:sz w:val="24"/>
          <w:highlight w:val="none"/>
        </w:rPr>
      </w:pPr>
      <w:r>
        <w:rPr>
          <w:rFonts w:hint="eastAsia" w:ascii="仿宋" w:hAnsi="仿宋" w:eastAsia="仿宋" w:cs="仿宋"/>
          <w:color w:val="auto"/>
          <w:sz w:val="24"/>
          <w:highlight w:val="none"/>
        </w:rPr>
        <w:t>（2）投标文件；</w:t>
      </w:r>
    </w:p>
    <w:p w14:paraId="5C83FEA8">
      <w:pPr>
        <w:tabs>
          <w:tab w:val="left" w:pos="904"/>
        </w:tabs>
        <w:adjustRightInd w:val="0"/>
        <w:snapToGrid w:val="0"/>
        <w:spacing w:line="360" w:lineRule="auto"/>
        <w:ind w:firstLine="240" w:firstLineChars="100"/>
        <w:jc w:val="left"/>
        <w:rPr>
          <w:rFonts w:ascii="仿宋" w:hAnsi="仿宋" w:eastAsia="仿宋" w:cs="仿宋"/>
          <w:color w:val="auto"/>
          <w:sz w:val="24"/>
          <w:highlight w:val="none"/>
        </w:rPr>
      </w:pPr>
      <w:r>
        <w:rPr>
          <w:rFonts w:hint="eastAsia" w:ascii="仿宋" w:hAnsi="仿宋" w:eastAsia="仿宋" w:cs="仿宋"/>
          <w:color w:val="auto"/>
          <w:sz w:val="24"/>
          <w:highlight w:val="none"/>
        </w:rPr>
        <w:t>（3）采购合同；</w:t>
      </w:r>
    </w:p>
    <w:p w14:paraId="4ECD6359">
      <w:pPr>
        <w:tabs>
          <w:tab w:val="left" w:pos="904"/>
        </w:tabs>
        <w:adjustRightInd w:val="0"/>
        <w:snapToGrid w:val="0"/>
        <w:spacing w:line="360" w:lineRule="auto"/>
        <w:ind w:firstLine="240" w:firstLineChars="100"/>
        <w:jc w:val="left"/>
        <w:rPr>
          <w:color w:val="auto"/>
          <w:highlight w:val="none"/>
        </w:rPr>
      </w:pPr>
      <w:r>
        <w:rPr>
          <w:rFonts w:hint="eastAsia" w:ascii="仿宋" w:hAnsi="仿宋" w:eastAsia="仿宋" w:cs="仿宋"/>
          <w:color w:val="auto"/>
          <w:sz w:val="24"/>
          <w:highlight w:val="none"/>
        </w:rPr>
        <w:t>（4）其他需提供的相关材料。</w:t>
      </w:r>
    </w:p>
    <w:p w14:paraId="386931E3">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2.15 通知和送达</w:t>
      </w:r>
    </w:p>
    <w:p w14:paraId="36ABA22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2.15.1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 xml:space="preserve"> </w:t>
      </w:r>
      <w:r>
        <w:rPr>
          <w:rFonts w:ascii="仿宋_GB2312" w:hAnsi="楷体" w:eastAsia="仿宋_GB2312"/>
          <w:color w:val="auto"/>
          <w:sz w:val="24"/>
          <w:highlight w:val="none"/>
          <w:u w:val="single"/>
        </w:rPr>
        <w:t>3</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个工作日内书面通知对方当事人，在对方当事人收到有关变更通知之前，变更前的约定送达方式或者地址仍视为有效。</w:t>
      </w:r>
    </w:p>
    <w:p w14:paraId="7178F0C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p>
    <w:p w14:paraId="47BA2C74">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2.16 计量单位</w:t>
      </w:r>
    </w:p>
    <w:p w14:paraId="4C484B7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14:paraId="0C83C83C">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2.17 合同使用的文字和适用的法律</w:t>
      </w:r>
    </w:p>
    <w:p w14:paraId="36A55B8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2.17.1 合同使用汉语书就、变更和解释；</w:t>
      </w:r>
    </w:p>
    <w:p w14:paraId="00B4E03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2.17.2 合同适用中华人民共和国法律。</w:t>
      </w:r>
    </w:p>
    <w:p w14:paraId="360ABB8E">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2.18 履约保证金</w:t>
      </w:r>
    </w:p>
    <w:p w14:paraId="54CA100D">
      <w:pPr>
        <w:spacing w:line="360" w:lineRule="auto"/>
        <w:ind w:firstLine="480" w:firstLineChars="200"/>
        <w:rPr>
          <w:rFonts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14:paraId="66D6A361">
      <w:pPr>
        <w:spacing w:line="360" w:lineRule="auto"/>
        <w:ind w:firstLine="482" w:firstLineChars="200"/>
        <w:rPr>
          <w:rFonts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2.19 中小企业政策</w:t>
      </w:r>
    </w:p>
    <w:p w14:paraId="5346A637">
      <w:pPr>
        <w:spacing w:line="360" w:lineRule="auto"/>
        <w:ind w:firstLine="480" w:firstLineChars="200"/>
        <w:rPr>
          <w:rFonts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w:t>
      </w:r>
      <w:r>
        <w:rPr>
          <w:rFonts w:hint="eastAsia" w:ascii="仿宋_GB2312" w:hAnsi="仿宋" w:eastAsia="仿宋_GB2312"/>
          <w:color w:val="auto"/>
          <w:kern w:val="0"/>
          <w:sz w:val="24"/>
          <w:highlight w:val="none"/>
        </w:rPr>
        <w:t>19</w:t>
      </w:r>
      <w:r>
        <w:rPr>
          <w:rFonts w:hint="eastAsia" w:ascii="仿宋_GB2312" w:hAnsi="仿宋" w:eastAsia="仿宋_GB2312"/>
          <w:color w:val="auto"/>
          <w:kern w:val="0"/>
          <w:sz w:val="24"/>
          <w:highlight w:val="none"/>
          <w:lang w:val="zh-CN"/>
        </w:rPr>
        <w:t xml:space="preserve">.1本合同（□是  </w:t>
      </w:r>
      <w:r>
        <w:rPr>
          <w:rFonts w:hint="eastAsia" w:ascii="仿宋_GB2312" w:hAnsi="仿宋" w:eastAsia="仿宋_GB2312"/>
          <w:color w:val="auto"/>
          <w:kern w:val="0"/>
          <w:sz w:val="24"/>
          <w:highlight w:val="none"/>
          <w:lang w:val="zh-CN"/>
        </w:rPr>
        <w:sym w:font="Wingdings 2" w:char="F052"/>
      </w:r>
      <w:r>
        <w:rPr>
          <w:rFonts w:hint="eastAsia" w:ascii="仿宋_GB2312" w:hAnsi="仿宋" w:eastAsia="仿宋_GB2312"/>
          <w:color w:val="auto"/>
          <w:kern w:val="0"/>
          <w:sz w:val="24"/>
          <w:highlight w:val="none"/>
          <w:lang w:val="zh-CN"/>
        </w:rPr>
        <w:t>否）为中小企业“政采贷”可融资合同，关于中小企业信用融资事项见采购文件“投标人须知正文”。</w:t>
      </w:r>
    </w:p>
    <w:p w14:paraId="58636DFC">
      <w:pPr>
        <w:spacing w:line="360" w:lineRule="auto"/>
        <w:ind w:firstLine="480" w:firstLineChars="200"/>
        <w:rPr>
          <w:rFonts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w:t>
      </w:r>
      <w:r>
        <w:rPr>
          <w:rFonts w:hint="eastAsia" w:ascii="仿宋_GB2312" w:hAnsi="仿宋" w:eastAsia="仿宋_GB2312"/>
          <w:color w:val="auto"/>
          <w:kern w:val="0"/>
          <w:sz w:val="24"/>
          <w:highlight w:val="none"/>
        </w:rPr>
        <w:t>19</w:t>
      </w:r>
      <w:r>
        <w:rPr>
          <w:rFonts w:hint="eastAsia" w:ascii="仿宋_GB2312" w:hAnsi="仿宋" w:eastAsia="仿宋_GB2312"/>
          <w:color w:val="auto"/>
          <w:kern w:val="0"/>
          <w:sz w:val="24"/>
          <w:highlight w:val="none"/>
          <w:lang w:val="zh-CN"/>
        </w:rPr>
        <w:t>.2本合同（</w:t>
      </w:r>
      <w:r>
        <w:rPr>
          <w:rFonts w:hint="eastAsia" w:ascii="仿宋_GB2312" w:hAnsi="仿宋" w:eastAsia="仿宋_GB2312"/>
          <w:color w:val="auto"/>
          <w:kern w:val="0"/>
          <w:sz w:val="24"/>
          <w:highlight w:val="none"/>
          <w:lang w:val="zh-CN"/>
        </w:rPr>
        <w:sym w:font="Wingdings 2" w:char="00A3"/>
      </w:r>
      <w:r>
        <w:rPr>
          <w:rFonts w:hint="eastAsia" w:ascii="仿宋_GB2312" w:hAnsi="仿宋" w:eastAsia="仿宋_GB2312"/>
          <w:color w:val="auto"/>
          <w:kern w:val="0"/>
          <w:sz w:val="24"/>
          <w:highlight w:val="none"/>
          <w:lang w:val="zh-CN"/>
        </w:rPr>
        <w:t>是  ☑否）为中小企业预留合同。</w:t>
      </w:r>
    </w:p>
    <w:p w14:paraId="797F4CDC">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2.20 合同份数</w:t>
      </w:r>
    </w:p>
    <w:p w14:paraId="23B49ED7">
      <w:pPr>
        <w:spacing w:line="360" w:lineRule="auto"/>
        <w:ind w:firstLine="480" w:firstLineChars="200"/>
        <w:rPr>
          <w:rFonts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份，甲方执</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份，乙方执</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份，代理机构执</w:t>
      </w:r>
      <w:r>
        <w:rPr>
          <w:rFonts w:hint="eastAsia" w:ascii="仿宋_GB2312" w:hAnsi="宋体" w:eastAsia="仿宋_GB2312"/>
          <w:color w:val="auto"/>
          <w:sz w:val="24"/>
          <w:highlight w:val="none"/>
          <w:u w:val="single"/>
        </w:rPr>
        <w:t xml:space="preserve"> 壹 </w:t>
      </w:r>
      <w:r>
        <w:rPr>
          <w:rFonts w:hint="eastAsia" w:ascii="仿宋_GB2312" w:hAnsi="宋体" w:eastAsia="仿宋_GB2312"/>
          <w:color w:val="auto"/>
          <w:sz w:val="24"/>
          <w:highlight w:val="none"/>
        </w:rPr>
        <w:t>份。</w:t>
      </w:r>
      <w:r>
        <w:rPr>
          <w:rFonts w:hint="eastAsia" w:ascii="仿宋_GB2312" w:hAnsi="楷体" w:eastAsia="仿宋_GB2312"/>
          <w:color w:val="auto"/>
          <w:sz w:val="24"/>
          <w:highlight w:val="none"/>
        </w:rPr>
        <w:t>每份均具有同等法律效力。</w:t>
      </w:r>
    </w:p>
    <w:p w14:paraId="633E6EF4">
      <w:pPr>
        <w:spacing w:line="360" w:lineRule="auto"/>
        <w:jc w:val="center"/>
        <w:rPr>
          <w:rFonts w:ascii="仿宋_GB2312" w:hAnsi="楷体" w:eastAsia="仿宋_GB2312"/>
          <w:b/>
          <w:color w:val="auto"/>
          <w:sz w:val="28"/>
          <w:szCs w:val="28"/>
          <w:highlight w:val="none"/>
        </w:rPr>
      </w:pPr>
      <w:r>
        <w:rPr>
          <w:rFonts w:hint="eastAsia" w:ascii="仿宋_GB2312" w:hAnsi="楷体" w:eastAsia="仿宋_GB2312"/>
          <w:color w:val="auto"/>
          <w:highlight w:val="none"/>
        </w:rPr>
        <w:br w:type="page"/>
      </w:r>
      <w:r>
        <w:rPr>
          <w:rFonts w:hint="eastAsia" w:ascii="仿宋_GB2312" w:hAnsi="楷体" w:eastAsia="仿宋_GB2312"/>
          <w:b/>
          <w:color w:val="auto"/>
          <w:sz w:val="28"/>
          <w:szCs w:val="28"/>
          <w:highlight w:val="none"/>
        </w:rPr>
        <w:t>第三部分  合同专用条款</w:t>
      </w:r>
    </w:p>
    <w:p w14:paraId="6D33601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66FAC100">
      <w:pPr>
        <w:spacing w:line="360" w:lineRule="auto"/>
        <w:ind w:firstLine="480" w:firstLineChars="200"/>
        <w:rPr>
          <w:rFonts w:ascii="仿宋_GB2312" w:hAnsi="楷体" w:eastAsia="仿宋_GB2312"/>
          <w:color w:val="auto"/>
          <w:sz w:val="24"/>
          <w:highlight w:val="none"/>
        </w:rPr>
      </w:pPr>
      <w:r>
        <w:rPr>
          <w:rFonts w:ascii="仿宋_GB2312" w:hAnsi="楷体" w:eastAsia="仿宋_GB2312"/>
          <w:color w:val="auto"/>
          <w:sz w:val="24"/>
          <w:highlight w:val="none"/>
        </w:rPr>
        <w:t>3</w:t>
      </w:r>
      <w:r>
        <w:rPr>
          <w:rFonts w:hint="eastAsia" w:ascii="仿宋_GB2312" w:hAnsi="楷体" w:eastAsia="仿宋_GB2312"/>
          <w:color w:val="auto"/>
          <w:sz w:val="24"/>
          <w:highlight w:val="none"/>
        </w:rPr>
        <w:t>.</w:t>
      </w:r>
      <w:r>
        <w:rPr>
          <w:rFonts w:ascii="仿宋_GB2312" w:hAnsi="楷体" w:eastAsia="仿宋_GB2312"/>
          <w:color w:val="auto"/>
          <w:sz w:val="24"/>
          <w:highlight w:val="none"/>
        </w:rPr>
        <w:t>1</w:t>
      </w:r>
      <w:r>
        <w:rPr>
          <w:rFonts w:hint="eastAsia" w:ascii="仿宋_GB2312" w:hAnsi="楷体" w:eastAsia="仿宋_GB2312"/>
          <w:color w:val="auto"/>
          <w:sz w:val="24"/>
          <w:highlight w:val="none"/>
        </w:rPr>
        <w:t>具有知识产权的标的物知识产权归属：</w:t>
      </w:r>
    </w:p>
    <w:p w14:paraId="3CCB0B1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u w:val="single"/>
        </w:rPr>
        <w:t xml:space="preserve">     南宁市自然资源局                           </w:t>
      </w:r>
      <w:r>
        <w:rPr>
          <w:rFonts w:hint="eastAsia" w:ascii="仿宋_GB2312" w:hAnsi="楷体" w:eastAsia="仿宋_GB2312"/>
          <w:color w:val="auto"/>
          <w:sz w:val="24"/>
          <w:highlight w:val="none"/>
        </w:rPr>
        <w:t xml:space="preserve">           </w:t>
      </w:r>
    </w:p>
    <w:p w14:paraId="547484DC">
      <w:pPr>
        <w:spacing w:line="360" w:lineRule="auto"/>
        <w:ind w:firstLine="480" w:firstLineChars="200"/>
        <w:rPr>
          <w:rFonts w:ascii="仿宋_GB2312" w:hAnsi="楷体" w:eastAsia="仿宋_GB2312"/>
          <w:color w:val="auto"/>
          <w:sz w:val="24"/>
          <w:highlight w:val="none"/>
        </w:rPr>
      </w:pPr>
      <w:r>
        <w:rPr>
          <w:rFonts w:ascii="仿宋_GB2312" w:hAnsi="楷体" w:eastAsia="仿宋_GB2312"/>
          <w:color w:val="auto"/>
          <w:sz w:val="24"/>
          <w:highlight w:val="none"/>
        </w:rPr>
        <w:t>3</w:t>
      </w:r>
      <w:r>
        <w:rPr>
          <w:rFonts w:hint="eastAsia" w:ascii="仿宋_GB2312" w:hAnsi="楷体" w:eastAsia="仿宋_GB2312"/>
          <w:color w:val="auto"/>
          <w:sz w:val="24"/>
          <w:highlight w:val="none"/>
        </w:rPr>
        <w:t>.</w:t>
      </w:r>
      <w:r>
        <w:rPr>
          <w:rFonts w:ascii="仿宋_GB2312" w:hAnsi="楷体" w:eastAsia="仿宋_GB2312"/>
          <w:color w:val="auto"/>
          <w:sz w:val="24"/>
          <w:highlight w:val="none"/>
        </w:rPr>
        <w:t>2</w:t>
      </w:r>
      <w:r>
        <w:rPr>
          <w:rFonts w:hint="eastAsia" w:ascii="仿宋_GB2312" w:hAnsi="楷体" w:eastAsia="仿宋_GB2312"/>
          <w:color w:val="auto"/>
          <w:sz w:val="24"/>
          <w:highlight w:val="none"/>
        </w:rPr>
        <w:t>包装和装运专用条款（如果有）：</w:t>
      </w:r>
    </w:p>
    <w:p w14:paraId="1519C52A">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无                                             </w:t>
      </w:r>
    </w:p>
    <w:p w14:paraId="18AD9C8D">
      <w:pPr>
        <w:spacing w:line="360" w:lineRule="auto"/>
        <w:ind w:firstLine="480" w:firstLineChars="200"/>
        <w:rPr>
          <w:rFonts w:ascii="仿宋_GB2312" w:hAnsi="楷体" w:eastAsia="仿宋_GB2312"/>
          <w:color w:val="auto"/>
          <w:sz w:val="24"/>
          <w:highlight w:val="none"/>
        </w:rPr>
      </w:pPr>
      <w:r>
        <w:rPr>
          <w:rFonts w:ascii="仿宋_GB2312" w:hAnsi="楷体" w:eastAsia="仿宋_GB2312"/>
          <w:color w:val="auto"/>
          <w:sz w:val="24"/>
          <w:highlight w:val="none"/>
        </w:rPr>
        <w:t>3.3</w:t>
      </w:r>
      <w:r>
        <w:rPr>
          <w:rFonts w:hint="eastAsia" w:ascii="仿宋_GB2312" w:hAnsi="楷体" w:eastAsia="仿宋_GB2312"/>
          <w:color w:val="auto"/>
          <w:sz w:val="24"/>
          <w:highlight w:val="none"/>
        </w:rPr>
        <w:t>装运标的物的要求和通知：</w:t>
      </w:r>
    </w:p>
    <w:p w14:paraId="575B7AD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u w:val="single"/>
        </w:rPr>
        <w:t xml:space="preserve">     无                                             </w:t>
      </w:r>
    </w:p>
    <w:p w14:paraId="6B84EEC9">
      <w:pPr>
        <w:spacing w:line="360" w:lineRule="auto"/>
        <w:ind w:firstLine="480" w:firstLineChars="200"/>
        <w:rPr>
          <w:rFonts w:ascii="仿宋_GB2312" w:hAnsi="楷体" w:eastAsia="仿宋_GB2312"/>
          <w:b/>
          <w:color w:val="auto"/>
          <w:sz w:val="24"/>
          <w:highlight w:val="none"/>
        </w:rPr>
      </w:pPr>
      <w:r>
        <w:rPr>
          <w:rFonts w:hint="eastAsia" w:ascii="仿宋_GB2312" w:hAnsi="楷体" w:eastAsia="仿宋_GB2312"/>
          <w:color w:val="auto"/>
          <w:sz w:val="24"/>
          <w:highlight w:val="none"/>
        </w:rPr>
        <w:t>3.4</w:t>
      </w:r>
      <w:r>
        <w:rPr>
          <w:rFonts w:hint="eastAsia" w:ascii="仿宋_GB2312" w:hAnsi="楷体" w:eastAsia="仿宋_GB2312"/>
          <w:b/>
          <w:color w:val="auto"/>
          <w:sz w:val="24"/>
          <w:highlight w:val="none"/>
        </w:rPr>
        <w:t>结算方式和付款条件</w:t>
      </w:r>
    </w:p>
    <w:p w14:paraId="65C97CF1">
      <w:pPr>
        <w:spacing w:line="360" w:lineRule="auto"/>
        <w:ind w:firstLine="480" w:firstLineChars="200"/>
        <w:rPr>
          <w:rFonts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本次项目合同总价为大写人民币</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元）。本项目采用以下勾选结算方式进行支付：</w:t>
      </w:r>
    </w:p>
    <w:p w14:paraId="7DCB275A">
      <w:pPr>
        <w:spacing w:line="360" w:lineRule="auto"/>
        <w:ind w:firstLine="480" w:firstLineChars="200"/>
        <w:rPr>
          <w:rFonts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□采用一次性支付方式，付款条件为：</w:t>
      </w:r>
      <w:r>
        <w:rPr>
          <w:rFonts w:hint="eastAsia" w:ascii="仿宋_GB2312" w:eastAsia="仿宋_GB2312" w:cs="仿宋_GB2312"/>
          <w:color w:val="auto"/>
          <w:kern w:val="0"/>
          <w:sz w:val="24"/>
          <w:highlight w:val="none"/>
          <w:u w:val="single"/>
        </w:rPr>
        <w:t xml:space="preserve">           </w:t>
      </w:r>
    </w:p>
    <w:p w14:paraId="75B1A6EC">
      <w:pPr>
        <w:spacing w:line="360" w:lineRule="auto"/>
        <w:ind w:firstLine="480" w:firstLineChars="200"/>
        <w:rPr>
          <w:rFonts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sym w:font="Wingdings 2" w:char="00A3"/>
      </w:r>
      <w:r>
        <w:rPr>
          <w:rFonts w:hint="eastAsia" w:ascii="仿宋_GB2312" w:eastAsia="仿宋_GB2312" w:cs="仿宋_GB2312"/>
          <w:color w:val="auto"/>
          <w:kern w:val="0"/>
          <w:sz w:val="24"/>
          <w:highlight w:val="none"/>
          <w:lang w:val="zh-CN"/>
        </w:rPr>
        <w:t>采用分期付款方式，付款条件为</w:t>
      </w:r>
      <w:r>
        <w:rPr>
          <w:rFonts w:hint="eastAsia" w:ascii="仿宋_GB2312" w:eastAsia="仿宋_GB2312" w:cs="仿宋_GB2312"/>
          <w:color w:val="auto"/>
          <w:kern w:val="0"/>
          <w:sz w:val="24"/>
          <w:highlight w:val="none"/>
        </w:rPr>
        <w:t>：</w:t>
      </w:r>
    </w:p>
    <w:p w14:paraId="3B5D960F">
      <w:pPr>
        <w:spacing w:line="360" w:lineRule="auto"/>
        <w:ind w:firstLine="480" w:firstLineChars="200"/>
        <w:rPr>
          <w:rFonts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第一期付款</w:t>
      </w:r>
      <w:r>
        <w:rPr>
          <w:rFonts w:hint="eastAsia" w:ascii="仿宋_GB2312" w:eastAsia="仿宋_GB2312" w:cs="仿宋_GB2312"/>
          <w:color w:val="auto"/>
          <w:kern w:val="0"/>
          <w:sz w:val="24"/>
          <w:highlight w:val="none"/>
        </w:rPr>
        <w:t>：</w:t>
      </w:r>
      <w:r>
        <w:rPr>
          <w:rFonts w:hint="eastAsia" w:ascii="仿宋_GB2312" w:hAnsi="楷体" w:eastAsia="仿宋_GB2312"/>
          <w:color w:val="auto"/>
          <w:sz w:val="24"/>
          <w:highlight w:val="none"/>
          <w:u w:val="single"/>
        </w:rPr>
        <w:t xml:space="preserve">                   </w:t>
      </w:r>
    </w:p>
    <w:p w14:paraId="10528DB3">
      <w:pPr>
        <w:spacing w:line="360" w:lineRule="auto"/>
        <w:ind w:firstLine="480" w:firstLineChars="200"/>
        <w:rPr>
          <w:rFonts w:ascii="仿宋_GB2312" w:hAnsi="楷体" w:eastAsia="仿宋_GB2312"/>
          <w:color w:val="auto"/>
          <w:sz w:val="24"/>
          <w:highlight w:val="none"/>
          <w:u w:val="single"/>
        </w:rPr>
      </w:pPr>
      <w:r>
        <w:rPr>
          <w:rFonts w:hint="eastAsia" w:ascii="仿宋_GB2312" w:eastAsia="仿宋_GB2312" w:cs="仿宋_GB2312"/>
          <w:color w:val="auto"/>
          <w:kern w:val="0"/>
          <w:sz w:val="24"/>
          <w:highlight w:val="none"/>
          <w:lang w:val="zh-CN"/>
        </w:rPr>
        <w:t>第</w:t>
      </w:r>
      <w:r>
        <w:rPr>
          <w:rFonts w:hint="eastAsia" w:ascii="仿宋_GB2312" w:eastAsia="仿宋_GB2312" w:cs="仿宋_GB2312"/>
          <w:color w:val="auto"/>
          <w:kern w:val="0"/>
          <w:sz w:val="24"/>
          <w:highlight w:val="none"/>
        </w:rPr>
        <w:t>二</w:t>
      </w:r>
      <w:r>
        <w:rPr>
          <w:rFonts w:hint="eastAsia" w:ascii="仿宋_GB2312" w:eastAsia="仿宋_GB2312" w:cs="仿宋_GB2312"/>
          <w:color w:val="auto"/>
          <w:kern w:val="0"/>
          <w:sz w:val="24"/>
          <w:highlight w:val="none"/>
          <w:lang w:val="zh-CN"/>
        </w:rPr>
        <w:t>期付款</w:t>
      </w:r>
      <w:r>
        <w:rPr>
          <w:rFonts w:hint="eastAsia" w:ascii="仿宋_GB2312" w:eastAsia="仿宋_GB2312" w:cs="仿宋_GB2312"/>
          <w:color w:val="auto"/>
          <w:kern w:val="0"/>
          <w:sz w:val="24"/>
          <w:highlight w:val="none"/>
        </w:rPr>
        <w:t>：</w:t>
      </w:r>
      <w:r>
        <w:rPr>
          <w:rFonts w:hint="eastAsia" w:ascii="仿宋_GB2312" w:hAnsi="楷体" w:eastAsia="仿宋_GB2312"/>
          <w:color w:val="auto"/>
          <w:sz w:val="24"/>
          <w:highlight w:val="none"/>
          <w:u w:val="single"/>
        </w:rPr>
        <w:t xml:space="preserve">                  </w:t>
      </w:r>
    </w:p>
    <w:p w14:paraId="4A12D41C">
      <w:pPr>
        <w:spacing w:line="360" w:lineRule="auto"/>
        <w:ind w:firstLine="480" w:firstLineChars="200"/>
        <w:rPr>
          <w:rFonts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rPr>
        <w:t>……</w:t>
      </w:r>
    </w:p>
    <w:p w14:paraId="4F6005F8">
      <w:pPr>
        <w:spacing w:line="360" w:lineRule="auto"/>
        <w:ind w:firstLine="480" w:firstLineChars="200"/>
        <w:rPr>
          <w:rFonts w:ascii="仿宋_GB2312" w:hAnsi="楷体" w:eastAsia="仿宋_GB2312"/>
          <w:color w:val="auto"/>
          <w:sz w:val="24"/>
          <w:highlight w:val="none"/>
          <w:u w:val="single"/>
        </w:rPr>
      </w:pPr>
      <w:bookmarkStart w:id="72" w:name="_Hlk162972944"/>
      <w:r>
        <w:rPr>
          <w:rFonts w:hint="eastAsia" w:ascii="仿宋_GB2312" w:eastAsia="仿宋_GB2312" w:cs="仿宋_GB2312"/>
          <w:color w:val="auto"/>
          <w:kern w:val="0"/>
          <w:sz w:val="24"/>
          <w:highlight w:val="none"/>
        </w:rPr>
        <w:t>（单价的单位根据项目实际修改）</w:t>
      </w:r>
      <w:bookmarkEnd w:id="72"/>
    </w:p>
    <w:p w14:paraId="31D1E618">
      <w:pPr>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支付服务费前，乙方需开具合法且与合同内容相符的等额增值税专用发票、请款函及提供相应阶段修改完善后成果给甲方，如乙方不能及时提供上述材料导致付款延迟的，甲方不承担违约责任。甲方无故逾期支付服务费用的，按照每逾期一日支付欠付服务费额度的</w:t>
      </w:r>
      <w:r>
        <w:rPr>
          <w:rFonts w:hint="eastAsia" w:ascii="仿宋_GB2312" w:hAnsi="仿宋" w:eastAsia="仿宋_GB2312"/>
          <w:color w:val="auto"/>
          <w:sz w:val="24"/>
          <w:highlight w:val="none"/>
          <w:u w:val="single"/>
        </w:rPr>
        <w:t>万分之二</w:t>
      </w:r>
      <w:r>
        <w:rPr>
          <w:rFonts w:hint="eastAsia" w:ascii="仿宋_GB2312" w:hAnsi="仿宋" w:eastAsia="仿宋_GB2312"/>
          <w:color w:val="auto"/>
          <w:sz w:val="24"/>
          <w:highlight w:val="none"/>
        </w:rPr>
        <w:t>承担违约责任，违约金上限按照《合同书》约定执行。</w:t>
      </w:r>
    </w:p>
    <w:p w14:paraId="5C74E8E1">
      <w:pPr>
        <w:spacing w:line="360" w:lineRule="auto"/>
        <w:ind w:firstLine="480" w:firstLineChars="200"/>
        <w:rPr>
          <w:rFonts w:ascii="仿宋_GB2312" w:hAnsi="楷体" w:eastAsia="仿宋_GB2312"/>
          <w:b/>
          <w:color w:val="auto"/>
          <w:sz w:val="24"/>
          <w:highlight w:val="none"/>
        </w:rPr>
      </w:pPr>
      <w:r>
        <w:rPr>
          <w:rFonts w:ascii="仿宋_GB2312" w:hAnsi="楷体" w:eastAsia="仿宋_GB2312"/>
          <w:color w:val="auto"/>
          <w:sz w:val="24"/>
          <w:highlight w:val="none"/>
        </w:rPr>
        <w:t>3</w:t>
      </w:r>
      <w:r>
        <w:rPr>
          <w:rFonts w:hint="eastAsia" w:ascii="仿宋_GB2312" w:hAnsi="楷体" w:eastAsia="仿宋_GB2312"/>
          <w:color w:val="auto"/>
          <w:sz w:val="24"/>
          <w:highlight w:val="none"/>
        </w:rPr>
        <w:t>.</w:t>
      </w:r>
      <w:r>
        <w:rPr>
          <w:rFonts w:ascii="仿宋_GB2312" w:hAnsi="楷体" w:eastAsia="仿宋_GB2312"/>
          <w:color w:val="auto"/>
          <w:sz w:val="24"/>
          <w:highlight w:val="none"/>
        </w:rPr>
        <w:t>5</w:t>
      </w:r>
      <w:r>
        <w:rPr>
          <w:rFonts w:hint="eastAsia" w:ascii="仿宋_GB2312" w:hAnsi="楷体" w:eastAsia="仿宋_GB2312"/>
          <w:b/>
          <w:color w:val="auto"/>
          <w:sz w:val="24"/>
          <w:highlight w:val="none"/>
        </w:rPr>
        <w:t>标的物的风险负担</w:t>
      </w:r>
    </w:p>
    <w:p w14:paraId="0C16E87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65E1DAB3">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14:paraId="248FF652">
      <w:pPr>
        <w:spacing w:line="360" w:lineRule="auto"/>
        <w:ind w:firstLine="480" w:firstLineChars="200"/>
        <w:rPr>
          <w:rFonts w:ascii="仿宋_GB2312" w:hAnsi="楷体" w:eastAsia="仿宋_GB2312"/>
          <w:color w:val="auto"/>
          <w:sz w:val="24"/>
          <w:highlight w:val="none"/>
        </w:rPr>
      </w:pPr>
      <w:r>
        <w:rPr>
          <w:rFonts w:ascii="仿宋_GB2312" w:hAnsi="楷体" w:eastAsia="仿宋_GB2312"/>
          <w:color w:val="auto"/>
          <w:sz w:val="24"/>
          <w:highlight w:val="none"/>
        </w:rPr>
        <w:t>3</w:t>
      </w:r>
      <w:r>
        <w:rPr>
          <w:rFonts w:hint="eastAsia" w:ascii="仿宋_GB2312" w:hAnsi="楷体" w:eastAsia="仿宋_GB2312"/>
          <w:color w:val="auto"/>
          <w:sz w:val="24"/>
          <w:highlight w:val="none"/>
        </w:rPr>
        <w:t>.</w:t>
      </w:r>
      <w:r>
        <w:rPr>
          <w:rFonts w:ascii="仿宋_GB2312" w:hAnsi="楷体" w:eastAsia="仿宋_GB2312"/>
          <w:color w:val="auto"/>
          <w:sz w:val="24"/>
          <w:highlight w:val="none"/>
        </w:rPr>
        <w:t>5</w:t>
      </w:r>
      <w:r>
        <w:rPr>
          <w:rFonts w:hint="eastAsia" w:ascii="仿宋_GB2312" w:hAnsi="楷体" w:eastAsia="仿宋_GB2312"/>
          <w:color w:val="auto"/>
          <w:sz w:val="24"/>
          <w:highlight w:val="none"/>
        </w:rPr>
        <w:t>.</w:t>
      </w:r>
      <w:r>
        <w:rPr>
          <w:rFonts w:ascii="仿宋_GB2312" w:hAnsi="楷体" w:eastAsia="仿宋_GB2312"/>
          <w:color w:val="auto"/>
          <w:sz w:val="24"/>
          <w:highlight w:val="none"/>
        </w:rPr>
        <w:t>1</w:t>
      </w:r>
      <w:r>
        <w:rPr>
          <w:rFonts w:hint="eastAsia" w:ascii="仿宋_GB2312" w:hAnsi="楷体" w:eastAsia="仿宋_GB2312"/>
          <w:color w:val="auto"/>
          <w:sz w:val="24"/>
          <w:highlight w:val="none"/>
        </w:rPr>
        <w:t>受不可抗力影响的一方在不可抗力发生后，应在</w:t>
      </w:r>
      <w:r>
        <w:rPr>
          <w:rFonts w:hint="eastAsia" w:ascii="仿宋_GB2312" w:hAnsi="楷体" w:eastAsia="仿宋_GB2312"/>
          <w:color w:val="auto"/>
          <w:sz w:val="24"/>
          <w:highlight w:val="none"/>
          <w:u w:val="single"/>
        </w:rPr>
        <w:t xml:space="preserve"> </w:t>
      </w:r>
      <w:r>
        <w:rPr>
          <w:rFonts w:ascii="仿宋_GB2312" w:hAnsi="楷体" w:eastAsia="仿宋_GB2312"/>
          <w:color w:val="auto"/>
          <w:sz w:val="24"/>
          <w:highlight w:val="none"/>
          <w:u w:val="single"/>
        </w:rPr>
        <w:t>5</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w:t>
      </w:r>
      <w:r>
        <w:rPr>
          <w:rFonts w:hint="eastAsia" w:ascii="仿宋_GB2312" w:hAnsi="仿宋" w:eastAsia="仿宋_GB2312"/>
          <w:color w:val="auto"/>
          <w:sz w:val="24"/>
          <w:highlight w:val="none"/>
        </w:rPr>
        <w:t>（</w:t>
      </w:r>
      <w:r>
        <w:rPr>
          <w:rFonts w:hint="eastAsia" w:ascii="仿宋_GB2312" w:hAnsi="楷体" w:eastAsia="仿宋_GB2312"/>
          <w:color w:val="auto"/>
          <w:sz w:val="24"/>
          <w:highlight w:val="none"/>
        </w:rPr>
        <w:t>根据项目实际填写）以书面形式通知对方当事人，并在</w:t>
      </w:r>
      <w:r>
        <w:rPr>
          <w:rFonts w:hint="eastAsia" w:ascii="仿宋_GB2312" w:hAnsi="楷体" w:eastAsia="仿宋_GB2312"/>
          <w:color w:val="auto"/>
          <w:sz w:val="24"/>
          <w:highlight w:val="none"/>
          <w:u w:val="single"/>
        </w:rPr>
        <w:t xml:space="preserve"> </w:t>
      </w:r>
      <w:r>
        <w:rPr>
          <w:rFonts w:ascii="仿宋_GB2312" w:hAnsi="楷体" w:eastAsia="仿宋_GB2312"/>
          <w:color w:val="auto"/>
          <w:sz w:val="24"/>
          <w:highlight w:val="none"/>
          <w:u w:val="single"/>
        </w:rPr>
        <w:t>5</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日内，将有关部门出具的证明文件送达对方当事人。</w:t>
      </w:r>
    </w:p>
    <w:p w14:paraId="41E973D7">
      <w:pPr>
        <w:spacing w:line="360" w:lineRule="auto"/>
        <w:ind w:firstLine="480" w:firstLineChars="200"/>
        <w:rPr>
          <w:rFonts w:ascii="仿宋_GB2312" w:hAnsi="楷体" w:eastAsia="仿宋_GB2312"/>
          <w:color w:val="auto"/>
          <w:sz w:val="24"/>
          <w:highlight w:val="none"/>
        </w:rPr>
      </w:pPr>
      <w:r>
        <w:rPr>
          <w:rFonts w:ascii="仿宋_GB2312" w:hAnsi="楷体" w:eastAsia="仿宋_GB2312"/>
          <w:color w:val="auto"/>
          <w:sz w:val="24"/>
          <w:highlight w:val="none"/>
        </w:rPr>
        <w:t>3</w:t>
      </w:r>
      <w:r>
        <w:rPr>
          <w:rFonts w:hint="eastAsia" w:ascii="仿宋_GB2312" w:hAnsi="楷体" w:eastAsia="仿宋_GB2312"/>
          <w:color w:val="auto"/>
          <w:sz w:val="24"/>
          <w:highlight w:val="none"/>
        </w:rPr>
        <w:t>.</w:t>
      </w:r>
      <w:r>
        <w:rPr>
          <w:rFonts w:ascii="仿宋_GB2312" w:hAnsi="楷体" w:eastAsia="仿宋_GB2312"/>
          <w:color w:val="auto"/>
          <w:sz w:val="24"/>
          <w:highlight w:val="none"/>
        </w:rPr>
        <w:t>5</w:t>
      </w:r>
      <w:r>
        <w:rPr>
          <w:rFonts w:hint="eastAsia" w:ascii="仿宋_GB2312" w:hAnsi="楷体" w:eastAsia="仿宋_GB2312"/>
          <w:color w:val="auto"/>
          <w:sz w:val="24"/>
          <w:highlight w:val="none"/>
        </w:rPr>
        <w:t>.</w:t>
      </w:r>
      <w:r>
        <w:rPr>
          <w:rFonts w:ascii="仿宋_GB2312" w:hAnsi="楷体" w:eastAsia="仿宋_GB2312"/>
          <w:color w:val="auto"/>
          <w:sz w:val="24"/>
          <w:highlight w:val="none"/>
        </w:rPr>
        <w:t>2</w:t>
      </w:r>
      <w:r>
        <w:rPr>
          <w:rFonts w:hint="eastAsia" w:ascii="仿宋_GB2312" w:hAnsi="楷体" w:eastAsia="仿宋_GB2312"/>
          <w:color w:val="auto"/>
          <w:sz w:val="24"/>
          <w:highlight w:val="none"/>
        </w:rPr>
        <w:t>因不可抗力致使合同有变更必要的，双方当事人应在</w:t>
      </w:r>
      <w:r>
        <w:rPr>
          <w:rFonts w:hint="eastAsia" w:ascii="仿宋_GB2312" w:hAnsi="楷体" w:eastAsia="仿宋_GB2312"/>
          <w:color w:val="auto"/>
          <w:sz w:val="24"/>
          <w:highlight w:val="none"/>
          <w:u w:val="single"/>
        </w:rPr>
        <w:t xml:space="preserve"> </w:t>
      </w:r>
      <w:r>
        <w:rPr>
          <w:rFonts w:ascii="仿宋_GB2312" w:hAnsi="楷体" w:eastAsia="仿宋_GB2312"/>
          <w:color w:val="auto"/>
          <w:sz w:val="24"/>
          <w:highlight w:val="none"/>
          <w:u w:val="single"/>
        </w:rPr>
        <w:t>5</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w:t>
      </w:r>
      <w:r>
        <w:rPr>
          <w:rFonts w:hint="eastAsia" w:ascii="仿宋_GB2312" w:hAnsi="仿宋" w:eastAsia="仿宋_GB2312"/>
          <w:color w:val="auto"/>
          <w:sz w:val="24"/>
          <w:highlight w:val="none"/>
        </w:rPr>
        <w:t>（</w:t>
      </w:r>
      <w:r>
        <w:rPr>
          <w:rFonts w:hint="eastAsia" w:ascii="仿宋_GB2312" w:hAnsi="楷体" w:eastAsia="仿宋_GB2312"/>
          <w:color w:val="auto"/>
          <w:sz w:val="24"/>
          <w:highlight w:val="none"/>
        </w:rPr>
        <w:t>根据项目实际填写）以书面形式变更合同；</w:t>
      </w:r>
    </w:p>
    <w:p w14:paraId="340DE6F5">
      <w:pPr>
        <w:spacing w:line="360" w:lineRule="auto"/>
        <w:ind w:firstLine="480" w:firstLineChars="200"/>
        <w:rPr>
          <w:rFonts w:ascii="仿宋_GB2312" w:hAnsi="楷体" w:eastAsia="仿宋_GB2312"/>
          <w:color w:val="auto"/>
          <w:sz w:val="24"/>
          <w:highlight w:val="none"/>
        </w:rPr>
      </w:pPr>
      <w:r>
        <w:rPr>
          <w:rFonts w:ascii="仿宋_GB2312" w:hAnsi="楷体" w:eastAsia="仿宋_GB2312"/>
          <w:color w:val="auto"/>
          <w:sz w:val="24"/>
          <w:highlight w:val="none"/>
        </w:rPr>
        <w:t>3.5.3</w:t>
      </w:r>
      <w:r>
        <w:rPr>
          <w:rFonts w:hint="eastAsia" w:ascii="仿宋_GB2312" w:hAnsi="楷体" w:eastAsia="仿宋_GB2312"/>
          <w:color w:val="auto"/>
          <w:sz w:val="24"/>
          <w:highlight w:val="none"/>
        </w:rPr>
        <w:t xml:space="preserve"> 因不可抗力致使不能实现合同目的的，当事人协商解除合同，甲方应根据乙方实际已完成的工作量进行结算。若双方无法对已完成工作量的结算金额协商达成一致，双方协商由第三方审定，由乙方承担第三方审定费用。</w:t>
      </w:r>
    </w:p>
    <w:p w14:paraId="14621568">
      <w:pPr>
        <w:spacing w:line="360" w:lineRule="auto"/>
        <w:ind w:firstLine="480" w:firstLineChars="200"/>
        <w:rPr>
          <w:rFonts w:ascii="仿宋_GB2312" w:hAnsi="楷体" w:eastAsia="仿宋_GB2312"/>
          <w:color w:val="auto"/>
          <w:sz w:val="24"/>
          <w:highlight w:val="none"/>
        </w:rPr>
      </w:pPr>
      <w:r>
        <w:rPr>
          <w:rFonts w:ascii="仿宋_GB2312" w:hAnsi="楷体" w:eastAsia="仿宋_GB2312"/>
          <w:color w:val="auto"/>
          <w:sz w:val="24"/>
          <w:highlight w:val="none"/>
        </w:rPr>
        <w:t>3.5.4</w:t>
      </w:r>
      <w:r>
        <w:rPr>
          <w:rFonts w:hint="eastAsia" w:ascii="仿宋_GB2312" w:hAnsi="楷体" w:eastAsia="仿宋_GB2312"/>
          <w:color w:val="auto"/>
          <w:sz w:val="24"/>
          <w:highlight w:val="none"/>
        </w:rPr>
        <w:t>标的物交付前，乙方应对标的物的质量、数量等方面进行详细、全面的检验，并向甲方出具证明标的物符合合同约定的文件；标的物交付时，乙方在</w:t>
      </w:r>
      <w:r>
        <w:rPr>
          <w:rFonts w:hint="eastAsia" w:ascii="仿宋_GB2312" w:hAnsi="楷体" w:eastAsia="仿宋_GB2312"/>
          <w:color w:val="auto"/>
          <w:sz w:val="24"/>
          <w:highlight w:val="none"/>
          <w:u w:val="single"/>
        </w:rPr>
        <w:t xml:space="preserve"> </w:t>
      </w:r>
      <w:r>
        <w:rPr>
          <w:rFonts w:ascii="仿宋_GB2312" w:hAnsi="楷体" w:eastAsia="仿宋_GB2312"/>
          <w:color w:val="auto"/>
          <w:sz w:val="24"/>
          <w:highlight w:val="none"/>
          <w:u w:val="single"/>
        </w:rPr>
        <w:t>5</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日内发</w:t>
      </w:r>
      <w:r>
        <w:rPr>
          <w:rFonts w:hint="eastAsia" w:ascii="仿宋_GB2312" w:hAnsi="仿宋" w:eastAsia="仿宋_GB2312"/>
          <w:color w:val="auto"/>
          <w:sz w:val="24"/>
          <w:highlight w:val="none"/>
        </w:rPr>
        <w:t>（</w:t>
      </w:r>
      <w:r>
        <w:rPr>
          <w:rFonts w:hint="eastAsia" w:ascii="仿宋_GB2312" w:hAnsi="楷体" w:eastAsia="仿宋_GB2312"/>
          <w:color w:val="auto"/>
          <w:sz w:val="24"/>
          <w:highlight w:val="none"/>
        </w:rPr>
        <w:t>根据项目实际填写）起验收，并可依法邀请相关方参加，验收应出具验收书。</w:t>
      </w:r>
    </w:p>
    <w:p w14:paraId="11DBE670">
      <w:pPr>
        <w:spacing w:line="360" w:lineRule="auto"/>
        <w:ind w:firstLine="480" w:firstLineChars="200"/>
        <w:rPr>
          <w:rFonts w:ascii="仿宋_GB2312" w:hAnsi="楷体" w:eastAsia="仿宋_GB2312"/>
          <w:color w:val="auto"/>
          <w:sz w:val="24"/>
          <w:highlight w:val="none"/>
        </w:rPr>
      </w:pPr>
      <w:r>
        <w:rPr>
          <w:rFonts w:ascii="仿宋_GB2312" w:hAnsi="楷体" w:eastAsia="仿宋_GB2312"/>
          <w:color w:val="auto"/>
          <w:sz w:val="24"/>
          <w:highlight w:val="none"/>
        </w:rPr>
        <w:t>3.5.5</w:t>
      </w:r>
      <w:r>
        <w:rPr>
          <w:rFonts w:hint="eastAsia" w:ascii="仿宋_GB2312" w:hAnsi="楷体" w:eastAsia="仿宋_GB2312"/>
          <w:color w:val="auto"/>
          <w:sz w:val="24"/>
          <w:highlight w:val="none"/>
        </w:rPr>
        <w:t xml:space="preserve"> 检验和验收标准、程序等具体内容以及前述验收书的效力：</w:t>
      </w:r>
    </w:p>
    <w:p w14:paraId="3C241E3F">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详见</w:t>
      </w:r>
      <w:r>
        <w:rPr>
          <w:rFonts w:ascii="仿宋_GB2312" w:hAnsi="楷体" w:eastAsia="仿宋_GB2312"/>
          <w:color w:val="auto"/>
          <w:sz w:val="24"/>
          <w:highlight w:val="none"/>
          <w:u w:val="single"/>
        </w:rPr>
        <w:t>合同专用条款</w:t>
      </w:r>
      <w:r>
        <w:rPr>
          <w:rFonts w:hint="eastAsia" w:ascii="仿宋_GB2312" w:hAnsi="楷体" w:eastAsia="仿宋_GB2312"/>
          <w:color w:val="auto"/>
          <w:sz w:val="24"/>
          <w:highlight w:val="none"/>
          <w:u w:val="single"/>
        </w:rPr>
        <w:t xml:space="preserve">                                       </w:t>
      </w:r>
    </w:p>
    <w:p w14:paraId="50A91C4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3.</w:t>
      </w:r>
      <w:r>
        <w:rPr>
          <w:rFonts w:ascii="仿宋_GB2312" w:hAnsi="楷体" w:eastAsia="仿宋_GB2312"/>
          <w:color w:val="auto"/>
          <w:sz w:val="24"/>
          <w:highlight w:val="none"/>
        </w:rPr>
        <w:t>6</w:t>
      </w:r>
      <w:r>
        <w:rPr>
          <w:rFonts w:hint="eastAsia" w:ascii="仿宋_GB2312" w:hAnsi="楷体" w:eastAsia="仿宋_GB2312"/>
          <w:color w:val="auto"/>
          <w:sz w:val="24"/>
          <w:highlight w:val="none"/>
        </w:rPr>
        <w:t xml:space="preserve"> 其他：</w:t>
      </w:r>
    </w:p>
    <w:p w14:paraId="02AE648D">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项目验收：</w:t>
      </w:r>
    </w:p>
    <w:p w14:paraId="775434C2">
      <w:pPr>
        <w:spacing w:line="360" w:lineRule="auto"/>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3.6.1</w:t>
      </w:r>
      <w:r>
        <w:rPr>
          <w:rFonts w:hint="eastAsia" w:ascii="仿宋" w:hAnsi="仿宋" w:eastAsia="仿宋" w:cs="仿宋"/>
          <w:color w:val="auto"/>
          <w:kern w:val="0"/>
          <w:sz w:val="24"/>
          <w:highlight w:val="none"/>
        </w:rPr>
        <w:t xml:space="preserve"> 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7478F7E1">
      <w:pPr>
        <w:spacing w:line="360" w:lineRule="auto"/>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 xml:space="preserve">3.6.2 </w:t>
      </w:r>
      <w:r>
        <w:rPr>
          <w:rFonts w:hint="eastAsia" w:ascii="仿宋" w:hAnsi="仿宋" w:eastAsia="仿宋" w:cs="仿宋"/>
          <w:color w:val="auto"/>
          <w:kern w:val="0"/>
          <w:sz w:val="24"/>
          <w:highlight w:val="none"/>
        </w:rPr>
        <w:t>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FCA57D1">
      <w:pPr>
        <w:spacing w:line="360" w:lineRule="auto"/>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3.6.3</w:t>
      </w:r>
      <w:r>
        <w:rPr>
          <w:rFonts w:hint="eastAsia" w:ascii="仿宋" w:hAnsi="仿宋" w:eastAsia="仿宋" w:cs="仿宋"/>
          <w:color w:val="auto"/>
          <w:kern w:val="0"/>
          <w:sz w:val="24"/>
          <w:highlight w:val="none"/>
        </w:rPr>
        <w:t>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7097C81C">
      <w:pPr>
        <w:spacing w:line="360" w:lineRule="auto"/>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3.6.4</w:t>
      </w:r>
      <w:r>
        <w:rPr>
          <w:rFonts w:hint="eastAsia" w:ascii="仿宋" w:hAnsi="仿宋" w:eastAsia="仿宋" w:cs="仿宋"/>
          <w:color w:val="auto"/>
          <w:kern w:val="0"/>
          <w:sz w:val="24"/>
          <w:highlight w:val="none"/>
        </w:rPr>
        <w:t>验收产生的费用由乙方承担。</w:t>
      </w:r>
    </w:p>
    <w:p w14:paraId="09E4DC8D">
      <w:pPr>
        <w:spacing w:line="360" w:lineRule="auto"/>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t>3.6.5</w:t>
      </w:r>
      <w:r>
        <w:rPr>
          <w:rFonts w:hint="eastAsia" w:ascii="仿宋" w:hAnsi="仿宋" w:eastAsia="仿宋" w:cs="仿宋"/>
          <w:color w:val="auto"/>
          <w:sz w:val="24"/>
          <w:highlight w:val="none"/>
        </w:rPr>
        <w:t>验收内容及资料要求：</w:t>
      </w:r>
    </w:p>
    <w:p w14:paraId="2BEDC2C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根据采购文件确定的技术指标或者服务要求确定验收指标和标准。未进行相应约定的，应当符合国家强制性规定、政策要求、安全标准、行业或企业有关标准等。</w:t>
      </w:r>
    </w:p>
    <w:p w14:paraId="5B56E114">
      <w:pPr>
        <w:tabs>
          <w:tab w:val="left" w:pos="904"/>
        </w:tabs>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ascii="仿宋" w:hAnsi="仿宋" w:eastAsia="仿宋" w:cs="仿宋"/>
          <w:color w:val="auto"/>
          <w:sz w:val="24"/>
          <w:highlight w:val="none"/>
        </w:rPr>
        <w:t>1</w:t>
      </w:r>
      <w:r>
        <w:rPr>
          <w:rFonts w:hint="eastAsia" w:ascii="仿宋" w:hAnsi="仿宋" w:eastAsia="仿宋" w:cs="仿宋"/>
          <w:color w:val="auto"/>
          <w:sz w:val="24"/>
          <w:highlight w:val="none"/>
        </w:rPr>
        <w:t>）验收内容</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2775"/>
        <w:gridCol w:w="5069"/>
      </w:tblGrid>
      <w:tr w14:paraId="79D4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14" w:type="dxa"/>
            <w:tcBorders>
              <w:top w:val="single" w:color="auto" w:sz="4" w:space="0"/>
              <w:left w:val="single" w:color="auto" w:sz="4" w:space="0"/>
              <w:bottom w:val="single" w:color="auto" w:sz="4" w:space="0"/>
              <w:right w:val="single" w:color="auto" w:sz="4" w:space="0"/>
            </w:tcBorders>
            <w:vAlign w:val="center"/>
          </w:tcPr>
          <w:p w14:paraId="2F05955B">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2775" w:type="dxa"/>
            <w:tcBorders>
              <w:top w:val="single" w:color="auto" w:sz="4" w:space="0"/>
              <w:left w:val="single" w:color="auto" w:sz="4" w:space="0"/>
              <w:bottom w:val="single" w:color="auto" w:sz="4" w:space="0"/>
              <w:right w:val="single" w:color="auto" w:sz="4" w:space="0"/>
            </w:tcBorders>
            <w:vAlign w:val="center"/>
          </w:tcPr>
          <w:p w14:paraId="043F9CC7">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069" w:type="dxa"/>
            <w:tcBorders>
              <w:top w:val="single" w:color="auto" w:sz="4" w:space="0"/>
              <w:left w:val="single" w:color="auto" w:sz="4" w:space="0"/>
              <w:bottom w:val="single" w:color="auto" w:sz="4" w:space="0"/>
              <w:right w:val="single" w:color="auto" w:sz="4" w:space="0"/>
            </w:tcBorders>
            <w:vAlign w:val="center"/>
          </w:tcPr>
          <w:p w14:paraId="176E342B">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4EE1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14" w:type="dxa"/>
            <w:tcBorders>
              <w:top w:val="single" w:color="auto" w:sz="4" w:space="0"/>
              <w:left w:val="single" w:color="auto" w:sz="4" w:space="0"/>
              <w:bottom w:val="single" w:color="auto" w:sz="4" w:space="0"/>
              <w:right w:val="single" w:color="auto" w:sz="4" w:space="0"/>
            </w:tcBorders>
            <w:vAlign w:val="center"/>
          </w:tcPr>
          <w:p w14:paraId="59E04E0D">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2775" w:type="dxa"/>
            <w:tcBorders>
              <w:top w:val="single" w:color="auto" w:sz="4" w:space="0"/>
              <w:left w:val="single" w:color="auto" w:sz="4" w:space="0"/>
              <w:bottom w:val="single" w:color="auto" w:sz="4" w:space="0"/>
              <w:right w:val="single" w:color="auto" w:sz="4" w:space="0"/>
            </w:tcBorders>
            <w:vAlign w:val="center"/>
          </w:tcPr>
          <w:p w14:paraId="0D1F2304">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交货产品数量</w:t>
            </w:r>
          </w:p>
        </w:tc>
        <w:tc>
          <w:tcPr>
            <w:tcW w:w="5069" w:type="dxa"/>
            <w:tcBorders>
              <w:top w:val="single" w:color="auto" w:sz="4" w:space="0"/>
              <w:left w:val="single" w:color="auto" w:sz="4" w:space="0"/>
              <w:bottom w:val="single" w:color="auto" w:sz="4" w:space="0"/>
              <w:right w:val="single" w:color="auto" w:sz="4" w:space="0"/>
            </w:tcBorders>
            <w:vAlign w:val="center"/>
          </w:tcPr>
          <w:p w14:paraId="7E8EFF34">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按项目采购文件要求和投标（响应）文件执行</w:t>
            </w:r>
          </w:p>
        </w:tc>
      </w:tr>
      <w:tr w14:paraId="5A8B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14" w:type="dxa"/>
            <w:tcBorders>
              <w:top w:val="single" w:color="auto" w:sz="4" w:space="0"/>
              <w:left w:val="single" w:color="auto" w:sz="4" w:space="0"/>
              <w:bottom w:val="single" w:color="auto" w:sz="4" w:space="0"/>
              <w:right w:val="single" w:color="auto" w:sz="4" w:space="0"/>
            </w:tcBorders>
            <w:vAlign w:val="center"/>
          </w:tcPr>
          <w:p w14:paraId="3B4349B4">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2775" w:type="dxa"/>
            <w:tcBorders>
              <w:top w:val="single" w:color="auto" w:sz="4" w:space="0"/>
              <w:left w:val="single" w:color="auto" w:sz="4" w:space="0"/>
              <w:bottom w:val="single" w:color="auto" w:sz="4" w:space="0"/>
              <w:right w:val="single" w:color="auto" w:sz="4" w:space="0"/>
            </w:tcBorders>
            <w:vAlign w:val="center"/>
          </w:tcPr>
          <w:p w14:paraId="1F6F6259">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交货产品的质量文件</w:t>
            </w:r>
          </w:p>
        </w:tc>
        <w:tc>
          <w:tcPr>
            <w:tcW w:w="5069" w:type="dxa"/>
            <w:tcBorders>
              <w:top w:val="single" w:color="auto" w:sz="4" w:space="0"/>
              <w:left w:val="single" w:color="auto" w:sz="4" w:space="0"/>
              <w:bottom w:val="single" w:color="auto" w:sz="4" w:space="0"/>
              <w:right w:val="single" w:color="auto" w:sz="4" w:space="0"/>
            </w:tcBorders>
            <w:vAlign w:val="center"/>
          </w:tcPr>
          <w:p w14:paraId="0F1CAFA6">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按项目采购文件要求和投标（响应）文件执行</w:t>
            </w:r>
          </w:p>
        </w:tc>
      </w:tr>
      <w:tr w14:paraId="77FA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14" w:type="dxa"/>
            <w:tcBorders>
              <w:top w:val="single" w:color="auto" w:sz="4" w:space="0"/>
              <w:left w:val="single" w:color="auto" w:sz="4" w:space="0"/>
              <w:bottom w:val="single" w:color="auto" w:sz="4" w:space="0"/>
              <w:right w:val="single" w:color="auto" w:sz="4" w:space="0"/>
            </w:tcBorders>
            <w:vAlign w:val="center"/>
          </w:tcPr>
          <w:p w14:paraId="2A275821">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3</w:t>
            </w:r>
          </w:p>
        </w:tc>
        <w:tc>
          <w:tcPr>
            <w:tcW w:w="2775" w:type="dxa"/>
            <w:tcBorders>
              <w:top w:val="single" w:color="auto" w:sz="4" w:space="0"/>
              <w:left w:val="single" w:color="auto" w:sz="4" w:space="0"/>
              <w:bottom w:val="single" w:color="auto" w:sz="4" w:space="0"/>
              <w:right w:val="single" w:color="auto" w:sz="4" w:space="0"/>
            </w:tcBorders>
            <w:vAlign w:val="center"/>
          </w:tcPr>
          <w:p w14:paraId="426CA6AE">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交货产品技术、性能指标 </w:t>
            </w:r>
          </w:p>
        </w:tc>
        <w:tc>
          <w:tcPr>
            <w:tcW w:w="5069" w:type="dxa"/>
            <w:tcBorders>
              <w:top w:val="single" w:color="auto" w:sz="4" w:space="0"/>
              <w:left w:val="single" w:color="auto" w:sz="4" w:space="0"/>
              <w:bottom w:val="single" w:color="auto" w:sz="4" w:space="0"/>
              <w:right w:val="single" w:color="auto" w:sz="4" w:space="0"/>
            </w:tcBorders>
            <w:vAlign w:val="center"/>
          </w:tcPr>
          <w:p w14:paraId="5D433FFE">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按项目采购文件要求和投标（响应）文件执行</w:t>
            </w:r>
          </w:p>
        </w:tc>
      </w:tr>
      <w:tr w14:paraId="1C73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14" w:type="dxa"/>
            <w:tcBorders>
              <w:top w:val="single" w:color="auto" w:sz="4" w:space="0"/>
              <w:left w:val="single" w:color="auto" w:sz="4" w:space="0"/>
              <w:bottom w:val="single" w:color="auto" w:sz="4" w:space="0"/>
              <w:right w:val="single" w:color="auto" w:sz="4" w:space="0"/>
            </w:tcBorders>
            <w:vAlign w:val="center"/>
          </w:tcPr>
          <w:p w14:paraId="7010CFDD">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w:t>
            </w:r>
          </w:p>
        </w:tc>
        <w:tc>
          <w:tcPr>
            <w:tcW w:w="2775" w:type="dxa"/>
            <w:tcBorders>
              <w:top w:val="single" w:color="auto" w:sz="4" w:space="0"/>
              <w:left w:val="single" w:color="auto" w:sz="4" w:space="0"/>
              <w:bottom w:val="single" w:color="auto" w:sz="4" w:space="0"/>
              <w:right w:val="single" w:color="auto" w:sz="4" w:space="0"/>
            </w:tcBorders>
            <w:vAlign w:val="center"/>
          </w:tcPr>
          <w:p w14:paraId="50033850">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售后服务承诺</w:t>
            </w:r>
          </w:p>
        </w:tc>
        <w:tc>
          <w:tcPr>
            <w:tcW w:w="5069" w:type="dxa"/>
            <w:tcBorders>
              <w:top w:val="single" w:color="auto" w:sz="4" w:space="0"/>
              <w:left w:val="single" w:color="auto" w:sz="4" w:space="0"/>
              <w:bottom w:val="single" w:color="auto" w:sz="4" w:space="0"/>
              <w:right w:val="single" w:color="auto" w:sz="4" w:space="0"/>
            </w:tcBorders>
            <w:vAlign w:val="center"/>
          </w:tcPr>
          <w:p w14:paraId="2694259D">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按项目采购文件要求和投标（响应）文件执行</w:t>
            </w:r>
          </w:p>
        </w:tc>
      </w:tr>
      <w:tr w14:paraId="5D76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14" w:type="dxa"/>
            <w:tcBorders>
              <w:top w:val="single" w:color="auto" w:sz="4" w:space="0"/>
              <w:left w:val="single" w:color="auto" w:sz="4" w:space="0"/>
              <w:bottom w:val="single" w:color="auto" w:sz="4" w:space="0"/>
              <w:right w:val="single" w:color="auto" w:sz="4" w:space="0"/>
            </w:tcBorders>
            <w:vAlign w:val="center"/>
          </w:tcPr>
          <w:p w14:paraId="1E0BA0CE">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5</w:t>
            </w:r>
          </w:p>
        </w:tc>
        <w:tc>
          <w:tcPr>
            <w:tcW w:w="2775" w:type="dxa"/>
            <w:tcBorders>
              <w:top w:val="single" w:color="auto" w:sz="4" w:space="0"/>
              <w:left w:val="single" w:color="auto" w:sz="4" w:space="0"/>
              <w:bottom w:val="single" w:color="auto" w:sz="4" w:space="0"/>
              <w:right w:val="single" w:color="auto" w:sz="4" w:space="0"/>
            </w:tcBorders>
            <w:vAlign w:val="center"/>
          </w:tcPr>
          <w:p w14:paraId="3F24C4F8">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其他工作</w:t>
            </w:r>
          </w:p>
        </w:tc>
        <w:tc>
          <w:tcPr>
            <w:tcW w:w="5069" w:type="dxa"/>
            <w:tcBorders>
              <w:top w:val="single" w:color="auto" w:sz="4" w:space="0"/>
              <w:left w:val="single" w:color="auto" w:sz="4" w:space="0"/>
              <w:bottom w:val="single" w:color="auto" w:sz="4" w:space="0"/>
              <w:right w:val="single" w:color="auto" w:sz="4" w:space="0"/>
            </w:tcBorders>
            <w:vAlign w:val="center"/>
          </w:tcPr>
          <w:p w14:paraId="00A53889">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按项目采购文件要求和投标（响应）文件执行</w:t>
            </w:r>
          </w:p>
        </w:tc>
      </w:tr>
    </w:tbl>
    <w:p w14:paraId="2A5D39A7">
      <w:pPr>
        <w:tabs>
          <w:tab w:val="left" w:pos="904"/>
        </w:tabs>
        <w:snapToGrid w:val="0"/>
        <w:spacing w:line="360" w:lineRule="auto"/>
        <w:ind w:firstLine="480" w:firstLineChars="200"/>
        <w:jc w:val="left"/>
        <w:rPr>
          <w:rFonts w:ascii="仿宋" w:hAnsi="仿宋" w:eastAsia="仿宋" w:cs="仿宋"/>
          <w:color w:val="auto"/>
          <w:sz w:val="24"/>
          <w:highlight w:val="none"/>
        </w:rPr>
      </w:pPr>
    </w:p>
    <w:p w14:paraId="5579985A">
      <w:pPr>
        <w:tabs>
          <w:tab w:val="left" w:pos="904"/>
        </w:tabs>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ascii="仿宋" w:hAnsi="仿宋" w:eastAsia="仿宋" w:cs="仿宋"/>
          <w:color w:val="auto"/>
          <w:sz w:val="24"/>
          <w:highlight w:val="none"/>
        </w:rPr>
        <w:t>2</w:t>
      </w:r>
      <w:r>
        <w:rPr>
          <w:rFonts w:hint="eastAsia" w:ascii="仿宋" w:hAnsi="仿宋" w:eastAsia="仿宋" w:cs="仿宋"/>
          <w:color w:val="auto"/>
          <w:sz w:val="24"/>
          <w:highlight w:val="none"/>
        </w:rPr>
        <w:t>）验收资料要求</w:t>
      </w:r>
    </w:p>
    <w:p w14:paraId="34D6A8FC">
      <w:pPr>
        <w:tabs>
          <w:tab w:val="left" w:pos="904"/>
        </w:tabs>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14:paraId="2A1DA1CA">
      <w:pPr>
        <w:tabs>
          <w:tab w:val="left" w:pos="904"/>
        </w:tabs>
        <w:adjustRightInd w:val="0"/>
        <w:snapToGrid w:val="0"/>
        <w:spacing w:line="360" w:lineRule="auto"/>
        <w:ind w:firstLine="240" w:firstLineChars="100"/>
        <w:jc w:val="left"/>
        <w:rPr>
          <w:rFonts w:ascii="仿宋" w:hAnsi="仿宋" w:eastAsia="仿宋" w:cs="仿宋"/>
          <w:color w:val="auto"/>
          <w:sz w:val="24"/>
          <w:highlight w:val="none"/>
        </w:rPr>
      </w:pPr>
      <w:r>
        <w:rPr>
          <w:rFonts w:hint="eastAsia" w:ascii="仿宋" w:hAnsi="仿宋" w:eastAsia="仿宋" w:cs="仿宋"/>
          <w:color w:val="auto"/>
          <w:sz w:val="24"/>
          <w:highlight w:val="none"/>
        </w:rPr>
        <w:t>1）采购文件；</w:t>
      </w:r>
    </w:p>
    <w:p w14:paraId="4DD49ED8">
      <w:pPr>
        <w:tabs>
          <w:tab w:val="left" w:pos="904"/>
        </w:tabs>
        <w:adjustRightInd w:val="0"/>
        <w:snapToGrid w:val="0"/>
        <w:spacing w:line="360" w:lineRule="auto"/>
        <w:ind w:firstLine="240" w:firstLineChars="100"/>
        <w:jc w:val="left"/>
        <w:rPr>
          <w:rFonts w:ascii="仿宋" w:hAnsi="仿宋" w:eastAsia="仿宋" w:cs="仿宋"/>
          <w:color w:val="auto"/>
          <w:sz w:val="24"/>
          <w:highlight w:val="none"/>
        </w:rPr>
      </w:pPr>
      <w:r>
        <w:rPr>
          <w:rFonts w:hint="eastAsia" w:ascii="仿宋" w:hAnsi="仿宋" w:eastAsia="仿宋" w:cs="仿宋"/>
          <w:color w:val="auto"/>
          <w:sz w:val="24"/>
          <w:highlight w:val="none"/>
        </w:rPr>
        <w:t>2）投标文件；</w:t>
      </w:r>
    </w:p>
    <w:p w14:paraId="70DEA3DA">
      <w:pPr>
        <w:tabs>
          <w:tab w:val="left" w:pos="904"/>
        </w:tabs>
        <w:adjustRightInd w:val="0"/>
        <w:snapToGrid w:val="0"/>
        <w:spacing w:line="360" w:lineRule="auto"/>
        <w:ind w:firstLine="240" w:firstLineChars="100"/>
        <w:jc w:val="left"/>
        <w:rPr>
          <w:rFonts w:ascii="仿宋" w:hAnsi="仿宋" w:eastAsia="仿宋" w:cs="仿宋"/>
          <w:color w:val="auto"/>
          <w:sz w:val="24"/>
          <w:highlight w:val="none"/>
        </w:rPr>
      </w:pPr>
      <w:r>
        <w:rPr>
          <w:rFonts w:hint="eastAsia" w:ascii="仿宋" w:hAnsi="仿宋" w:eastAsia="仿宋" w:cs="仿宋"/>
          <w:color w:val="auto"/>
          <w:sz w:val="24"/>
          <w:highlight w:val="none"/>
        </w:rPr>
        <w:t>3）采购合同；</w:t>
      </w:r>
    </w:p>
    <w:p w14:paraId="2840C4CD">
      <w:pPr>
        <w:tabs>
          <w:tab w:val="left" w:pos="904"/>
        </w:tabs>
        <w:adjustRightInd w:val="0"/>
        <w:snapToGrid w:val="0"/>
        <w:spacing w:line="360" w:lineRule="auto"/>
        <w:ind w:firstLine="240" w:firstLineChars="100"/>
        <w:jc w:val="left"/>
        <w:rPr>
          <w:rFonts w:ascii="仿宋" w:hAnsi="仿宋" w:eastAsia="仿宋" w:cs="仿宋"/>
          <w:color w:val="auto"/>
          <w:sz w:val="24"/>
          <w:highlight w:val="none"/>
        </w:rPr>
      </w:pPr>
      <w:r>
        <w:rPr>
          <w:rFonts w:hint="eastAsia" w:ascii="仿宋" w:hAnsi="仿宋" w:eastAsia="仿宋" w:cs="仿宋"/>
          <w:color w:val="auto"/>
          <w:sz w:val="24"/>
          <w:highlight w:val="none"/>
        </w:rPr>
        <w:t>4）其他需提供的相关材料。</w:t>
      </w:r>
    </w:p>
    <w:p w14:paraId="57CAC7CF">
      <w:pPr>
        <w:widowControl/>
        <w:ind w:firstLine="720" w:firstLineChars="300"/>
        <w:jc w:val="left"/>
        <w:rPr>
          <w:rFonts w:ascii="仿宋" w:hAnsi="仿宋" w:eastAsia="仿宋"/>
          <w:bCs/>
          <w:color w:val="auto"/>
          <w:sz w:val="24"/>
          <w:highlight w:val="none"/>
        </w:rPr>
      </w:pPr>
    </w:p>
    <w:p w14:paraId="19603A27">
      <w:pPr>
        <w:spacing w:line="360" w:lineRule="auto"/>
        <w:ind w:firstLine="480" w:firstLineChars="200"/>
        <w:rPr>
          <w:rFonts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1BA39781">
      <w:pPr>
        <w:pStyle w:val="18"/>
        <w:ind w:left="0" w:leftChars="0" w:firstLine="0" w:firstLineChars="0"/>
        <w:rPr>
          <w:color w:val="auto"/>
          <w:highlight w:val="none"/>
          <w:lang w:val="zh-CN"/>
        </w:rPr>
      </w:pPr>
    </w:p>
    <w:p w14:paraId="6DF7DF37">
      <w:pPr>
        <w:rPr>
          <w:color w:val="auto"/>
          <w:highlight w:val="none"/>
        </w:rPr>
      </w:pPr>
    </w:p>
    <w:p w14:paraId="593B3964">
      <w:pPr>
        <w:rPr>
          <w:color w:val="auto"/>
          <w:highlight w:val="none"/>
        </w:rPr>
      </w:pPr>
    </w:p>
    <w:p w14:paraId="50158745">
      <w:pPr>
        <w:rPr>
          <w:color w:val="auto"/>
          <w:highlight w:val="none"/>
        </w:rPr>
      </w:pPr>
    </w:p>
    <w:p w14:paraId="64F34904">
      <w:pPr>
        <w:rPr>
          <w:color w:val="auto"/>
          <w:highlight w:val="none"/>
        </w:rPr>
      </w:pPr>
    </w:p>
    <w:p w14:paraId="64450E52">
      <w:pPr>
        <w:rPr>
          <w:color w:val="auto"/>
          <w:highlight w:val="none"/>
        </w:rPr>
        <w:sectPr>
          <w:pgSz w:w="11906" w:h="16838"/>
          <w:pgMar w:top="1134" w:right="1134" w:bottom="1134" w:left="1134" w:header="720" w:footer="720" w:gutter="0"/>
          <w:cols w:space="720" w:num="1"/>
          <w:docGrid w:type="lines" w:linePitch="331" w:charSpace="0"/>
        </w:sectPr>
      </w:pPr>
    </w:p>
    <w:p w14:paraId="484340E5">
      <w:pPr>
        <w:pStyle w:val="10"/>
        <w:spacing w:line="360" w:lineRule="auto"/>
        <w:ind w:left="178" w:leftChars="85"/>
        <w:rPr>
          <w:rFonts w:hAnsi="宋体"/>
          <w:color w:val="auto"/>
          <w:highlight w:val="none"/>
        </w:rPr>
      </w:pPr>
    </w:p>
    <w:p w14:paraId="571D7A9D">
      <w:pPr>
        <w:pStyle w:val="10"/>
        <w:tabs>
          <w:tab w:val="left" w:pos="2472"/>
        </w:tabs>
        <w:spacing w:line="460" w:lineRule="exact"/>
        <w:jc w:val="center"/>
        <w:rPr>
          <w:rFonts w:ascii="Times New Roman" w:hAnsi="Times New Roman"/>
          <w:b/>
          <w:color w:val="auto"/>
          <w:sz w:val="36"/>
          <w:highlight w:val="none"/>
        </w:rPr>
      </w:pPr>
    </w:p>
    <w:p w14:paraId="20F5C8AE">
      <w:pPr>
        <w:pStyle w:val="10"/>
        <w:tabs>
          <w:tab w:val="left" w:pos="2472"/>
        </w:tabs>
        <w:spacing w:line="460" w:lineRule="exact"/>
        <w:jc w:val="center"/>
        <w:rPr>
          <w:rFonts w:ascii="Times New Roman" w:hAnsi="Times New Roman"/>
          <w:b/>
          <w:color w:val="auto"/>
          <w:sz w:val="36"/>
          <w:highlight w:val="none"/>
        </w:rPr>
      </w:pPr>
    </w:p>
    <w:p w14:paraId="1020876B">
      <w:pPr>
        <w:pStyle w:val="10"/>
        <w:tabs>
          <w:tab w:val="left" w:pos="2472"/>
        </w:tabs>
        <w:spacing w:line="460" w:lineRule="exact"/>
        <w:jc w:val="center"/>
        <w:rPr>
          <w:rFonts w:ascii="Times New Roman" w:hAnsi="Times New Roman"/>
          <w:b/>
          <w:color w:val="auto"/>
          <w:sz w:val="36"/>
          <w:highlight w:val="none"/>
        </w:rPr>
      </w:pPr>
    </w:p>
    <w:p w14:paraId="4AF7BCEE">
      <w:pPr>
        <w:pStyle w:val="10"/>
        <w:tabs>
          <w:tab w:val="left" w:pos="2472"/>
        </w:tabs>
        <w:spacing w:line="460" w:lineRule="exact"/>
        <w:jc w:val="center"/>
        <w:rPr>
          <w:rFonts w:ascii="Times New Roman" w:hAnsi="Times New Roman"/>
          <w:b/>
          <w:color w:val="auto"/>
          <w:sz w:val="36"/>
          <w:highlight w:val="none"/>
        </w:rPr>
      </w:pPr>
    </w:p>
    <w:p w14:paraId="1D17E4FC">
      <w:pPr>
        <w:pStyle w:val="10"/>
        <w:tabs>
          <w:tab w:val="left" w:pos="2472"/>
        </w:tabs>
        <w:spacing w:line="460" w:lineRule="exact"/>
        <w:jc w:val="center"/>
        <w:rPr>
          <w:rFonts w:ascii="Times New Roman" w:hAnsi="Times New Roman"/>
          <w:b/>
          <w:color w:val="auto"/>
          <w:sz w:val="36"/>
          <w:highlight w:val="none"/>
        </w:rPr>
      </w:pPr>
    </w:p>
    <w:p w14:paraId="38B847F4">
      <w:pPr>
        <w:pStyle w:val="10"/>
        <w:tabs>
          <w:tab w:val="left" w:pos="2472"/>
        </w:tabs>
        <w:spacing w:line="460" w:lineRule="exact"/>
        <w:jc w:val="center"/>
        <w:rPr>
          <w:rFonts w:ascii="Times New Roman" w:hAnsi="Times New Roman"/>
          <w:b/>
          <w:color w:val="auto"/>
          <w:sz w:val="36"/>
          <w:highlight w:val="none"/>
        </w:rPr>
      </w:pPr>
    </w:p>
    <w:p w14:paraId="10AD1C28">
      <w:pPr>
        <w:pStyle w:val="10"/>
        <w:tabs>
          <w:tab w:val="left" w:pos="2472"/>
        </w:tabs>
        <w:spacing w:line="460" w:lineRule="exact"/>
        <w:jc w:val="center"/>
        <w:rPr>
          <w:rFonts w:ascii="Times New Roman" w:hAnsi="Times New Roman"/>
          <w:b/>
          <w:color w:val="auto"/>
          <w:sz w:val="36"/>
          <w:highlight w:val="none"/>
        </w:rPr>
      </w:pPr>
    </w:p>
    <w:p w14:paraId="5C1DED11">
      <w:pPr>
        <w:pStyle w:val="10"/>
        <w:tabs>
          <w:tab w:val="left" w:pos="2472"/>
        </w:tabs>
        <w:spacing w:line="460" w:lineRule="exact"/>
        <w:jc w:val="center"/>
        <w:rPr>
          <w:rFonts w:ascii="Times New Roman" w:hAnsi="Times New Roman"/>
          <w:b/>
          <w:color w:val="auto"/>
          <w:sz w:val="36"/>
          <w:highlight w:val="none"/>
        </w:rPr>
      </w:pPr>
    </w:p>
    <w:p w14:paraId="031C8A68">
      <w:pPr>
        <w:pStyle w:val="10"/>
        <w:tabs>
          <w:tab w:val="left" w:pos="2472"/>
        </w:tabs>
        <w:spacing w:line="460" w:lineRule="exact"/>
        <w:jc w:val="center"/>
        <w:rPr>
          <w:rFonts w:ascii="Times New Roman" w:hAnsi="Times New Roman"/>
          <w:b/>
          <w:color w:val="auto"/>
          <w:sz w:val="36"/>
          <w:highlight w:val="none"/>
        </w:rPr>
      </w:pPr>
    </w:p>
    <w:p w14:paraId="78F67A77">
      <w:pPr>
        <w:pStyle w:val="10"/>
        <w:tabs>
          <w:tab w:val="left" w:pos="2472"/>
        </w:tabs>
        <w:spacing w:line="460" w:lineRule="exact"/>
        <w:jc w:val="center"/>
        <w:outlineLvl w:val="0"/>
        <w:rPr>
          <w:rFonts w:ascii="Times New Roman" w:hAnsi="Times New Roman"/>
          <w:b/>
          <w:color w:val="auto"/>
          <w:sz w:val="36"/>
          <w:highlight w:val="none"/>
        </w:rPr>
      </w:pPr>
      <w:bookmarkStart w:id="73" w:name="_Toc27266"/>
      <w:r>
        <w:rPr>
          <w:rFonts w:hint="eastAsia" w:ascii="Times New Roman" w:hAnsi="Times New Roman"/>
          <w:b/>
          <w:color w:val="auto"/>
          <w:sz w:val="36"/>
          <w:highlight w:val="none"/>
        </w:rPr>
        <w:t>第六章 投标文件格式</w:t>
      </w:r>
      <w:bookmarkEnd w:id="73"/>
    </w:p>
    <w:p w14:paraId="22C51A66">
      <w:pPr>
        <w:pStyle w:val="10"/>
        <w:spacing w:line="360" w:lineRule="auto"/>
        <w:rPr>
          <w:rFonts w:hAnsi="宋体"/>
          <w:color w:val="auto"/>
          <w:highlight w:val="none"/>
        </w:rPr>
        <w:sectPr>
          <w:pgSz w:w="11906" w:h="16838"/>
          <w:pgMar w:top="1134" w:right="1134" w:bottom="1134" w:left="1134" w:header="720" w:footer="720" w:gutter="0"/>
          <w:cols w:space="720" w:num="1"/>
          <w:docGrid w:type="lines" w:linePitch="331" w:charSpace="0"/>
        </w:sectPr>
      </w:pPr>
    </w:p>
    <w:p w14:paraId="7E928C80">
      <w:pPr>
        <w:pStyle w:val="10"/>
        <w:ind w:firstLine="551" w:firstLineChars="196"/>
        <w:jc w:val="center"/>
        <w:outlineLvl w:val="1"/>
        <w:rPr>
          <w:rFonts w:hAnsi="宋体"/>
          <w:b/>
          <w:bCs/>
          <w:color w:val="auto"/>
          <w:sz w:val="28"/>
          <w:szCs w:val="28"/>
          <w:highlight w:val="none"/>
        </w:rPr>
      </w:pPr>
      <w:bookmarkStart w:id="74" w:name="_Toc10420"/>
      <w:bookmarkStart w:id="75" w:name="_Toc16055"/>
      <w:bookmarkStart w:id="76" w:name="_Toc2348"/>
      <w:bookmarkStart w:id="77" w:name="_Toc11416"/>
      <w:r>
        <w:rPr>
          <w:rFonts w:hint="eastAsia" w:hAnsi="宋体"/>
          <w:b/>
          <w:bCs/>
          <w:color w:val="auto"/>
          <w:sz w:val="28"/>
          <w:szCs w:val="28"/>
          <w:highlight w:val="none"/>
        </w:rPr>
        <w:t>第一节 投标文件外层包装封面格式</w:t>
      </w:r>
      <w:bookmarkEnd w:id="74"/>
      <w:bookmarkEnd w:id="75"/>
      <w:bookmarkEnd w:id="76"/>
      <w:bookmarkEnd w:id="77"/>
    </w:p>
    <w:p w14:paraId="5724F559">
      <w:pPr>
        <w:pStyle w:val="10"/>
        <w:ind w:firstLine="551" w:firstLineChars="196"/>
        <w:jc w:val="center"/>
        <w:rPr>
          <w:rFonts w:hAnsi="宋体"/>
          <w:b/>
          <w:bCs/>
          <w:color w:val="auto"/>
          <w:sz w:val="28"/>
          <w:szCs w:val="28"/>
          <w:highlight w:val="none"/>
        </w:rPr>
      </w:pPr>
      <w:r>
        <w:rPr>
          <w:rFonts w:hint="eastAsia" w:hAnsi="宋体"/>
          <w:b/>
          <w:bCs/>
          <w:color w:val="auto"/>
          <w:sz w:val="28"/>
          <w:szCs w:val="28"/>
          <w:highlight w:val="none"/>
        </w:rPr>
        <w:t>（</w:t>
      </w:r>
      <w:r>
        <w:rPr>
          <w:rFonts w:hint="eastAsia" w:hAnsi="宋体" w:cs="宋体"/>
          <w:color w:val="auto"/>
          <w:sz w:val="28"/>
          <w:szCs w:val="28"/>
          <w:highlight w:val="none"/>
        </w:rPr>
        <w:t>公开、邀请招标服务类投标文件格式范本</w:t>
      </w:r>
      <w:r>
        <w:rPr>
          <w:rFonts w:hint="eastAsia" w:hAnsi="宋体"/>
          <w:b/>
          <w:bCs/>
          <w:color w:val="auto"/>
          <w:sz w:val="28"/>
          <w:szCs w:val="28"/>
          <w:highlight w:val="none"/>
        </w:rPr>
        <w:t>）</w:t>
      </w:r>
    </w:p>
    <w:p w14:paraId="3FE53212">
      <w:pPr>
        <w:spacing w:before="120" w:beforeLines="50" w:after="120" w:afterLines="50"/>
        <w:jc w:val="center"/>
        <w:rPr>
          <w:rFonts w:ascii="宋体" w:hAnsi="宋体" w:cs="宋体"/>
          <w:color w:val="auto"/>
          <w:spacing w:val="20"/>
          <w:sz w:val="44"/>
          <w:szCs w:val="44"/>
          <w:highlight w:val="none"/>
        </w:rPr>
      </w:pPr>
    </w:p>
    <w:p w14:paraId="56BEB51A">
      <w:pPr>
        <w:spacing w:before="120" w:beforeLines="50" w:after="120" w:afterLines="50"/>
        <w:jc w:val="center"/>
        <w:rPr>
          <w:rFonts w:ascii="宋体" w:hAnsi="宋体" w:cs="宋体"/>
          <w:color w:val="auto"/>
          <w:spacing w:val="20"/>
          <w:sz w:val="44"/>
          <w:szCs w:val="44"/>
          <w:highlight w:val="none"/>
        </w:rPr>
      </w:pPr>
    </w:p>
    <w:p w14:paraId="6D369B1B">
      <w:pPr>
        <w:spacing w:before="120" w:beforeLines="50" w:after="120" w:afterLines="50"/>
        <w:jc w:val="center"/>
        <w:rPr>
          <w:rFonts w:ascii="宋体" w:hAnsi="宋体" w:cs="宋体"/>
          <w:color w:val="auto"/>
          <w:spacing w:val="20"/>
          <w:sz w:val="44"/>
          <w:szCs w:val="44"/>
          <w:highlight w:val="none"/>
        </w:rPr>
      </w:pPr>
    </w:p>
    <w:p w14:paraId="62E953E4">
      <w:pPr>
        <w:spacing w:before="120" w:beforeLines="50" w:after="120" w:afterLines="50"/>
        <w:jc w:val="center"/>
        <w:rPr>
          <w:rFonts w:ascii="宋体" w:hAnsi="宋体" w:cs="宋体"/>
          <w:color w:val="auto"/>
          <w:spacing w:val="20"/>
          <w:sz w:val="44"/>
          <w:szCs w:val="44"/>
          <w:highlight w:val="none"/>
        </w:rPr>
      </w:pPr>
    </w:p>
    <w:p w14:paraId="2C44400D">
      <w:pPr>
        <w:spacing w:before="120" w:beforeLines="50" w:after="120" w:afterLines="50"/>
        <w:jc w:val="center"/>
        <w:rPr>
          <w:rFonts w:ascii="宋体" w:hAnsi="宋体" w:cs="宋体"/>
          <w:color w:val="auto"/>
          <w:spacing w:val="20"/>
          <w:sz w:val="44"/>
          <w:szCs w:val="44"/>
          <w:highlight w:val="none"/>
        </w:rPr>
      </w:pPr>
      <w:r>
        <w:rPr>
          <w:rFonts w:hint="eastAsia" w:ascii="宋体" w:hAnsi="宋体" w:cs="宋体"/>
          <w:color w:val="auto"/>
          <w:spacing w:val="20"/>
          <w:sz w:val="44"/>
          <w:szCs w:val="44"/>
          <w:highlight w:val="none"/>
        </w:rPr>
        <w:t>南宁市国土空间总体规划动态维护工作（项目名称）</w:t>
      </w:r>
    </w:p>
    <w:p w14:paraId="5159ED9E">
      <w:pPr>
        <w:spacing w:before="120" w:beforeLines="50" w:after="120" w:afterLines="50"/>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01FD9766">
      <w:pPr>
        <w:jc w:val="center"/>
        <w:rPr>
          <w:rFonts w:ascii="宋体" w:hAnsi="宋体" w:cs="宋体"/>
          <w:color w:val="auto"/>
          <w:sz w:val="24"/>
          <w:highlight w:val="none"/>
        </w:rPr>
      </w:pPr>
      <w:r>
        <w:rPr>
          <w:rFonts w:hint="eastAsia" w:ascii="宋体" w:hAnsi="宋体" w:cs="宋体"/>
          <w:color w:val="auto"/>
          <w:sz w:val="24"/>
          <w:highlight w:val="none"/>
        </w:rPr>
        <w:t>（电子投标文件）</w:t>
      </w:r>
    </w:p>
    <w:p w14:paraId="78A5E517">
      <w:pPr>
        <w:jc w:val="center"/>
        <w:rPr>
          <w:rFonts w:ascii="宋体" w:hAnsi="宋体" w:cs="宋体"/>
          <w:color w:val="auto"/>
          <w:sz w:val="24"/>
          <w:highlight w:val="none"/>
        </w:rPr>
      </w:pPr>
    </w:p>
    <w:tbl>
      <w:tblPr>
        <w:tblStyle w:val="20"/>
        <w:tblW w:w="0" w:type="auto"/>
        <w:jc w:val="center"/>
        <w:tblLayout w:type="fixed"/>
        <w:tblCellMar>
          <w:top w:w="0" w:type="dxa"/>
          <w:left w:w="108" w:type="dxa"/>
          <w:bottom w:w="0" w:type="dxa"/>
          <w:right w:w="108" w:type="dxa"/>
        </w:tblCellMar>
      </w:tblPr>
      <w:tblGrid>
        <w:gridCol w:w="1601"/>
        <w:gridCol w:w="6438"/>
      </w:tblGrid>
      <w:tr w14:paraId="1F4BDE42">
        <w:tblPrEx>
          <w:tblCellMar>
            <w:top w:w="0" w:type="dxa"/>
            <w:left w:w="108" w:type="dxa"/>
            <w:bottom w:w="0" w:type="dxa"/>
            <w:right w:w="108" w:type="dxa"/>
          </w:tblCellMar>
        </w:tblPrEx>
        <w:trPr>
          <w:jc w:val="center"/>
        </w:trPr>
        <w:tc>
          <w:tcPr>
            <w:tcW w:w="1601" w:type="dxa"/>
            <w:vAlign w:val="bottom"/>
          </w:tcPr>
          <w:p w14:paraId="0F5296AD">
            <w:pPr>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438" w:type="dxa"/>
            <w:tcBorders>
              <w:bottom w:val="single" w:color="000000" w:sz="4" w:space="0"/>
            </w:tcBorders>
            <w:vAlign w:val="bottom"/>
          </w:tcPr>
          <w:p w14:paraId="6E6B23DE">
            <w:pPr>
              <w:jc w:val="left"/>
              <w:rPr>
                <w:rFonts w:ascii="宋体" w:hAnsi="宋体" w:cs="宋体"/>
                <w:color w:val="auto"/>
                <w:sz w:val="24"/>
                <w:highlight w:val="none"/>
              </w:rPr>
            </w:pPr>
            <w:r>
              <w:rPr>
                <w:rFonts w:hint="eastAsia" w:ascii="宋体" w:hAnsi="宋体" w:cs="宋体"/>
                <w:color w:val="auto"/>
                <w:sz w:val="24"/>
                <w:highlight w:val="none"/>
              </w:rPr>
              <w:t>南宁市国土空间总体规划动态维护工作</w:t>
            </w:r>
          </w:p>
        </w:tc>
      </w:tr>
      <w:tr w14:paraId="0559B6C5">
        <w:tblPrEx>
          <w:tblCellMar>
            <w:top w:w="0" w:type="dxa"/>
            <w:left w:w="108" w:type="dxa"/>
            <w:bottom w:w="0" w:type="dxa"/>
            <w:right w:w="108" w:type="dxa"/>
          </w:tblCellMar>
        </w:tblPrEx>
        <w:trPr>
          <w:jc w:val="center"/>
        </w:trPr>
        <w:tc>
          <w:tcPr>
            <w:tcW w:w="1601" w:type="dxa"/>
            <w:vAlign w:val="bottom"/>
          </w:tcPr>
          <w:p w14:paraId="3C9A3EF4">
            <w:pPr>
              <w:jc w:val="distribute"/>
              <w:rPr>
                <w:rFonts w:ascii="宋体" w:hAnsi="宋体" w:cs="宋体"/>
                <w:color w:val="auto"/>
                <w:sz w:val="24"/>
                <w:highlight w:val="none"/>
              </w:rPr>
            </w:pPr>
            <w:r>
              <w:rPr>
                <w:rFonts w:hint="eastAsia" w:ascii="宋体" w:hAnsi="宋体" w:cs="宋体"/>
                <w:color w:val="auto"/>
                <w:sz w:val="24"/>
                <w:highlight w:val="none"/>
              </w:rPr>
              <w:t>采购方式：</w:t>
            </w:r>
          </w:p>
        </w:tc>
        <w:tc>
          <w:tcPr>
            <w:tcW w:w="6438" w:type="dxa"/>
            <w:tcBorders>
              <w:top w:val="single" w:color="000000" w:sz="4" w:space="0"/>
              <w:bottom w:val="single" w:color="000000" w:sz="4" w:space="0"/>
            </w:tcBorders>
            <w:vAlign w:val="bottom"/>
          </w:tcPr>
          <w:p w14:paraId="046DDA3B">
            <w:pPr>
              <w:jc w:val="left"/>
              <w:rPr>
                <w:rFonts w:ascii="宋体" w:hAnsi="宋体" w:cs="宋体"/>
                <w:color w:val="auto"/>
                <w:sz w:val="24"/>
                <w:highlight w:val="none"/>
              </w:rPr>
            </w:pPr>
            <w:r>
              <w:rPr>
                <w:rFonts w:hint="eastAsia" w:ascii="宋体" w:hAnsi="宋体" w:cs="宋体"/>
                <w:color w:val="auto"/>
                <w:sz w:val="24"/>
                <w:highlight w:val="none"/>
              </w:rPr>
              <w:t>公开招标</w:t>
            </w:r>
          </w:p>
        </w:tc>
      </w:tr>
      <w:tr w14:paraId="1E1D4387">
        <w:tblPrEx>
          <w:tblCellMar>
            <w:top w:w="0" w:type="dxa"/>
            <w:left w:w="108" w:type="dxa"/>
            <w:bottom w:w="0" w:type="dxa"/>
            <w:right w:w="108" w:type="dxa"/>
          </w:tblCellMar>
        </w:tblPrEx>
        <w:trPr>
          <w:jc w:val="center"/>
        </w:trPr>
        <w:tc>
          <w:tcPr>
            <w:tcW w:w="1601" w:type="dxa"/>
            <w:vAlign w:val="bottom"/>
          </w:tcPr>
          <w:p w14:paraId="5DC552EB">
            <w:pPr>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438" w:type="dxa"/>
            <w:tcBorders>
              <w:top w:val="single" w:color="000000" w:sz="4" w:space="0"/>
              <w:bottom w:val="single" w:color="000000" w:sz="4" w:space="0"/>
            </w:tcBorders>
            <w:vAlign w:val="bottom"/>
          </w:tcPr>
          <w:p w14:paraId="760AF9C7">
            <w:pPr>
              <w:jc w:val="left"/>
              <w:rPr>
                <w:rFonts w:ascii="宋体" w:hAnsi="宋体" w:cs="宋体"/>
                <w:color w:val="auto"/>
                <w:sz w:val="24"/>
                <w:highlight w:val="none"/>
              </w:rPr>
            </w:pPr>
          </w:p>
        </w:tc>
      </w:tr>
      <w:tr w14:paraId="5C08121D">
        <w:tblPrEx>
          <w:tblCellMar>
            <w:top w:w="0" w:type="dxa"/>
            <w:left w:w="108" w:type="dxa"/>
            <w:bottom w:w="0" w:type="dxa"/>
            <w:right w:w="108" w:type="dxa"/>
          </w:tblCellMar>
        </w:tblPrEx>
        <w:trPr>
          <w:jc w:val="center"/>
        </w:trPr>
        <w:tc>
          <w:tcPr>
            <w:tcW w:w="1601" w:type="dxa"/>
            <w:vAlign w:val="bottom"/>
          </w:tcPr>
          <w:p w14:paraId="63B44BD0">
            <w:pPr>
              <w:jc w:val="distribute"/>
              <w:rPr>
                <w:rFonts w:ascii="宋体" w:hAnsi="宋体" w:cs="宋体"/>
                <w:color w:val="auto"/>
                <w:sz w:val="24"/>
                <w:highlight w:val="none"/>
              </w:rPr>
            </w:pPr>
            <w:r>
              <w:rPr>
                <w:rFonts w:hint="eastAsia" w:ascii="宋体" w:hAnsi="宋体" w:cs="宋体"/>
                <w:color w:val="auto"/>
                <w:sz w:val="24"/>
                <w:highlight w:val="none"/>
              </w:rPr>
              <w:t>所投分标：</w:t>
            </w:r>
          </w:p>
        </w:tc>
        <w:tc>
          <w:tcPr>
            <w:tcW w:w="6438" w:type="dxa"/>
            <w:tcBorders>
              <w:top w:val="single" w:color="000000" w:sz="4" w:space="0"/>
              <w:bottom w:val="single" w:color="000000" w:sz="4" w:space="0"/>
            </w:tcBorders>
            <w:vAlign w:val="bottom"/>
          </w:tcPr>
          <w:p w14:paraId="16CD4621">
            <w:pPr>
              <w:jc w:val="left"/>
              <w:rPr>
                <w:rFonts w:ascii="宋体" w:hAnsi="宋体" w:cs="宋体"/>
                <w:color w:val="auto"/>
                <w:sz w:val="24"/>
                <w:highlight w:val="none"/>
              </w:rPr>
            </w:pPr>
          </w:p>
        </w:tc>
      </w:tr>
      <w:tr w14:paraId="5541F146">
        <w:tblPrEx>
          <w:tblCellMar>
            <w:top w:w="0" w:type="dxa"/>
            <w:left w:w="108" w:type="dxa"/>
            <w:bottom w:w="0" w:type="dxa"/>
            <w:right w:w="108" w:type="dxa"/>
          </w:tblCellMar>
        </w:tblPrEx>
        <w:trPr>
          <w:jc w:val="center"/>
        </w:trPr>
        <w:tc>
          <w:tcPr>
            <w:tcW w:w="1601" w:type="dxa"/>
            <w:vAlign w:val="bottom"/>
          </w:tcPr>
          <w:p w14:paraId="3CABD03B">
            <w:pPr>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438" w:type="dxa"/>
            <w:tcBorders>
              <w:top w:val="single" w:color="000000" w:sz="4" w:space="0"/>
              <w:bottom w:val="single" w:color="000000" w:sz="4" w:space="0"/>
            </w:tcBorders>
            <w:vAlign w:val="bottom"/>
          </w:tcPr>
          <w:p w14:paraId="26603E47">
            <w:pPr>
              <w:jc w:val="left"/>
              <w:rPr>
                <w:rFonts w:ascii="宋体" w:hAnsi="宋体" w:cs="宋体"/>
                <w:color w:val="auto"/>
                <w:sz w:val="24"/>
                <w:highlight w:val="none"/>
              </w:rPr>
            </w:pPr>
          </w:p>
        </w:tc>
      </w:tr>
      <w:tr w14:paraId="01CB1C17">
        <w:tblPrEx>
          <w:tblCellMar>
            <w:top w:w="0" w:type="dxa"/>
            <w:left w:w="108" w:type="dxa"/>
            <w:bottom w:w="0" w:type="dxa"/>
            <w:right w:w="108" w:type="dxa"/>
          </w:tblCellMar>
        </w:tblPrEx>
        <w:trPr>
          <w:jc w:val="center"/>
        </w:trPr>
        <w:tc>
          <w:tcPr>
            <w:tcW w:w="1601" w:type="dxa"/>
            <w:vAlign w:val="bottom"/>
          </w:tcPr>
          <w:p w14:paraId="5DD1EF35">
            <w:pPr>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438" w:type="dxa"/>
            <w:tcBorders>
              <w:top w:val="single" w:color="000000" w:sz="4" w:space="0"/>
              <w:bottom w:val="single" w:color="000000" w:sz="4" w:space="0"/>
            </w:tcBorders>
            <w:vAlign w:val="bottom"/>
          </w:tcPr>
          <w:p w14:paraId="59D2A9DB">
            <w:pPr>
              <w:jc w:val="left"/>
              <w:rPr>
                <w:rFonts w:ascii="宋体" w:hAnsi="宋体" w:cs="宋体"/>
                <w:color w:val="auto"/>
                <w:sz w:val="24"/>
                <w:highlight w:val="none"/>
              </w:rPr>
            </w:pPr>
          </w:p>
        </w:tc>
      </w:tr>
    </w:tbl>
    <w:p w14:paraId="6801568D">
      <w:pPr>
        <w:ind w:firstLine="4200" w:firstLineChars="1750"/>
        <w:rPr>
          <w:rFonts w:ascii="宋体" w:hAnsi="宋体" w:cs="宋体"/>
          <w:color w:val="auto"/>
          <w:sz w:val="24"/>
          <w:highlight w:val="none"/>
        </w:rPr>
      </w:pPr>
    </w:p>
    <w:p w14:paraId="166241E9">
      <w:pPr>
        <w:ind w:firstLine="4200" w:firstLineChars="1750"/>
        <w:rPr>
          <w:rFonts w:ascii="宋体" w:hAnsi="宋体" w:cs="宋体"/>
          <w:color w:val="auto"/>
          <w:sz w:val="24"/>
          <w:highlight w:val="none"/>
        </w:rPr>
      </w:pPr>
    </w:p>
    <w:p w14:paraId="5287343A">
      <w:pPr>
        <w:ind w:firstLine="4200" w:firstLineChars="1750"/>
        <w:rPr>
          <w:rFonts w:ascii="宋体" w:hAnsi="宋体" w:cs="宋体"/>
          <w:color w:val="auto"/>
          <w:sz w:val="24"/>
          <w:highlight w:val="none"/>
        </w:rPr>
      </w:pPr>
    </w:p>
    <w:p w14:paraId="27EB71D5">
      <w:pPr>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投标截止时间前不得启封</w:t>
      </w:r>
    </w:p>
    <w:p w14:paraId="0E7ACD47">
      <w:pPr>
        <w:ind w:firstLine="6480" w:firstLineChars="2700"/>
        <w:rPr>
          <w:rFonts w:ascii="宋体" w:hAnsi="宋体" w:cs="宋体"/>
          <w:color w:val="auto"/>
          <w:sz w:val="24"/>
          <w:highlight w:val="none"/>
        </w:rPr>
        <w:sectPr>
          <w:headerReference r:id="rId8" w:type="default"/>
          <w:footerReference r:id="rId9" w:type="default"/>
          <w:pgSz w:w="11907" w:h="16840"/>
          <w:pgMar w:top="1531" w:right="1418" w:bottom="1361" w:left="1418" w:header="720" w:footer="720" w:gutter="0"/>
          <w:cols w:space="720" w:num="1"/>
          <w:docGrid w:linePitch="285" w:charSpace="0"/>
        </w:sectPr>
      </w:pPr>
      <w:r>
        <w:rPr>
          <w:rFonts w:hint="eastAsia" w:ascii="宋体" w:hAnsi="宋体" w:cs="宋体"/>
          <w:color w:val="auto"/>
          <w:sz w:val="24"/>
          <w:highlight w:val="none"/>
        </w:rPr>
        <w:t>年   月   日</w:t>
      </w:r>
    </w:p>
    <w:p w14:paraId="1821C88E">
      <w:pPr>
        <w:pStyle w:val="10"/>
        <w:jc w:val="center"/>
        <w:outlineLvl w:val="1"/>
        <w:rPr>
          <w:rFonts w:hAnsi="宋体"/>
          <w:b/>
          <w:bCs/>
          <w:color w:val="auto"/>
          <w:sz w:val="28"/>
          <w:szCs w:val="28"/>
          <w:highlight w:val="none"/>
        </w:rPr>
      </w:pPr>
      <w:bookmarkStart w:id="78" w:name="_Toc25622"/>
      <w:bookmarkStart w:id="79" w:name="_Toc16345"/>
      <w:bookmarkStart w:id="80" w:name="_Toc11007"/>
      <w:bookmarkStart w:id="81" w:name="_Toc8227"/>
      <w:r>
        <w:rPr>
          <w:rFonts w:hint="eastAsia" w:hAnsi="宋体"/>
          <w:b/>
          <w:bCs/>
          <w:color w:val="auto"/>
          <w:sz w:val="28"/>
          <w:szCs w:val="28"/>
          <w:highlight w:val="none"/>
        </w:rPr>
        <w:t>第二节 资格证明文件格式</w:t>
      </w:r>
      <w:bookmarkEnd w:id="78"/>
      <w:bookmarkEnd w:id="79"/>
      <w:bookmarkEnd w:id="80"/>
      <w:bookmarkEnd w:id="81"/>
    </w:p>
    <w:p w14:paraId="6317A60F">
      <w:pPr>
        <w:pStyle w:val="10"/>
        <w:spacing w:line="360" w:lineRule="auto"/>
        <w:ind w:firstLine="420"/>
        <w:rPr>
          <w:rFonts w:hAnsi="宋体"/>
          <w:color w:val="auto"/>
          <w:sz w:val="30"/>
          <w:highlight w:val="none"/>
        </w:rPr>
      </w:pPr>
    </w:p>
    <w:p w14:paraId="1D4A6950">
      <w:pPr>
        <w:snapToGrid w:val="0"/>
        <w:spacing w:before="165" w:beforeLines="50" w:after="50"/>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4AB6F010">
      <w:pPr>
        <w:snapToGrid w:val="0"/>
        <w:spacing w:before="165" w:beforeLines="50" w:after="50"/>
        <w:rPr>
          <w:rFonts w:ascii="宋体" w:hAnsi="宋体"/>
          <w:color w:val="auto"/>
          <w:sz w:val="24"/>
          <w:szCs w:val="20"/>
          <w:highlight w:val="none"/>
        </w:rPr>
      </w:pPr>
    </w:p>
    <w:p w14:paraId="67247305">
      <w:pPr>
        <w:snapToGrid w:val="0"/>
        <w:spacing w:before="165"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资格证明文件（封面）</w:t>
      </w:r>
    </w:p>
    <w:p w14:paraId="7C5D8584">
      <w:pPr>
        <w:snapToGrid w:val="0"/>
        <w:spacing w:before="165" w:beforeLines="50" w:after="50"/>
        <w:rPr>
          <w:rFonts w:ascii="宋体" w:hAnsi="宋体"/>
          <w:bCs/>
          <w:color w:val="auto"/>
          <w:sz w:val="24"/>
          <w:szCs w:val="20"/>
          <w:highlight w:val="none"/>
        </w:rPr>
      </w:pPr>
    </w:p>
    <w:p w14:paraId="2AD81F14">
      <w:pPr>
        <w:snapToGrid w:val="0"/>
        <w:spacing w:before="165" w:beforeLines="50" w:after="50"/>
        <w:rPr>
          <w:rFonts w:ascii="宋体" w:hAnsi="宋体"/>
          <w:bCs/>
          <w:color w:val="auto"/>
          <w:sz w:val="24"/>
          <w:szCs w:val="20"/>
          <w:highlight w:val="none"/>
        </w:rPr>
      </w:pPr>
    </w:p>
    <w:p w14:paraId="402CFB23">
      <w:pPr>
        <w:snapToGrid w:val="0"/>
        <w:spacing w:before="165" w:beforeLines="50" w:after="50"/>
        <w:rPr>
          <w:rFonts w:ascii="宋体" w:hAnsi="宋体"/>
          <w:bCs/>
          <w:color w:val="auto"/>
          <w:sz w:val="24"/>
          <w:szCs w:val="20"/>
          <w:highlight w:val="none"/>
        </w:rPr>
      </w:pPr>
    </w:p>
    <w:p w14:paraId="18AB4263">
      <w:pPr>
        <w:snapToGrid w:val="0"/>
        <w:spacing w:before="165" w:beforeLines="50" w:after="50"/>
        <w:rPr>
          <w:rFonts w:ascii="宋体" w:hAnsi="宋体"/>
          <w:bCs/>
          <w:color w:val="auto"/>
          <w:sz w:val="24"/>
          <w:szCs w:val="20"/>
          <w:highlight w:val="none"/>
        </w:rPr>
      </w:pPr>
    </w:p>
    <w:p w14:paraId="7D1E8D2E">
      <w:pPr>
        <w:snapToGrid w:val="0"/>
        <w:spacing w:before="165" w:beforeLines="50" w:after="50"/>
        <w:rPr>
          <w:rFonts w:ascii="宋体" w:hAnsi="宋体"/>
          <w:bCs/>
          <w:color w:val="auto"/>
          <w:sz w:val="24"/>
          <w:szCs w:val="20"/>
          <w:highlight w:val="none"/>
        </w:rPr>
      </w:pPr>
    </w:p>
    <w:p w14:paraId="181B06EA">
      <w:pPr>
        <w:snapToGrid w:val="0"/>
        <w:spacing w:before="165" w:beforeLines="50" w:after="50"/>
        <w:rPr>
          <w:rFonts w:ascii="宋体" w:hAnsi="宋体"/>
          <w:bCs/>
          <w:color w:val="auto"/>
          <w:sz w:val="24"/>
          <w:szCs w:val="20"/>
          <w:highlight w:val="none"/>
        </w:rPr>
      </w:pPr>
    </w:p>
    <w:p w14:paraId="5FE4F362">
      <w:pPr>
        <w:snapToGrid w:val="0"/>
        <w:spacing w:before="165" w:beforeLines="50" w:after="50"/>
        <w:rPr>
          <w:rFonts w:ascii="宋体" w:hAnsi="宋体"/>
          <w:bCs/>
          <w:color w:val="auto"/>
          <w:sz w:val="24"/>
          <w:szCs w:val="20"/>
          <w:highlight w:val="none"/>
        </w:rPr>
      </w:pPr>
    </w:p>
    <w:p w14:paraId="6D59CF2A">
      <w:pPr>
        <w:snapToGrid w:val="0"/>
        <w:spacing w:before="165"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r>
        <w:rPr>
          <w:rFonts w:hint="eastAsia" w:ascii="宋体" w:hAnsi="宋体" w:cs="宋体"/>
          <w:color w:val="auto"/>
          <w:sz w:val="24"/>
          <w:highlight w:val="none"/>
        </w:rPr>
        <w:t>南宁市国土空间总体规划动态维护工作</w:t>
      </w:r>
    </w:p>
    <w:p w14:paraId="296D72EC">
      <w:pPr>
        <w:snapToGrid w:val="0"/>
        <w:spacing w:before="165" w:beforeLines="50" w:after="50"/>
        <w:ind w:firstLine="540" w:firstLineChars="225"/>
        <w:rPr>
          <w:rFonts w:ascii="宋体" w:hAnsi="宋体"/>
          <w:bCs/>
          <w:color w:val="auto"/>
          <w:sz w:val="24"/>
          <w:szCs w:val="20"/>
          <w:highlight w:val="none"/>
        </w:rPr>
      </w:pPr>
    </w:p>
    <w:p w14:paraId="66DE9A87">
      <w:pPr>
        <w:snapToGrid w:val="0"/>
        <w:spacing w:before="165"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04DB223C">
      <w:pPr>
        <w:snapToGrid w:val="0"/>
        <w:spacing w:before="165"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65BD0E91">
      <w:pPr>
        <w:snapToGrid w:val="0"/>
        <w:spacing w:before="165"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20E4C86A">
      <w:pPr>
        <w:pStyle w:val="5"/>
        <w:snapToGrid w:val="0"/>
        <w:spacing w:before="50" w:after="50"/>
        <w:ind w:firstLine="540" w:firstLineChars="225"/>
        <w:rPr>
          <w:rFonts w:ascii="宋体" w:hAnsi="宋体"/>
          <w:bCs/>
          <w:color w:val="auto"/>
          <w:sz w:val="24"/>
          <w:szCs w:val="24"/>
          <w:highlight w:val="none"/>
        </w:rPr>
      </w:pPr>
    </w:p>
    <w:p w14:paraId="03E94807">
      <w:pPr>
        <w:pStyle w:val="5"/>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277CECE4">
      <w:pPr>
        <w:pStyle w:val="5"/>
        <w:snapToGrid w:val="0"/>
        <w:spacing w:before="50" w:after="50"/>
        <w:ind w:firstLine="540" w:firstLineChars="225"/>
        <w:rPr>
          <w:rFonts w:ascii="宋体" w:hAnsi="宋体"/>
          <w:bCs/>
          <w:color w:val="auto"/>
          <w:sz w:val="24"/>
          <w:szCs w:val="24"/>
          <w:highlight w:val="none"/>
        </w:rPr>
      </w:pPr>
    </w:p>
    <w:p w14:paraId="7E98B114">
      <w:pPr>
        <w:pStyle w:val="5"/>
        <w:snapToGrid w:val="0"/>
        <w:spacing w:before="50" w:after="50"/>
        <w:ind w:firstLine="960" w:firstLineChars="400"/>
        <w:rPr>
          <w:rFonts w:ascii="宋体" w:hAnsi="宋体"/>
          <w:bCs/>
          <w:color w:val="auto"/>
          <w:sz w:val="24"/>
          <w:szCs w:val="24"/>
          <w:highlight w:val="none"/>
        </w:rPr>
      </w:pPr>
    </w:p>
    <w:p w14:paraId="42CE4CB1">
      <w:pPr>
        <w:snapToGrid w:val="0"/>
        <w:spacing w:before="165"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7F610906">
      <w:pPr>
        <w:pStyle w:val="10"/>
        <w:spacing w:line="360" w:lineRule="auto"/>
        <w:ind w:firstLine="420"/>
        <w:rPr>
          <w:rFonts w:hAnsi="宋体"/>
          <w:color w:val="auto"/>
          <w:sz w:val="30"/>
          <w:highlight w:val="none"/>
        </w:rPr>
        <w:sectPr>
          <w:pgSz w:w="11906" w:h="16838"/>
          <w:pgMar w:top="1134" w:right="1134" w:bottom="1134" w:left="1134" w:header="720" w:footer="720" w:gutter="0"/>
          <w:cols w:space="720" w:num="1"/>
          <w:docGrid w:type="lines" w:linePitch="331" w:charSpace="0"/>
        </w:sectPr>
      </w:pPr>
    </w:p>
    <w:p w14:paraId="48A42C81">
      <w:pPr>
        <w:jc w:val="center"/>
        <w:rPr>
          <w:rFonts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5D4C3E7B">
      <w:pPr>
        <w:snapToGrid w:val="0"/>
        <w:spacing w:line="360" w:lineRule="auto"/>
        <w:rPr>
          <w:rFonts w:ascii="仿宋_GB2312" w:hAnsi="仿宋" w:eastAsia="仿宋_GB2312" w:cs="仿宋_GB2312"/>
          <w:color w:val="auto"/>
          <w:kern w:val="0"/>
          <w:sz w:val="24"/>
          <w:highlight w:val="none"/>
        </w:rPr>
      </w:pPr>
    </w:p>
    <w:p w14:paraId="5105EAEB">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营业执照(或事业法人登记证或其他工商等登记证明材料)复印件（投标人为自然人的，须提供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6B122B56">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14:paraId="331566A6">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14:paraId="570FB111">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四、投标人直接控股股东信息</w:t>
      </w:r>
      <w:r>
        <w:rPr>
          <w:rFonts w:hint="eastAsia" w:ascii="仿宋_GB2312" w:hAnsi="仿宋" w:eastAsia="仿宋_GB2312" w:cs="仿宋_GB2312"/>
          <w:color w:val="auto"/>
          <w:kern w:val="0"/>
          <w:sz w:val="24"/>
          <w:highlight w:val="none"/>
        </w:rPr>
        <w:t>…………………………………………………………（页码）</w:t>
      </w:r>
    </w:p>
    <w:p w14:paraId="1008ACF3">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五、投标人直接关联关系信息表</w:t>
      </w:r>
      <w:r>
        <w:rPr>
          <w:rFonts w:hint="eastAsia" w:ascii="仿宋_GB2312" w:hAnsi="仿宋" w:eastAsia="仿宋_GB2312" w:cs="仿宋_GB2312"/>
          <w:color w:val="auto"/>
          <w:kern w:val="0"/>
          <w:sz w:val="24"/>
          <w:highlight w:val="none"/>
        </w:rPr>
        <w:t>………………………………………………………（页码）</w:t>
      </w:r>
    </w:p>
    <w:p w14:paraId="37DF9C9A">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六、投标资格声明函……………………………………………………………………（页码）</w:t>
      </w:r>
    </w:p>
    <w:p w14:paraId="18878DE0">
      <w:pPr>
        <w:snapToGrid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七、联合体协议书（以联合体形式响应的，提供联合体协议；本项目不接受联合体响应或者供应商不以联合体形式投标的，则不需要提供）……………………………………（页码）</w:t>
      </w:r>
    </w:p>
    <w:p w14:paraId="235A7A42">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八、符合特定资格条件（如有）的有关证明材料（复印件）</w:t>
      </w:r>
      <w:r>
        <w:rPr>
          <w:rFonts w:hint="eastAsia" w:ascii="仿宋_GB2312" w:hAnsi="仿宋" w:eastAsia="仿宋_GB2312" w:cs="仿宋_GB2312"/>
          <w:color w:val="auto"/>
          <w:kern w:val="0"/>
          <w:sz w:val="24"/>
          <w:highlight w:val="none"/>
        </w:rPr>
        <w:t>………………………（页码）</w:t>
      </w:r>
    </w:p>
    <w:p w14:paraId="6110EC13">
      <w:pPr>
        <w:spacing w:line="360" w:lineRule="auto"/>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613D7449">
      <w:pPr>
        <w:pStyle w:val="10"/>
        <w:spacing w:line="360" w:lineRule="auto"/>
        <w:ind w:firstLine="420"/>
        <w:rPr>
          <w:rFonts w:hAnsi="宋体"/>
          <w:color w:val="auto"/>
          <w:sz w:val="30"/>
          <w:highlight w:val="none"/>
        </w:rPr>
        <w:sectPr>
          <w:pgSz w:w="11906" w:h="16838"/>
          <w:pgMar w:top="1134" w:right="1134" w:bottom="1134" w:left="1134" w:header="720" w:footer="720" w:gutter="0"/>
          <w:cols w:space="720" w:num="1"/>
          <w:docGrid w:type="lines" w:linePitch="331" w:charSpace="0"/>
        </w:sectPr>
      </w:pPr>
    </w:p>
    <w:p w14:paraId="0DA2F721">
      <w:pPr>
        <w:snapToGrid w:val="0"/>
        <w:spacing w:line="360" w:lineRule="auto"/>
        <w:rPr>
          <w:rFonts w:ascii="仿宋_GB2312" w:hAnsi="仿宋" w:eastAsia="仿宋_GB2312" w:cs="仿宋_GB2312"/>
          <w:b/>
          <w:color w:val="auto"/>
          <w:kern w:val="0"/>
          <w:sz w:val="32"/>
          <w:szCs w:val="32"/>
          <w:highlight w:val="none"/>
          <w:lang w:val="zh-CN"/>
        </w:rPr>
      </w:pPr>
    </w:p>
    <w:p w14:paraId="3FEF61F7">
      <w:pPr>
        <w:spacing w:line="360" w:lineRule="auto"/>
        <w:jc w:val="center"/>
        <w:rPr>
          <w:rFonts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2"/>
          <w:szCs w:val="32"/>
          <w:highlight w:val="none"/>
          <w:lang w:val="zh-CN"/>
        </w:rPr>
        <w:t>一、</w:t>
      </w:r>
      <w:r>
        <w:rPr>
          <w:rFonts w:hint="eastAsia" w:ascii="仿宋_GB2312" w:hAnsi="仿宋" w:eastAsia="仿宋_GB2312" w:cs="仿宋_GB2312"/>
          <w:b/>
          <w:color w:val="auto"/>
          <w:sz w:val="30"/>
          <w:szCs w:val="30"/>
          <w:highlight w:val="none"/>
        </w:rPr>
        <w:t>营业执照(或事业法人登记证或其他工商等登记证明材料)复印件（投标人为自然人的，提供自然人的身份证明）</w:t>
      </w:r>
    </w:p>
    <w:p w14:paraId="5D8E0450">
      <w:pPr>
        <w:spacing w:line="360" w:lineRule="auto"/>
        <w:rPr>
          <w:rFonts w:ascii="仿宋_GB2312" w:hAnsi="仿宋" w:eastAsia="仿宋_GB2312" w:cs="仿宋_GB2312"/>
          <w:b/>
          <w:color w:val="auto"/>
          <w:sz w:val="30"/>
          <w:szCs w:val="30"/>
          <w:highlight w:val="none"/>
        </w:rPr>
      </w:pPr>
    </w:p>
    <w:p w14:paraId="2C486B1F">
      <w:pPr>
        <w:snapToGrid w:val="0"/>
        <w:spacing w:line="360" w:lineRule="auto"/>
        <w:ind w:firstLine="576"/>
        <w:jc w:val="center"/>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投标人名称(电子签章)：                              </w:t>
      </w:r>
    </w:p>
    <w:p w14:paraId="714259FA">
      <w:pPr>
        <w:spacing w:line="360" w:lineRule="auto"/>
        <w:jc w:val="center"/>
        <w:rPr>
          <w:rFonts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highlight w:val="none"/>
          <w:lang w:val="zh-CN"/>
        </w:rPr>
        <w:t xml:space="preserve">                   日期：  年  月</w:t>
      </w:r>
    </w:p>
    <w:p w14:paraId="1982C43C">
      <w:pPr>
        <w:spacing w:line="360" w:lineRule="auto"/>
        <w:jc w:val="center"/>
        <w:rPr>
          <w:rFonts w:ascii="仿宋_GB2312" w:hAnsi="仿宋" w:eastAsia="仿宋_GB2312" w:cs="仿宋_GB2312"/>
          <w:b/>
          <w:color w:val="auto"/>
          <w:sz w:val="30"/>
          <w:szCs w:val="30"/>
          <w:highlight w:val="none"/>
        </w:rPr>
      </w:pPr>
    </w:p>
    <w:p w14:paraId="48AEE160">
      <w:pPr>
        <w:snapToGrid w:val="0"/>
        <w:spacing w:line="360" w:lineRule="auto"/>
        <w:ind w:right="480"/>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kern w:val="0"/>
          <w:sz w:val="32"/>
          <w:szCs w:val="32"/>
          <w:highlight w:val="none"/>
        </w:rPr>
        <w:t>符合参与政府采购活动的资格条件依法缴纳税收、社会保障资金等方面的材料</w:t>
      </w:r>
    </w:p>
    <w:p w14:paraId="780906D3">
      <w:pPr>
        <w:snapToGrid w:val="0"/>
        <w:spacing w:line="360" w:lineRule="auto"/>
        <w:ind w:firstLine="480" w:firstLineChars="200"/>
        <w:rPr>
          <w:rFonts w:ascii="仿宋_GB2312" w:hAnsi="仿宋" w:eastAsia="仿宋_GB2312" w:cs="仿宋_GB2312"/>
          <w:color w:val="auto"/>
          <w:sz w:val="24"/>
          <w:highlight w:val="none"/>
        </w:rPr>
      </w:pPr>
    </w:p>
    <w:p w14:paraId="0D57BC86">
      <w:pPr>
        <w:snapToGrid w:val="0"/>
        <w:spacing w:line="360" w:lineRule="auto"/>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79E81B7F">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5873C787">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CBA7190">
      <w:pPr>
        <w:snapToGrid w:val="0"/>
        <w:spacing w:line="360" w:lineRule="auto"/>
        <w:ind w:right="480"/>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三、</w:t>
      </w:r>
      <w:r>
        <w:rPr>
          <w:rFonts w:hint="eastAsia" w:ascii="仿宋_GB2312" w:hAnsi="仿宋" w:eastAsia="仿宋_GB2312" w:cs="仿宋_GB2312"/>
          <w:b/>
          <w:color w:val="auto"/>
          <w:kern w:val="0"/>
          <w:sz w:val="32"/>
          <w:szCs w:val="32"/>
          <w:highlight w:val="none"/>
        </w:rPr>
        <w:t>财务状况报告方面的材料</w:t>
      </w:r>
    </w:p>
    <w:p w14:paraId="47A39441">
      <w:pPr>
        <w:snapToGrid w:val="0"/>
        <w:spacing w:line="360" w:lineRule="auto"/>
        <w:ind w:firstLine="480" w:firstLineChars="200"/>
        <w:rPr>
          <w:rFonts w:ascii="仿宋_GB2312" w:hAnsi="仿宋" w:eastAsia="仿宋_GB2312" w:cs="仿宋_GB2312"/>
          <w:color w:val="auto"/>
          <w:sz w:val="24"/>
          <w:highlight w:val="none"/>
        </w:rPr>
      </w:pPr>
    </w:p>
    <w:p w14:paraId="697B4DAA">
      <w:pPr>
        <w:snapToGrid w:val="0"/>
        <w:spacing w:line="360" w:lineRule="auto"/>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3A5F5A9C">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7723E311">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6CAFF8F">
      <w:pPr>
        <w:snapToGrid w:val="0"/>
        <w:spacing w:line="360" w:lineRule="auto"/>
        <w:ind w:firstLine="5160" w:firstLineChars="2150"/>
        <w:rPr>
          <w:rFonts w:ascii="仿宋_GB2312" w:hAnsi="仿宋" w:eastAsia="仿宋_GB2312" w:cs="仿宋_GB2312"/>
          <w:color w:val="auto"/>
          <w:kern w:val="0"/>
          <w:sz w:val="24"/>
          <w:highlight w:val="none"/>
          <w:lang w:val="zh-CN"/>
        </w:rPr>
      </w:pPr>
    </w:p>
    <w:p w14:paraId="24BAD882">
      <w:pPr>
        <w:snapToGrid w:val="0"/>
        <w:spacing w:line="360" w:lineRule="auto"/>
        <w:ind w:right="480"/>
        <w:jc w:val="center"/>
        <w:rPr>
          <w:rFonts w:ascii="仿宋_GB2312" w:hAnsi="仿宋" w:eastAsia="仿宋_GB2312" w:cs="仿宋_GB2312"/>
          <w:b/>
          <w:color w:val="auto"/>
          <w:kern w:val="0"/>
          <w:sz w:val="32"/>
          <w:szCs w:val="32"/>
          <w:highlight w:val="none"/>
          <w:lang w:val="zh-CN"/>
        </w:rPr>
      </w:pPr>
    </w:p>
    <w:p w14:paraId="2F10B89D">
      <w:pPr>
        <w:snapToGrid w:val="0"/>
        <w:spacing w:line="360" w:lineRule="auto"/>
        <w:ind w:right="480"/>
        <w:jc w:val="center"/>
        <w:rPr>
          <w:rFonts w:ascii="宋体" w:hAnsi="宋体"/>
          <w:b/>
          <w:color w:val="auto"/>
          <w:sz w:val="28"/>
          <w:szCs w:val="28"/>
          <w:highlight w:val="none"/>
        </w:rPr>
      </w:pPr>
      <w:r>
        <w:rPr>
          <w:rFonts w:ascii="仿宋_GB2312" w:hAnsi="仿宋" w:eastAsia="仿宋_GB2312" w:cs="仿宋_GB2312"/>
          <w:b/>
          <w:color w:val="auto"/>
          <w:kern w:val="0"/>
          <w:sz w:val="32"/>
          <w:szCs w:val="32"/>
          <w:highlight w:val="none"/>
        </w:rPr>
        <w:br w:type="page"/>
      </w:r>
    </w:p>
    <w:p w14:paraId="2F871A28">
      <w:pPr>
        <w:snapToGrid w:val="0"/>
        <w:spacing w:before="50" w:after="165" w:afterLines="50" w:line="360" w:lineRule="auto"/>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四、投标人直接控股股东信息表</w:t>
      </w:r>
    </w:p>
    <w:tbl>
      <w:tblPr>
        <w:tblStyle w:val="20"/>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EAE327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D03301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E57FD9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A7E4E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405D02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E0F5EA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6E6E99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D2A8E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A60C5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354E50">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0A16BA">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1691DE">
            <w:pPr>
              <w:spacing w:line="360" w:lineRule="auto"/>
              <w:jc w:val="center"/>
              <w:rPr>
                <w:rFonts w:ascii="宋体" w:hAnsi="宋体" w:cs="宋体"/>
                <w:color w:val="auto"/>
                <w:kern w:val="0"/>
                <w:sz w:val="24"/>
                <w:highlight w:val="none"/>
              </w:rPr>
            </w:pPr>
          </w:p>
        </w:tc>
      </w:tr>
      <w:tr w14:paraId="0839358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9CD81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1AE311">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85CE8D">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51ED15">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01341E">
            <w:pPr>
              <w:spacing w:line="360" w:lineRule="auto"/>
              <w:jc w:val="center"/>
              <w:rPr>
                <w:rFonts w:ascii="宋体" w:hAnsi="宋体" w:cs="宋体"/>
                <w:color w:val="auto"/>
                <w:kern w:val="0"/>
                <w:sz w:val="24"/>
                <w:highlight w:val="none"/>
              </w:rPr>
            </w:pPr>
          </w:p>
        </w:tc>
      </w:tr>
      <w:tr w14:paraId="7D2C77D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C7FCC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3810C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E7FFD3">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4E2C94">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10E4F6">
            <w:pPr>
              <w:spacing w:line="360" w:lineRule="auto"/>
              <w:jc w:val="center"/>
              <w:rPr>
                <w:rFonts w:ascii="宋体" w:hAnsi="宋体" w:cs="宋体"/>
                <w:color w:val="auto"/>
                <w:kern w:val="0"/>
                <w:sz w:val="24"/>
                <w:highlight w:val="none"/>
              </w:rPr>
            </w:pPr>
          </w:p>
        </w:tc>
      </w:tr>
      <w:tr w14:paraId="19E9E87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FFA34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2842B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938751">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BB3AC5">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CA534A">
            <w:pPr>
              <w:spacing w:line="360" w:lineRule="auto"/>
              <w:jc w:val="center"/>
              <w:rPr>
                <w:rFonts w:ascii="宋体" w:hAnsi="宋体" w:cs="宋体"/>
                <w:color w:val="auto"/>
                <w:kern w:val="0"/>
                <w:sz w:val="24"/>
                <w:highlight w:val="none"/>
              </w:rPr>
            </w:pPr>
          </w:p>
        </w:tc>
      </w:tr>
    </w:tbl>
    <w:p w14:paraId="3D87177C">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029CC120">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2A98A44">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4D2A41E6">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14:paraId="692EF450">
      <w:pPr>
        <w:snapToGrid w:val="0"/>
        <w:spacing w:line="360" w:lineRule="auto"/>
        <w:jc w:val="left"/>
        <w:rPr>
          <w:rFonts w:ascii="宋体" w:hAnsi="宋体"/>
          <w:color w:val="auto"/>
          <w:sz w:val="24"/>
          <w:highlight w:val="none"/>
        </w:rPr>
      </w:pPr>
    </w:p>
    <w:p w14:paraId="495F8025">
      <w:pPr>
        <w:snapToGrid w:val="0"/>
        <w:spacing w:line="360" w:lineRule="auto"/>
        <w:jc w:val="left"/>
        <w:rPr>
          <w:rFonts w:ascii="宋体" w:hAnsi="宋体"/>
          <w:color w:val="auto"/>
          <w:sz w:val="24"/>
          <w:highlight w:val="none"/>
        </w:rPr>
      </w:pPr>
    </w:p>
    <w:p w14:paraId="6FC3F889">
      <w:pPr>
        <w:snapToGrid w:val="0"/>
        <w:spacing w:line="360" w:lineRule="auto"/>
        <w:jc w:val="left"/>
        <w:rPr>
          <w:rFonts w:ascii="宋体" w:hAnsi="宋体"/>
          <w:color w:val="auto"/>
          <w:sz w:val="24"/>
          <w:highlight w:val="none"/>
        </w:rPr>
      </w:pPr>
    </w:p>
    <w:p w14:paraId="4C228B97">
      <w:pPr>
        <w:snapToGrid w:val="0"/>
        <w:spacing w:line="360" w:lineRule="auto"/>
        <w:jc w:val="left"/>
        <w:rPr>
          <w:rFonts w:ascii="宋体" w:hAnsi="宋体"/>
          <w:color w:val="auto"/>
          <w:sz w:val="24"/>
          <w:highlight w:val="none"/>
        </w:rPr>
      </w:pPr>
    </w:p>
    <w:p w14:paraId="64520861">
      <w:pPr>
        <w:snapToGrid w:val="0"/>
        <w:spacing w:line="360" w:lineRule="auto"/>
        <w:jc w:val="left"/>
        <w:rPr>
          <w:rFonts w:ascii="宋体" w:hAnsi="宋体"/>
          <w:color w:val="auto"/>
          <w:sz w:val="24"/>
          <w:highlight w:val="none"/>
        </w:rPr>
      </w:pPr>
    </w:p>
    <w:p w14:paraId="3A1859FD">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3411633">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2FD93D3">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551CAB57">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五、投标人直接管理关系信息表</w:t>
      </w:r>
    </w:p>
    <w:tbl>
      <w:tblPr>
        <w:tblStyle w:val="20"/>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159AC05">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7E6107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0123FE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72A743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B9EA2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CE0DE6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29166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4D5E6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2BB8B1">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5909FC">
            <w:pPr>
              <w:spacing w:line="360" w:lineRule="auto"/>
              <w:jc w:val="center"/>
              <w:rPr>
                <w:rFonts w:ascii="宋体" w:hAnsi="宋体" w:cs="宋体"/>
                <w:color w:val="auto"/>
                <w:kern w:val="0"/>
                <w:sz w:val="24"/>
                <w:highlight w:val="none"/>
              </w:rPr>
            </w:pPr>
          </w:p>
        </w:tc>
      </w:tr>
      <w:tr w14:paraId="44EC649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C1687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D2776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3B64C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965FF8">
            <w:pPr>
              <w:spacing w:line="360" w:lineRule="auto"/>
              <w:jc w:val="center"/>
              <w:rPr>
                <w:rFonts w:ascii="宋体" w:hAnsi="宋体" w:cs="宋体"/>
                <w:color w:val="auto"/>
                <w:kern w:val="0"/>
                <w:sz w:val="24"/>
                <w:highlight w:val="none"/>
              </w:rPr>
            </w:pPr>
          </w:p>
        </w:tc>
      </w:tr>
      <w:tr w14:paraId="3DEAB13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DCCBB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807F9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AC1966">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5751D1">
            <w:pPr>
              <w:spacing w:line="360" w:lineRule="auto"/>
              <w:jc w:val="center"/>
              <w:rPr>
                <w:rFonts w:ascii="宋体" w:hAnsi="宋体" w:cs="宋体"/>
                <w:color w:val="auto"/>
                <w:kern w:val="0"/>
                <w:sz w:val="24"/>
                <w:highlight w:val="none"/>
              </w:rPr>
            </w:pPr>
          </w:p>
        </w:tc>
      </w:tr>
      <w:tr w14:paraId="49CD5D5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9C7EC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B8EAF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1BE36D">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F07535">
            <w:pPr>
              <w:spacing w:line="360" w:lineRule="auto"/>
              <w:jc w:val="center"/>
              <w:rPr>
                <w:rFonts w:ascii="宋体" w:hAnsi="宋体" w:cs="宋体"/>
                <w:color w:val="auto"/>
                <w:kern w:val="0"/>
                <w:sz w:val="24"/>
                <w:highlight w:val="none"/>
              </w:rPr>
            </w:pPr>
          </w:p>
        </w:tc>
      </w:tr>
    </w:tbl>
    <w:p w14:paraId="668228A5">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2A5E269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8FA86B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3E0E9529">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507D23C7">
      <w:pPr>
        <w:snapToGrid w:val="0"/>
        <w:spacing w:line="360" w:lineRule="auto"/>
        <w:jc w:val="left"/>
        <w:rPr>
          <w:rFonts w:ascii="宋体" w:hAnsi="宋体"/>
          <w:color w:val="auto"/>
          <w:sz w:val="24"/>
          <w:highlight w:val="none"/>
        </w:rPr>
      </w:pPr>
    </w:p>
    <w:p w14:paraId="6BD279FC">
      <w:pPr>
        <w:snapToGrid w:val="0"/>
        <w:spacing w:line="360" w:lineRule="auto"/>
        <w:jc w:val="left"/>
        <w:rPr>
          <w:rFonts w:ascii="宋体" w:hAnsi="宋体"/>
          <w:color w:val="auto"/>
          <w:sz w:val="24"/>
          <w:highlight w:val="none"/>
        </w:rPr>
      </w:pPr>
    </w:p>
    <w:p w14:paraId="049E9995">
      <w:pPr>
        <w:snapToGrid w:val="0"/>
        <w:spacing w:line="360" w:lineRule="auto"/>
        <w:jc w:val="left"/>
        <w:rPr>
          <w:rFonts w:ascii="宋体" w:hAnsi="宋体"/>
          <w:color w:val="auto"/>
          <w:sz w:val="24"/>
          <w:highlight w:val="none"/>
        </w:rPr>
      </w:pPr>
    </w:p>
    <w:p w14:paraId="5376A54C">
      <w:pPr>
        <w:snapToGrid w:val="0"/>
        <w:spacing w:line="360" w:lineRule="auto"/>
        <w:jc w:val="left"/>
        <w:rPr>
          <w:color w:val="auto"/>
          <w:sz w:val="24"/>
          <w:highlight w:val="none"/>
        </w:rPr>
      </w:pPr>
    </w:p>
    <w:p w14:paraId="09B028FB">
      <w:pPr>
        <w:snapToGrid w:val="0"/>
        <w:spacing w:line="360" w:lineRule="auto"/>
        <w:jc w:val="left"/>
        <w:rPr>
          <w:color w:val="auto"/>
          <w:sz w:val="24"/>
          <w:highlight w:val="none"/>
        </w:rPr>
      </w:pPr>
    </w:p>
    <w:p w14:paraId="4620ECE4">
      <w:pPr>
        <w:snapToGrid w:val="0"/>
        <w:spacing w:line="360" w:lineRule="auto"/>
        <w:jc w:val="left"/>
        <w:rPr>
          <w:color w:val="auto"/>
          <w:sz w:val="24"/>
          <w:highlight w:val="none"/>
        </w:rPr>
      </w:pPr>
    </w:p>
    <w:p w14:paraId="782CBA25">
      <w:pPr>
        <w:snapToGrid w:val="0"/>
        <w:spacing w:line="360" w:lineRule="auto"/>
        <w:jc w:val="left"/>
        <w:rPr>
          <w:rFonts w:ascii="宋体" w:hAnsi="宋体"/>
          <w:color w:val="auto"/>
          <w:sz w:val="24"/>
          <w:highlight w:val="none"/>
        </w:rPr>
      </w:pPr>
    </w:p>
    <w:p w14:paraId="66EE1D0B">
      <w:pPr>
        <w:snapToGrid w:val="0"/>
        <w:spacing w:line="360" w:lineRule="auto"/>
        <w:jc w:val="left"/>
        <w:rPr>
          <w:rFonts w:ascii="宋体" w:hAnsi="宋体"/>
          <w:color w:val="auto"/>
          <w:sz w:val="24"/>
          <w:highlight w:val="none"/>
        </w:rPr>
      </w:pPr>
    </w:p>
    <w:p w14:paraId="57DD15B9">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797352B">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EDFA017">
      <w:pPr>
        <w:snapToGrid w:val="0"/>
        <w:spacing w:before="50" w:after="165" w:afterLines="50"/>
        <w:jc w:val="left"/>
        <w:rPr>
          <w:rFonts w:ascii="宋体" w:hAnsi="宋体"/>
          <w:color w:val="auto"/>
          <w:szCs w:val="21"/>
          <w:highlight w:val="none"/>
        </w:rPr>
      </w:pPr>
    </w:p>
    <w:p w14:paraId="440D7AA8">
      <w:pPr>
        <w:snapToGrid w:val="0"/>
        <w:spacing w:before="165" w:beforeLines="50" w:after="50"/>
        <w:jc w:val="left"/>
        <w:rPr>
          <w:rFonts w:ascii="宋体" w:hAnsi="宋体"/>
          <w:b/>
          <w:color w:val="auto"/>
          <w:sz w:val="24"/>
          <w:szCs w:val="20"/>
          <w:highlight w:val="none"/>
        </w:rPr>
      </w:pPr>
    </w:p>
    <w:p w14:paraId="542752E0">
      <w:pPr>
        <w:snapToGrid w:val="0"/>
        <w:spacing w:before="165" w:beforeLines="50" w:after="50"/>
        <w:jc w:val="left"/>
        <w:rPr>
          <w:rFonts w:ascii="宋体" w:hAnsi="宋体"/>
          <w:b/>
          <w:color w:val="auto"/>
          <w:sz w:val="24"/>
          <w:highlight w:val="none"/>
        </w:rPr>
      </w:pPr>
    </w:p>
    <w:p w14:paraId="03A33F09">
      <w:pPr>
        <w:snapToGrid w:val="0"/>
        <w:spacing w:before="165" w:beforeLines="50" w:after="50"/>
        <w:jc w:val="left"/>
        <w:rPr>
          <w:rFonts w:ascii="宋体" w:hAnsi="宋体"/>
          <w:b/>
          <w:color w:val="auto"/>
          <w:sz w:val="24"/>
          <w:szCs w:val="20"/>
          <w:highlight w:val="none"/>
        </w:rPr>
      </w:pPr>
      <w:r>
        <w:rPr>
          <w:rFonts w:hint="eastAsia" w:ascii="宋体" w:hAnsi="宋体"/>
          <w:b/>
          <w:color w:val="auto"/>
          <w:sz w:val="24"/>
          <w:szCs w:val="20"/>
          <w:highlight w:val="none"/>
        </w:rPr>
        <w:t xml:space="preserve"> </w:t>
      </w:r>
    </w:p>
    <w:p w14:paraId="28B5DFB6">
      <w:pPr>
        <w:snapToGrid w:val="0"/>
        <w:spacing w:before="165" w:beforeLines="50" w:after="50"/>
        <w:jc w:val="left"/>
        <w:rPr>
          <w:rFonts w:ascii="宋体" w:hAnsi="宋体"/>
          <w:b/>
          <w:color w:val="auto"/>
          <w:sz w:val="24"/>
          <w:szCs w:val="20"/>
          <w:highlight w:val="none"/>
        </w:rPr>
      </w:pPr>
    </w:p>
    <w:p w14:paraId="64541FBB">
      <w:pPr>
        <w:snapToGrid w:val="0"/>
        <w:spacing w:before="50" w:after="165" w:afterLines="50"/>
        <w:jc w:val="left"/>
        <w:rPr>
          <w:rFonts w:ascii="宋体" w:hAnsi="宋体"/>
          <w:color w:val="auto"/>
          <w:highlight w:val="none"/>
        </w:rPr>
      </w:pPr>
    </w:p>
    <w:p w14:paraId="502F2815">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0A52483E">
      <w:pPr>
        <w:snapToGrid w:val="0"/>
        <w:spacing w:before="50" w:after="165" w:afterLines="50"/>
        <w:jc w:val="center"/>
        <w:rPr>
          <w:rFonts w:ascii="宋体" w:hAnsi="宋体"/>
          <w:b/>
          <w:color w:val="auto"/>
          <w:sz w:val="32"/>
          <w:szCs w:val="32"/>
          <w:highlight w:val="none"/>
        </w:rPr>
      </w:pPr>
      <w:r>
        <w:rPr>
          <w:rFonts w:hint="eastAsia" w:ascii="宋体" w:hAnsi="宋体"/>
          <w:b/>
          <w:color w:val="auto"/>
          <w:sz w:val="32"/>
          <w:szCs w:val="32"/>
          <w:highlight w:val="none"/>
        </w:rPr>
        <w:t>六、投标资格声明函</w:t>
      </w:r>
    </w:p>
    <w:p w14:paraId="11AA16F1">
      <w:pPr>
        <w:tabs>
          <w:tab w:val="left" w:pos="7200"/>
        </w:tabs>
        <w:spacing w:line="360" w:lineRule="auto"/>
        <w:rPr>
          <w:rFonts w:ascii="宋体" w:hAns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 xml:space="preserve">                      </w:t>
      </w:r>
      <w:r>
        <w:rPr>
          <w:rFonts w:hint="eastAsia" w:ascii="宋体" w:hAnsi="宋体"/>
          <w:color w:val="auto"/>
          <w:szCs w:val="21"/>
          <w:highlight w:val="none"/>
        </w:rPr>
        <w:t>（采购代理机构名称）</w:t>
      </w:r>
    </w:p>
    <w:p w14:paraId="453ED9AB">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我方愿意参加贵方组织的 </w:t>
      </w:r>
      <w:r>
        <w:rPr>
          <w:rFonts w:ascii="宋体" w:hAnsi="宋体"/>
          <w:color w:val="auto"/>
          <w:szCs w:val="21"/>
          <w:highlight w:val="none"/>
          <w:u w:val="single"/>
        </w:rPr>
        <w:t>(</w:t>
      </w:r>
      <w:r>
        <w:rPr>
          <w:rFonts w:hint="eastAsia" w:ascii="宋体" w:hAnsi="宋体"/>
          <w:color w:val="auto"/>
          <w:szCs w:val="21"/>
          <w:highlight w:val="none"/>
          <w:u w:val="single"/>
        </w:rPr>
        <w:t>项目名称</w:t>
      </w:r>
      <w:r>
        <w:rPr>
          <w:rFonts w:ascii="宋体" w:hAnsi="宋体"/>
          <w:color w:val="auto"/>
          <w:szCs w:val="21"/>
          <w:highlight w:val="none"/>
          <w:u w:val="single"/>
        </w:rPr>
        <w:t xml:space="preserve">)              </w:t>
      </w:r>
      <w:r>
        <w:rPr>
          <w:rFonts w:hint="eastAsia" w:ascii="宋体" w:hAnsi="宋体"/>
          <w:color w:val="auto"/>
          <w:szCs w:val="21"/>
          <w:highlight w:val="none"/>
        </w:rPr>
        <w:t>（项目编号：</w:t>
      </w:r>
      <w:r>
        <w:rPr>
          <w:rFonts w:ascii="宋体" w:hAnsi="宋体"/>
          <w:color w:val="auto"/>
          <w:szCs w:val="21"/>
          <w:highlight w:val="none"/>
        </w:rPr>
        <w:t xml:space="preserve">       </w:t>
      </w:r>
      <w:r>
        <w:rPr>
          <w:rFonts w:hint="eastAsia" w:ascii="宋体" w:hAnsi="宋体"/>
          <w:color w:val="auto"/>
          <w:szCs w:val="21"/>
          <w:highlight w:val="none"/>
        </w:rPr>
        <w:t>）项目的投标，为便于贵方公正、择优地确定中标人，我方就本次投标有关事项郑重声明如下：</w:t>
      </w:r>
    </w:p>
    <w:p w14:paraId="17313EDA">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1.我方承诺已经具备《中华人民共和国政府采购法》第二十二条中规定的参加政府采购活动的供应商应当具备的条件：</w:t>
      </w:r>
    </w:p>
    <w:p w14:paraId="574500D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（1）具有独立承担民事责任的能力；</w:t>
      </w:r>
    </w:p>
    <w:p w14:paraId="0D3E3B8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（2）具有良好的商业信誉和健全的财务会计制度；</w:t>
      </w:r>
    </w:p>
    <w:p w14:paraId="277E9AD0">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（3）具有履行合同所必需的设备和专业技术能力；</w:t>
      </w:r>
    </w:p>
    <w:p w14:paraId="3F05DF33">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（4）有依法缴纳税收和社会保障资金的良好记录；</w:t>
      </w:r>
    </w:p>
    <w:p w14:paraId="5F5085DC">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p>
    <w:p w14:paraId="2F2C3D10">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（6）法律、行政法规规定的其他条件。</w:t>
      </w:r>
    </w:p>
    <w:p w14:paraId="4F2F571E">
      <w:pPr>
        <w:snapToGri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62DFE9A">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3.经查询，在“信用中国”和“中国政府采购网”网站我方未被列入失信被执行人、重大税收违法案件当事人名单、政府采购严重违法失信行为记录名单。</w:t>
      </w:r>
    </w:p>
    <w:p w14:paraId="0D8D389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4.以上事项如有虚假或隐瞒，我方愿意承担一切后果，并不再寻求任何旨在减轻或免除法律责任的辩解。 </w:t>
      </w:r>
    </w:p>
    <w:p w14:paraId="7DC06F69">
      <w:pPr>
        <w:tabs>
          <w:tab w:val="left" w:pos="7200"/>
        </w:tabs>
        <w:ind w:firstLine="270" w:firstLineChars="150"/>
        <w:rPr>
          <w:rFonts w:ascii="宋体" w:hAnsi="宋体"/>
          <w:color w:val="auto"/>
          <w:sz w:val="18"/>
          <w:szCs w:val="18"/>
          <w:highlight w:val="none"/>
        </w:rPr>
      </w:pPr>
      <w:r>
        <w:rPr>
          <w:rFonts w:hint="eastAsia" w:ascii="宋体" w:hAnsi="宋体"/>
          <w:color w:val="auto"/>
          <w:sz w:val="18"/>
          <w:szCs w:val="18"/>
          <w:highlight w:val="none"/>
        </w:rPr>
        <w:t>说明：</w:t>
      </w:r>
    </w:p>
    <w:p w14:paraId="5A7F13B1">
      <w:pPr>
        <w:ind w:firstLine="360" w:firstLineChars="200"/>
        <w:jc w:val="left"/>
        <w:rPr>
          <w:rFonts w:ascii="宋体" w:hAnsi="宋体"/>
          <w:color w:val="auto"/>
          <w:sz w:val="18"/>
          <w:szCs w:val="18"/>
          <w:highlight w:val="none"/>
        </w:rPr>
      </w:pPr>
      <w:r>
        <w:rPr>
          <w:rFonts w:hint="eastAsia" w:ascii="宋体" w:hAnsi="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58235394">
      <w:pPr>
        <w:ind w:firstLine="360" w:firstLineChars="200"/>
        <w:jc w:val="left"/>
        <w:rPr>
          <w:rFonts w:ascii="宋体" w:hAnsi="宋体"/>
          <w:color w:val="auto"/>
          <w:sz w:val="18"/>
          <w:szCs w:val="18"/>
          <w:highlight w:val="none"/>
        </w:rPr>
      </w:pPr>
      <w:r>
        <w:rPr>
          <w:rFonts w:hint="eastAsia" w:ascii="宋体" w:hAnsi="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E4A2C48">
      <w:pPr>
        <w:snapToGrid w:val="0"/>
        <w:spacing w:before="50" w:after="165" w:afterLines="50"/>
        <w:jc w:val="left"/>
        <w:rPr>
          <w:rFonts w:ascii="宋体" w:hAnsi="宋体"/>
          <w:color w:val="auto"/>
          <w:sz w:val="18"/>
          <w:szCs w:val="18"/>
          <w:highlight w:val="none"/>
        </w:rPr>
      </w:pPr>
      <w:r>
        <w:rPr>
          <w:rFonts w:hint="eastAsia" w:ascii="宋体" w:hAnsi="宋体"/>
          <w:color w:val="auto"/>
          <w:sz w:val="18"/>
          <w:szCs w:val="18"/>
          <w:highlight w:val="none"/>
        </w:rPr>
        <w:t xml:space="preserve"> </w:t>
      </w:r>
      <w:r>
        <w:rPr>
          <w:rFonts w:hint="eastAsia" w:ascii="宋体" w:hAnsi="宋体"/>
          <w:b/>
          <w:color w:val="auto"/>
          <w:sz w:val="18"/>
          <w:szCs w:val="18"/>
          <w:highlight w:val="none"/>
        </w:rPr>
        <w:t xml:space="preserve">  3.如为联合体投标，盖章处须加盖联合体各方公章并由联合体各方法定代表人分别签署，否则投标无效。</w:t>
      </w:r>
    </w:p>
    <w:p w14:paraId="5E91A5FD">
      <w:pPr>
        <w:snapToGrid w:val="0"/>
        <w:spacing w:before="50" w:after="331" w:afterLines="100" w:line="360" w:lineRule="auto"/>
        <w:jc w:val="left"/>
        <w:rPr>
          <w:rFonts w:ascii="宋体" w:hAnsi="宋体"/>
          <w:color w:val="auto"/>
          <w:sz w:val="24"/>
          <w:highlight w:val="none"/>
        </w:rPr>
      </w:pPr>
      <w:r>
        <w:rPr>
          <w:rFonts w:hint="eastAsia" w:ascii="宋体" w:hAnsi="宋体"/>
          <w:color w:val="auto"/>
          <w:sz w:val="24"/>
          <w:highlight w:val="none"/>
        </w:rPr>
        <w:t xml:space="preserve">                                     </w:t>
      </w:r>
    </w:p>
    <w:p w14:paraId="1499C0F7">
      <w:pPr>
        <w:snapToGrid w:val="0"/>
        <w:spacing w:before="50" w:after="331" w:afterLines="100" w:line="360" w:lineRule="auto"/>
        <w:ind w:left="7428" w:leftChars="2223" w:hanging="2760" w:hangingChars="1150"/>
        <w:jc w:val="left"/>
        <w:rPr>
          <w:rFonts w:ascii="仿宋_GB2312" w:hAnsi="仿宋" w:eastAsia="仿宋_GB2312" w:cs="仿宋_GB2312"/>
          <w:color w:val="auto"/>
          <w:kern w:val="0"/>
          <w:sz w:val="24"/>
          <w:highlight w:val="none"/>
          <w:lang w:val="zh-CN"/>
        </w:rPr>
      </w:pPr>
      <w:r>
        <w:rPr>
          <w:rFonts w:hint="eastAsia" w:ascii="宋体" w:hAnsi="宋体"/>
          <w:color w:val="auto"/>
          <w:sz w:val="24"/>
          <w:highlight w:val="none"/>
        </w:rPr>
        <w:t xml:space="preserve">  </w:t>
      </w:r>
      <w:r>
        <w:rPr>
          <w:rFonts w:hint="eastAsia" w:ascii="仿宋_GB2312" w:hAnsi="仿宋" w:eastAsia="仿宋_GB2312" w:cs="仿宋_GB2312"/>
          <w:color w:val="auto"/>
          <w:kern w:val="0"/>
          <w:sz w:val="24"/>
          <w:highlight w:val="none"/>
          <w:lang w:val="zh-CN"/>
        </w:rPr>
        <w:t>投标人名称(电子签章)：</w:t>
      </w:r>
      <w:r>
        <w:rPr>
          <w:rFonts w:hint="eastAsia" w:ascii="宋体" w:hAnsi="宋体"/>
          <w:color w:val="auto"/>
          <w:szCs w:val="21"/>
          <w:highlight w:val="none"/>
        </w:rPr>
        <w:t xml:space="preserve">                                     年    月    日</w:t>
      </w:r>
    </w:p>
    <w:p w14:paraId="663AD466">
      <w:pPr>
        <w:pStyle w:val="10"/>
        <w:spacing w:line="600" w:lineRule="exact"/>
        <w:jc w:val="center"/>
        <w:rPr>
          <w:rFonts w:ascii="Times New Roman" w:hAnsi="Times New Roman"/>
          <w:b/>
          <w:bCs/>
          <w:color w:val="auto"/>
          <w:sz w:val="30"/>
          <w:szCs w:val="30"/>
          <w:highlight w:val="none"/>
        </w:rPr>
      </w:pPr>
    </w:p>
    <w:p w14:paraId="17EEE0F5">
      <w:pP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br w:type="page"/>
      </w:r>
    </w:p>
    <w:p w14:paraId="79F34097">
      <w:pPr>
        <w:pStyle w:val="10"/>
        <w:spacing w:line="6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七、符合特定资格条件（如有）的有关证明材料</w:t>
      </w:r>
    </w:p>
    <w:p w14:paraId="0401E482">
      <w:pPr>
        <w:pStyle w:val="10"/>
        <w:spacing w:line="600" w:lineRule="exact"/>
        <w:jc w:val="center"/>
        <w:rPr>
          <w:rFonts w:ascii="Times New Roman" w:hAnsi="Times New Roman"/>
          <w:b/>
          <w:bCs/>
          <w:color w:val="auto"/>
          <w:sz w:val="30"/>
          <w:szCs w:val="30"/>
          <w:highlight w:val="none"/>
        </w:rPr>
      </w:pPr>
    </w:p>
    <w:p w14:paraId="57A8083F">
      <w:pPr>
        <w:pStyle w:val="10"/>
        <w:spacing w:line="600" w:lineRule="exact"/>
        <w:jc w:val="center"/>
        <w:rPr>
          <w:rFonts w:ascii="Times New Roman" w:hAnsi="Times New Roman"/>
          <w:b/>
          <w:bCs/>
          <w:color w:val="auto"/>
          <w:sz w:val="30"/>
          <w:szCs w:val="30"/>
          <w:highlight w:val="none"/>
        </w:rPr>
      </w:pPr>
    </w:p>
    <w:p w14:paraId="64513B7E">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B642C1D">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CFD181E">
      <w:pPr>
        <w:autoSpaceDE w:val="0"/>
        <w:autoSpaceDN w:val="0"/>
        <w:spacing w:line="360" w:lineRule="auto"/>
        <w:ind w:firstLine="7680" w:firstLineChars="2550"/>
        <w:rPr>
          <w:b/>
          <w:bCs/>
          <w:color w:val="auto"/>
          <w:sz w:val="30"/>
          <w:szCs w:val="30"/>
          <w:highlight w:val="none"/>
        </w:rPr>
      </w:pPr>
    </w:p>
    <w:p w14:paraId="449330F5">
      <w:pPr>
        <w:pStyle w:val="10"/>
        <w:spacing w:line="600" w:lineRule="exact"/>
        <w:jc w:val="center"/>
        <w:rPr>
          <w:rFonts w:cs="宋体"/>
          <w:color w:val="auto"/>
          <w:kern w:val="0"/>
          <w:szCs w:val="21"/>
          <w:highlight w:val="none"/>
        </w:rPr>
      </w:pPr>
      <w:r>
        <w:rPr>
          <w:rFonts w:cs="宋体"/>
          <w:color w:val="auto"/>
          <w:kern w:val="0"/>
          <w:szCs w:val="21"/>
          <w:highlight w:val="none"/>
        </w:rPr>
        <w:br w:type="page"/>
      </w:r>
    </w:p>
    <w:p w14:paraId="5DC9FCCC">
      <w:pPr>
        <w:pStyle w:val="10"/>
        <w:spacing w:line="600" w:lineRule="exact"/>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八、联合体协议书（如有）</w:t>
      </w:r>
    </w:p>
    <w:p w14:paraId="28F3F720">
      <w:pPr>
        <w:snapToGrid w:val="0"/>
        <w:spacing w:before="165" w:beforeLines="50" w:after="50"/>
        <w:ind w:left="420"/>
        <w:jc w:val="center"/>
        <w:rPr>
          <w:rFonts w:ascii="宋体" w:hAnsi="宋体"/>
          <w:b/>
          <w:color w:val="auto"/>
          <w:sz w:val="32"/>
          <w:szCs w:val="32"/>
          <w:highlight w:val="none"/>
        </w:rPr>
      </w:pPr>
      <w:r>
        <w:rPr>
          <w:rFonts w:hint="eastAsia" w:ascii="宋体" w:hAnsi="宋体"/>
          <w:b/>
          <w:color w:val="auto"/>
          <w:sz w:val="32"/>
          <w:szCs w:val="32"/>
          <w:highlight w:val="none"/>
        </w:rPr>
        <w:t>联合体投标协议书（格式）</w:t>
      </w:r>
    </w:p>
    <w:p w14:paraId="325C585F">
      <w:pPr>
        <w:tabs>
          <w:tab w:val="left" w:pos="7200"/>
        </w:tabs>
        <w:spacing w:line="360" w:lineRule="auto"/>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（采购代理机构名称）</w:t>
      </w:r>
    </w:p>
    <w:p w14:paraId="1BB714DF">
      <w:pPr>
        <w:autoSpaceDE w:val="0"/>
        <w:autoSpaceDN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广西桂工建设管理咨询有限公司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(项目名称)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）公开招标采购。现就联合体投标事宜订立如下协议：</w:t>
      </w:r>
    </w:p>
    <w:p w14:paraId="59A8791D">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________________________</w:t>
      </w:r>
      <w:r>
        <w:rPr>
          <w:rFonts w:hint="eastAsia" w:ascii="宋体" w:hAnsi="宋体" w:cs="宋体"/>
          <w:color w:val="auto"/>
          <w:kern w:val="0"/>
          <w:szCs w:val="21"/>
          <w:highlight w:val="none"/>
        </w:rPr>
        <w:t>（某成员单位名称）为联合体名称牵头人。</w:t>
      </w:r>
    </w:p>
    <w:p w14:paraId="2F3B4007">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F141500">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联合体各成员将严格按照招标文件、投标文件和合同的要求全面履行义务，并向采购人承担连带责任。</w:t>
      </w:r>
    </w:p>
    <w:p w14:paraId="10766D48">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A4B1330">
      <w:pPr>
        <w:pStyle w:val="10"/>
        <w:spacing w:line="360" w:lineRule="auto"/>
        <w:ind w:firstLine="420" w:firstLineChars="200"/>
        <w:rPr>
          <w:rFonts w:hAnsi="宋体" w:cs="宋体"/>
          <w:color w:val="auto"/>
          <w:szCs w:val="21"/>
          <w:highlight w:val="none"/>
        </w:rPr>
      </w:pPr>
      <w:r>
        <w:rPr>
          <w:rFonts w:hint="eastAsia" w:hAnsi="宋体" w:cs="宋体"/>
          <w:color w:val="auto"/>
          <w:szCs w:val="21"/>
          <w:highlight w:val="none"/>
        </w:rPr>
        <w:t>5、本联合体中</w:t>
      </w:r>
      <w:r>
        <w:rPr>
          <w:rFonts w:hint="eastAsia" w:hAnsi="宋体" w:cs="宋体"/>
          <w:color w:val="auto"/>
          <w:szCs w:val="21"/>
          <w:highlight w:val="none"/>
          <w:u w:val="single"/>
        </w:rPr>
        <w:t>，________________________（某成员单位名称）为______</w:t>
      </w:r>
      <w:r>
        <w:rPr>
          <w:rFonts w:hint="eastAsia" w:hAnsi="宋体" w:cs="宋体"/>
          <w:color w:val="auto"/>
          <w:szCs w:val="21"/>
          <w:highlight w:val="none"/>
        </w:rPr>
        <w:t>（请填写：中型、小型、微型）企业，其协议合同金额占联合体协议合同总金额的______%。【如联合体成员中有小型、微型企业的，请填写此条，否则无需填写；如联合体成员中有多个小型、微型企业的，请逐一列出。】</w:t>
      </w:r>
    </w:p>
    <w:p w14:paraId="1D2BDC7A">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36B5E519">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7B22D36F">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021643FC">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2B3ADB5D">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0BFE36D6">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328A7520">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04BC2E1C">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4241A7B6">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                         （签字或盖章）</w:t>
      </w:r>
    </w:p>
    <w:p w14:paraId="6BCBCC27">
      <w:pPr>
        <w:autoSpaceDE w:val="0"/>
        <w:autoSpaceDN w:val="0"/>
        <w:spacing w:line="360" w:lineRule="auto"/>
        <w:ind w:firstLine="5355" w:firstLineChars="2550"/>
        <w:rPr>
          <w:rFonts w:ascii="宋体" w:hAnsi="宋体" w:cs="宋体"/>
          <w:color w:val="auto"/>
          <w:kern w:val="0"/>
          <w:szCs w:val="21"/>
          <w:highlight w:val="none"/>
        </w:rPr>
      </w:pPr>
      <w:r>
        <w:rPr>
          <w:rFonts w:hint="eastAsia" w:ascii="宋体" w:hAnsi="宋体" w:cs="宋体"/>
          <w:color w:val="auto"/>
          <w:kern w:val="0"/>
          <w:szCs w:val="21"/>
          <w:highlight w:val="none"/>
        </w:rPr>
        <w:t>供应商名称（电子签章）：</w:t>
      </w:r>
      <w:r>
        <w:rPr>
          <w:rFonts w:hint="eastAsia" w:ascii="宋体" w:hAnsi="宋体" w:cs="宋体"/>
          <w:color w:val="auto"/>
          <w:kern w:val="0"/>
          <w:szCs w:val="21"/>
          <w:highlight w:val="none"/>
          <w:u w:val="single"/>
        </w:rPr>
        <w:t xml:space="preserve">                       </w:t>
      </w:r>
    </w:p>
    <w:p w14:paraId="0463E89C">
      <w:pPr>
        <w:autoSpaceDE w:val="0"/>
        <w:autoSpaceDN w:val="0"/>
        <w:spacing w:line="360" w:lineRule="auto"/>
        <w:ind w:firstLine="5355" w:firstLineChars="2550"/>
        <w:rPr>
          <w:b/>
          <w:bCs/>
          <w:color w:val="auto"/>
          <w:sz w:val="30"/>
          <w:szCs w:val="30"/>
          <w:highlight w:val="none"/>
        </w:rPr>
      </w:pPr>
      <w:r>
        <w:rPr>
          <w:rFonts w:hint="eastAsia" w:ascii="宋体" w:hAnsi="宋体" w:cs="宋体"/>
          <w:color w:val="auto"/>
          <w:kern w:val="0"/>
          <w:szCs w:val="21"/>
          <w:highlight w:val="none"/>
        </w:rPr>
        <w:t>日期：  年  月   日</w:t>
      </w:r>
    </w:p>
    <w:p w14:paraId="07DF66A4">
      <w:pPr>
        <w:autoSpaceDE w:val="0"/>
        <w:autoSpaceDN w:val="0"/>
        <w:adjustRightInd w:val="0"/>
        <w:spacing w:line="360" w:lineRule="auto"/>
        <w:jc w:val="left"/>
        <w:rPr>
          <w:rFonts w:hAnsi="宋体"/>
          <w:color w:val="auto"/>
          <w:szCs w:val="21"/>
          <w:highlight w:val="none"/>
        </w:rPr>
        <w:sectPr>
          <w:pgSz w:w="11906" w:h="16838"/>
          <w:pgMar w:top="1134" w:right="1134" w:bottom="1134" w:left="1134" w:header="720" w:footer="720" w:gutter="0"/>
          <w:cols w:space="720" w:num="1"/>
          <w:docGrid w:type="lines" w:linePitch="331" w:charSpace="0"/>
        </w:sectPr>
      </w:pPr>
    </w:p>
    <w:p w14:paraId="20715D60">
      <w:pPr>
        <w:rPr>
          <w:color w:val="auto"/>
          <w:highlight w:val="none"/>
        </w:rPr>
      </w:pPr>
    </w:p>
    <w:p w14:paraId="3817DD67">
      <w:pPr>
        <w:pStyle w:val="10"/>
        <w:jc w:val="center"/>
        <w:outlineLvl w:val="1"/>
        <w:rPr>
          <w:rFonts w:hAnsi="宋体"/>
          <w:b/>
          <w:bCs/>
          <w:color w:val="auto"/>
          <w:sz w:val="28"/>
          <w:szCs w:val="28"/>
          <w:highlight w:val="none"/>
        </w:rPr>
      </w:pPr>
      <w:bookmarkStart w:id="82" w:name="_Toc17712"/>
      <w:bookmarkStart w:id="83" w:name="_Toc12758"/>
      <w:bookmarkStart w:id="84" w:name="_Toc32125"/>
      <w:bookmarkStart w:id="85" w:name="_Toc21833"/>
      <w:r>
        <w:rPr>
          <w:rFonts w:hint="eastAsia" w:hAnsi="宋体"/>
          <w:b/>
          <w:bCs/>
          <w:color w:val="auto"/>
          <w:sz w:val="28"/>
          <w:szCs w:val="28"/>
          <w:highlight w:val="none"/>
        </w:rPr>
        <w:t>第三节 商务文件格式</w:t>
      </w:r>
      <w:bookmarkEnd w:id="82"/>
      <w:bookmarkEnd w:id="83"/>
      <w:bookmarkEnd w:id="84"/>
      <w:bookmarkEnd w:id="85"/>
    </w:p>
    <w:p w14:paraId="069594BC">
      <w:pPr>
        <w:snapToGrid w:val="0"/>
        <w:spacing w:before="165" w:beforeLines="50" w:after="50"/>
        <w:rPr>
          <w:rFonts w:ascii="宋体" w:hAnsi="宋体"/>
          <w:color w:val="auto"/>
          <w:sz w:val="30"/>
          <w:szCs w:val="20"/>
          <w:highlight w:val="none"/>
        </w:rPr>
      </w:pPr>
    </w:p>
    <w:p w14:paraId="33779B62">
      <w:pPr>
        <w:snapToGrid w:val="0"/>
        <w:spacing w:before="165" w:beforeLines="50" w:after="50"/>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0E90C317">
      <w:pPr>
        <w:snapToGrid w:val="0"/>
        <w:spacing w:before="165" w:beforeLines="50" w:after="50"/>
        <w:rPr>
          <w:rFonts w:ascii="宋体" w:hAnsi="宋体"/>
          <w:color w:val="auto"/>
          <w:sz w:val="24"/>
          <w:szCs w:val="20"/>
          <w:highlight w:val="none"/>
        </w:rPr>
      </w:pPr>
    </w:p>
    <w:p w14:paraId="6298FD94">
      <w:pPr>
        <w:snapToGrid w:val="0"/>
        <w:spacing w:before="165" w:beforeLines="50" w:after="50"/>
        <w:jc w:val="center"/>
        <w:rPr>
          <w:rFonts w:ascii="宋体" w:hAnsi="宋体"/>
          <w:b/>
          <w:color w:val="auto"/>
          <w:sz w:val="24"/>
          <w:szCs w:val="20"/>
          <w:highlight w:val="none"/>
        </w:rPr>
      </w:pPr>
      <w:r>
        <w:rPr>
          <w:rFonts w:hint="eastAsia" w:ascii="宋体" w:hAnsi="宋体"/>
          <w:b/>
          <w:color w:val="auto"/>
          <w:sz w:val="32"/>
          <w:szCs w:val="32"/>
          <w:highlight w:val="none"/>
        </w:rPr>
        <w:t>商务文件（封面）</w:t>
      </w:r>
    </w:p>
    <w:p w14:paraId="224507C2">
      <w:pPr>
        <w:snapToGrid w:val="0"/>
        <w:spacing w:before="165" w:beforeLines="50" w:after="50"/>
        <w:rPr>
          <w:rFonts w:ascii="宋体" w:hAnsi="宋体"/>
          <w:bCs/>
          <w:color w:val="auto"/>
          <w:sz w:val="24"/>
          <w:szCs w:val="20"/>
          <w:highlight w:val="none"/>
        </w:rPr>
      </w:pPr>
    </w:p>
    <w:p w14:paraId="4D477405">
      <w:pPr>
        <w:snapToGrid w:val="0"/>
        <w:spacing w:before="165"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493AB5CA">
      <w:pPr>
        <w:snapToGrid w:val="0"/>
        <w:spacing w:before="165" w:beforeLines="50" w:after="50"/>
        <w:ind w:firstLine="540" w:firstLineChars="225"/>
        <w:rPr>
          <w:rFonts w:ascii="宋体" w:hAnsi="宋体"/>
          <w:bCs/>
          <w:color w:val="auto"/>
          <w:sz w:val="24"/>
          <w:szCs w:val="20"/>
          <w:highlight w:val="none"/>
        </w:rPr>
      </w:pPr>
    </w:p>
    <w:p w14:paraId="6C5CD548">
      <w:pPr>
        <w:snapToGrid w:val="0"/>
        <w:spacing w:before="165"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406F0F43">
      <w:pPr>
        <w:snapToGrid w:val="0"/>
        <w:spacing w:before="165"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7FA94A96">
      <w:pPr>
        <w:snapToGrid w:val="0"/>
        <w:spacing w:before="165"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1C9F671D">
      <w:pPr>
        <w:snapToGrid w:val="0"/>
        <w:spacing w:before="165" w:beforeLines="50" w:after="50"/>
        <w:ind w:firstLine="540" w:firstLineChars="225"/>
        <w:rPr>
          <w:rFonts w:ascii="宋体" w:hAnsi="宋体"/>
          <w:bCs/>
          <w:color w:val="auto"/>
          <w:sz w:val="24"/>
          <w:szCs w:val="20"/>
          <w:highlight w:val="none"/>
        </w:rPr>
      </w:pPr>
    </w:p>
    <w:p w14:paraId="2A437883">
      <w:pPr>
        <w:pStyle w:val="5"/>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7972FD2C">
      <w:pPr>
        <w:pStyle w:val="5"/>
        <w:snapToGrid w:val="0"/>
        <w:spacing w:before="50" w:after="50"/>
        <w:ind w:firstLine="540" w:firstLineChars="225"/>
        <w:rPr>
          <w:rFonts w:ascii="宋体" w:hAnsi="宋体"/>
          <w:bCs/>
          <w:color w:val="auto"/>
          <w:sz w:val="24"/>
          <w:szCs w:val="24"/>
          <w:highlight w:val="none"/>
        </w:rPr>
      </w:pPr>
    </w:p>
    <w:p w14:paraId="4B677B0B">
      <w:pPr>
        <w:pStyle w:val="5"/>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5BE82ACA">
      <w:pPr>
        <w:pStyle w:val="5"/>
        <w:snapToGrid w:val="0"/>
        <w:spacing w:before="50" w:after="50"/>
        <w:ind w:firstLine="960" w:firstLineChars="400"/>
        <w:rPr>
          <w:rFonts w:ascii="宋体" w:hAnsi="宋体"/>
          <w:bCs/>
          <w:color w:val="auto"/>
          <w:sz w:val="24"/>
          <w:szCs w:val="24"/>
          <w:highlight w:val="none"/>
        </w:rPr>
      </w:pPr>
    </w:p>
    <w:p w14:paraId="74BE6065">
      <w:pPr>
        <w:snapToGrid w:val="0"/>
        <w:spacing w:before="165"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4684FACD">
      <w:pPr>
        <w:snapToGrid w:val="0"/>
        <w:spacing w:before="165"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76966AE7">
      <w:pPr>
        <w:spacing w:line="360" w:lineRule="auto"/>
        <w:ind w:right="420"/>
        <w:rPr>
          <w:rFonts w:ascii="宋体" w:hAnsi="宋体"/>
          <w:color w:val="auto"/>
          <w:sz w:val="24"/>
          <w:szCs w:val="20"/>
          <w:highlight w:val="none"/>
        </w:rPr>
      </w:pPr>
    </w:p>
    <w:p w14:paraId="0390175C">
      <w:pPr>
        <w:spacing w:line="360" w:lineRule="auto"/>
        <w:ind w:right="420"/>
        <w:rPr>
          <w:rFonts w:ascii="宋体" w:hAnsi="宋体"/>
          <w:color w:val="auto"/>
          <w:sz w:val="24"/>
          <w:szCs w:val="20"/>
          <w:highlight w:val="none"/>
        </w:rPr>
      </w:pPr>
    </w:p>
    <w:p w14:paraId="49DCC637">
      <w:pPr>
        <w:spacing w:line="360" w:lineRule="auto"/>
        <w:ind w:right="420"/>
        <w:rPr>
          <w:rFonts w:ascii="宋体" w:hAnsi="宋体"/>
          <w:color w:val="auto"/>
          <w:sz w:val="24"/>
          <w:szCs w:val="20"/>
          <w:highlight w:val="none"/>
        </w:rPr>
      </w:pPr>
    </w:p>
    <w:p w14:paraId="35AD02C0">
      <w:pPr>
        <w:spacing w:line="360" w:lineRule="auto"/>
        <w:ind w:right="420"/>
        <w:rPr>
          <w:rFonts w:ascii="宋体" w:hAnsi="宋体"/>
          <w:color w:val="auto"/>
          <w:sz w:val="24"/>
          <w:szCs w:val="20"/>
          <w:highlight w:val="none"/>
        </w:rPr>
      </w:pPr>
    </w:p>
    <w:p w14:paraId="494F4043">
      <w:pPr>
        <w:spacing w:line="360" w:lineRule="auto"/>
        <w:ind w:right="420"/>
        <w:rPr>
          <w:rFonts w:ascii="宋体" w:hAnsi="宋体"/>
          <w:color w:val="auto"/>
          <w:sz w:val="24"/>
          <w:szCs w:val="20"/>
          <w:highlight w:val="none"/>
        </w:rPr>
      </w:pPr>
    </w:p>
    <w:p w14:paraId="0061333E">
      <w:pPr>
        <w:spacing w:line="360" w:lineRule="auto"/>
        <w:ind w:right="420"/>
        <w:rPr>
          <w:rFonts w:ascii="宋体" w:hAnsi="宋体"/>
          <w:color w:val="auto"/>
          <w:sz w:val="24"/>
          <w:szCs w:val="20"/>
          <w:highlight w:val="none"/>
        </w:rPr>
      </w:pPr>
    </w:p>
    <w:p w14:paraId="2BF79064">
      <w:pPr>
        <w:spacing w:line="360" w:lineRule="auto"/>
        <w:ind w:right="420"/>
        <w:rPr>
          <w:rFonts w:ascii="宋体" w:hAnsi="宋体"/>
          <w:color w:val="auto"/>
          <w:sz w:val="24"/>
          <w:szCs w:val="20"/>
          <w:highlight w:val="none"/>
        </w:rPr>
      </w:pPr>
    </w:p>
    <w:p w14:paraId="536B0F04">
      <w:pPr>
        <w:spacing w:line="360" w:lineRule="auto"/>
        <w:ind w:right="420"/>
        <w:rPr>
          <w:rFonts w:ascii="宋体" w:hAnsi="宋体"/>
          <w:color w:val="auto"/>
          <w:sz w:val="24"/>
          <w:szCs w:val="20"/>
          <w:highlight w:val="none"/>
        </w:rPr>
      </w:pPr>
    </w:p>
    <w:p w14:paraId="4D2BE7A4">
      <w:pPr>
        <w:spacing w:line="360" w:lineRule="auto"/>
        <w:ind w:right="420"/>
        <w:rPr>
          <w:rFonts w:ascii="宋体" w:hAnsi="宋体"/>
          <w:color w:val="auto"/>
          <w:sz w:val="24"/>
          <w:szCs w:val="20"/>
          <w:highlight w:val="none"/>
        </w:rPr>
      </w:pPr>
    </w:p>
    <w:p w14:paraId="28625A98">
      <w:pPr>
        <w:spacing w:line="360" w:lineRule="auto"/>
        <w:ind w:right="420"/>
        <w:rPr>
          <w:rFonts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 xml:space="preserve"> </w:t>
      </w:r>
    </w:p>
    <w:p w14:paraId="603A2ECA">
      <w:pPr>
        <w:rPr>
          <w:rFonts w:ascii="仿宋_GB2312" w:hAnsi="仿宋" w:eastAsia="仿宋_GB2312" w:cs="仿宋_GB2312"/>
          <w:b/>
          <w:color w:val="auto"/>
          <w:kern w:val="0"/>
          <w:sz w:val="24"/>
          <w:highlight w:val="none"/>
        </w:rPr>
      </w:pPr>
    </w:p>
    <w:p w14:paraId="3321F6B7">
      <w:pPr>
        <w:jc w:val="center"/>
        <w:rPr>
          <w:rFonts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商务文件目录</w:t>
      </w:r>
    </w:p>
    <w:p w14:paraId="3902A392">
      <w:pPr>
        <w:pStyle w:val="27"/>
        <w:spacing w:line="360" w:lineRule="auto"/>
        <w:rPr>
          <w:rFonts w:cs="仿宋_GB2312"/>
          <w:color w:val="auto"/>
          <w:highlight w:val="none"/>
        </w:rPr>
      </w:pPr>
      <w:r>
        <w:rPr>
          <w:rFonts w:hint="eastAsia" w:cs="仿宋_GB2312"/>
          <w:color w:val="auto"/>
          <w:highlight w:val="none"/>
        </w:rPr>
        <w:t>一、无串标行为承诺函………………………………………………………（页码）</w:t>
      </w:r>
    </w:p>
    <w:p w14:paraId="3549F0C1">
      <w:pPr>
        <w:pStyle w:val="27"/>
        <w:spacing w:line="360" w:lineRule="auto"/>
        <w:rPr>
          <w:rFonts w:cs="仿宋_GB2312"/>
          <w:color w:val="auto"/>
          <w:highlight w:val="none"/>
        </w:rPr>
      </w:pPr>
      <w:r>
        <w:rPr>
          <w:rFonts w:hint="eastAsia" w:cs="仿宋_GB2312"/>
          <w:color w:val="auto"/>
          <w:highlight w:val="none"/>
        </w:rPr>
        <w:t>二、法定代表人身份证明及法定代表人有效身份证正反面复印件………（页码）</w:t>
      </w:r>
    </w:p>
    <w:p w14:paraId="70A5F859">
      <w:pPr>
        <w:pStyle w:val="27"/>
        <w:spacing w:line="360" w:lineRule="auto"/>
        <w:rPr>
          <w:rFonts w:cs="仿宋_GB2312"/>
          <w:color w:val="auto"/>
          <w:highlight w:val="none"/>
        </w:rPr>
      </w:pPr>
      <w:r>
        <w:rPr>
          <w:rFonts w:hint="eastAsia" w:cs="仿宋_GB2312"/>
          <w:color w:val="auto"/>
          <w:highlight w:val="none"/>
        </w:rPr>
        <w:t>三、法定代表人授权委托书（如有委托时）………………………………（页码）</w:t>
      </w:r>
    </w:p>
    <w:p w14:paraId="2A355F2D">
      <w:pPr>
        <w:pStyle w:val="27"/>
        <w:spacing w:line="360" w:lineRule="auto"/>
        <w:rPr>
          <w:rFonts w:cs="仿宋_GB2312"/>
          <w:color w:val="auto"/>
          <w:highlight w:val="none"/>
        </w:rPr>
      </w:pPr>
      <w:r>
        <w:rPr>
          <w:rFonts w:hint="eastAsia" w:cs="仿宋_GB2312"/>
          <w:color w:val="auto"/>
          <w:highlight w:val="none"/>
        </w:rPr>
        <w:t>四、</w:t>
      </w:r>
      <w:r>
        <w:rPr>
          <w:rFonts w:hint="eastAsia" w:cs="仿宋_GB2312"/>
          <w:color w:val="auto"/>
          <w:highlight w:val="none"/>
          <w:lang w:val="zh-CN"/>
        </w:rPr>
        <w:t>商务条款偏离表………………………………</w:t>
      </w:r>
      <w:r>
        <w:rPr>
          <w:rFonts w:hint="eastAsia" w:cs="仿宋_GB2312"/>
          <w:color w:val="auto"/>
          <w:highlight w:val="none"/>
        </w:rPr>
        <w:t>…………………………（页码）</w:t>
      </w:r>
    </w:p>
    <w:p w14:paraId="5C910A1A">
      <w:pPr>
        <w:pStyle w:val="27"/>
        <w:spacing w:line="360" w:lineRule="auto"/>
        <w:rPr>
          <w:rFonts w:cs="仿宋_GB2312"/>
          <w:color w:val="auto"/>
          <w:highlight w:val="none"/>
        </w:rPr>
      </w:pPr>
      <w:r>
        <w:rPr>
          <w:rFonts w:hint="eastAsia" w:cs="仿宋_GB2312"/>
          <w:color w:val="auto"/>
          <w:highlight w:val="none"/>
        </w:rPr>
        <w:t>五、投标人情况介绍</w:t>
      </w:r>
      <w:r>
        <w:rPr>
          <w:rFonts w:hint="eastAsia" w:cs="仿宋_GB2312"/>
          <w:color w:val="auto"/>
          <w:highlight w:val="none"/>
          <w:lang w:val="zh-CN"/>
        </w:rPr>
        <w:t>………………………………</w:t>
      </w:r>
      <w:r>
        <w:rPr>
          <w:rFonts w:hint="eastAsia" w:cs="仿宋_GB2312"/>
          <w:color w:val="auto"/>
          <w:highlight w:val="none"/>
        </w:rPr>
        <w:t>…………………………（页码）</w:t>
      </w:r>
    </w:p>
    <w:p w14:paraId="433D6F99">
      <w:pPr>
        <w:pStyle w:val="27"/>
        <w:spacing w:line="360" w:lineRule="auto"/>
        <w:rPr>
          <w:rFonts w:cs="仿宋_GB2312"/>
          <w:color w:val="auto"/>
          <w:highlight w:val="none"/>
        </w:rPr>
      </w:pPr>
      <w:r>
        <w:rPr>
          <w:rFonts w:hint="eastAsia" w:cs="仿宋_GB2312"/>
          <w:color w:val="auto"/>
          <w:highlight w:val="none"/>
        </w:rPr>
        <w:t>六、投标人类似业绩的证明文件（如有要求）</w:t>
      </w:r>
      <w:r>
        <w:rPr>
          <w:rFonts w:hint="eastAsia" w:cs="仿宋_GB2312"/>
          <w:color w:val="auto"/>
          <w:highlight w:val="none"/>
          <w:lang w:val="zh-CN"/>
        </w:rPr>
        <w:t>……………………………</w:t>
      </w:r>
      <w:r>
        <w:rPr>
          <w:rFonts w:hint="eastAsia" w:cs="仿宋_GB2312"/>
          <w:color w:val="auto"/>
          <w:highlight w:val="none"/>
        </w:rPr>
        <w:t>（页码）</w:t>
      </w:r>
    </w:p>
    <w:p w14:paraId="26EF067E">
      <w:pPr>
        <w:pStyle w:val="27"/>
        <w:spacing w:line="360" w:lineRule="auto"/>
        <w:rPr>
          <w:rFonts w:cs="仿宋_GB2312"/>
          <w:color w:val="auto"/>
          <w:highlight w:val="none"/>
        </w:rPr>
      </w:pPr>
      <w:r>
        <w:rPr>
          <w:rFonts w:hint="eastAsia" w:cs="仿宋_GB2312"/>
          <w:color w:val="auto"/>
          <w:highlight w:val="none"/>
        </w:rPr>
        <w:t>七、其他商务文件或说明</w:t>
      </w:r>
      <w:r>
        <w:rPr>
          <w:rFonts w:hint="eastAsia" w:cs="仿宋_GB2312"/>
          <w:color w:val="auto"/>
          <w:highlight w:val="none"/>
          <w:lang w:val="zh-CN"/>
        </w:rPr>
        <w:t>……………………………………………………</w:t>
      </w:r>
      <w:r>
        <w:rPr>
          <w:rFonts w:hint="eastAsia" w:cs="仿宋_GB2312"/>
          <w:color w:val="auto"/>
          <w:highlight w:val="none"/>
        </w:rPr>
        <w:t>（页码）</w:t>
      </w:r>
    </w:p>
    <w:p w14:paraId="3AD8D54F">
      <w:pPr>
        <w:spacing w:line="360" w:lineRule="auto"/>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2B7C00C2">
      <w:pPr>
        <w:snapToGrid w:val="0"/>
        <w:spacing w:line="360" w:lineRule="auto"/>
        <w:ind w:firstLine="420" w:firstLineChars="200"/>
        <w:jc w:val="left"/>
        <w:rPr>
          <w:rFonts w:ascii="宋体" w:hAnsi="宋体"/>
          <w:color w:val="auto"/>
          <w:highlight w:val="none"/>
        </w:rPr>
        <w:sectPr>
          <w:pgSz w:w="11906" w:h="16838"/>
          <w:pgMar w:top="1134" w:right="1134" w:bottom="1134" w:left="1134" w:header="720" w:footer="720" w:gutter="0"/>
          <w:cols w:space="720" w:num="1"/>
          <w:docGrid w:type="lines" w:linePitch="331" w:charSpace="0"/>
        </w:sectPr>
      </w:pPr>
    </w:p>
    <w:p w14:paraId="4F35C9C6">
      <w:pPr>
        <w:snapToGrid w:val="0"/>
        <w:spacing w:before="120" w:beforeLines="50" w:after="50"/>
        <w:ind w:left="420"/>
        <w:jc w:val="center"/>
        <w:rPr>
          <w:b/>
          <w:bCs/>
          <w:color w:val="auto"/>
          <w:sz w:val="30"/>
          <w:szCs w:val="30"/>
          <w:highlight w:val="none"/>
        </w:rPr>
      </w:pPr>
      <w:r>
        <w:rPr>
          <w:rFonts w:hint="eastAsia"/>
          <w:b/>
          <w:bCs/>
          <w:color w:val="auto"/>
          <w:sz w:val="30"/>
          <w:szCs w:val="30"/>
          <w:highlight w:val="none"/>
        </w:rPr>
        <w:t>一、无串标行为承诺函</w:t>
      </w:r>
    </w:p>
    <w:p w14:paraId="5D8A8CB7">
      <w:pPr>
        <w:snapToGrid w:val="0"/>
        <w:spacing w:before="120" w:beforeLines="50" w:after="50"/>
        <w:ind w:left="420"/>
        <w:jc w:val="center"/>
        <w:rPr>
          <w:rFonts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274535E1">
      <w:pPr>
        <w:snapToGrid w:val="0"/>
        <w:spacing w:before="120" w:beforeLines="50" w:after="50"/>
        <w:rPr>
          <w:rFonts w:ascii="宋体" w:hAnsi="宋体"/>
          <w:b/>
          <w:color w:val="auto"/>
          <w:szCs w:val="21"/>
          <w:highlight w:val="none"/>
        </w:rPr>
      </w:pPr>
    </w:p>
    <w:p w14:paraId="2530B3B5">
      <w:pPr>
        <w:snapToGrid w:val="0"/>
        <w:spacing w:before="120" w:beforeLines="50" w:after="50" w:line="360" w:lineRule="auto"/>
        <w:jc w:val="left"/>
        <w:rPr>
          <w:rFonts w:ascii="宋体" w:hAnsi="宋体"/>
          <w:b/>
          <w:color w:val="auto"/>
          <w:szCs w:val="21"/>
          <w:highlight w:val="none"/>
        </w:rPr>
      </w:pPr>
      <w:r>
        <w:rPr>
          <w:rFonts w:hint="eastAsia" w:ascii="宋体" w:hAnsi="宋体"/>
          <w:b/>
          <w:color w:val="auto"/>
          <w:szCs w:val="21"/>
          <w:highlight w:val="none"/>
        </w:rPr>
        <w:t>一、我方承诺无下列相互串通投标的情形：</w:t>
      </w:r>
    </w:p>
    <w:p w14:paraId="586AFEB8">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w:t>
      </w:r>
    </w:p>
    <w:p w14:paraId="1BBABC20">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65CFE4F3">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738F297F">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5637EA91">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5.不同投标人的投标文件相互混装；</w:t>
      </w:r>
    </w:p>
    <w:p w14:paraId="3A2E9937">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28B892F9">
      <w:pPr>
        <w:snapToGrid w:val="0"/>
        <w:spacing w:before="120" w:beforeLines="50" w:after="50" w:line="360" w:lineRule="auto"/>
        <w:jc w:val="left"/>
        <w:rPr>
          <w:rFonts w:ascii="宋体" w:hAnsi="宋体"/>
          <w:color w:val="auto"/>
          <w:szCs w:val="21"/>
          <w:highlight w:val="none"/>
        </w:rPr>
      </w:pPr>
      <w:r>
        <w:rPr>
          <w:rFonts w:hint="eastAsia" w:ascii="宋体" w:hAnsi="宋体"/>
          <w:b/>
          <w:color w:val="auto"/>
          <w:szCs w:val="21"/>
          <w:highlight w:val="none"/>
        </w:rPr>
        <w:t>二、我方承诺无下列恶意串通的情形：</w:t>
      </w:r>
    </w:p>
    <w:p w14:paraId="4BEB1294">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1434937B">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400A95BF">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711FA5D6">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662A00B2">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7469938A">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114DFE09">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78175E22">
      <w:pPr>
        <w:snapToGrid w:val="0"/>
        <w:spacing w:before="120" w:beforeLines="50" w:after="50" w:line="360" w:lineRule="auto"/>
        <w:ind w:firstLine="413" w:firstLineChars="196"/>
        <w:jc w:val="left"/>
        <w:rPr>
          <w:rFonts w:ascii="宋体" w:hAnsi="宋体"/>
          <w:b/>
          <w:color w:val="auto"/>
          <w:szCs w:val="21"/>
          <w:highlight w:val="none"/>
        </w:rPr>
      </w:pPr>
      <w:r>
        <w:rPr>
          <w:rFonts w:hint="eastAsia" w:ascii="宋体" w:hAnsi="宋体"/>
          <w:b/>
          <w:color w:val="auto"/>
          <w:szCs w:val="21"/>
          <w:highlight w:val="none"/>
        </w:rPr>
        <w:t>以上情形一经核查属实，我方愿意承担一切后果，并不再寻求任何旨在减轻或者免除法律责任的辩解。</w:t>
      </w:r>
    </w:p>
    <w:p w14:paraId="33832767">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498B675E">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4096FE5">
      <w:pPr>
        <w:pStyle w:val="10"/>
        <w:snapToGrid w:val="0"/>
        <w:spacing w:before="295" w:after="295" w:line="360" w:lineRule="auto"/>
        <w:jc w:val="center"/>
        <w:rPr>
          <w:rFonts w:hAnsi="宋体"/>
          <w:b/>
          <w:color w:val="auto"/>
          <w:sz w:val="24"/>
          <w:highlight w:val="none"/>
        </w:rPr>
      </w:pPr>
      <w:r>
        <w:rPr>
          <w:rFonts w:hAnsi="宋体"/>
          <w:b/>
          <w:color w:val="auto"/>
          <w:sz w:val="24"/>
          <w:highlight w:val="none"/>
        </w:rPr>
        <w:br w:type="page"/>
      </w:r>
      <w:r>
        <w:rPr>
          <w:rFonts w:hint="eastAsia" w:ascii="Times New Roman" w:hAnsi="Times New Roman"/>
          <w:b/>
          <w:bCs/>
          <w:color w:val="auto"/>
          <w:sz w:val="30"/>
          <w:szCs w:val="30"/>
          <w:highlight w:val="none"/>
        </w:rPr>
        <w:t>二、法定代表人身份证明</w:t>
      </w:r>
    </w:p>
    <w:p w14:paraId="7916697F">
      <w:pPr>
        <w:spacing w:before="240" w:beforeLines="100" w:after="120" w:afterLines="50"/>
        <w:ind w:left="540"/>
        <w:jc w:val="center"/>
        <w:rPr>
          <w:rFonts w:ascii="宋体" w:hAnsi="Courier New"/>
          <w:b/>
          <w:color w:val="auto"/>
          <w:sz w:val="32"/>
          <w:szCs w:val="32"/>
          <w:highlight w:val="none"/>
        </w:rPr>
      </w:pPr>
    </w:p>
    <w:p w14:paraId="6BDA2E03">
      <w:pPr>
        <w:spacing w:before="240" w:beforeLines="100" w:after="120" w:afterLines="50"/>
        <w:ind w:left="540"/>
        <w:jc w:val="center"/>
        <w:rPr>
          <w:rFonts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2C24131D">
      <w:pPr>
        <w:spacing w:line="500" w:lineRule="exact"/>
        <w:ind w:left="54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7EFE1A45">
      <w:pPr>
        <w:spacing w:line="500" w:lineRule="exact"/>
        <w:ind w:left="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7542C7FE">
      <w:pPr>
        <w:spacing w:line="500" w:lineRule="exact"/>
        <w:ind w:left="540"/>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1DFF5017">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66B03CB9">
      <w:pPr>
        <w:spacing w:line="500" w:lineRule="exact"/>
        <w:ind w:left="54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12167228">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0226200F">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0BA8836B">
      <w:pPr>
        <w:spacing w:line="500" w:lineRule="exact"/>
        <w:ind w:left="540"/>
        <w:rPr>
          <w:rFonts w:ascii="宋体" w:hAnsi="宋体"/>
          <w:color w:val="auto"/>
          <w:sz w:val="24"/>
          <w:highlight w:val="none"/>
        </w:rPr>
      </w:pPr>
    </w:p>
    <w:p w14:paraId="5AC65A8A">
      <w:pPr>
        <w:spacing w:line="500" w:lineRule="exact"/>
        <w:ind w:left="540"/>
        <w:rPr>
          <w:rFonts w:ascii="宋体" w:hAnsi="宋体"/>
          <w:color w:val="auto"/>
          <w:sz w:val="24"/>
          <w:highlight w:val="none"/>
        </w:rPr>
      </w:pPr>
    </w:p>
    <w:p w14:paraId="068C5996">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5155848A">
      <w:pPr>
        <w:spacing w:line="500" w:lineRule="exact"/>
        <w:ind w:left="540"/>
        <w:rPr>
          <w:rFonts w:ascii="宋体" w:hAnsi="宋体"/>
          <w:color w:val="auto"/>
          <w:sz w:val="24"/>
          <w:highlight w:val="none"/>
        </w:rPr>
      </w:pPr>
    </w:p>
    <w:p w14:paraId="58CA930C">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E78294B">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2D51EB4">
      <w:pPr>
        <w:snapToGrid w:val="0"/>
        <w:spacing w:before="120" w:beforeLines="50" w:after="50"/>
        <w:jc w:val="center"/>
        <w:rPr>
          <w:rFonts w:ascii="宋体" w:hAnsi="宋体"/>
          <w:b/>
          <w:color w:val="auto"/>
          <w:sz w:val="24"/>
          <w:highlight w:val="none"/>
        </w:rPr>
      </w:pPr>
    </w:p>
    <w:p w14:paraId="1507ADFE">
      <w:pPr>
        <w:snapToGrid w:val="0"/>
        <w:spacing w:before="120" w:beforeLines="50" w:after="50"/>
        <w:ind w:firstLine="600" w:firstLineChars="250"/>
        <w:jc w:val="left"/>
        <w:rPr>
          <w:rFonts w:ascii="宋体" w:hAnsi="宋体"/>
          <w:color w:val="auto"/>
          <w:sz w:val="24"/>
          <w:highlight w:val="none"/>
        </w:rPr>
      </w:pPr>
      <w:r>
        <w:rPr>
          <w:rFonts w:hint="eastAsia" w:ascii="宋体" w:hAnsi="宋体"/>
          <w:color w:val="auto"/>
          <w:sz w:val="24"/>
          <w:highlight w:val="none"/>
        </w:rPr>
        <w:t>注：自然人投标的无需提供</w:t>
      </w:r>
    </w:p>
    <w:p w14:paraId="62AAB181">
      <w:pPr>
        <w:snapToGrid w:val="0"/>
        <w:spacing w:before="120" w:beforeLines="50" w:after="50"/>
        <w:ind w:firstLine="600" w:firstLineChars="250"/>
        <w:jc w:val="left"/>
        <w:rPr>
          <w:rFonts w:ascii="宋体" w:hAnsi="宋体"/>
          <w:color w:val="auto"/>
          <w:sz w:val="24"/>
          <w:highlight w:val="none"/>
        </w:rPr>
      </w:pPr>
    </w:p>
    <w:p w14:paraId="49687F99">
      <w:pPr>
        <w:snapToGrid w:val="0"/>
        <w:spacing w:before="120" w:beforeLines="50" w:after="50"/>
        <w:ind w:firstLine="602" w:firstLineChars="250"/>
        <w:jc w:val="left"/>
        <w:rPr>
          <w:rFonts w:ascii="宋体" w:hAnsi="宋体"/>
          <w:b/>
          <w:color w:val="auto"/>
          <w:sz w:val="24"/>
          <w:szCs w:val="20"/>
          <w:highlight w:val="none"/>
        </w:rPr>
      </w:pPr>
    </w:p>
    <w:tbl>
      <w:tblPr>
        <w:tblStyle w:val="20"/>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6B8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48F3F356">
            <w:pPr>
              <w:spacing w:line="360" w:lineRule="auto"/>
              <w:rPr>
                <w:rFonts w:ascii="宋体"/>
                <w:b/>
                <w:color w:val="auto"/>
                <w:sz w:val="24"/>
                <w:highlight w:val="none"/>
              </w:rPr>
            </w:pPr>
          </w:p>
          <w:p w14:paraId="51CB1384">
            <w:pPr>
              <w:spacing w:line="360" w:lineRule="auto"/>
              <w:rPr>
                <w:rFonts w:ascii="宋体"/>
                <w:b/>
                <w:color w:val="auto"/>
                <w:sz w:val="24"/>
                <w:highlight w:val="none"/>
              </w:rPr>
            </w:pPr>
            <w:r>
              <w:rPr>
                <w:rFonts w:hint="eastAsia" w:ascii="宋体"/>
                <w:b/>
                <w:color w:val="auto"/>
                <w:sz w:val="24"/>
                <w:highlight w:val="none"/>
              </w:rPr>
              <w:t>法定代表身份证复印件粘帖处（正、反面）</w:t>
            </w:r>
          </w:p>
        </w:tc>
      </w:tr>
    </w:tbl>
    <w:p w14:paraId="219277D7">
      <w:pPr>
        <w:pStyle w:val="10"/>
        <w:snapToGrid w:val="0"/>
        <w:spacing w:before="295" w:after="295" w:line="360" w:lineRule="auto"/>
        <w:rPr>
          <w:rFonts w:hAnsi="宋体"/>
          <w:b/>
          <w:color w:val="auto"/>
          <w:sz w:val="24"/>
          <w:highlight w:val="none"/>
        </w:rPr>
      </w:pPr>
      <w:r>
        <w:rPr>
          <w:rFonts w:hint="eastAsia" w:hAnsi="宋体"/>
          <w:b/>
          <w:color w:val="auto"/>
          <w:sz w:val="24"/>
          <w:highlight w:val="none"/>
        </w:rPr>
        <w:t>附件：</w:t>
      </w:r>
      <w:r>
        <w:rPr>
          <w:rFonts w:hAnsi="宋体"/>
          <w:b/>
          <w:color w:val="auto"/>
          <w:sz w:val="24"/>
          <w:highlight w:val="none"/>
        </w:rPr>
        <w:br w:type="page"/>
      </w:r>
      <w:r>
        <w:rPr>
          <w:rFonts w:hint="eastAsia" w:ascii="Times New Roman" w:hAnsi="Times New Roman"/>
          <w:b/>
          <w:bCs/>
          <w:color w:val="auto"/>
          <w:sz w:val="30"/>
          <w:szCs w:val="30"/>
          <w:highlight w:val="none"/>
        </w:rPr>
        <w:t>三、法定代表人授权委托书（如有委托时）</w:t>
      </w:r>
    </w:p>
    <w:p w14:paraId="0B0C41DC">
      <w:pPr>
        <w:snapToGrid w:val="0"/>
        <w:spacing w:before="120" w:beforeLines="50" w:after="50"/>
        <w:jc w:val="center"/>
        <w:rPr>
          <w:rFonts w:ascii="宋体" w:hAnsi="宋体"/>
          <w:b/>
          <w:color w:val="auto"/>
          <w:sz w:val="32"/>
          <w:szCs w:val="32"/>
          <w:highlight w:val="none"/>
        </w:rPr>
      </w:pPr>
      <w:r>
        <w:rPr>
          <w:rFonts w:hint="eastAsia" w:ascii="宋体" w:hAnsi="宋体"/>
          <w:b/>
          <w:color w:val="auto"/>
          <w:sz w:val="32"/>
          <w:szCs w:val="32"/>
          <w:highlight w:val="none"/>
        </w:rPr>
        <w:t>法定代表人授权委托书</w:t>
      </w:r>
    </w:p>
    <w:p w14:paraId="704744B9">
      <w:pPr>
        <w:snapToGrid w:val="0"/>
        <w:spacing w:before="120" w:beforeLines="50" w:after="50"/>
        <w:jc w:val="center"/>
        <w:rPr>
          <w:rFonts w:ascii="宋体" w:hAnsi="宋体"/>
          <w:b/>
          <w:color w:val="auto"/>
          <w:sz w:val="24"/>
          <w:highlight w:val="none"/>
        </w:rPr>
      </w:pPr>
    </w:p>
    <w:p w14:paraId="7924690F">
      <w:pPr>
        <w:pStyle w:val="10"/>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致：</w:t>
      </w:r>
      <w:r>
        <w:rPr>
          <w:rFonts w:ascii="Times New Roman" w:hAnsi="Times New Roman"/>
          <w:color w:val="auto"/>
          <w:highlight w:val="none"/>
          <w:u w:val="single"/>
        </w:rPr>
        <w:t xml:space="preserve">                      </w:t>
      </w:r>
      <w:r>
        <w:rPr>
          <w:rFonts w:hint="eastAsia" w:ascii="Times New Roman" w:hAnsi="Times New Roman"/>
          <w:color w:val="auto"/>
          <w:highlight w:val="none"/>
        </w:rPr>
        <w:t>（采购代理机构名称）</w:t>
      </w:r>
    </w:p>
    <w:p w14:paraId="04DF6E65">
      <w:pPr>
        <w:pStyle w:val="10"/>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本人</w:t>
      </w:r>
      <w:r>
        <w:rPr>
          <w:rFonts w:ascii="Times New Roman" w:hAnsi="Times New Roman"/>
          <w:color w:val="auto"/>
          <w:highlight w:val="none"/>
          <w:u w:val="single"/>
        </w:rPr>
        <w:t xml:space="preserve">        </w:t>
      </w:r>
      <w:r>
        <w:rPr>
          <w:rFonts w:hint="eastAsia" w:ascii="Times New Roman" w:hAnsi="Times New Roman"/>
          <w:color w:val="auto"/>
          <w:highlight w:val="none"/>
        </w:rPr>
        <w:t>（姓名）系</w:t>
      </w:r>
      <w:r>
        <w:rPr>
          <w:rFonts w:ascii="Times New Roman" w:hAnsi="Times New Roman"/>
          <w:color w:val="auto"/>
          <w:highlight w:val="none"/>
          <w:u w:val="single"/>
        </w:rPr>
        <w:t xml:space="preserve">                 </w:t>
      </w:r>
      <w:r>
        <w:rPr>
          <w:rFonts w:hint="eastAsia" w:ascii="Times New Roman" w:hAnsi="Times New Roman"/>
          <w:color w:val="auto"/>
          <w:highlight w:val="none"/>
        </w:rPr>
        <w:t>（投标人名称）的法定代表人，现授权我单位在职正式员工</w:t>
      </w:r>
      <w:r>
        <w:rPr>
          <w:rFonts w:ascii="Times New Roman" w:hAnsi="Times New Roman"/>
          <w:color w:val="auto"/>
          <w:highlight w:val="none"/>
          <w:u w:val="single"/>
        </w:rPr>
        <w:t xml:space="preserve">        </w:t>
      </w:r>
      <w:r>
        <w:rPr>
          <w:rFonts w:hint="eastAsia" w:ascii="Times New Roman" w:hAnsi="Times New Roman"/>
          <w:color w:val="auto"/>
          <w:highlight w:val="none"/>
        </w:rPr>
        <w:t>（姓名和职务）为我方代理人。代理人根据授权，以我方名义签署、澄清、说明、补正、递交、撤回、修改贵方组织的</w:t>
      </w:r>
      <w:r>
        <w:rPr>
          <w:rFonts w:hint="eastAsia"/>
          <w:color w:val="auto"/>
          <w:highlight w:val="none"/>
          <w:u w:val="single"/>
        </w:rPr>
        <w:t xml:space="preserve">                </w:t>
      </w:r>
      <w:r>
        <w:rPr>
          <w:rFonts w:hint="eastAsia"/>
          <w:color w:val="auto"/>
          <w:highlight w:val="none"/>
        </w:rPr>
        <w:t>项目（项目编号：</w:t>
      </w:r>
      <w:r>
        <w:rPr>
          <w:rFonts w:hint="eastAsia" w:hAnsi="宋体"/>
          <w:color w:val="auto"/>
          <w:highlight w:val="none"/>
          <w:u w:val="single"/>
        </w:rPr>
        <w:t xml:space="preserve">             </w:t>
      </w:r>
      <w:r>
        <w:rPr>
          <w:rFonts w:hint="eastAsia"/>
          <w:color w:val="auto"/>
          <w:highlight w:val="none"/>
        </w:rPr>
        <w:t>）</w:t>
      </w:r>
      <w:r>
        <w:rPr>
          <w:rFonts w:hint="eastAsia" w:ascii="Times New Roman" w:hAnsi="Times New Roman"/>
          <w:color w:val="auto"/>
          <w:highlight w:val="none"/>
        </w:rPr>
        <w:t>的投标文件、签订合同和处理一切有关事宜，其法律后果由我方承担。</w:t>
      </w:r>
    </w:p>
    <w:p w14:paraId="0A9ADB9B">
      <w:pPr>
        <w:pStyle w:val="10"/>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本授权书于</w:t>
      </w:r>
      <w:r>
        <w:rPr>
          <w:rFonts w:hint="eastAsia"/>
          <w:color w:val="auto"/>
          <w:spacing w:val="10"/>
          <w:sz w:val="24"/>
          <w:highlight w:val="none"/>
          <w:u w:val="single"/>
        </w:rPr>
        <w:t xml:space="preserve">    </w:t>
      </w:r>
      <w:r>
        <w:rPr>
          <w:rFonts w:hint="eastAsia" w:ascii="Times New Roman" w:hAnsi="Times New Roman"/>
          <w:color w:val="auto"/>
          <w:highlight w:val="none"/>
        </w:rPr>
        <w:t>年</w:t>
      </w:r>
      <w:r>
        <w:rPr>
          <w:rFonts w:hint="eastAsia"/>
          <w:color w:val="auto"/>
          <w:spacing w:val="10"/>
          <w:sz w:val="24"/>
          <w:highlight w:val="none"/>
          <w:u w:val="single"/>
        </w:rPr>
        <w:t xml:space="preserve">    </w:t>
      </w:r>
      <w:r>
        <w:rPr>
          <w:rFonts w:hint="eastAsia" w:ascii="Times New Roman" w:hAnsi="Times New Roman"/>
          <w:color w:val="auto"/>
          <w:highlight w:val="none"/>
        </w:rPr>
        <w:t>月</w:t>
      </w:r>
      <w:r>
        <w:rPr>
          <w:rFonts w:hint="eastAsia"/>
          <w:color w:val="auto"/>
          <w:spacing w:val="10"/>
          <w:sz w:val="24"/>
          <w:highlight w:val="none"/>
          <w:u w:val="single"/>
        </w:rPr>
        <w:t xml:space="preserve">    </w:t>
      </w:r>
      <w:r>
        <w:rPr>
          <w:rFonts w:hint="eastAsia" w:ascii="Times New Roman" w:hAnsi="Times New Roman"/>
          <w:color w:val="auto"/>
          <w:highlight w:val="none"/>
        </w:rPr>
        <w:t>日签字生效，委托期限：</w:t>
      </w:r>
      <w:r>
        <w:rPr>
          <w:rFonts w:hint="eastAsia"/>
          <w:color w:val="auto"/>
          <w:spacing w:val="10"/>
          <w:sz w:val="24"/>
          <w:highlight w:val="none"/>
          <w:u w:val="single"/>
        </w:rPr>
        <w:t xml:space="preserve">    </w:t>
      </w:r>
      <w:r>
        <w:rPr>
          <w:rFonts w:hint="eastAsia" w:ascii="Times New Roman" w:hAnsi="Times New Roman"/>
          <w:color w:val="auto"/>
          <w:highlight w:val="none"/>
        </w:rPr>
        <w:t>。</w:t>
      </w:r>
    </w:p>
    <w:p w14:paraId="71E784A6">
      <w:pPr>
        <w:pStyle w:val="10"/>
        <w:spacing w:line="360" w:lineRule="auto"/>
        <w:ind w:firstLine="420"/>
        <w:rPr>
          <w:rFonts w:ascii="Times New Roman" w:hAnsi="Times New Roman"/>
          <w:color w:val="auto"/>
          <w:highlight w:val="none"/>
        </w:rPr>
      </w:pPr>
      <w:r>
        <w:rPr>
          <w:rFonts w:hint="eastAsia" w:ascii="Times New Roman" w:hAnsi="Times New Roman"/>
          <w:color w:val="auto"/>
          <w:highlight w:val="none"/>
        </w:rPr>
        <w:t>代理人无转委托权。</w:t>
      </w:r>
    </w:p>
    <w:p w14:paraId="59D8CF1C">
      <w:pPr>
        <w:pStyle w:val="10"/>
        <w:spacing w:line="360" w:lineRule="auto"/>
        <w:ind w:firstLine="420"/>
        <w:rPr>
          <w:rFonts w:ascii="Times New Roman" w:hAnsi="Times New Roman"/>
          <w:color w:val="auto"/>
          <w:highlight w:val="none"/>
        </w:rPr>
      </w:pPr>
    </w:p>
    <w:p w14:paraId="6D8E5A48">
      <w:pPr>
        <w:pStyle w:val="10"/>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投标人（或联合体投标</w:t>
      </w:r>
      <w:r>
        <w:rPr>
          <w:rFonts w:hint="eastAsia" w:cs="宋体"/>
          <w:color w:val="auto"/>
          <w:kern w:val="0"/>
          <w:szCs w:val="21"/>
          <w:highlight w:val="none"/>
        </w:rPr>
        <w:t>牵头人名称</w:t>
      </w:r>
      <w:r>
        <w:rPr>
          <w:rFonts w:hint="eastAsia" w:ascii="Times New Roman" w:hAnsi="Times New Roman"/>
          <w:color w:val="auto"/>
          <w:highlight w:val="none"/>
        </w:rPr>
        <w:t>）（盖单位公章）：</w:t>
      </w:r>
      <w:r>
        <w:rPr>
          <w:rFonts w:ascii="Times New Roman" w:hAnsi="Times New Roman"/>
          <w:color w:val="auto"/>
          <w:highlight w:val="none"/>
          <w:u w:val="single"/>
        </w:rPr>
        <w:t xml:space="preserve">                                    </w:t>
      </w:r>
    </w:p>
    <w:p w14:paraId="092A78B1">
      <w:pPr>
        <w:pStyle w:val="10"/>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p>
    <w:p w14:paraId="3D64CD95">
      <w:pPr>
        <w:pStyle w:val="10"/>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法定代表人身份证号码：</w:t>
      </w:r>
      <w:r>
        <w:rPr>
          <w:rFonts w:ascii="Times New Roman" w:hAnsi="Times New Roman"/>
          <w:color w:val="auto"/>
          <w:highlight w:val="none"/>
          <w:u w:val="single"/>
        </w:rPr>
        <w:t xml:space="preserve">                                   </w:t>
      </w:r>
    </w:p>
    <w:p w14:paraId="5F2F9835">
      <w:pPr>
        <w:pStyle w:val="10"/>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委托代理人（签字）：</w:t>
      </w:r>
      <w:r>
        <w:rPr>
          <w:rFonts w:ascii="Times New Roman" w:hAnsi="Times New Roman"/>
          <w:color w:val="auto"/>
          <w:highlight w:val="none"/>
          <w:u w:val="single"/>
        </w:rPr>
        <w:t xml:space="preserve">                                </w:t>
      </w:r>
    </w:p>
    <w:p w14:paraId="3FEF033E">
      <w:pPr>
        <w:pStyle w:val="10"/>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委托代理人身份证号码：</w:t>
      </w:r>
      <w:r>
        <w:rPr>
          <w:rFonts w:ascii="Times New Roman" w:hAnsi="Times New Roman"/>
          <w:color w:val="auto"/>
          <w:highlight w:val="none"/>
          <w:u w:val="single"/>
        </w:rPr>
        <w:t xml:space="preserve">                                   </w:t>
      </w:r>
    </w:p>
    <w:p w14:paraId="4F5C4122">
      <w:pPr>
        <w:pStyle w:val="10"/>
        <w:spacing w:line="360" w:lineRule="auto"/>
        <w:ind w:firstLine="420"/>
        <w:rPr>
          <w:rFonts w:ascii="Times New Roman" w:hAnsi="Times New Roman"/>
          <w:color w:val="auto"/>
          <w:highlight w:val="none"/>
          <w:u w:val="single"/>
        </w:rPr>
      </w:pPr>
    </w:p>
    <w:p w14:paraId="213B8680">
      <w:pPr>
        <w:pStyle w:val="10"/>
        <w:spacing w:line="360" w:lineRule="auto"/>
        <w:ind w:firstLine="420"/>
        <w:rPr>
          <w:rFonts w:ascii="Times New Roman" w:hAnsi="Times New Roman"/>
          <w:color w:val="auto"/>
          <w:highlight w:val="none"/>
          <w:u w:val="single"/>
        </w:rPr>
      </w:pPr>
      <w:r>
        <w:rPr>
          <w:rFonts w:hint="eastAsia" w:cs="宋体"/>
          <w:color w:val="auto"/>
          <w:kern w:val="0"/>
          <w:szCs w:val="21"/>
          <w:highlight w:val="none"/>
        </w:rPr>
        <w:t>成员一名称：</w:t>
      </w:r>
      <w:r>
        <w:rPr>
          <w:rFonts w:hint="eastAsia" w:ascii="Times New Roman" w:hAnsi="Times New Roman"/>
          <w:color w:val="auto"/>
          <w:highlight w:val="none"/>
        </w:rPr>
        <w:t>（盖单位公章）：</w:t>
      </w:r>
      <w:r>
        <w:rPr>
          <w:rFonts w:ascii="Times New Roman" w:hAnsi="Times New Roman"/>
          <w:color w:val="auto"/>
          <w:highlight w:val="none"/>
          <w:u w:val="single"/>
        </w:rPr>
        <w:t xml:space="preserve">                                    </w:t>
      </w:r>
    </w:p>
    <w:p w14:paraId="03A3AB7A">
      <w:pPr>
        <w:pStyle w:val="10"/>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p>
    <w:p w14:paraId="38F62C08">
      <w:pPr>
        <w:pStyle w:val="10"/>
        <w:spacing w:line="360" w:lineRule="auto"/>
        <w:ind w:firstLine="420"/>
        <w:rPr>
          <w:rFonts w:ascii="Times New Roman" w:hAnsi="Times New Roman"/>
          <w:color w:val="auto"/>
          <w:highlight w:val="none"/>
          <w:u w:val="single"/>
        </w:rPr>
      </w:pPr>
    </w:p>
    <w:p w14:paraId="5703F809">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（盖单位公章）</w:t>
      </w:r>
    </w:p>
    <w:p w14:paraId="4E4F55E6">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w:t>
      </w:r>
    </w:p>
    <w:p w14:paraId="549F3038">
      <w:pPr>
        <w:pStyle w:val="10"/>
        <w:ind w:firstLine="420" w:firstLineChars="200"/>
        <w:rPr>
          <w:color w:val="auto"/>
          <w:highlight w:val="none"/>
        </w:rPr>
      </w:pPr>
      <w:r>
        <w:rPr>
          <w:rFonts w:hint="eastAsia"/>
          <w:color w:val="auto"/>
          <w:highlight w:val="none"/>
        </w:rPr>
        <w:t>......</w:t>
      </w:r>
    </w:p>
    <w:p w14:paraId="7A09C21C">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w:t>
      </w:r>
    </w:p>
    <w:p w14:paraId="6368B058">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1.法定代表人和委托代理人在授权委托书上签名；</w:t>
      </w:r>
    </w:p>
    <w:p w14:paraId="424209B1">
      <w:pPr>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2.以联合体形式投标的，本授权委托书应由联合体牵头人的法定代表人按上述规定签署。</w:t>
      </w:r>
    </w:p>
    <w:p w14:paraId="7A7AB073">
      <w:pPr>
        <w:snapToGrid w:val="0"/>
        <w:spacing w:before="50" w:after="120" w:afterLines="50"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 xml:space="preserve">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4FD03439">
      <w:pPr>
        <w:snapToGrid w:val="0"/>
        <w:spacing w:before="50" w:after="120" w:afterLines="50"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 若为联合体投标须各方签字或盖章。</w:t>
      </w:r>
    </w:p>
    <w:p w14:paraId="01703FB5">
      <w:pPr>
        <w:spacing w:line="360" w:lineRule="auto"/>
        <w:rPr>
          <w:rFonts w:ascii="宋体"/>
          <w:b/>
          <w:color w:val="auto"/>
          <w:sz w:val="24"/>
          <w:highlight w:val="none"/>
        </w:rPr>
      </w:pPr>
    </w:p>
    <w:p w14:paraId="4A48C3CB">
      <w:pPr>
        <w:spacing w:line="360" w:lineRule="auto"/>
        <w:rPr>
          <w:b/>
          <w:color w:val="auto"/>
          <w:sz w:val="24"/>
          <w:highlight w:val="none"/>
        </w:rPr>
      </w:pPr>
      <w:r>
        <w:rPr>
          <w:rFonts w:hint="eastAsia" w:ascii="宋体"/>
          <w:b/>
          <w:color w:val="auto"/>
          <w:sz w:val="24"/>
          <w:highlight w:val="none"/>
        </w:rPr>
        <w:t>附件：</w:t>
      </w:r>
    </w:p>
    <w:tbl>
      <w:tblPr>
        <w:tblStyle w:val="20"/>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6544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Pr>
          <w:p w14:paraId="648C0FB2">
            <w:pPr>
              <w:spacing w:line="360" w:lineRule="auto"/>
              <w:rPr>
                <w:rFonts w:ascii="宋体"/>
                <w:b/>
                <w:color w:val="auto"/>
                <w:sz w:val="24"/>
                <w:highlight w:val="none"/>
              </w:rPr>
            </w:pPr>
          </w:p>
          <w:p w14:paraId="6C4319DF">
            <w:pPr>
              <w:spacing w:line="360" w:lineRule="auto"/>
              <w:rPr>
                <w:rFonts w:ascii="宋体"/>
                <w:b/>
                <w:color w:val="auto"/>
                <w:sz w:val="24"/>
                <w:highlight w:val="none"/>
              </w:rPr>
            </w:pPr>
            <w:r>
              <w:rPr>
                <w:rFonts w:hint="eastAsia" w:ascii="宋体"/>
                <w:b/>
                <w:color w:val="auto"/>
                <w:sz w:val="24"/>
                <w:highlight w:val="none"/>
              </w:rPr>
              <w:t>全权代表身份证复印件粘帖处（正、反面）</w:t>
            </w:r>
          </w:p>
        </w:tc>
      </w:tr>
    </w:tbl>
    <w:p w14:paraId="0BB06114">
      <w:pPr>
        <w:snapToGrid w:val="0"/>
        <w:spacing w:before="50" w:after="120" w:afterLines="50" w:line="360" w:lineRule="auto"/>
        <w:jc w:val="left"/>
        <w:rPr>
          <w:rFonts w:ascii="仿宋_GB2312" w:hAnsi="仿宋_GB2312" w:eastAsia="仿宋_GB2312" w:cs="仿宋_GB2312"/>
          <w:color w:val="auto"/>
          <w:szCs w:val="21"/>
          <w:highlight w:val="none"/>
        </w:rPr>
      </w:pPr>
    </w:p>
    <w:p w14:paraId="0888FA76">
      <w:pPr>
        <w:snapToGrid w:val="0"/>
        <w:spacing w:before="120" w:beforeLines="50" w:after="50"/>
        <w:ind w:firstLine="566" w:firstLineChars="236"/>
        <w:jc w:val="center"/>
        <w:rPr>
          <w:rFonts w:ascii="宋体" w:hAnsi="宋体"/>
          <w:color w:val="auto"/>
          <w:highlight w:val="none"/>
        </w:rPr>
      </w:pPr>
      <w:r>
        <w:rPr>
          <w:rFonts w:ascii="宋体" w:hAnsi="宋体"/>
          <w:color w:val="auto"/>
          <w:sz w:val="24"/>
          <w:highlight w:val="none"/>
        </w:rPr>
        <w:t xml:space="preserve"> </w:t>
      </w:r>
      <w:r>
        <w:rPr>
          <w:rFonts w:ascii="宋体" w:hAnsi="宋体"/>
          <w:color w:val="auto"/>
          <w:sz w:val="24"/>
          <w:highlight w:val="none"/>
        </w:rPr>
        <w:br w:type="page"/>
      </w:r>
    </w:p>
    <w:p w14:paraId="09FD2B35">
      <w:pPr>
        <w:jc w:val="center"/>
        <w:rPr>
          <w:b/>
          <w:bCs/>
          <w:color w:val="auto"/>
          <w:sz w:val="30"/>
          <w:szCs w:val="30"/>
          <w:highlight w:val="none"/>
        </w:rPr>
      </w:pPr>
      <w:r>
        <w:rPr>
          <w:rFonts w:hint="eastAsia"/>
          <w:b/>
          <w:bCs/>
          <w:color w:val="auto"/>
          <w:sz w:val="30"/>
          <w:szCs w:val="30"/>
          <w:highlight w:val="none"/>
        </w:rPr>
        <w:t>四、商务条款偏离表</w:t>
      </w:r>
    </w:p>
    <w:p w14:paraId="506F356B">
      <w:pPr>
        <w:jc w:val="center"/>
        <w:rPr>
          <w:rFonts w:ascii="宋体" w:hAnsi="宋体"/>
          <w:b/>
          <w:color w:val="auto"/>
          <w:sz w:val="24"/>
          <w:szCs w:val="20"/>
          <w:highlight w:val="none"/>
        </w:rPr>
      </w:pPr>
      <w:r>
        <w:rPr>
          <w:rFonts w:hint="eastAsia" w:ascii="宋体" w:hAnsi="宋体"/>
          <w:color w:val="auto"/>
          <w:sz w:val="30"/>
          <w:szCs w:val="20"/>
          <w:highlight w:val="none"/>
        </w:rPr>
        <w:t>(注：按项目需求表具体项目修改)</w:t>
      </w:r>
    </w:p>
    <w:p w14:paraId="5561274E">
      <w:pPr>
        <w:snapToGrid w:val="0"/>
        <w:spacing w:before="50"/>
        <w:jc w:val="left"/>
        <w:rPr>
          <w:rFonts w:ascii="宋体" w:hAnsi="宋体"/>
          <w:color w:val="auto"/>
          <w:sz w:val="24"/>
          <w:highlight w:val="none"/>
        </w:rPr>
      </w:pPr>
    </w:p>
    <w:p w14:paraId="0B2DC896">
      <w:pPr>
        <w:pStyle w:val="10"/>
        <w:spacing w:line="360" w:lineRule="auto"/>
        <w:ind w:left="-424" w:leftChars="-202" w:firstLine="846"/>
        <w:rPr>
          <w:rFonts w:hAnsi="宋体"/>
          <w:color w:val="auto"/>
          <w:sz w:val="24"/>
          <w:szCs w:val="24"/>
          <w:highlight w:val="none"/>
        </w:rPr>
      </w:pPr>
      <w:r>
        <w:rPr>
          <w:rFonts w:hint="eastAsia" w:ascii="Times New Roman" w:hAnsi="Times New Roman"/>
          <w:color w:val="auto"/>
          <w:highlight w:val="none"/>
        </w:rPr>
        <w:t>请逐条对应本项目招标文件第二章“服务需求一览表”中“商务条款”的要求，详细填写相应的具体内容。“偏离说明”一栏应当选择“正偏离”、“负偏离”或“无偏离”进行填写。</w:t>
      </w:r>
    </w:p>
    <w:tbl>
      <w:tblPr>
        <w:tblStyle w:val="2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8C8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674CF85">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7A4A27E2">
            <w:pPr>
              <w:spacing w:line="340" w:lineRule="exact"/>
              <w:jc w:val="center"/>
              <w:rPr>
                <w:rFonts w:ascii="宋体" w:hAnsi="宋体"/>
                <w:color w:val="auto"/>
                <w:szCs w:val="21"/>
                <w:highlight w:val="none"/>
              </w:rPr>
            </w:pPr>
            <w:r>
              <w:rPr>
                <w:rFonts w:hint="eastAsia" w:ascii="宋体" w:hAnsi="宋体"/>
                <w:color w:val="auto"/>
                <w:szCs w:val="21"/>
                <w:highlight w:val="none"/>
              </w:rPr>
              <w:t>招标文件的商务需求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9E91200">
            <w:pPr>
              <w:spacing w:line="340" w:lineRule="exact"/>
              <w:jc w:val="center"/>
              <w:rPr>
                <w:rFonts w:ascii="宋体" w:hAnsi="宋体"/>
                <w:color w:val="auto"/>
                <w:szCs w:val="21"/>
                <w:highlight w:val="none"/>
              </w:rPr>
            </w:pPr>
            <w:r>
              <w:rPr>
                <w:rFonts w:hint="eastAsia" w:ascii="宋体" w:hAnsi="宋体"/>
                <w:color w:val="auto"/>
                <w:szCs w:val="21"/>
                <w:highlight w:val="none"/>
              </w:rPr>
              <w:t>投标文件承诺的商务条款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4D643815">
            <w:pPr>
              <w:spacing w:line="34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5E7D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7241B89">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1F413063">
            <w:pPr>
              <w:spacing w:line="340" w:lineRule="exact"/>
              <w:rPr>
                <w:rFonts w:ascii="宋体" w:hAnsi="宋体"/>
                <w:color w:val="auto"/>
                <w:szCs w:val="21"/>
                <w:highlight w:val="none"/>
              </w:rPr>
            </w:pPr>
            <w:r>
              <w:rPr>
                <w:rFonts w:hint="eastAsia" w:ascii="宋体" w:hAnsi="宋体"/>
                <w:color w:val="auto"/>
                <w:szCs w:val="21"/>
                <w:highlight w:val="none"/>
              </w:rPr>
              <w:t>1  ……</w:t>
            </w:r>
          </w:p>
          <w:p w14:paraId="22EA02BC">
            <w:pPr>
              <w:spacing w:line="340" w:lineRule="exact"/>
              <w:rPr>
                <w:rFonts w:ascii="宋体" w:hAnsi="宋体"/>
                <w:color w:val="auto"/>
                <w:szCs w:val="21"/>
                <w:highlight w:val="none"/>
              </w:rPr>
            </w:pPr>
            <w:r>
              <w:rPr>
                <w:rFonts w:hint="eastAsia" w:ascii="宋体" w:hAnsi="宋体"/>
                <w:color w:val="auto"/>
                <w:szCs w:val="21"/>
                <w:highlight w:val="none"/>
              </w:rPr>
              <w:t>2  ……</w:t>
            </w:r>
          </w:p>
          <w:p w14:paraId="0677A5B1">
            <w:pPr>
              <w:spacing w:line="340" w:lineRule="exact"/>
              <w:rPr>
                <w:rFonts w:ascii="宋体" w:hAnsi="宋体"/>
                <w:color w:val="auto"/>
                <w:szCs w:val="21"/>
                <w:highlight w:val="none"/>
              </w:rPr>
            </w:pPr>
            <w:r>
              <w:rPr>
                <w:rFonts w:hint="eastAsia" w:ascii="宋体" w:hAnsi="宋体"/>
                <w:color w:val="auto"/>
                <w:szCs w:val="21"/>
                <w:highlight w:val="none"/>
              </w:rPr>
              <w:t>3  ……</w:t>
            </w:r>
          </w:p>
          <w:p w14:paraId="371C1E0A">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4CB93BF3">
            <w:pPr>
              <w:spacing w:line="340" w:lineRule="exact"/>
              <w:rPr>
                <w:rFonts w:ascii="宋体" w:hAnsi="宋体"/>
                <w:color w:val="auto"/>
                <w:szCs w:val="21"/>
                <w:highlight w:val="none"/>
              </w:rPr>
            </w:pPr>
            <w:r>
              <w:rPr>
                <w:rFonts w:hint="eastAsia" w:ascii="宋体" w:hAnsi="宋体"/>
                <w:color w:val="auto"/>
                <w:szCs w:val="21"/>
                <w:highlight w:val="none"/>
              </w:rPr>
              <w:t>1  ……</w:t>
            </w:r>
          </w:p>
          <w:p w14:paraId="793DBCB4">
            <w:pPr>
              <w:spacing w:line="340" w:lineRule="exact"/>
              <w:rPr>
                <w:rFonts w:ascii="宋体" w:hAnsi="宋体"/>
                <w:color w:val="auto"/>
                <w:szCs w:val="21"/>
                <w:highlight w:val="none"/>
              </w:rPr>
            </w:pPr>
            <w:r>
              <w:rPr>
                <w:rFonts w:hint="eastAsia" w:ascii="宋体" w:hAnsi="宋体"/>
                <w:color w:val="auto"/>
                <w:szCs w:val="21"/>
                <w:highlight w:val="none"/>
              </w:rPr>
              <w:t>2  ……</w:t>
            </w:r>
          </w:p>
          <w:p w14:paraId="507D4704">
            <w:pPr>
              <w:spacing w:line="340" w:lineRule="exact"/>
              <w:rPr>
                <w:rFonts w:ascii="宋体" w:hAnsi="宋体"/>
                <w:color w:val="auto"/>
                <w:szCs w:val="21"/>
                <w:highlight w:val="none"/>
              </w:rPr>
            </w:pPr>
            <w:r>
              <w:rPr>
                <w:rFonts w:hint="eastAsia" w:ascii="宋体" w:hAnsi="宋体"/>
                <w:color w:val="auto"/>
                <w:szCs w:val="21"/>
                <w:highlight w:val="none"/>
              </w:rPr>
              <w:t>3  ……</w:t>
            </w:r>
          </w:p>
          <w:p w14:paraId="711A4795">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83904E2">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2EF7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128A3F4">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0F267C78">
            <w:pPr>
              <w:spacing w:line="340" w:lineRule="exact"/>
              <w:rPr>
                <w:rFonts w:ascii="宋体" w:hAnsi="宋体"/>
                <w:color w:val="auto"/>
                <w:szCs w:val="21"/>
                <w:highlight w:val="none"/>
              </w:rPr>
            </w:pPr>
            <w:r>
              <w:rPr>
                <w:rFonts w:hint="eastAsia" w:ascii="宋体" w:hAnsi="宋体"/>
                <w:color w:val="auto"/>
                <w:szCs w:val="21"/>
                <w:highlight w:val="none"/>
              </w:rPr>
              <w:t>1  ……</w:t>
            </w:r>
          </w:p>
          <w:p w14:paraId="5281BD3E">
            <w:pPr>
              <w:spacing w:line="340" w:lineRule="exact"/>
              <w:rPr>
                <w:rFonts w:ascii="宋体" w:hAnsi="宋体"/>
                <w:color w:val="auto"/>
                <w:szCs w:val="21"/>
                <w:highlight w:val="none"/>
              </w:rPr>
            </w:pPr>
            <w:r>
              <w:rPr>
                <w:rFonts w:hint="eastAsia" w:ascii="宋体" w:hAnsi="宋体"/>
                <w:color w:val="auto"/>
                <w:szCs w:val="21"/>
                <w:highlight w:val="none"/>
              </w:rPr>
              <w:t>2  ……</w:t>
            </w:r>
          </w:p>
          <w:p w14:paraId="5645DAF6">
            <w:pPr>
              <w:spacing w:line="340" w:lineRule="exact"/>
              <w:rPr>
                <w:rFonts w:ascii="宋体" w:hAnsi="宋体"/>
                <w:color w:val="auto"/>
                <w:szCs w:val="21"/>
                <w:highlight w:val="none"/>
              </w:rPr>
            </w:pPr>
            <w:r>
              <w:rPr>
                <w:rFonts w:hint="eastAsia" w:ascii="宋体" w:hAnsi="宋体"/>
                <w:color w:val="auto"/>
                <w:szCs w:val="21"/>
                <w:highlight w:val="none"/>
              </w:rPr>
              <w:t>3  ……</w:t>
            </w:r>
          </w:p>
          <w:p w14:paraId="50EDF305">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390F6FC">
            <w:pPr>
              <w:spacing w:line="340" w:lineRule="exact"/>
              <w:rPr>
                <w:rFonts w:ascii="宋体" w:hAnsi="宋体"/>
                <w:color w:val="auto"/>
                <w:szCs w:val="21"/>
                <w:highlight w:val="none"/>
              </w:rPr>
            </w:pPr>
            <w:r>
              <w:rPr>
                <w:rFonts w:hint="eastAsia" w:ascii="宋体" w:hAnsi="宋体"/>
                <w:color w:val="auto"/>
                <w:szCs w:val="21"/>
                <w:highlight w:val="none"/>
              </w:rPr>
              <w:t>1  ……</w:t>
            </w:r>
          </w:p>
          <w:p w14:paraId="7B5FF829">
            <w:pPr>
              <w:spacing w:line="340" w:lineRule="exact"/>
              <w:rPr>
                <w:rFonts w:ascii="宋体" w:hAnsi="宋体"/>
                <w:color w:val="auto"/>
                <w:szCs w:val="21"/>
                <w:highlight w:val="none"/>
              </w:rPr>
            </w:pPr>
            <w:r>
              <w:rPr>
                <w:rFonts w:hint="eastAsia" w:ascii="宋体" w:hAnsi="宋体"/>
                <w:color w:val="auto"/>
                <w:szCs w:val="21"/>
                <w:highlight w:val="none"/>
              </w:rPr>
              <w:t>2  ……</w:t>
            </w:r>
          </w:p>
          <w:p w14:paraId="2BC03C33">
            <w:pPr>
              <w:spacing w:line="340" w:lineRule="exact"/>
              <w:rPr>
                <w:rFonts w:ascii="宋体" w:hAnsi="宋体"/>
                <w:color w:val="auto"/>
                <w:szCs w:val="21"/>
                <w:highlight w:val="none"/>
              </w:rPr>
            </w:pPr>
            <w:r>
              <w:rPr>
                <w:rFonts w:hint="eastAsia" w:ascii="宋体" w:hAnsi="宋体"/>
                <w:color w:val="auto"/>
                <w:szCs w:val="21"/>
                <w:highlight w:val="none"/>
              </w:rPr>
              <w:t>3  ……</w:t>
            </w:r>
          </w:p>
          <w:p w14:paraId="08D23B62">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43CE3B0">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0B65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6C3D76E1">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0D0695A5">
            <w:pPr>
              <w:spacing w:line="340" w:lineRule="exact"/>
              <w:rPr>
                <w:rFonts w:ascii="宋体" w:hAnsi="宋体"/>
                <w:color w:val="auto"/>
                <w:szCs w:val="21"/>
                <w:highlight w:val="none"/>
              </w:rPr>
            </w:pPr>
            <w:r>
              <w:rPr>
                <w:rFonts w:hint="eastAsia" w:ascii="宋体" w:hAnsi="宋体"/>
                <w:color w:val="auto"/>
                <w:szCs w:val="21"/>
                <w:highlight w:val="none"/>
              </w:rPr>
              <w:t>1  ……</w:t>
            </w:r>
          </w:p>
          <w:p w14:paraId="50A790D0">
            <w:pPr>
              <w:spacing w:line="340" w:lineRule="exact"/>
              <w:rPr>
                <w:rFonts w:ascii="宋体" w:hAnsi="宋体"/>
                <w:color w:val="auto"/>
                <w:szCs w:val="21"/>
                <w:highlight w:val="none"/>
              </w:rPr>
            </w:pPr>
            <w:r>
              <w:rPr>
                <w:rFonts w:hint="eastAsia" w:ascii="宋体" w:hAnsi="宋体"/>
                <w:color w:val="auto"/>
                <w:szCs w:val="21"/>
                <w:highlight w:val="none"/>
              </w:rPr>
              <w:t>2  ……</w:t>
            </w:r>
          </w:p>
          <w:p w14:paraId="476B6C68">
            <w:pPr>
              <w:spacing w:line="340" w:lineRule="exact"/>
              <w:rPr>
                <w:rFonts w:ascii="宋体" w:hAnsi="宋体"/>
                <w:color w:val="auto"/>
                <w:szCs w:val="21"/>
                <w:highlight w:val="none"/>
              </w:rPr>
            </w:pPr>
            <w:r>
              <w:rPr>
                <w:rFonts w:hint="eastAsia" w:ascii="宋体" w:hAnsi="宋体"/>
                <w:color w:val="auto"/>
                <w:szCs w:val="21"/>
                <w:highlight w:val="none"/>
              </w:rPr>
              <w:t>3  ……</w:t>
            </w:r>
          </w:p>
          <w:p w14:paraId="7F2A9A62">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2071A22E">
            <w:pPr>
              <w:spacing w:line="340" w:lineRule="exact"/>
              <w:rPr>
                <w:rFonts w:ascii="宋体" w:hAnsi="宋体"/>
                <w:color w:val="auto"/>
                <w:szCs w:val="21"/>
                <w:highlight w:val="none"/>
              </w:rPr>
            </w:pPr>
            <w:r>
              <w:rPr>
                <w:rFonts w:hint="eastAsia" w:ascii="宋体" w:hAnsi="宋体"/>
                <w:color w:val="auto"/>
                <w:szCs w:val="21"/>
                <w:highlight w:val="none"/>
              </w:rPr>
              <w:t>1  ……</w:t>
            </w:r>
          </w:p>
          <w:p w14:paraId="42678CDC">
            <w:pPr>
              <w:spacing w:line="340" w:lineRule="exact"/>
              <w:rPr>
                <w:rFonts w:ascii="宋体" w:hAnsi="宋体"/>
                <w:color w:val="auto"/>
                <w:szCs w:val="21"/>
                <w:highlight w:val="none"/>
              </w:rPr>
            </w:pPr>
            <w:r>
              <w:rPr>
                <w:rFonts w:hint="eastAsia" w:ascii="宋体" w:hAnsi="宋体"/>
                <w:color w:val="auto"/>
                <w:szCs w:val="21"/>
                <w:highlight w:val="none"/>
              </w:rPr>
              <w:t>2  ……</w:t>
            </w:r>
          </w:p>
          <w:p w14:paraId="1993BF12">
            <w:pPr>
              <w:spacing w:line="340" w:lineRule="exact"/>
              <w:rPr>
                <w:rFonts w:ascii="宋体" w:hAnsi="宋体"/>
                <w:color w:val="auto"/>
                <w:szCs w:val="21"/>
                <w:highlight w:val="none"/>
              </w:rPr>
            </w:pPr>
            <w:r>
              <w:rPr>
                <w:rFonts w:hint="eastAsia" w:ascii="宋体" w:hAnsi="宋体"/>
                <w:color w:val="auto"/>
                <w:szCs w:val="21"/>
                <w:highlight w:val="none"/>
              </w:rPr>
              <w:t>3  ……</w:t>
            </w:r>
          </w:p>
          <w:p w14:paraId="5415E5A3">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67177EB8">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707F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14:paraId="49D0F622">
            <w:pPr>
              <w:spacing w:line="34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6275D3F7">
      <w:pPr>
        <w:pStyle w:val="10"/>
        <w:spacing w:line="360" w:lineRule="auto"/>
        <w:ind w:left="-708" w:leftChars="-337"/>
        <w:rPr>
          <w:rFonts w:ascii="Times New Roman" w:hAnsi="Times New Roman"/>
          <w:color w:val="auto"/>
          <w:highlight w:val="none"/>
        </w:rPr>
      </w:pPr>
    </w:p>
    <w:p w14:paraId="5D51A4A3">
      <w:pPr>
        <w:spacing w:line="360" w:lineRule="auto"/>
        <w:ind w:left="-708" w:leftChars="-337"/>
        <w:rPr>
          <w:color w:val="auto"/>
          <w:szCs w:val="20"/>
          <w:highlight w:val="none"/>
        </w:rPr>
      </w:pPr>
      <w:r>
        <w:rPr>
          <w:rFonts w:hint="eastAsia"/>
          <w:color w:val="auto"/>
          <w:szCs w:val="20"/>
          <w:highlight w:val="none"/>
        </w:rPr>
        <w:t>注：</w:t>
      </w:r>
    </w:p>
    <w:p w14:paraId="2025EF5D">
      <w:pPr>
        <w:spacing w:line="360" w:lineRule="auto"/>
        <w:ind w:left="-708" w:leftChars="-337" w:firstLine="420" w:firstLineChars="200"/>
        <w:rPr>
          <w:color w:val="auto"/>
          <w:szCs w:val="20"/>
          <w:highlight w:val="none"/>
        </w:rPr>
      </w:pPr>
      <w:r>
        <w:rPr>
          <w:color w:val="auto"/>
          <w:szCs w:val="20"/>
          <w:highlight w:val="none"/>
        </w:rPr>
        <w:t>1.</w:t>
      </w:r>
      <w:r>
        <w:rPr>
          <w:rFonts w:hint="eastAsia"/>
          <w:color w:val="auto"/>
          <w:szCs w:val="20"/>
          <w:highlight w:val="none"/>
        </w:rPr>
        <w:t>表格内容均需按要求填写并盖章。</w:t>
      </w:r>
    </w:p>
    <w:p w14:paraId="6A5C76B5">
      <w:pPr>
        <w:spacing w:line="360" w:lineRule="auto"/>
        <w:ind w:left="-603" w:leftChars="-287" w:firstLine="315" w:firstLineChars="150"/>
        <w:rPr>
          <w:color w:val="auto"/>
          <w:szCs w:val="20"/>
          <w:highlight w:val="none"/>
        </w:rPr>
      </w:pPr>
      <w:r>
        <w:rPr>
          <w:color w:val="auto"/>
          <w:szCs w:val="20"/>
          <w:highlight w:val="none"/>
        </w:rPr>
        <w:t>2.</w:t>
      </w:r>
      <w:r>
        <w:rPr>
          <w:rFonts w:hint="eastAsia"/>
          <w:color w:val="auto"/>
          <w:szCs w:val="20"/>
          <w:highlight w:val="none"/>
        </w:rPr>
        <w:t>如果招标文件需求为小于或大于某个数值标准时，投标文件承诺不得直接复制招标文件需求，投标文件承诺内容应当写明投标货物具体参数或商务响应承诺的具体数值。如该采购需求属于不能明确具体数值的，采购人应在此采购需求的数值后标注◆号，对标注◆号的采购需求不适用上述“投标无效”条款。</w:t>
      </w:r>
    </w:p>
    <w:p w14:paraId="7842F93C">
      <w:pPr>
        <w:spacing w:line="360" w:lineRule="auto"/>
        <w:ind w:left="-708" w:leftChars="-337" w:firstLine="420" w:firstLineChars="200"/>
        <w:rPr>
          <w:color w:val="auto"/>
          <w:szCs w:val="20"/>
          <w:highlight w:val="none"/>
        </w:rPr>
      </w:pPr>
      <w:r>
        <w:rPr>
          <w:color w:val="auto"/>
          <w:szCs w:val="20"/>
          <w:highlight w:val="none"/>
        </w:rPr>
        <w:t>3.</w:t>
      </w:r>
      <w:r>
        <w:rPr>
          <w:rFonts w:hint="eastAsia"/>
          <w:color w:val="auto"/>
          <w:szCs w:val="20"/>
          <w:highlight w:val="none"/>
        </w:rPr>
        <w:t>当投标文件的商务内容低于招标文件要求时，投标人应当如实写明“负偏离”，否则视为虚假应标。</w:t>
      </w:r>
    </w:p>
    <w:p w14:paraId="3C6059D3">
      <w:pPr>
        <w:spacing w:line="360" w:lineRule="auto"/>
        <w:ind w:left="-708" w:leftChars="-337" w:firstLine="420" w:firstLineChars="200"/>
        <w:rPr>
          <w:color w:val="auto"/>
          <w:szCs w:val="20"/>
          <w:highlight w:val="none"/>
        </w:rPr>
      </w:pPr>
      <w:r>
        <w:rPr>
          <w:rFonts w:hint="eastAsia" w:ascii="宋体" w:hAnsi="宋体" w:cs="宋体"/>
          <w:color w:val="auto"/>
          <w:szCs w:val="21"/>
          <w:highlight w:val="none"/>
        </w:rPr>
        <w:t>4.采购需求中带“▲”及“</w:t>
      </w:r>
      <w:r>
        <w:rPr>
          <w:rFonts w:hint="eastAsia"/>
          <w:color w:val="auto"/>
          <w:szCs w:val="20"/>
          <w:highlight w:val="none"/>
        </w:rPr>
        <w:t>◆</w:t>
      </w:r>
      <w:r>
        <w:rPr>
          <w:rFonts w:hint="eastAsia" w:ascii="宋体" w:hAnsi="宋体" w:cs="宋体"/>
          <w:color w:val="auto"/>
          <w:szCs w:val="21"/>
          <w:highlight w:val="none"/>
        </w:rPr>
        <w:t>”的条款，也要分别在本表“</w:t>
      </w:r>
      <w:r>
        <w:rPr>
          <w:rFonts w:hint="eastAsia" w:ascii="宋体" w:hAnsi="宋体"/>
          <w:color w:val="auto"/>
          <w:szCs w:val="21"/>
          <w:highlight w:val="none"/>
        </w:rPr>
        <w:t>投标文件的商务需求</w:t>
      </w:r>
      <w:r>
        <w:rPr>
          <w:rFonts w:hint="eastAsia" w:ascii="宋体" w:hAnsi="宋体" w:cs="宋体"/>
          <w:color w:val="auto"/>
          <w:szCs w:val="21"/>
          <w:highlight w:val="none"/>
        </w:rPr>
        <w:t>”、“</w:t>
      </w:r>
      <w:r>
        <w:rPr>
          <w:rFonts w:hint="eastAsia" w:ascii="宋体" w:hAnsi="宋体"/>
          <w:color w:val="auto"/>
          <w:szCs w:val="21"/>
          <w:highlight w:val="none"/>
        </w:rPr>
        <w:t>投标文件承诺的商务条款</w:t>
      </w:r>
      <w:r>
        <w:rPr>
          <w:rFonts w:hint="eastAsia" w:ascii="宋体" w:hAnsi="宋体" w:cs="宋体"/>
          <w:color w:val="auto"/>
          <w:szCs w:val="21"/>
          <w:highlight w:val="none"/>
        </w:rPr>
        <w:t>”中标记。</w:t>
      </w:r>
    </w:p>
    <w:p w14:paraId="5762C433">
      <w:pPr>
        <w:snapToGrid w:val="0"/>
        <w:spacing w:before="50" w:after="50"/>
        <w:rPr>
          <w:rFonts w:ascii="宋体" w:hAnsi="宋体"/>
          <w:color w:val="auto"/>
          <w:sz w:val="24"/>
          <w:highlight w:val="none"/>
        </w:rPr>
      </w:pPr>
    </w:p>
    <w:p w14:paraId="030DBC7C">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4104A05D">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988D5EB">
      <w:pPr>
        <w:snapToGrid w:val="0"/>
        <w:spacing w:before="120" w:beforeLines="50" w:after="50"/>
        <w:ind w:firstLine="3150" w:firstLineChars="1500"/>
        <w:jc w:val="left"/>
        <w:rPr>
          <w:rFonts w:ascii="宋体" w:hAnsi="宋体"/>
          <w:color w:val="auto"/>
          <w:szCs w:val="21"/>
          <w:highlight w:val="none"/>
        </w:rPr>
        <w:sectPr>
          <w:footerReference r:id="rId13" w:type="first"/>
          <w:headerReference r:id="rId10" w:type="default"/>
          <w:footerReference r:id="rId11" w:type="default"/>
          <w:footerReference r:id="rId12" w:type="even"/>
          <w:pgSz w:w="11906" w:h="16838"/>
          <w:pgMar w:top="1440" w:right="1797" w:bottom="1440" w:left="1797" w:header="851" w:footer="992" w:gutter="0"/>
          <w:cols w:space="720" w:num="1"/>
          <w:docGrid w:linePitch="312" w:charSpace="0"/>
        </w:sectPr>
      </w:pPr>
    </w:p>
    <w:p w14:paraId="418389D0">
      <w:pPr>
        <w:snapToGrid w:val="0"/>
        <w:spacing w:before="165" w:beforeLines="50" w:after="50"/>
        <w:ind w:firstLine="602" w:firstLineChars="200"/>
        <w:jc w:val="center"/>
        <w:rPr>
          <w:b/>
          <w:bCs/>
          <w:color w:val="auto"/>
          <w:sz w:val="30"/>
          <w:szCs w:val="30"/>
          <w:highlight w:val="none"/>
        </w:rPr>
      </w:pPr>
      <w:r>
        <w:rPr>
          <w:rFonts w:hint="eastAsia"/>
          <w:b/>
          <w:bCs/>
          <w:color w:val="auto"/>
          <w:sz w:val="30"/>
          <w:szCs w:val="30"/>
          <w:highlight w:val="none"/>
        </w:rPr>
        <w:t>五、投标人情况介绍</w:t>
      </w:r>
    </w:p>
    <w:p w14:paraId="6E4ACA8D">
      <w:pPr>
        <w:spacing w:line="360" w:lineRule="auto"/>
        <w:ind w:firstLine="4048" w:firstLineChars="1687"/>
        <w:rPr>
          <w:rFonts w:ascii="仿宋_GB2312" w:hAnsi="仿宋" w:eastAsia="仿宋_GB2312" w:cs="仿宋_GB2312"/>
          <w:color w:val="auto"/>
          <w:kern w:val="0"/>
          <w:sz w:val="24"/>
          <w:highlight w:val="none"/>
        </w:rPr>
      </w:pPr>
      <w:r>
        <w:rPr>
          <w:rFonts w:hint="eastAsia" w:ascii="宋体" w:hAnsi="宋体"/>
          <w:color w:val="auto"/>
          <w:sz w:val="24"/>
          <w:highlight w:val="none"/>
        </w:rPr>
        <w:t>（格式自拟）</w:t>
      </w:r>
    </w:p>
    <w:p w14:paraId="464962D5">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08615688">
      <w:pPr>
        <w:snapToGrid w:val="0"/>
        <w:spacing w:line="360" w:lineRule="auto"/>
        <w:ind w:firstLine="4935" w:firstLineChars="2350"/>
        <w:rPr>
          <w:rFonts w:hAnsi="宋体"/>
          <w:color w:val="auto"/>
          <w:szCs w:val="21"/>
          <w:highlight w:val="none"/>
        </w:rPr>
      </w:pPr>
    </w:p>
    <w:p w14:paraId="19414805">
      <w:pPr>
        <w:snapToGrid w:val="0"/>
        <w:spacing w:line="360" w:lineRule="auto"/>
        <w:ind w:firstLine="4935" w:firstLineChars="2350"/>
        <w:rPr>
          <w:rFonts w:hAnsi="宋体"/>
          <w:color w:val="auto"/>
          <w:szCs w:val="21"/>
          <w:highlight w:val="none"/>
        </w:rPr>
      </w:pPr>
    </w:p>
    <w:p w14:paraId="7874AC86">
      <w:pPr>
        <w:snapToGrid w:val="0"/>
        <w:spacing w:line="360" w:lineRule="auto"/>
        <w:ind w:firstLine="4935" w:firstLineChars="2350"/>
        <w:rPr>
          <w:rFonts w:hAnsi="宋体"/>
          <w:color w:val="auto"/>
          <w:szCs w:val="21"/>
          <w:highlight w:val="none"/>
        </w:rPr>
      </w:pPr>
    </w:p>
    <w:p w14:paraId="2F0B802D">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740FC9C">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327EAB4">
      <w:pPr>
        <w:snapToGrid w:val="0"/>
        <w:spacing w:before="165" w:beforeLines="50" w:after="50"/>
        <w:ind w:firstLine="602" w:firstLineChars="200"/>
        <w:jc w:val="center"/>
        <w:rPr>
          <w:b/>
          <w:bCs/>
          <w:color w:val="auto"/>
          <w:sz w:val="30"/>
          <w:szCs w:val="30"/>
          <w:highlight w:val="none"/>
        </w:rPr>
      </w:pPr>
    </w:p>
    <w:p w14:paraId="6D63C2CB">
      <w:pPr>
        <w:snapToGrid w:val="0"/>
        <w:spacing w:line="360" w:lineRule="auto"/>
        <w:ind w:firstLine="5160" w:firstLineChars="2150"/>
        <w:rPr>
          <w:rFonts w:ascii="仿宋_GB2312" w:hAnsi="仿宋" w:eastAsia="仿宋_GB2312" w:cs="仿宋_GB2312"/>
          <w:color w:val="auto"/>
          <w:kern w:val="0"/>
          <w:sz w:val="24"/>
          <w:highlight w:val="none"/>
          <w:lang w:val="zh-CN"/>
        </w:rPr>
      </w:pPr>
    </w:p>
    <w:p w14:paraId="2734E9EC">
      <w:pPr>
        <w:snapToGrid w:val="0"/>
        <w:spacing w:before="165" w:beforeLines="50" w:after="50"/>
        <w:ind w:firstLine="602" w:firstLineChars="200"/>
        <w:jc w:val="center"/>
        <w:rPr>
          <w:b/>
          <w:bCs/>
          <w:color w:val="auto"/>
          <w:sz w:val="30"/>
          <w:szCs w:val="30"/>
          <w:highlight w:val="none"/>
        </w:rPr>
        <w:sectPr>
          <w:footerReference r:id="rId17" w:type="first"/>
          <w:headerReference r:id="rId14" w:type="default"/>
          <w:footerReference r:id="rId15" w:type="default"/>
          <w:footerReference r:id="rId16" w:type="even"/>
          <w:pgSz w:w="11906" w:h="16838"/>
          <w:pgMar w:top="1134" w:right="1134" w:bottom="1134" w:left="1134" w:header="720" w:footer="720" w:gutter="0"/>
          <w:cols w:space="720" w:num="1"/>
          <w:docGrid w:type="lines" w:linePitch="331" w:charSpace="0"/>
        </w:sectPr>
      </w:pPr>
    </w:p>
    <w:p w14:paraId="33FEC619">
      <w:pPr>
        <w:snapToGrid w:val="0"/>
        <w:spacing w:before="165" w:beforeLines="50" w:after="50"/>
        <w:ind w:firstLine="602" w:firstLineChars="200"/>
        <w:jc w:val="center"/>
        <w:rPr>
          <w:b/>
          <w:bCs/>
          <w:color w:val="auto"/>
          <w:sz w:val="30"/>
          <w:szCs w:val="30"/>
          <w:highlight w:val="none"/>
        </w:rPr>
      </w:pPr>
      <w:r>
        <w:rPr>
          <w:rFonts w:hint="eastAsia"/>
          <w:b/>
          <w:bCs/>
          <w:color w:val="auto"/>
          <w:sz w:val="30"/>
          <w:szCs w:val="30"/>
          <w:highlight w:val="none"/>
        </w:rPr>
        <w:t>六、投标人类似的业绩证明文件（如有要求）</w:t>
      </w:r>
    </w:p>
    <w:p w14:paraId="50026BDF">
      <w:pPr>
        <w:pStyle w:val="15"/>
        <w:snapToGrid w:val="0"/>
        <w:ind w:left="480" w:hanging="480"/>
        <w:rPr>
          <w:rFonts w:ascii="宋体" w:hAnsi="宋体"/>
          <w:color w:val="auto"/>
          <w:sz w:val="24"/>
          <w:highlight w:val="none"/>
        </w:rPr>
      </w:pPr>
    </w:p>
    <w:p w14:paraId="07F12C19">
      <w:pPr>
        <w:pStyle w:val="15"/>
        <w:snapToGrid w:val="0"/>
        <w:ind w:left="480" w:hanging="480"/>
        <w:rPr>
          <w:rFonts w:ascii="宋体" w:hAnsi="宋体"/>
          <w:color w:val="auto"/>
          <w:sz w:val="24"/>
          <w:highlight w:val="none"/>
        </w:rPr>
      </w:pPr>
    </w:p>
    <w:p w14:paraId="4A3565A4">
      <w:pPr>
        <w:pStyle w:val="15"/>
        <w:snapToGrid w:val="0"/>
        <w:ind w:left="480" w:hanging="480"/>
        <w:rPr>
          <w:rFonts w:ascii="宋体" w:hAnsi="宋体"/>
          <w:color w:val="auto"/>
          <w:sz w:val="24"/>
          <w:highlight w:val="none"/>
        </w:rPr>
      </w:pPr>
    </w:p>
    <w:p w14:paraId="7D892502">
      <w:pPr>
        <w:autoSpaceDE w:val="0"/>
        <w:autoSpaceDN w:val="0"/>
        <w:spacing w:line="360" w:lineRule="auto"/>
        <w:ind w:firstLine="120"/>
        <w:rPr>
          <w:rFonts w:ascii="宋体" w:hAnsi="宋体"/>
          <w:color w:val="auto"/>
          <w:sz w:val="22"/>
          <w:szCs w:val="22"/>
          <w:highlight w:val="none"/>
        </w:rPr>
      </w:pPr>
      <w:r>
        <w:rPr>
          <w:rFonts w:hint="eastAsia" w:ascii="仿宋_GB2312" w:hAnsi="仿宋" w:eastAsia="仿宋_GB2312" w:cs="仿宋_GB2312"/>
          <w:b/>
          <w:color w:val="auto"/>
          <w:sz w:val="22"/>
          <w:szCs w:val="22"/>
          <w:highlight w:val="none"/>
        </w:rPr>
        <w:t>附表 ：相关项目业绩一览表（投标人同类项目合同复印件、用户验收报告、用户评价意见格式自拟）</w:t>
      </w:r>
    </w:p>
    <w:tbl>
      <w:tblPr>
        <w:tblStyle w:val="20"/>
        <w:tblW w:w="100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2"/>
        <w:gridCol w:w="1466"/>
        <w:gridCol w:w="1582"/>
        <w:gridCol w:w="940"/>
        <w:gridCol w:w="1391"/>
        <w:gridCol w:w="1255"/>
        <w:gridCol w:w="1854"/>
      </w:tblGrid>
      <w:tr w14:paraId="44E8A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522" w:type="dxa"/>
            <w:vMerge w:val="restart"/>
            <w:tcBorders>
              <w:top w:val="single" w:color="auto" w:sz="4" w:space="0"/>
              <w:left w:val="single" w:color="auto" w:sz="4" w:space="0"/>
              <w:bottom w:val="single" w:color="auto" w:sz="4" w:space="0"/>
              <w:right w:val="single" w:color="auto" w:sz="4" w:space="0"/>
            </w:tcBorders>
            <w:vAlign w:val="center"/>
          </w:tcPr>
          <w:p w14:paraId="115DB52A">
            <w:pPr>
              <w:snapToGrid w:val="0"/>
              <w:jc w:val="center"/>
              <w:rPr>
                <w:rFonts w:ascii="宋体" w:hAnsi="宋体"/>
                <w:color w:val="auto"/>
                <w:sz w:val="22"/>
                <w:szCs w:val="22"/>
                <w:highlight w:val="none"/>
              </w:rPr>
            </w:pPr>
            <w:r>
              <w:rPr>
                <w:rFonts w:hint="eastAsia" w:ascii="宋体" w:hAnsi="宋体"/>
                <w:color w:val="auto"/>
                <w:sz w:val="22"/>
                <w:szCs w:val="22"/>
                <w:highlight w:val="none"/>
              </w:rPr>
              <w:t>采购人名称</w:t>
            </w:r>
          </w:p>
        </w:tc>
        <w:tc>
          <w:tcPr>
            <w:tcW w:w="1466" w:type="dxa"/>
            <w:vMerge w:val="restart"/>
            <w:tcBorders>
              <w:top w:val="single" w:color="auto" w:sz="4" w:space="0"/>
              <w:left w:val="single" w:color="auto" w:sz="4" w:space="0"/>
              <w:bottom w:val="single" w:color="auto" w:sz="4" w:space="0"/>
              <w:right w:val="single" w:color="auto" w:sz="4" w:space="0"/>
            </w:tcBorders>
            <w:vAlign w:val="center"/>
          </w:tcPr>
          <w:p w14:paraId="52FBD46A">
            <w:pPr>
              <w:snapToGrid w:val="0"/>
              <w:jc w:val="center"/>
              <w:rPr>
                <w:rFonts w:ascii="宋体" w:hAnsi="宋体"/>
                <w:color w:val="auto"/>
                <w:sz w:val="22"/>
                <w:szCs w:val="22"/>
                <w:highlight w:val="none"/>
              </w:rPr>
            </w:pPr>
            <w:r>
              <w:rPr>
                <w:rFonts w:hint="eastAsia" w:ascii="宋体" w:hAnsi="宋体"/>
                <w:color w:val="auto"/>
                <w:sz w:val="22"/>
                <w:szCs w:val="22"/>
                <w:highlight w:val="none"/>
              </w:rPr>
              <w:t>项目名称</w:t>
            </w:r>
          </w:p>
        </w:tc>
        <w:tc>
          <w:tcPr>
            <w:tcW w:w="1582" w:type="dxa"/>
            <w:vMerge w:val="restart"/>
            <w:tcBorders>
              <w:top w:val="single" w:color="auto" w:sz="4" w:space="0"/>
              <w:left w:val="single" w:color="auto" w:sz="4" w:space="0"/>
              <w:bottom w:val="single" w:color="auto" w:sz="4" w:space="0"/>
              <w:right w:val="single" w:color="auto" w:sz="4" w:space="0"/>
            </w:tcBorders>
            <w:vAlign w:val="center"/>
          </w:tcPr>
          <w:p w14:paraId="2210BD47">
            <w:pPr>
              <w:snapToGrid w:val="0"/>
              <w:jc w:val="center"/>
              <w:rPr>
                <w:rFonts w:ascii="宋体" w:hAnsi="宋体"/>
                <w:color w:val="auto"/>
                <w:sz w:val="22"/>
                <w:szCs w:val="22"/>
                <w:highlight w:val="none"/>
              </w:rPr>
            </w:pPr>
            <w:r>
              <w:rPr>
                <w:rFonts w:hint="eastAsia" w:ascii="宋体" w:hAnsi="宋体"/>
                <w:color w:val="auto"/>
                <w:sz w:val="22"/>
                <w:szCs w:val="22"/>
                <w:highlight w:val="none"/>
              </w:rPr>
              <w:t>合同金额（万元）</w:t>
            </w:r>
          </w:p>
        </w:tc>
        <w:tc>
          <w:tcPr>
            <w:tcW w:w="3586" w:type="dxa"/>
            <w:gridSpan w:val="3"/>
            <w:tcBorders>
              <w:top w:val="single" w:color="auto" w:sz="4" w:space="0"/>
              <w:left w:val="single" w:color="auto" w:sz="4" w:space="0"/>
              <w:bottom w:val="single" w:color="auto" w:sz="4" w:space="0"/>
              <w:right w:val="single" w:color="auto" w:sz="4" w:space="0"/>
            </w:tcBorders>
            <w:vAlign w:val="center"/>
          </w:tcPr>
          <w:p w14:paraId="773A0D4E">
            <w:pPr>
              <w:snapToGrid w:val="0"/>
              <w:jc w:val="center"/>
              <w:rPr>
                <w:rFonts w:ascii="宋体" w:hAnsi="宋体"/>
                <w:color w:val="auto"/>
                <w:sz w:val="22"/>
                <w:szCs w:val="22"/>
                <w:highlight w:val="none"/>
              </w:rPr>
            </w:pPr>
            <w:r>
              <w:rPr>
                <w:rFonts w:hint="eastAsia" w:ascii="宋体" w:hAnsi="宋体"/>
                <w:color w:val="auto"/>
                <w:sz w:val="22"/>
                <w:szCs w:val="22"/>
                <w:highlight w:val="none"/>
              </w:rPr>
              <w:t>附件在投标文件中页码</w:t>
            </w:r>
          </w:p>
        </w:tc>
        <w:tc>
          <w:tcPr>
            <w:tcW w:w="1854" w:type="dxa"/>
            <w:vMerge w:val="restart"/>
            <w:tcBorders>
              <w:top w:val="single" w:color="auto" w:sz="4" w:space="0"/>
              <w:left w:val="single" w:color="auto" w:sz="4" w:space="0"/>
              <w:bottom w:val="single" w:color="auto" w:sz="4" w:space="0"/>
              <w:right w:val="single" w:color="auto" w:sz="4" w:space="0"/>
            </w:tcBorders>
            <w:vAlign w:val="center"/>
          </w:tcPr>
          <w:p w14:paraId="091D523D">
            <w:pPr>
              <w:snapToGrid w:val="0"/>
              <w:jc w:val="center"/>
              <w:rPr>
                <w:rFonts w:ascii="宋体" w:hAnsi="宋体"/>
                <w:color w:val="auto"/>
                <w:sz w:val="22"/>
                <w:szCs w:val="22"/>
                <w:highlight w:val="none"/>
              </w:rPr>
            </w:pPr>
            <w:r>
              <w:rPr>
                <w:rFonts w:hint="eastAsia" w:ascii="宋体" w:hAnsi="宋体"/>
                <w:color w:val="auto"/>
                <w:sz w:val="22"/>
                <w:szCs w:val="22"/>
                <w:highlight w:val="none"/>
              </w:rPr>
              <w:t>采购人联系人及联系电话</w:t>
            </w:r>
          </w:p>
        </w:tc>
      </w:tr>
      <w:tr w14:paraId="728D6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522" w:type="dxa"/>
            <w:vMerge w:val="continue"/>
            <w:tcBorders>
              <w:top w:val="single" w:color="auto" w:sz="4" w:space="0"/>
              <w:left w:val="single" w:color="auto" w:sz="4" w:space="0"/>
              <w:bottom w:val="single" w:color="auto" w:sz="4" w:space="0"/>
              <w:right w:val="single" w:color="auto" w:sz="4" w:space="0"/>
            </w:tcBorders>
            <w:vAlign w:val="center"/>
          </w:tcPr>
          <w:p w14:paraId="2D42A83B">
            <w:pPr>
              <w:jc w:val="left"/>
              <w:rPr>
                <w:rFonts w:ascii="宋体" w:hAnsi="宋体"/>
                <w:color w:val="auto"/>
                <w:sz w:val="22"/>
                <w:szCs w:val="22"/>
                <w:highlight w:val="none"/>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14:paraId="713CAC3B">
            <w:pPr>
              <w:jc w:val="left"/>
              <w:rPr>
                <w:rFonts w:ascii="宋体" w:hAnsi="宋体"/>
                <w:color w:val="auto"/>
                <w:sz w:val="22"/>
                <w:szCs w:val="22"/>
                <w:highlight w:val="none"/>
              </w:rPr>
            </w:pPr>
          </w:p>
        </w:tc>
        <w:tc>
          <w:tcPr>
            <w:tcW w:w="1582" w:type="dxa"/>
            <w:vMerge w:val="continue"/>
            <w:tcBorders>
              <w:top w:val="single" w:color="auto" w:sz="4" w:space="0"/>
              <w:left w:val="single" w:color="auto" w:sz="4" w:space="0"/>
              <w:bottom w:val="single" w:color="auto" w:sz="4" w:space="0"/>
              <w:right w:val="single" w:color="auto" w:sz="4" w:space="0"/>
            </w:tcBorders>
            <w:vAlign w:val="center"/>
          </w:tcPr>
          <w:p w14:paraId="3FA85A9B">
            <w:pPr>
              <w:jc w:val="left"/>
              <w:rPr>
                <w:rFonts w:ascii="宋体" w:hAnsi="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vAlign w:val="center"/>
          </w:tcPr>
          <w:p w14:paraId="38A8B9DC">
            <w:pPr>
              <w:snapToGrid w:val="0"/>
              <w:spacing w:line="240" w:lineRule="exact"/>
              <w:jc w:val="center"/>
              <w:rPr>
                <w:rFonts w:ascii="宋体" w:hAnsi="宋体"/>
                <w:color w:val="auto"/>
                <w:sz w:val="22"/>
                <w:szCs w:val="22"/>
                <w:highlight w:val="none"/>
              </w:rPr>
            </w:pPr>
            <w:r>
              <w:rPr>
                <w:rFonts w:hint="eastAsia" w:ascii="宋体" w:hAnsi="宋体"/>
                <w:color w:val="auto"/>
                <w:sz w:val="22"/>
                <w:szCs w:val="22"/>
                <w:highlight w:val="none"/>
              </w:rPr>
              <w:t>合同</w:t>
            </w:r>
          </w:p>
        </w:tc>
        <w:tc>
          <w:tcPr>
            <w:tcW w:w="1391" w:type="dxa"/>
            <w:tcBorders>
              <w:top w:val="single" w:color="auto" w:sz="4" w:space="0"/>
              <w:left w:val="single" w:color="auto" w:sz="4" w:space="0"/>
              <w:bottom w:val="single" w:color="auto" w:sz="4" w:space="0"/>
              <w:right w:val="single" w:color="auto" w:sz="4" w:space="0"/>
            </w:tcBorders>
            <w:vAlign w:val="center"/>
          </w:tcPr>
          <w:p w14:paraId="3BEF06B0">
            <w:pPr>
              <w:snapToGrid w:val="0"/>
              <w:jc w:val="center"/>
              <w:rPr>
                <w:rFonts w:ascii="宋体" w:hAnsi="宋体"/>
                <w:color w:val="auto"/>
                <w:sz w:val="22"/>
                <w:szCs w:val="22"/>
                <w:highlight w:val="none"/>
              </w:rPr>
            </w:pPr>
            <w:r>
              <w:rPr>
                <w:rFonts w:hint="eastAsia" w:ascii="宋体" w:hAnsi="宋体"/>
                <w:color w:val="auto"/>
                <w:sz w:val="22"/>
                <w:szCs w:val="22"/>
                <w:highlight w:val="none"/>
              </w:rPr>
              <w:t>验收报告</w:t>
            </w:r>
          </w:p>
        </w:tc>
        <w:tc>
          <w:tcPr>
            <w:tcW w:w="1255" w:type="dxa"/>
            <w:tcBorders>
              <w:top w:val="single" w:color="auto" w:sz="4" w:space="0"/>
              <w:left w:val="single" w:color="auto" w:sz="4" w:space="0"/>
              <w:bottom w:val="single" w:color="auto" w:sz="4" w:space="0"/>
              <w:right w:val="single" w:color="auto" w:sz="4" w:space="0"/>
            </w:tcBorders>
            <w:vAlign w:val="center"/>
          </w:tcPr>
          <w:p w14:paraId="5BE058A4">
            <w:pPr>
              <w:snapToGrid w:val="0"/>
              <w:jc w:val="center"/>
              <w:rPr>
                <w:rFonts w:ascii="宋体" w:hAnsi="宋体"/>
                <w:color w:val="auto"/>
                <w:sz w:val="22"/>
                <w:szCs w:val="22"/>
                <w:highlight w:val="none"/>
              </w:rPr>
            </w:pPr>
            <w:r>
              <w:rPr>
                <w:rFonts w:hint="eastAsia" w:ascii="宋体" w:hAnsi="宋体"/>
                <w:color w:val="auto"/>
                <w:sz w:val="22"/>
                <w:szCs w:val="22"/>
                <w:highlight w:val="none"/>
              </w:rPr>
              <w:t>用户评价</w:t>
            </w:r>
          </w:p>
        </w:tc>
        <w:tc>
          <w:tcPr>
            <w:tcW w:w="1854" w:type="dxa"/>
            <w:vMerge w:val="continue"/>
            <w:tcBorders>
              <w:top w:val="single" w:color="auto" w:sz="4" w:space="0"/>
              <w:left w:val="single" w:color="auto" w:sz="4" w:space="0"/>
              <w:bottom w:val="single" w:color="auto" w:sz="4" w:space="0"/>
              <w:right w:val="single" w:color="auto" w:sz="4" w:space="0"/>
            </w:tcBorders>
            <w:vAlign w:val="center"/>
          </w:tcPr>
          <w:p w14:paraId="48B56917">
            <w:pPr>
              <w:jc w:val="left"/>
              <w:rPr>
                <w:rFonts w:ascii="宋体" w:hAnsi="宋体"/>
                <w:color w:val="auto"/>
                <w:sz w:val="22"/>
                <w:szCs w:val="22"/>
                <w:highlight w:val="none"/>
              </w:rPr>
            </w:pPr>
          </w:p>
        </w:tc>
      </w:tr>
      <w:tr w14:paraId="74FD0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522" w:type="dxa"/>
            <w:tcBorders>
              <w:top w:val="single" w:color="auto" w:sz="4" w:space="0"/>
              <w:left w:val="single" w:color="auto" w:sz="4" w:space="0"/>
              <w:bottom w:val="single" w:color="auto" w:sz="4" w:space="0"/>
              <w:right w:val="single" w:color="auto" w:sz="4" w:space="0"/>
            </w:tcBorders>
            <w:vAlign w:val="center"/>
          </w:tcPr>
          <w:p w14:paraId="35707187">
            <w:pPr>
              <w:jc w:val="left"/>
              <w:rPr>
                <w:rFonts w:ascii="宋体" w:hAnsi="宋体"/>
                <w:color w:val="auto"/>
                <w:sz w:val="22"/>
                <w:szCs w:val="22"/>
                <w:highlight w:val="none"/>
              </w:rPr>
            </w:pPr>
          </w:p>
        </w:tc>
        <w:tc>
          <w:tcPr>
            <w:tcW w:w="1466" w:type="dxa"/>
            <w:tcBorders>
              <w:top w:val="single" w:color="auto" w:sz="4" w:space="0"/>
              <w:left w:val="single" w:color="auto" w:sz="4" w:space="0"/>
              <w:bottom w:val="single" w:color="auto" w:sz="4" w:space="0"/>
              <w:right w:val="single" w:color="auto" w:sz="4" w:space="0"/>
            </w:tcBorders>
            <w:vAlign w:val="center"/>
          </w:tcPr>
          <w:p w14:paraId="35C028C7">
            <w:pPr>
              <w:jc w:val="left"/>
              <w:rPr>
                <w:rFonts w:ascii="宋体" w:hAnsi="宋体"/>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7E920E1">
            <w:pPr>
              <w:jc w:val="left"/>
              <w:rPr>
                <w:rFonts w:ascii="宋体" w:hAnsi="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vAlign w:val="center"/>
          </w:tcPr>
          <w:p w14:paraId="359F0F43">
            <w:pPr>
              <w:snapToGrid w:val="0"/>
              <w:spacing w:line="240" w:lineRule="exact"/>
              <w:jc w:val="center"/>
              <w:rPr>
                <w:rFonts w:ascii="宋体" w:hAnsi="宋体"/>
                <w:color w:val="auto"/>
                <w:sz w:val="22"/>
                <w:szCs w:val="22"/>
                <w:highlight w:val="none"/>
              </w:rPr>
            </w:pPr>
          </w:p>
        </w:tc>
        <w:tc>
          <w:tcPr>
            <w:tcW w:w="1391" w:type="dxa"/>
            <w:tcBorders>
              <w:top w:val="single" w:color="auto" w:sz="4" w:space="0"/>
              <w:left w:val="single" w:color="auto" w:sz="4" w:space="0"/>
              <w:bottom w:val="single" w:color="auto" w:sz="4" w:space="0"/>
              <w:right w:val="single" w:color="auto" w:sz="4" w:space="0"/>
            </w:tcBorders>
            <w:vAlign w:val="center"/>
          </w:tcPr>
          <w:p w14:paraId="321947AB">
            <w:pPr>
              <w:snapToGrid w:val="0"/>
              <w:spacing w:line="240" w:lineRule="exact"/>
              <w:jc w:val="center"/>
              <w:rPr>
                <w:rFonts w:ascii="宋体" w:hAnsi="宋体"/>
                <w:color w:val="auto"/>
                <w:sz w:val="22"/>
                <w:szCs w:val="22"/>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0EDF4C28">
            <w:pPr>
              <w:snapToGrid w:val="0"/>
              <w:spacing w:line="240" w:lineRule="exact"/>
              <w:jc w:val="center"/>
              <w:rPr>
                <w:rFonts w:ascii="宋体" w:hAnsi="宋体"/>
                <w:color w:val="auto"/>
                <w:sz w:val="22"/>
                <w:szCs w:val="22"/>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14:paraId="277956A0">
            <w:pPr>
              <w:jc w:val="left"/>
              <w:rPr>
                <w:rFonts w:ascii="宋体" w:hAnsi="宋体"/>
                <w:color w:val="auto"/>
                <w:sz w:val="22"/>
                <w:szCs w:val="22"/>
                <w:highlight w:val="none"/>
              </w:rPr>
            </w:pPr>
          </w:p>
        </w:tc>
      </w:tr>
      <w:tr w14:paraId="64005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522" w:type="dxa"/>
            <w:tcBorders>
              <w:top w:val="single" w:color="auto" w:sz="4" w:space="0"/>
              <w:left w:val="single" w:color="auto" w:sz="4" w:space="0"/>
              <w:bottom w:val="single" w:color="auto" w:sz="4" w:space="0"/>
              <w:right w:val="single" w:color="auto" w:sz="4" w:space="0"/>
            </w:tcBorders>
            <w:vAlign w:val="center"/>
          </w:tcPr>
          <w:p w14:paraId="29C9D7DF">
            <w:pPr>
              <w:jc w:val="left"/>
              <w:rPr>
                <w:rFonts w:ascii="宋体" w:hAnsi="宋体"/>
                <w:color w:val="auto"/>
                <w:sz w:val="22"/>
                <w:szCs w:val="22"/>
                <w:highlight w:val="none"/>
              </w:rPr>
            </w:pPr>
          </w:p>
        </w:tc>
        <w:tc>
          <w:tcPr>
            <w:tcW w:w="1466" w:type="dxa"/>
            <w:tcBorders>
              <w:top w:val="single" w:color="auto" w:sz="4" w:space="0"/>
              <w:left w:val="single" w:color="auto" w:sz="4" w:space="0"/>
              <w:bottom w:val="single" w:color="auto" w:sz="4" w:space="0"/>
              <w:right w:val="single" w:color="auto" w:sz="4" w:space="0"/>
            </w:tcBorders>
            <w:vAlign w:val="center"/>
          </w:tcPr>
          <w:p w14:paraId="3F6B58F5">
            <w:pPr>
              <w:jc w:val="left"/>
              <w:rPr>
                <w:rFonts w:ascii="宋体" w:hAnsi="宋体"/>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4408BC5">
            <w:pPr>
              <w:jc w:val="left"/>
              <w:rPr>
                <w:rFonts w:ascii="宋体" w:hAnsi="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vAlign w:val="center"/>
          </w:tcPr>
          <w:p w14:paraId="0B3EB31A">
            <w:pPr>
              <w:snapToGrid w:val="0"/>
              <w:spacing w:line="240" w:lineRule="exact"/>
              <w:jc w:val="center"/>
              <w:rPr>
                <w:rFonts w:ascii="宋体" w:hAnsi="宋体"/>
                <w:color w:val="auto"/>
                <w:sz w:val="22"/>
                <w:szCs w:val="22"/>
                <w:highlight w:val="none"/>
              </w:rPr>
            </w:pPr>
          </w:p>
        </w:tc>
        <w:tc>
          <w:tcPr>
            <w:tcW w:w="1391" w:type="dxa"/>
            <w:tcBorders>
              <w:top w:val="single" w:color="auto" w:sz="4" w:space="0"/>
              <w:left w:val="single" w:color="auto" w:sz="4" w:space="0"/>
              <w:bottom w:val="single" w:color="auto" w:sz="4" w:space="0"/>
              <w:right w:val="single" w:color="auto" w:sz="4" w:space="0"/>
            </w:tcBorders>
            <w:vAlign w:val="center"/>
          </w:tcPr>
          <w:p w14:paraId="7F699833">
            <w:pPr>
              <w:snapToGrid w:val="0"/>
              <w:spacing w:line="240" w:lineRule="exact"/>
              <w:jc w:val="center"/>
              <w:rPr>
                <w:rFonts w:ascii="宋体" w:hAnsi="宋体"/>
                <w:color w:val="auto"/>
                <w:sz w:val="22"/>
                <w:szCs w:val="22"/>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1100DFBB">
            <w:pPr>
              <w:snapToGrid w:val="0"/>
              <w:spacing w:line="240" w:lineRule="exact"/>
              <w:jc w:val="center"/>
              <w:rPr>
                <w:rFonts w:ascii="宋体" w:hAnsi="宋体"/>
                <w:color w:val="auto"/>
                <w:sz w:val="22"/>
                <w:szCs w:val="22"/>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14:paraId="6993BE81">
            <w:pPr>
              <w:jc w:val="left"/>
              <w:rPr>
                <w:rFonts w:ascii="宋体" w:hAnsi="宋体"/>
                <w:color w:val="auto"/>
                <w:sz w:val="22"/>
                <w:szCs w:val="22"/>
                <w:highlight w:val="none"/>
              </w:rPr>
            </w:pPr>
          </w:p>
        </w:tc>
      </w:tr>
      <w:tr w14:paraId="276D0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522" w:type="dxa"/>
            <w:tcBorders>
              <w:top w:val="single" w:color="auto" w:sz="4" w:space="0"/>
              <w:left w:val="single" w:color="auto" w:sz="4" w:space="0"/>
              <w:bottom w:val="single" w:color="auto" w:sz="4" w:space="0"/>
              <w:right w:val="single" w:color="auto" w:sz="4" w:space="0"/>
            </w:tcBorders>
            <w:vAlign w:val="center"/>
          </w:tcPr>
          <w:p w14:paraId="7BF79540">
            <w:pPr>
              <w:jc w:val="left"/>
              <w:rPr>
                <w:rFonts w:ascii="宋体" w:hAnsi="宋体"/>
                <w:color w:val="auto"/>
                <w:sz w:val="22"/>
                <w:szCs w:val="22"/>
                <w:highlight w:val="none"/>
              </w:rPr>
            </w:pPr>
          </w:p>
        </w:tc>
        <w:tc>
          <w:tcPr>
            <w:tcW w:w="1466" w:type="dxa"/>
            <w:tcBorders>
              <w:top w:val="single" w:color="auto" w:sz="4" w:space="0"/>
              <w:left w:val="single" w:color="auto" w:sz="4" w:space="0"/>
              <w:bottom w:val="single" w:color="auto" w:sz="4" w:space="0"/>
              <w:right w:val="single" w:color="auto" w:sz="4" w:space="0"/>
            </w:tcBorders>
            <w:vAlign w:val="center"/>
          </w:tcPr>
          <w:p w14:paraId="6425B754">
            <w:pPr>
              <w:jc w:val="left"/>
              <w:rPr>
                <w:rFonts w:ascii="宋体" w:hAnsi="宋体"/>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5F6EDC1">
            <w:pPr>
              <w:jc w:val="left"/>
              <w:rPr>
                <w:rFonts w:ascii="宋体" w:hAnsi="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vAlign w:val="center"/>
          </w:tcPr>
          <w:p w14:paraId="3D0BCF98">
            <w:pPr>
              <w:snapToGrid w:val="0"/>
              <w:spacing w:line="240" w:lineRule="exact"/>
              <w:jc w:val="center"/>
              <w:rPr>
                <w:rFonts w:ascii="宋体" w:hAnsi="宋体"/>
                <w:color w:val="auto"/>
                <w:sz w:val="22"/>
                <w:szCs w:val="22"/>
                <w:highlight w:val="none"/>
              </w:rPr>
            </w:pPr>
          </w:p>
        </w:tc>
        <w:tc>
          <w:tcPr>
            <w:tcW w:w="1391" w:type="dxa"/>
            <w:tcBorders>
              <w:top w:val="single" w:color="auto" w:sz="4" w:space="0"/>
              <w:left w:val="single" w:color="auto" w:sz="4" w:space="0"/>
              <w:bottom w:val="single" w:color="auto" w:sz="4" w:space="0"/>
              <w:right w:val="single" w:color="auto" w:sz="4" w:space="0"/>
            </w:tcBorders>
            <w:vAlign w:val="center"/>
          </w:tcPr>
          <w:p w14:paraId="0927C2D4">
            <w:pPr>
              <w:snapToGrid w:val="0"/>
              <w:spacing w:line="240" w:lineRule="exact"/>
              <w:jc w:val="center"/>
              <w:rPr>
                <w:rFonts w:ascii="宋体" w:hAnsi="宋体"/>
                <w:color w:val="auto"/>
                <w:sz w:val="22"/>
                <w:szCs w:val="22"/>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5569F2DD">
            <w:pPr>
              <w:snapToGrid w:val="0"/>
              <w:spacing w:line="240" w:lineRule="exact"/>
              <w:jc w:val="center"/>
              <w:rPr>
                <w:rFonts w:ascii="宋体" w:hAnsi="宋体"/>
                <w:color w:val="auto"/>
                <w:sz w:val="22"/>
                <w:szCs w:val="22"/>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14:paraId="5C96FCCC">
            <w:pPr>
              <w:jc w:val="left"/>
              <w:rPr>
                <w:rFonts w:ascii="宋体" w:hAnsi="宋体"/>
                <w:color w:val="auto"/>
                <w:sz w:val="22"/>
                <w:szCs w:val="22"/>
                <w:highlight w:val="none"/>
              </w:rPr>
            </w:pPr>
          </w:p>
        </w:tc>
      </w:tr>
      <w:tr w14:paraId="5108F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522" w:type="dxa"/>
            <w:tcBorders>
              <w:top w:val="single" w:color="auto" w:sz="4" w:space="0"/>
              <w:left w:val="single" w:color="auto" w:sz="4" w:space="0"/>
              <w:bottom w:val="single" w:color="auto" w:sz="4" w:space="0"/>
              <w:right w:val="single" w:color="auto" w:sz="4" w:space="0"/>
            </w:tcBorders>
            <w:vAlign w:val="center"/>
          </w:tcPr>
          <w:p w14:paraId="1D08F914">
            <w:pPr>
              <w:jc w:val="left"/>
              <w:rPr>
                <w:rFonts w:ascii="宋体" w:hAnsi="宋体"/>
                <w:color w:val="auto"/>
                <w:sz w:val="22"/>
                <w:szCs w:val="22"/>
                <w:highlight w:val="none"/>
              </w:rPr>
            </w:pPr>
          </w:p>
        </w:tc>
        <w:tc>
          <w:tcPr>
            <w:tcW w:w="1466" w:type="dxa"/>
            <w:tcBorders>
              <w:top w:val="single" w:color="auto" w:sz="4" w:space="0"/>
              <w:left w:val="single" w:color="auto" w:sz="4" w:space="0"/>
              <w:bottom w:val="single" w:color="auto" w:sz="4" w:space="0"/>
              <w:right w:val="single" w:color="auto" w:sz="4" w:space="0"/>
            </w:tcBorders>
            <w:vAlign w:val="center"/>
          </w:tcPr>
          <w:p w14:paraId="7C482E68">
            <w:pPr>
              <w:jc w:val="left"/>
              <w:rPr>
                <w:rFonts w:ascii="宋体" w:hAnsi="宋体"/>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8294A2F">
            <w:pPr>
              <w:jc w:val="left"/>
              <w:rPr>
                <w:rFonts w:ascii="宋体" w:hAnsi="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vAlign w:val="center"/>
          </w:tcPr>
          <w:p w14:paraId="630FD765">
            <w:pPr>
              <w:snapToGrid w:val="0"/>
              <w:spacing w:line="240" w:lineRule="exact"/>
              <w:jc w:val="center"/>
              <w:rPr>
                <w:rFonts w:ascii="宋体" w:hAnsi="宋体"/>
                <w:color w:val="auto"/>
                <w:sz w:val="22"/>
                <w:szCs w:val="22"/>
                <w:highlight w:val="none"/>
              </w:rPr>
            </w:pPr>
          </w:p>
        </w:tc>
        <w:tc>
          <w:tcPr>
            <w:tcW w:w="1391" w:type="dxa"/>
            <w:tcBorders>
              <w:top w:val="single" w:color="auto" w:sz="4" w:space="0"/>
              <w:left w:val="single" w:color="auto" w:sz="4" w:space="0"/>
              <w:bottom w:val="single" w:color="auto" w:sz="4" w:space="0"/>
              <w:right w:val="single" w:color="auto" w:sz="4" w:space="0"/>
            </w:tcBorders>
            <w:vAlign w:val="center"/>
          </w:tcPr>
          <w:p w14:paraId="71C7344D">
            <w:pPr>
              <w:snapToGrid w:val="0"/>
              <w:spacing w:line="240" w:lineRule="exact"/>
              <w:jc w:val="center"/>
              <w:rPr>
                <w:rFonts w:ascii="宋体" w:hAnsi="宋体"/>
                <w:color w:val="auto"/>
                <w:sz w:val="22"/>
                <w:szCs w:val="22"/>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022E5C6C">
            <w:pPr>
              <w:snapToGrid w:val="0"/>
              <w:spacing w:line="240" w:lineRule="exact"/>
              <w:jc w:val="center"/>
              <w:rPr>
                <w:rFonts w:ascii="宋体" w:hAnsi="宋体"/>
                <w:color w:val="auto"/>
                <w:sz w:val="22"/>
                <w:szCs w:val="22"/>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14:paraId="479C44D2">
            <w:pPr>
              <w:jc w:val="left"/>
              <w:rPr>
                <w:rFonts w:ascii="宋体" w:hAnsi="宋体"/>
                <w:color w:val="auto"/>
                <w:sz w:val="22"/>
                <w:szCs w:val="22"/>
                <w:highlight w:val="none"/>
              </w:rPr>
            </w:pPr>
          </w:p>
        </w:tc>
      </w:tr>
      <w:tr w14:paraId="6AF5C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522" w:type="dxa"/>
            <w:tcBorders>
              <w:top w:val="single" w:color="auto" w:sz="4" w:space="0"/>
              <w:left w:val="single" w:color="auto" w:sz="4" w:space="0"/>
              <w:bottom w:val="single" w:color="auto" w:sz="4" w:space="0"/>
              <w:right w:val="single" w:color="auto" w:sz="4" w:space="0"/>
            </w:tcBorders>
            <w:vAlign w:val="center"/>
          </w:tcPr>
          <w:p w14:paraId="61263535">
            <w:pPr>
              <w:jc w:val="left"/>
              <w:rPr>
                <w:rFonts w:ascii="宋体" w:hAnsi="宋体"/>
                <w:color w:val="auto"/>
                <w:sz w:val="22"/>
                <w:szCs w:val="22"/>
                <w:highlight w:val="none"/>
              </w:rPr>
            </w:pPr>
          </w:p>
        </w:tc>
        <w:tc>
          <w:tcPr>
            <w:tcW w:w="1466" w:type="dxa"/>
            <w:tcBorders>
              <w:top w:val="single" w:color="auto" w:sz="4" w:space="0"/>
              <w:left w:val="single" w:color="auto" w:sz="4" w:space="0"/>
              <w:bottom w:val="single" w:color="auto" w:sz="4" w:space="0"/>
              <w:right w:val="single" w:color="auto" w:sz="4" w:space="0"/>
            </w:tcBorders>
            <w:vAlign w:val="center"/>
          </w:tcPr>
          <w:p w14:paraId="11D412B1">
            <w:pPr>
              <w:jc w:val="left"/>
              <w:rPr>
                <w:rFonts w:ascii="宋体" w:hAnsi="宋体"/>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FDDBB03">
            <w:pPr>
              <w:jc w:val="left"/>
              <w:rPr>
                <w:rFonts w:ascii="宋体" w:hAnsi="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vAlign w:val="center"/>
          </w:tcPr>
          <w:p w14:paraId="485C2A19">
            <w:pPr>
              <w:snapToGrid w:val="0"/>
              <w:spacing w:line="240" w:lineRule="exact"/>
              <w:jc w:val="center"/>
              <w:rPr>
                <w:rFonts w:ascii="宋体" w:hAnsi="宋体"/>
                <w:color w:val="auto"/>
                <w:sz w:val="22"/>
                <w:szCs w:val="22"/>
                <w:highlight w:val="none"/>
              </w:rPr>
            </w:pPr>
          </w:p>
        </w:tc>
        <w:tc>
          <w:tcPr>
            <w:tcW w:w="1391" w:type="dxa"/>
            <w:tcBorders>
              <w:top w:val="single" w:color="auto" w:sz="4" w:space="0"/>
              <w:left w:val="single" w:color="auto" w:sz="4" w:space="0"/>
              <w:bottom w:val="single" w:color="auto" w:sz="4" w:space="0"/>
              <w:right w:val="single" w:color="auto" w:sz="4" w:space="0"/>
            </w:tcBorders>
            <w:vAlign w:val="center"/>
          </w:tcPr>
          <w:p w14:paraId="12C7C9EA">
            <w:pPr>
              <w:snapToGrid w:val="0"/>
              <w:spacing w:line="240" w:lineRule="exact"/>
              <w:jc w:val="center"/>
              <w:rPr>
                <w:rFonts w:ascii="宋体" w:hAnsi="宋体"/>
                <w:color w:val="auto"/>
                <w:sz w:val="22"/>
                <w:szCs w:val="22"/>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1599DEC4">
            <w:pPr>
              <w:snapToGrid w:val="0"/>
              <w:spacing w:line="240" w:lineRule="exact"/>
              <w:jc w:val="center"/>
              <w:rPr>
                <w:rFonts w:ascii="宋体" w:hAnsi="宋体"/>
                <w:color w:val="auto"/>
                <w:sz w:val="22"/>
                <w:szCs w:val="22"/>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14:paraId="4B03C6FD">
            <w:pPr>
              <w:jc w:val="left"/>
              <w:rPr>
                <w:rFonts w:ascii="宋体" w:hAnsi="宋体"/>
                <w:color w:val="auto"/>
                <w:sz w:val="22"/>
                <w:szCs w:val="22"/>
                <w:highlight w:val="none"/>
              </w:rPr>
            </w:pPr>
          </w:p>
        </w:tc>
      </w:tr>
    </w:tbl>
    <w:p w14:paraId="7174049B">
      <w:pPr>
        <w:pStyle w:val="10"/>
        <w:spacing w:line="360" w:lineRule="auto"/>
        <w:ind w:left="72"/>
        <w:rPr>
          <w:rFonts w:ascii="Times New Roman" w:hAnsi="Times New Roman"/>
          <w:color w:val="auto"/>
          <w:highlight w:val="none"/>
        </w:rPr>
      </w:pPr>
      <w:r>
        <w:rPr>
          <w:rFonts w:hint="eastAsia" w:ascii="Times New Roman" w:hAnsi="Times New Roman"/>
          <w:color w:val="auto"/>
          <w:highlight w:val="none"/>
        </w:rPr>
        <w:t>注：投标人可按上述的格式自行编制，如有请随表提交相应的合同复印件、用户单位验收证明等材料。</w:t>
      </w:r>
    </w:p>
    <w:p w14:paraId="0AE19DBB">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0C6CC64F">
      <w:pPr>
        <w:snapToGrid w:val="0"/>
        <w:spacing w:line="360" w:lineRule="auto"/>
        <w:ind w:firstLine="4935" w:firstLineChars="2350"/>
        <w:rPr>
          <w:rFonts w:hAnsi="宋体"/>
          <w:color w:val="auto"/>
          <w:szCs w:val="21"/>
          <w:highlight w:val="none"/>
        </w:rPr>
      </w:pPr>
    </w:p>
    <w:p w14:paraId="44008117">
      <w:pPr>
        <w:snapToGrid w:val="0"/>
        <w:spacing w:line="360" w:lineRule="auto"/>
        <w:ind w:firstLine="10080" w:firstLineChars="480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26538A1">
      <w:pPr>
        <w:snapToGrid w:val="0"/>
        <w:spacing w:line="360" w:lineRule="auto"/>
        <w:rPr>
          <w:rFonts w:ascii="仿宋_GB2312" w:hAnsi="仿宋" w:eastAsia="仿宋_GB2312" w:cs="仿宋_GB2312"/>
          <w:color w:val="auto"/>
          <w:kern w:val="0"/>
          <w:sz w:val="24"/>
          <w:highlight w:val="none"/>
          <w:lang w:val="zh-CN"/>
        </w:rPr>
        <w:sectPr>
          <w:pgSz w:w="11906" w:h="16838"/>
          <w:pgMar w:top="1134" w:right="1134" w:bottom="1134" w:left="1134" w:header="720" w:footer="720" w:gutter="0"/>
          <w:cols w:space="720" w:num="1"/>
          <w:docGrid w:type="lines" w:linePitch="331" w:charSpace="0"/>
        </w:sect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03A5A31">
      <w:pPr>
        <w:pStyle w:val="10"/>
        <w:jc w:val="center"/>
        <w:outlineLvl w:val="1"/>
        <w:rPr>
          <w:rFonts w:hAnsi="宋体"/>
          <w:b/>
          <w:bCs/>
          <w:color w:val="auto"/>
          <w:sz w:val="28"/>
          <w:szCs w:val="28"/>
          <w:highlight w:val="none"/>
        </w:rPr>
      </w:pPr>
      <w:bookmarkStart w:id="86" w:name="_Toc8144"/>
      <w:bookmarkStart w:id="87" w:name="_Toc22194"/>
      <w:bookmarkStart w:id="88" w:name="_Toc12489"/>
      <w:bookmarkStart w:id="89" w:name="_Toc3826"/>
      <w:r>
        <w:rPr>
          <w:rFonts w:hint="eastAsia" w:hAnsi="宋体"/>
          <w:b/>
          <w:bCs/>
          <w:color w:val="auto"/>
          <w:sz w:val="28"/>
          <w:szCs w:val="28"/>
          <w:highlight w:val="none"/>
        </w:rPr>
        <w:t>第四节 技术文件格式</w:t>
      </w:r>
      <w:bookmarkEnd w:id="86"/>
      <w:bookmarkEnd w:id="87"/>
      <w:bookmarkEnd w:id="88"/>
      <w:bookmarkEnd w:id="89"/>
    </w:p>
    <w:p w14:paraId="39A3049C">
      <w:pPr>
        <w:snapToGrid w:val="0"/>
        <w:spacing w:before="165" w:beforeLines="50" w:after="50"/>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3DF4A359">
      <w:pPr>
        <w:snapToGrid w:val="0"/>
        <w:spacing w:before="165" w:beforeLines="50" w:after="50"/>
        <w:rPr>
          <w:rFonts w:ascii="宋体" w:hAnsi="宋体"/>
          <w:color w:val="auto"/>
          <w:sz w:val="24"/>
          <w:szCs w:val="20"/>
          <w:highlight w:val="none"/>
        </w:rPr>
      </w:pPr>
    </w:p>
    <w:p w14:paraId="6D2B5C87">
      <w:pPr>
        <w:snapToGrid w:val="0"/>
        <w:spacing w:before="165" w:beforeLines="50" w:after="50"/>
        <w:jc w:val="center"/>
        <w:rPr>
          <w:rFonts w:ascii="宋体" w:hAnsi="宋体"/>
          <w:b/>
          <w:bCs/>
          <w:color w:val="auto"/>
          <w:sz w:val="32"/>
          <w:szCs w:val="32"/>
          <w:highlight w:val="none"/>
        </w:rPr>
      </w:pPr>
    </w:p>
    <w:p w14:paraId="3389A706">
      <w:pPr>
        <w:snapToGrid w:val="0"/>
        <w:spacing w:before="165" w:beforeLines="50" w:after="50"/>
        <w:jc w:val="center"/>
        <w:rPr>
          <w:rFonts w:ascii="宋体" w:hAnsi="宋体"/>
          <w:b/>
          <w:bCs/>
          <w:color w:val="auto"/>
          <w:sz w:val="32"/>
          <w:szCs w:val="32"/>
          <w:highlight w:val="none"/>
        </w:rPr>
      </w:pPr>
    </w:p>
    <w:p w14:paraId="42D94DF2">
      <w:pPr>
        <w:snapToGrid w:val="0"/>
        <w:spacing w:before="165" w:beforeLines="50" w:after="50"/>
        <w:jc w:val="center"/>
        <w:rPr>
          <w:rFonts w:ascii="宋体" w:hAnsi="宋体"/>
          <w:b/>
          <w:bCs/>
          <w:color w:val="auto"/>
          <w:sz w:val="32"/>
          <w:szCs w:val="32"/>
          <w:highlight w:val="none"/>
        </w:rPr>
      </w:pPr>
    </w:p>
    <w:p w14:paraId="259022AB">
      <w:pPr>
        <w:snapToGrid w:val="0"/>
        <w:spacing w:before="165" w:beforeLines="50" w:after="50"/>
        <w:jc w:val="center"/>
        <w:rPr>
          <w:rFonts w:ascii="宋体" w:hAnsi="宋体"/>
          <w:b/>
          <w:bCs/>
          <w:color w:val="auto"/>
          <w:sz w:val="32"/>
          <w:szCs w:val="32"/>
          <w:highlight w:val="none"/>
        </w:rPr>
      </w:pPr>
      <w:r>
        <w:rPr>
          <w:rFonts w:hint="eastAsia" w:ascii="宋体" w:hAnsi="宋体"/>
          <w:b/>
          <w:bCs/>
          <w:color w:val="auto"/>
          <w:sz w:val="32"/>
          <w:szCs w:val="32"/>
          <w:highlight w:val="none"/>
        </w:rPr>
        <w:t>技术文件（封面）</w:t>
      </w:r>
    </w:p>
    <w:p w14:paraId="258EC739">
      <w:pPr>
        <w:snapToGrid w:val="0"/>
        <w:spacing w:before="165" w:beforeLines="50" w:after="50"/>
        <w:rPr>
          <w:rFonts w:ascii="宋体" w:hAnsi="宋体"/>
          <w:bCs/>
          <w:color w:val="auto"/>
          <w:sz w:val="24"/>
          <w:szCs w:val="20"/>
          <w:highlight w:val="none"/>
        </w:rPr>
      </w:pPr>
    </w:p>
    <w:p w14:paraId="717DAC06">
      <w:pPr>
        <w:snapToGrid w:val="0"/>
        <w:spacing w:before="165" w:beforeLines="50" w:after="50" w:line="400" w:lineRule="exact"/>
        <w:ind w:firstLine="360" w:firstLineChars="150"/>
        <w:rPr>
          <w:rFonts w:ascii="宋体" w:hAnsi="宋体"/>
          <w:bCs/>
          <w:color w:val="auto"/>
          <w:sz w:val="24"/>
          <w:szCs w:val="20"/>
          <w:highlight w:val="none"/>
        </w:rPr>
      </w:pPr>
      <w:r>
        <w:rPr>
          <w:rFonts w:hint="eastAsia" w:ascii="宋体" w:hAnsi="宋体"/>
          <w:bCs/>
          <w:color w:val="auto"/>
          <w:sz w:val="24"/>
          <w:highlight w:val="none"/>
        </w:rPr>
        <w:t xml:space="preserve">项目名称： </w:t>
      </w:r>
    </w:p>
    <w:p w14:paraId="7D3D459B">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32A44D03">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642B2FC0">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67D3B369">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3F96BB1B">
      <w:pPr>
        <w:snapToGrid w:val="0"/>
        <w:spacing w:before="165" w:beforeLines="50" w:after="50"/>
        <w:ind w:firstLine="645"/>
        <w:jc w:val="center"/>
        <w:rPr>
          <w:rFonts w:ascii="宋体" w:hAnsi="宋体"/>
          <w:color w:val="auto"/>
          <w:sz w:val="24"/>
          <w:highlight w:val="none"/>
        </w:rPr>
      </w:pPr>
      <w:r>
        <w:rPr>
          <w:rFonts w:hint="eastAsia" w:ascii="宋体" w:hAnsi="宋体"/>
          <w:color w:val="auto"/>
          <w:sz w:val="24"/>
          <w:highlight w:val="none"/>
        </w:rPr>
        <w:t xml:space="preserve">                        年    月    日</w:t>
      </w:r>
    </w:p>
    <w:p w14:paraId="1494CD3C">
      <w:pPr>
        <w:snapToGrid w:val="0"/>
        <w:spacing w:before="165" w:beforeLines="50" w:after="50"/>
        <w:ind w:firstLine="645"/>
        <w:jc w:val="center"/>
        <w:rPr>
          <w:rFonts w:ascii="宋体" w:hAnsi="宋体"/>
          <w:color w:val="auto"/>
          <w:sz w:val="24"/>
          <w:szCs w:val="20"/>
          <w:highlight w:val="none"/>
        </w:rPr>
      </w:pPr>
    </w:p>
    <w:p w14:paraId="2B9222C8">
      <w:pPr>
        <w:jc w:val="center"/>
        <w:rPr>
          <w:rFonts w:ascii="仿宋_GB2312" w:hAnsi="仿宋" w:eastAsia="仿宋_GB2312" w:cs="仿宋_GB2312"/>
          <w:b/>
          <w:color w:val="auto"/>
          <w:kern w:val="0"/>
          <w:sz w:val="28"/>
          <w:szCs w:val="28"/>
          <w:highlight w:val="none"/>
        </w:rPr>
      </w:pPr>
      <w:r>
        <w:rPr>
          <w:rFonts w:ascii="宋体" w:hAnsi="宋体"/>
          <w:b/>
          <w:bCs/>
          <w:color w:val="auto"/>
          <w:sz w:val="24"/>
          <w:highlight w:val="none"/>
        </w:rPr>
        <w:br w:type="page"/>
      </w:r>
      <w:r>
        <w:rPr>
          <w:rFonts w:hint="eastAsia" w:ascii="仿宋_GB2312" w:hAnsi="仿宋" w:eastAsia="仿宋_GB2312" w:cs="仿宋_GB2312"/>
          <w:b/>
          <w:color w:val="auto"/>
          <w:kern w:val="0"/>
          <w:sz w:val="28"/>
          <w:szCs w:val="28"/>
          <w:highlight w:val="none"/>
        </w:rPr>
        <w:t>技术文件目录</w:t>
      </w:r>
    </w:p>
    <w:p w14:paraId="204D1E09">
      <w:pPr>
        <w:pStyle w:val="27"/>
        <w:spacing w:line="360" w:lineRule="auto"/>
        <w:rPr>
          <w:rFonts w:cs="仿宋_GB2312"/>
          <w:color w:val="auto"/>
          <w:highlight w:val="none"/>
        </w:rPr>
      </w:pPr>
      <w:r>
        <w:rPr>
          <w:rFonts w:hint="eastAsia" w:cs="仿宋_GB2312"/>
          <w:color w:val="auto"/>
          <w:highlight w:val="none"/>
        </w:rPr>
        <w:t>一、投标服务技术需求偏离表…………………………………………………（页码）</w:t>
      </w:r>
    </w:p>
    <w:p w14:paraId="49860EC5">
      <w:pPr>
        <w:pStyle w:val="27"/>
        <w:spacing w:line="360" w:lineRule="auto"/>
        <w:rPr>
          <w:rFonts w:cs="仿宋_GB2312"/>
          <w:color w:val="auto"/>
          <w:highlight w:val="none"/>
        </w:rPr>
      </w:pPr>
      <w:r>
        <w:rPr>
          <w:rFonts w:hint="eastAsia" w:cs="仿宋_GB2312"/>
          <w:color w:val="auto"/>
          <w:highlight w:val="none"/>
        </w:rPr>
        <w:t>二、组织服务方案…………………………………………………………（页码）</w:t>
      </w:r>
    </w:p>
    <w:p w14:paraId="36F16AB1">
      <w:pPr>
        <w:pStyle w:val="27"/>
        <w:spacing w:line="360" w:lineRule="auto"/>
        <w:rPr>
          <w:rFonts w:cs="仿宋_GB2312"/>
          <w:color w:val="auto"/>
          <w:highlight w:val="none"/>
        </w:rPr>
      </w:pPr>
      <w:r>
        <w:rPr>
          <w:rFonts w:hint="eastAsia" w:cs="仿宋_GB2312"/>
          <w:color w:val="auto"/>
          <w:highlight w:val="none"/>
        </w:rPr>
        <w:t>三、售后服务方案………………………………</w:t>
      </w:r>
      <w:r>
        <w:rPr>
          <w:rFonts w:hint="eastAsia" w:cs="仿宋_GB2312"/>
          <w:color w:val="auto"/>
          <w:highlight w:val="none"/>
          <w:lang w:val="zh-CN"/>
        </w:rPr>
        <w:t>………</w:t>
      </w:r>
      <w:r>
        <w:rPr>
          <w:rFonts w:hint="eastAsia" w:cs="仿宋_GB2312"/>
          <w:color w:val="auto"/>
          <w:highlight w:val="none"/>
        </w:rPr>
        <w:t>………………………（页码）</w:t>
      </w:r>
    </w:p>
    <w:p w14:paraId="6696DAF2">
      <w:pPr>
        <w:pStyle w:val="27"/>
        <w:spacing w:line="360" w:lineRule="auto"/>
        <w:rPr>
          <w:rFonts w:cs="仿宋_GB2312"/>
          <w:color w:val="auto"/>
          <w:highlight w:val="none"/>
        </w:rPr>
      </w:pPr>
      <w:r>
        <w:rPr>
          <w:rFonts w:hint="eastAsia" w:cs="仿宋_GB2312"/>
          <w:color w:val="auto"/>
          <w:highlight w:val="none"/>
        </w:rPr>
        <w:t>四、</w:t>
      </w:r>
      <w:r>
        <w:rPr>
          <w:rFonts w:hint="eastAsia" w:cs="仿宋_GB2312"/>
          <w:color w:val="auto"/>
          <w:highlight w:val="none"/>
          <w:lang w:val="zh-CN"/>
        </w:rPr>
        <w:t>项目实施人员一览表………………………………</w:t>
      </w:r>
      <w:r>
        <w:rPr>
          <w:rFonts w:hint="eastAsia" w:cs="仿宋_GB2312"/>
          <w:color w:val="auto"/>
          <w:highlight w:val="none"/>
        </w:rPr>
        <w:t>………………………（页码）</w:t>
      </w:r>
    </w:p>
    <w:p w14:paraId="445A5D2A">
      <w:pPr>
        <w:pStyle w:val="27"/>
        <w:spacing w:line="360" w:lineRule="auto"/>
        <w:rPr>
          <w:rFonts w:cs="仿宋_GB2312"/>
          <w:color w:val="auto"/>
          <w:highlight w:val="none"/>
        </w:rPr>
      </w:pPr>
      <w:r>
        <w:rPr>
          <w:rFonts w:hint="eastAsia" w:cs="仿宋_GB2312"/>
          <w:color w:val="auto"/>
          <w:highlight w:val="none"/>
        </w:rPr>
        <w:t>五、投标人对项目的合理化建议和改进措施</w:t>
      </w:r>
      <w:r>
        <w:rPr>
          <w:rFonts w:hint="eastAsia" w:cs="仿宋_GB2312"/>
          <w:color w:val="auto"/>
          <w:highlight w:val="none"/>
          <w:lang w:val="zh-CN"/>
        </w:rPr>
        <w:t>…………………………</w:t>
      </w:r>
      <w:r>
        <w:rPr>
          <w:rFonts w:hint="eastAsia" w:cs="仿宋_GB2312"/>
          <w:color w:val="auto"/>
          <w:highlight w:val="none"/>
        </w:rPr>
        <w:t>………（页码）</w:t>
      </w:r>
    </w:p>
    <w:p w14:paraId="59B4F9A2">
      <w:pPr>
        <w:pStyle w:val="27"/>
        <w:spacing w:line="360" w:lineRule="auto"/>
        <w:rPr>
          <w:rFonts w:cs="仿宋_GB2312"/>
          <w:color w:val="auto"/>
          <w:highlight w:val="none"/>
        </w:rPr>
      </w:pPr>
      <w:r>
        <w:rPr>
          <w:rFonts w:hint="eastAsia" w:cs="仿宋_GB2312"/>
          <w:color w:val="auto"/>
          <w:highlight w:val="none"/>
        </w:rPr>
        <w:t>六、优惠条件及特殊承诺（如有）</w:t>
      </w:r>
      <w:r>
        <w:rPr>
          <w:rFonts w:hint="eastAsia" w:cs="仿宋_GB2312"/>
          <w:color w:val="auto"/>
          <w:highlight w:val="none"/>
          <w:lang w:val="zh-CN"/>
        </w:rPr>
        <w:t>……………………………………………</w:t>
      </w:r>
      <w:r>
        <w:rPr>
          <w:rFonts w:hint="eastAsia" w:cs="仿宋_GB2312"/>
          <w:color w:val="auto"/>
          <w:highlight w:val="none"/>
        </w:rPr>
        <w:t>（页码）</w:t>
      </w:r>
    </w:p>
    <w:p w14:paraId="0ED9B2D7">
      <w:pPr>
        <w:pStyle w:val="27"/>
        <w:spacing w:line="360" w:lineRule="auto"/>
        <w:rPr>
          <w:rFonts w:cs="仿宋_GB2312"/>
          <w:color w:val="auto"/>
          <w:highlight w:val="none"/>
        </w:rPr>
      </w:pPr>
      <w:r>
        <w:rPr>
          <w:rFonts w:hint="eastAsia" w:cs="仿宋_GB2312"/>
          <w:color w:val="auto"/>
          <w:highlight w:val="none"/>
        </w:rPr>
        <w:t>七、备品备件及供选择的配套零部件清单（如有）</w:t>
      </w:r>
      <w:r>
        <w:rPr>
          <w:rFonts w:hint="eastAsia" w:cs="仿宋_GB2312"/>
          <w:color w:val="auto"/>
          <w:highlight w:val="none"/>
          <w:lang w:val="zh-CN"/>
        </w:rPr>
        <w:t>…………………………</w:t>
      </w:r>
      <w:r>
        <w:rPr>
          <w:rFonts w:hint="eastAsia" w:cs="仿宋_GB2312"/>
          <w:color w:val="auto"/>
          <w:highlight w:val="none"/>
        </w:rPr>
        <w:t>（页码）</w:t>
      </w:r>
    </w:p>
    <w:p w14:paraId="50AEA6AA">
      <w:pPr>
        <w:pStyle w:val="27"/>
        <w:spacing w:line="360" w:lineRule="auto"/>
        <w:rPr>
          <w:rFonts w:cs="仿宋_GB2312"/>
          <w:color w:val="auto"/>
          <w:highlight w:val="none"/>
        </w:rPr>
      </w:pPr>
      <w:r>
        <w:rPr>
          <w:rFonts w:hint="eastAsia" w:cs="仿宋_GB2312"/>
          <w:color w:val="auto"/>
          <w:highlight w:val="none"/>
        </w:rPr>
        <w:t>八、培训计划（如有）</w:t>
      </w:r>
      <w:r>
        <w:rPr>
          <w:rFonts w:hint="eastAsia" w:cs="仿宋_GB2312"/>
          <w:color w:val="auto"/>
          <w:highlight w:val="none"/>
          <w:lang w:val="zh-CN"/>
        </w:rPr>
        <w:t>…………………………………………………………</w:t>
      </w:r>
      <w:r>
        <w:rPr>
          <w:rFonts w:hint="eastAsia" w:cs="仿宋_GB2312"/>
          <w:color w:val="auto"/>
          <w:highlight w:val="none"/>
        </w:rPr>
        <w:t>（页码）</w:t>
      </w:r>
    </w:p>
    <w:p w14:paraId="573CA950">
      <w:pPr>
        <w:pStyle w:val="27"/>
        <w:spacing w:line="360" w:lineRule="auto"/>
        <w:rPr>
          <w:rFonts w:cs="仿宋_GB2312"/>
          <w:color w:val="auto"/>
          <w:highlight w:val="none"/>
        </w:rPr>
      </w:pPr>
      <w:r>
        <w:rPr>
          <w:rFonts w:hint="eastAsia" w:cs="仿宋_GB2312"/>
          <w:color w:val="auto"/>
          <w:highlight w:val="none"/>
        </w:rPr>
        <w:t>九、认为需要的其他技术文件或说明（如有）</w:t>
      </w:r>
      <w:r>
        <w:rPr>
          <w:rFonts w:hint="eastAsia" w:cs="仿宋_GB2312"/>
          <w:color w:val="auto"/>
          <w:highlight w:val="none"/>
          <w:lang w:val="zh-CN"/>
        </w:rPr>
        <w:t>………………………………</w:t>
      </w:r>
      <w:r>
        <w:rPr>
          <w:rFonts w:hint="eastAsia" w:cs="仿宋_GB2312"/>
          <w:color w:val="auto"/>
          <w:highlight w:val="none"/>
        </w:rPr>
        <w:t>（页码）</w:t>
      </w:r>
    </w:p>
    <w:p w14:paraId="4D384EEF">
      <w:pPr>
        <w:spacing w:line="360" w:lineRule="auto"/>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0438FDBF">
      <w:pPr>
        <w:snapToGrid w:val="0"/>
        <w:spacing w:before="165" w:beforeLines="50" w:after="50"/>
        <w:ind w:left="143" w:leftChars="68" w:firstLine="472" w:firstLineChars="196"/>
        <w:jc w:val="left"/>
        <w:rPr>
          <w:rFonts w:ascii="宋体" w:hAnsi="宋体"/>
          <w:b/>
          <w:color w:val="auto"/>
          <w:sz w:val="24"/>
          <w:highlight w:val="none"/>
        </w:rPr>
      </w:pPr>
    </w:p>
    <w:p w14:paraId="402F729D">
      <w:pPr>
        <w:snapToGrid w:val="0"/>
        <w:spacing w:before="165" w:beforeLines="50" w:after="50"/>
        <w:jc w:val="center"/>
        <w:rPr>
          <w:rFonts w:ascii="Times New Roman" w:hAnsi="Times New Roman"/>
          <w:b/>
          <w:bCs/>
          <w:color w:val="auto"/>
          <w:sz w:val="30"/>
          <w:szCs w:val="30"/>
          <w:highlight w:val="none"/>
        </w:rPr>
      </w:pPr>
      <w:r>
        <w:rPr>
          <w:rFonts w:ascii="宋体" w:hAnsi="宋体"/>
          <w:b/>
          <w:color w:val="auto"/>
          <w:sz w:val="24"/>
          <w:highlight w:val="none"/>
        </w:rPr>
        <w:br w:type="page"/>
      </w:r>
      <w:r>
        <w:rPr>
          <w:rFonts w:hint="eastAsia" w:ascii="Times New Roman" w:hAnsi="Times New Roman"/>
          <w:b/>
          <w:bCs/>
          <w:color w:val="auto"/>
          <w:sz w:val="30"/>
          <w:szCs w:val="30"/>
          <w:highlight w:val="none"/>
        </w:rPr>
        <w:t>一、投标服务技术需求偏离表</w:t>
      </w:r>
    </w:p>
    <w:p w14:paraId="774CD702">
      <w:pPr>
        <w:pStyle w:val="10"/>
        <w:spacing w:line="440" w:lineRule="exact"/>
        <w:ind w:firstLine="420" w:firstLineChars="200"/>
        <w:rPr>
          <w:color w:val="auto"/>
          <w:highlight w:val="none"/>
        </w:rPr>
      </w:pPr>
    </w:p>
    <w:p w14:paraId="59E17018">
      <w:pPr>
        <w:pStyle w:val="10"/>
        <w:spacing w:line="600" w:lineRule="exact"/>
        <w:ind w:firstLine="480" w:firstLineChars="200"/>
        <w:rPr>
          <w:rFonts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本项目招标文件第二章</w:t>
      </w:r>
      <w:r>
        <w:rPr>
          <w:rFonts w:hAnsi="宋体"/>
          <w:color w:val="auto"/>
          <w:sz w:val="24"/>
          <w:szCs w:val="24"/>
          <w:highlight w:val="none"/>
        </w:rPr>
        <w:t>“</w:t>
      </w:r>
      <w:r>
        <w:rPr>
          <w:rFonts w:hint="eastAsia" w:hAnsi="宋体"/>
          <w:color w:val="auto"/>
          <w:sz w:val="24"/>
          <w:szCs w:val="24"/>
          <w:highlight w:val="none"/>
        </w:rPr>
        <w:t>服务需求一览表</w:t>
      </w:r>
      <w:r>
        <w:rPr>
          <w:rFonts w:hAnsi="宋体"/>
          <w:color w:val="auto"/>
          <w:sz w:val="24"/>
          <w:szCs w:val="24"/>
          <w:highlight w:val="none"/>
        </w:rPr>
        <w:t>”</w:t>
      </w:r>
      <w:r>
        <w:rPr>
          <w:rFonts w:hint="eastAsia" w:hAnsi="宋体"/>
          <w:color w:val="auto"/>
          <w:sz w:val="24"/>
          <w:szCs w:val="24"/>
          <w:highlight w:val="none"/>
        </w:rPr>
        <w:t>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w:t>
      </w:r>
      <w:r>
        <w:rPr>
          <w:rFonts w:hAnsi="宋体"/>
          <w:color w:val="auto"/>
          <w:sz w:val="24"/>
          <w:szCs w:val="24"/>
          <w:highlight w:val="none"/>
        </w:rPr>
        <w:t>“</w:t>
      </w:r>
      <w:r>
        <w:rPr>
          <w:rFonts w:hint="eastAsia" w:hAnsi="宋体"/>
          <w:color w:val="auto"/>
          <w:sz w:val="24"/>
          <w:szCs w:val="24"/>
          <w:highlight w:val="none"/>
        </w:rPr>
        <w:t>偏离说明</w:t>
      </w:r>
      <w:r>
        <w:rPr>
          <w:rFonts w:hAnsi="宋体"/>
          <w:color w:val="auto"/>
          <w:sz w:val="24"/>
          <w:szCs w:val="24"/>
          <w:highlight w:val="none"/>
        </w:rPr>
        <w:t>”</w:t>
      </w:r>
      <w:r>
        <w:rPr>
          <w:rFonts w:hint="eastAsia" w:hAnsi="宋体"/>
          <w:color w:val="auto"/>
          <w:sz w:val="24"/>
          <w:szCs w:val="24"/>
          <w:highlight w:val="none"/>
        </w:rPr>
        <w:t>一栏应当选择</w:t>
      </w:r>
      <w:r>
        <w:rPr>
          <w:rFonts w:hAnsi="宋体"/>
          <w:color w:val="auto"/>
          <w:sz w:val="24"/>
          <w:szCs w:val="24"/>
          <w:highlight w:val="none"/>
        </w:rPr>
        <w:t>“</w:t>
      </w:r>
      <w:r>
        <w:rPr>
          <w:rFonts w:hint="eastAsia" w:hAnsi="宋体"/>
          <w:color w:val="auto"/>
          <w:sz w:val="24"/>
          <w:szCs w:val="24"/>
          <w:highlight w:val="none"/>
        </w:rPr>
        <w:t>正偏离</w:t>
      </w:r>
      <w:r>
        <w:rPr>
          <w:rFonts w:hAnsi="宋体"/>
          <w:color w:val="auto"/>
          <w:sz w:val="24"/>
          <w:szCs w:val="24"/>
          <w:highlight w:val="none"/>
        </w:rPr>
        <w:t>”</w:t>
      </w:r>
      <w:r>
        <w:rPr>
          <w:rFonts w:hint="eastAsia" w:hAnsi="宋体"/>
          <w:color w:val="auto"/>
          <w:sz w:val="24"/>
          <w:szCs w:val="24"/>
          <w:highlight w:val="none"/>
        </w:rPr>
        <w:t>、</w:t>
      </w:r>
      <w:r>
        <w:rPr>
          <w:rFonts w:hAnsi="宋体"/>
          <w:color w:val="auto"/>
          <w:sz w:val="24"/>
          <w:szCs w:val="24"/>
          <w:highlight w:val="none"/>
        </w:rPr>
        <w:t>“</w:t>
      </w:r>
      <w:r>
        <w:rPr>
          <w:rFonts w:hint="eastAsia" w:hAnsi="宋体"/>
          <w:color w:val="auto"/>
          <w:sz w:val="24"/>
          <w:szCs w:val="24"/>
          <w:highlight w:val="none"/>
        </w:rPr>
        <w:t>负偏离</w:t>
      </w:r>
      <w:r>
        <w:rPr>
          <w:rFonts w:hAnsi="宋体"/>
          <w:color w:val="auto"/>
          <w:sz w:val="24"/>
          <w:szCs w:val="24"/>
          <w:highlight w:val="none"/>
        </w:rPr>
        <w:t>”</w:t>
      </w:r>
      <w:r>
        <w:rPr>
          <w:rFonts w:hint="eastAsia" w:hAnsi="宋体"/>
          <w:color w:val="auto"/>
          <w:sz w:val="24"/>
          <w:szCs w:val="24"/>
          <w:highlight w:val="none"/>
        </w:rPr>
        <w:t>或</w:t>
      </w:r>
      <w:r>
        <w:rPr>
          <w:rFonts w:hAnsi="宋体"/>
          <w:color w:val="auto"/>
          <w:sz w:val="24"/>
          <w:szCs w:val="24"/>
          <w:highlight w:val="none"/>
        </w:rPr>
        <w:t>“</w:t>
      </w:r>
      <w:r>
        <w:rPr>
          <w:rFonts w:hint="eastAsia" w:hAnsi="宋体"/>
          <w:color w:val="auto"/>
          <w:sz w:val="24"/>
          <w:szCs w:val="24"/>
          <w:highlight w:val="none"/>
        </w:rPr>
        <w:t>无偏离</w:t>
      </w:r>
      <w:r>
        <w:rPr>
          <w:rFonts w:hAnsi="宋体"/>
          <w:color w:val="auto"/>
          <w:sz w:val="24"/>
          <w:szCs w:val="24"/>
          <w:highlight w:val="none"/>
        </w:rPr>
        <w:t>”</w:t>
      </w:r>
      <w:r>
        <w:rPr>
          <w:rFonts w:hint="eastAsia" w:hAnsi="宋体"/>
          <w:color w:val="auto"/>
          <w:sz w:val="24"/>
          <w:szCs w:val="24"/>
          <w:highlight w:val="none"/>
        </w:rPr>
        <w:t>进行填写。</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00AD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38963909">
            <w:pPr>
              <w:rPr>
                <w:rFonts w:ascii="宋体" w:hAnsi="宋体"/>
                <w:color w:val="auto"/>
                <w:szCs w:val="21"/>
                <w:highlight w:val="none"/>
              </w:rPr>
            </w:pPr>
            <w:r>
              <w:rPr>
                <w:rFonts w:hint="eastAsia" w:ascii="宋体" w:hAnsi="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7616F2D2">
            <w:pPr>
              <w:jc w:val="center"/>
              <w:rPr>
                <w:rFonts w:ascii="宋体" w:hAnsi="宋体"/>
                <w:color w:val="auto"/>
                <w:szCs w:val="21"/>
                <w:highlight w:val="none"/>
              </w:rPr>
            </w:pPr>
            <w:r>
              <w:rPr>
                <w:rFonts w:hint="eastAsia" w:ascii="宋体" w:hAnsi="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696E5959">
            <w:pPr>
              <w:jc w:val="center"/>
              <w:rPr>
                <w:rFonts w:ascii="宋体" w:hAnsi="宋体"/>
                <w:color w:val="auto"/>
                <w:szCs w:val="21"/>
                <w:highlight w:val="none"/>
              </w:rPr>
            </w:pPr>
            <w:r>
              <w:rPr>
                <w:rFonts w:hint="eastAsia" w:ascii="宋体" w:hAnsi="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49669D4C">
            <w:pPr>
              <w:rPr>
                <w:rFonts w:ascii="宋体" w:hAnsi="宋体"/>
                <w:color w:val="auto"/>
                <w:szCs w:val="21"/>
                <w:highlight w:val="none"/>
              </w:rPr>
            </w:pPr>
            <w:r>
              <w:rPr>
                <w:rFonts w:hint="eastAsia" w:ascii="宋体" w:hAnsi="宋体"/>
                <w:color w:val="auto"/>
                <w:szCs w:val="21"/>
                <w:highlight w:val="none"/>
              </w:rPr>
              <w:t>偏离说明</w:t>
            </w:r>
          </w:p>
        </w:tc>
      </w:tr>
      <w:tr w14:paraId="181D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1409C938">
            <w:pPr>
              <w:widowControl/>
              <w:jc w:val="lef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67916C0">
            <w:pPr>
              <w:jc w:val="center"/>
              <w:rPr>
                <w:rFonts w:ascii="宋体" w:hAnsi="宋体"/>
                <w:color w:val="auto"/>
                <w:szCs w:val="21"/>
                <w:highlight w:val="none"/>
              </w:rPr>
            </w:pPr>
            <w:r>
              <w:rPr>
                <w:rFonts w:hint="eastAsia" w:ascii="宋体" w:hAnsi="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7E6AABEF">
            <w:pPr>
              <w:jc w:val="center"/>
              <w:rPr>
                <w:rFonts w:ascii="宋体" w:hAnsi="宋体"/>
                <w:color w:val="auto"/>
                <w:szCs w:val="21"/>
                <w:highlight w:val="none"/>
              </w:rPr>
            </w:pPr>
            <w:r>
              <w:rPr>
                <w:rFonts w:hint="eastAsia" w:ascii="宋体" w:hAnsi="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5D52F2CC">
            <w:pPr>
              <w:jc w:val="center"/>
              <w:rPr>
                <w:rFonts w:ascii="宋体" w:hAnsi="宋体"/>
                <w:color w:val="auto"/>
                <w:szCs w:val="21"/>
                <w:highlight w:val="none"/>
              </w:rPr>
            </w:pPr>
            <w:r>
              <w:rPr>
                <w:rFonts w:hint="eastAsia" w:ascii="宋体" w:hAnsi="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5239696E">
            <w:pPr>
              <w:jc w:val="center"/>
              <w:rPr>
                <w:rFonts w:ascii="宋体" w:hAnsi="宋体"/>
                <w:color w:val="auto"/>
                <w:szCs w:val="21"/>
                <w:highlight w:val="none"/>
              </w:rPr>
            </w:pPr>
            <w:r>
              <w:rPr>
                <w:rFonts w:hint="eastAsia" w:ascii="宋体" w:hAnsi="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7F8E7B52">
            <w:pPr>
              <w:widowControl/>
              <w:jc w:val="left"/>
              <w:rPr>
                <w:rFonts w:ascii="宋体" w:hAnsi="宋体"/>
                <w:color w:val="auto"/>
                <w:szCs w:val="21"/>
                <w:highlight w:val="none"/>
              </w:rPr>
            </w:pPr>
          </w:p>
        </w:tc>
      </w:tr>
      <w:tr w14:paraId="57A2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13C3624">
            <w:pPr>
              <w:rPr>
                <w:rFonts w:ascii="宋体" w:hAnsi="宋体"/>
                <w:color w:val="auto"/>
                <w:szCs w:val="21"/>
                <w:highlight w:val="none"/>
              </w:rPr>
            </w:pPr>
            <w:r>
              <w:rPr>
                <w:rFonts w:ascii="宋体" w:hAnsi="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0DF5DAE6">
            <w:pPr>
              <w:rPr>
                <w:rFonts w:ascii="宋体" w:hAnsi="宋体"/>
                <w:color w:val="auto"/>
                <w:szCs w:val="21"/>
                <w:highlight w:val="none"/>
              </w:rPr>
            </w:pPr>
            <w:r>
              <w:rPr>
                <w:rFonts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2BDB5889">
            <w:pPr>
              <w:rPr>
                <w:rFonts w:ascii="宋体" w:hAnsi="宋体"/>
                <w:color w:val="auto"/>
                <w:szCs w:val="21"/>
                <w:highlight w:val="none"/>
              </w:rPr>
            </w:pPr>
            <w:r>
              <w:rPr>
                <w:rFonts w:ascii="宋体" w:hAnsi="宋体"/>
                <w:color w:val="auto"/>
                <w:szCs w:val="21"/>
                <w:highlight w:val="none"/>
              </w:rPr>
              <w:t>1  ……</w:t>
            </w:r>
          </w:p>
          <w:p w14:paraId="18E05557">
            <w:pPr>
              <w:rPr>
                <w:rFonts w:ascii="宋体" w:hAnsi="宋体"/>
                <w:color w:val="auto"/>
                <w:szCs w:val="21"/>
                <w:highlight w:val="none"/>
              </w:rPr>
            </w:pPr>
            <w:r>
              <w:rPr>
                <w:rFonts w:ascii="宋体" w:hAnsi="宋体"/>
                <w:color w:val="auto"/>
                <w:szCs w:val="21"/>
                <w:highlight w:val="none"/>
              </w:rPr>
              <w:t>2  ……</w:t>
            </w:r>
          </w:p>
          <w:p w14:paraId="7136AEB6">
            <w:pPr>
              <w:rPr>
                <w:rFonts w:ascii="宋体" w:hAnsi="宋体"/>
                <w:color w:val="auto"/>
                <w:szCs w:val="21"/>
                <w:highlight w:val="none"/>
              </w:rPr>
            </w:pPr>
            <w:r>
              <w:rPr>
                <w:rFonts w:ascii="宋体" w:hAnsi="宋体"/>
                <w:color w:val="auto"/>
                <w:szCs w:val="21"/>
                <w:highlight w:val="none"/>
              </w:rPr>
              <w:t>3  ……</w:t>
            </w:r>
          </w:p>
          <w:p w14:paraId="59D98097">
            <w:pPr>
              <w:rPr>
                <w:rFonts w:ascii="宋体" w:hAnsi="宋体"/>
                <w:color w:val="auto"/>
                <w:szCs w:val="21"/>
                <w:highlight w:val="none"/>
              </w:rPr>
            </w:pPr>
            <w:r>
              <w:rPr>
                <w:rFonts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08270018">
            <w:pPr>
              <w:rPr>
                <w:rFonts w:ascii="宋体" w:hAnsi="宋体"/>
                <w:color w:val="auto"/>
                <w:szCs w:val="21"/>
                <w:highlight w:val="none"/>
              </w:rPr>
            </w:pPr>
            <w:r>
              <w:rPr>
                <w:rFonts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5B3B4706">
            <w:pPr>
              <w:rPr>
                <w:rFonts w:ascii="宋体" w:hAnsi="宋体"/>
                <w:color w:val="auto"/>
                <w:szCs w:val="21"/>
                <w:highlight w:val="none"/>
              </w:rPr>
            </w:pPr>
            <w:r>
              <w:rPr>
                <w:rFonts w:ascii="宋体" w:hAnsi="宋体"/>
                <w:color w:val="auto"/>
                <w:szCs w:val="21"/>
                <w:highlight w:val="none"/>
              </w:rPr>
              <w:t>1  ……</w:t>
            </w:r>
          </w:p>
          <w:p w14:paraId="0C2094C3">
            <w:pPr>
              <w:rPr>
                <w:rFonts w:ascii="宋体" w:hAnsi="宋体"/>
                <w:color w:val="auto"/>
                <w:szCs w:val="21"/>
                <w:highlight w:val="none"/>
              </w:rPr>
            </w:pPr>
            <w:r>
              <w:rPr>
                <w:rFonts w:ascii="宋体" w:hAnsi="宋体"/>
                <w:color w:val="auto"/>
                <w:szCs w:val="21"/>
                <w:highlight w:val="none"/>
              </w:rPr>
              <w:t>2  ……</w:t>
            </w:r>
          </w:p>
          <w:p w14:paraId="58F7BFAD">
            <w:pPr>
              <w:rPr>
                <w:rFonts w:ascii="宋体" w:hAnsi="宋体"/>
                <w:color w:val="auto"/>
                <w:szCs w:val="21"/>
                <w:highlight w:val="none"/>
              </w:rPr>
            </w:pPr>
            <w:r>
              <w:rPr>
                <w:rFonts w:ascii="宋体" w:hAnsi="宋体"/>
                <w:color w:val="auto"/>
                <w:szCs w:val="21"/>
                <w:highlight w:val="none"/>
              </w:rPr>
              <w:t>3  ……</w:t>
            </w:r>
          </w:p>
          <w:p w14:paraId="33812A96">
            <w:pPr>
              <w:rPr>
                <w:rFonts w:ascii="宋体" w:hAnsi="宋体"/>
                <w:color w:val="auto"/>
                <w:szCs w:val="21"/>
                <w:highlight w:val="none"/>
              </w:rPr>
            </w:pPr>
            <w:r>
              <w:rPr>
                <w:rFonts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7D4B950E">
            <w:pPr>
              <w:rPr>
                <w:rFonts w:ascii="宋体" w:hAnsi="宋体"/>
                <w:color w:val="auto"/>
                <w:szCs w:val="21"/>
                <w:highlight w:val="none"/>
              </w:rPr>
            </w:pPr>
            <w:r>
              <w:rPr>
                <w:rFonts w:hint="eastAsia" w:ascii="宋体" w:hAnsi="宋体"/>
                <w:color w:val="auto"/>
                <w:szCs w:val="21"/>
                <w:highlight w:val="none"/>
              </w:rPr>
              <w:t>正偏离（负偏离或无偏离）</w:t>
            </w:r>
          </w:p>
        </w:tc>
      </w:tr>
      <w:tr w14:paraId="4B29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03E84E8D">
            <w:pPr>
              <w:rPr>
                <w:rFonts w:ascii="宋体" w:hAnsi="宋体"/>
                <w:color w:val="auto"/>
                <w:szCs w:val="21"/>
                <w:highlight w:val="none"/>
              </w:rPr>
            </w:pPr>
            <w:r>
              <w:rPr>
                <w:rFonts w:ascii="宋体" w:hAnsi="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021A1FB0">
            <w:pPr>
              <w:rPr>
                <w:rFonts w:ascii="宋体" w:hAnsi="宋体"/>
                <w:color w:val="auto"/>
                <w:szCs w:val="21"/>
                <w:highlight w:val="none"/>
              </w:rPr>
            </w:pPr>
            <w:r>
              <w:rPr>
                <w:rFonts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3F3E59B6">
            <w:pPr>
              <w:rPr>
                <w:rFonts w:ascii="宋体" w:hAnsi="宋体"/>
                <w:color w:val="auto"/>
                <w:szCs w:val="21"/>
                <w:highlight w:val="none"/>
              </w:rPr>
            </w:pPr>
            <w:r>
              <w:rPr>
                <w:rFonts w:ascii="宋体" w:hAnsi="宋体"/>
                <w:color w:val="auto"/>
                <w:szCs w:val="21"/>
                <w:highlight w:val="none"/>
              </w:rPr>
              <w:t>1  ……</w:t>
            </w:r>
          </w:p>
          <w:p w14:paraId="56046C7E">
            <w:pPr>
              <w:rPr>
                <w:rFonts w:ascii="宋体" w:hAnsi="宋体"/>
                <w:color w:val="auto"/>
                <w:szCs w:val="21"/>
                <w:highlight w:val="none"/>
              </w:rPr>
            </w:pPr>
            <w:r>
              <w:rPr>
                <w:rFonts w:ascii="宋体" w:hAnsi="宋体"/>
                <w:color w:val="auto"/>
                <w:szCs w:val="21"/>
                <w:highlight w:val="none"/>
              </w:rPr>
              <w:t>2  ……</w:t>
            </w:r>
          </w:p>
          <w:p w14:paraId="02C2F24C">
            <w:pPr>
              <w:rPr>
                <w:rFonts w:ascii="宋体" w:hAnsi="宋体"/>
                <w:color w:val="auto"/>
                <w:szCs w:val="21"/>
                <w:highlight w:val="none"/>
              </w:rPr>
            </w:pPr>
            <w:r>
              <w:rPr>
                <w:rFonts w:ascii="宋体" w:hAnsi="宋体"/>
                <w:color w:val="auto"/>
                <w:szCs w:val="21"/>
                <w:highlight w:val="none"/>
              </w:rPr>
              <w:t>3  ……</w:t>
            </w:r>
          </w:p>
          <w:p w14:paraId="0BD5FCE5">
            <w:pPr>
              <w:rPr>
                <w:rFonts w:ascii="宋体" w:hAnsi="宋体"/>
                <w:color w:val="auto"/>
                <w:szCs w:val="21"/>
                <w:highlight w:val="none"/>
              </w:rPr>
            </w:pPr>
            <w:r>
              <w:rPr>
                <w:rFonts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2B5381E9">
            <w:pPr>
              <w:rPr>
                <w:rFonts w:ascii="宋体" w:hAnsi="宋体"/>
                <w:color w:val="auto"/>
                <w:szCs w:val="21"/>
                <w:highlight w:val="none"/>
              </w:rPr>
            </w:pPr>
            <w:r>
              <w:rPr>
                <w:rFonts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3DAB9244">
            <w:pPr>
              <w:rPr>
                <w:rFonts w:ascii="宋体" w:hAnsi="宋体"/>
                <w:color w:val="auto"/>
                <w:szCs w:val="21"/>
                <w:highlight w:val="none"/>
              </w:rPr>
            </w:pPr>
            <w:r>
              <w:rPr>
                <w:rFonts w:ascii="宋体" w:hAnsi="宋体"/>
                <w:color w:val="auto"/>
                <w:szCs w:val="21"/>
                <w:highlight w:val="none"/>
              </w:rPr>
              <w:t>1  ……</w:t>
            </w:r>
          </w:p>
          <w:p w14:paraId="7A1701FF">
            <w:pPr>
              <w:rPr>
                <w:rFonts w:ascii="宋体" w:hAnsi="宋体"/>
                <w:color w:val="auto"/>
                <w:szCs w:val="21"/>
                <w:highlight w:val="none"/>
              </w:rPr>
            </w:pPr>
            <w:r>
              <w:rPr>
                <w:rFonts w:ascii="宋体" w:hAnsi="宋体"/>
                <w:color w:val="auto"/>
                <w:szCs w:val="21"/>
                <w:highlight w:val="none"/>
              </w:rPr>
              <w:t>2  ……</w:t>
            </w:r>
          </w:p>
          <w:p w14:paraId="5FB47A23">
            <w:pPr>
              <w:rPr>
                <w:rFonts w:ascii="宋体" w:hAnsi="宋体"/>
                <w:color w:val="auto"/>
                <w:szCs w:val="21"/>
                <w:highlight w:val="none"/>
              </w:rPr>
            </w:pPr>
            <w:r>
              <w:rPr>
                <w:rFonts w:ascii="宋体" w:hAnsi="宋体"/>
                <w:color w:val="auto"/>
                <w:szCs w:val="21"/>
                <w:highlight w:val="none"/>
              </w:rPr>
              <w:t>3  ……</w:t>
            </w:r>
          </w:p>
          <w:p w14:paraId="29BE7D23">
            <w:pPr>
              <w:rPr>
                <w:rFonts w:ascii="宋体" w:hAnsi="宋体"/>
                <w:color w:val="auto"/>
                <w:szCs w:val="21"/>
                <w:highlight w:val="none"/>
              </w:rPr>
            </w:pPr>
            <w:r>
              <w:rPr>
                <w:rFonts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0BD37B30">
            <w:pPr>
              <w:rPr>
                <w:rFonts w:ascii="宋体" w:hAnsi="宋体"/>
                <w:color w:val="auto"/>
                <w:szCs w:val="21"/>
                <w:highlight w:val="none"/>
              </w:rPr>
            </w:pPr>
            <w:r>
              <w:rPr>
                <w:rFonts w:hint="eastAsia" w:ascii="宋体" w:hAnsi="宋体"/>
                <w:color w:val="auto"/>
                <w:szCs w:val="21"/>
                <w:highlight w:val="none"/>
              </w:rPr>
              <w:t>正偏离（负偏离或无偏离）</w:t>
            </w:r>
          </w:p>
        </w:tc>
      </w:tr>
      <w:tr w14:paraId="672B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71BF2AA">
            <w:pPr>
              <w:rPr>
                <w:rFonts w:ascii="宋体" w:hAnsi="宋体"/>
                <w:color w:val="auto"/>
                <w:szCs w:val="21"/>
                <w:highlight w:val="none"/>
              </w:rPr>
            </w:pPr>
            <w:r>
              <w:rPr>
                <w:rFonts w:ascii="宋体" w:hAnsi="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26391224">
            <w:pPr>
              <w:rPr>
                <w:rFonts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7679B343">
            <w:pPr>
              <w:rPr>
                <w:rFonts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35DEF66B">
            <w:pPr>
              <w:rPr>
                <w:rFonts w:ascii="宋体" w:hAnsi="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45A0420F">
            <w:pPr>
              <w:rPr>
                <w:rFonts w:ascii="宋体" w:hAnsi="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30131576">
            <w:pPr>
              <w:rPr>
                <w:rFonts w:ascii="宋体" w:hAnsi="宋体"/>
                <w:color w:val="auto"/>
                <w:szCs w:val="21"/>
                <w:highlight w:val="none"/>
              </w:rPr>
            </w:pPr>
          </w:p>
        </w:tc>
      </w:tr>
      <w:tr w14:paraId="6B41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7E3C52CD">
            <w:pPr>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bl>
    <w:p w14:paraId="4B2239E3">
      <w:pPr>
        <w:pStyle w:val="10"/>
        <w:spacing w:line="360" w:lineRule="auto"/>
        <w:rPr>
          <w:rFonts w:hAnsi="宋体"/>
          <w:color w:val="auto"/>
          <w:szCs w:val="21"/>
          <w:highlight w:val="none"/>
        </w:rPr>
      </w:pPr>
      <w:r>
        <w:rPr>
          <w:rFonts w:hint="eastAsia" w:hAnsi="宋体"/>
          <w:color w:val="auto"/>
          <w:szCs w:val="21"/>
          <w:highlight w:val="none"/>
        </w:rPr>
        <w:t>注：</w:t>
      </w:r>
    </w:p>
    <w:p w14:paraId="7B139CBE">
      <w:pPr>
        <w:pStyle w:val="10"/>
        <w:spacing w:line="360" w:lineRule="auto"/>
        <w:rPr>
          <w:rFonts w:hAnsi="宋体"/>
          <w:color w:val="auto"/>
          <w:szCs w:val="21"/>
          <w:highlight w:val="none"/>
        </w:rPr>
      </w:pPr>
      <w:r>
        <w:rPr>
          <w:rFonts w:hint="eastAsia" w:hAnsi="宋体" w:cs="宋体"/>
          <w:color w:val="auto"/>
          <w:szCs w:val="21"/>
          <w:highlight w:val="none"/>
        </w:rPr>
        <w:t>1.</w:t>
      </w:r>
      <w:r>
        <w:rPr>
          <w:rFonts w:hint="eastAsia" w:hAnsi="宋体"/>
          <w:color w:val="auto"/>
          <w:szCs w:val="21"/>
          <w:highlight w:val="none"/>
        </w:rPr>
        <w:t>表格内容均需按要求填写并盖章。</w:t>
      </w:r>
    </w:p>
    <w:p w14:paraId="3A7118B7">
      <w:pPr>
        <w:pStyle w:val="10"/>
        <w:spacing w:line="360" w:lineRule="auto"/>
        <w:rPr>
          <w:rFonts w:hAnsi="宋体"/>
          <w:color w:val="auto"/>
          <w:szCs w:val="21"/>
          <w:highlight w:val="none"/>
        </w:rPr>
      </w:pPr>
      <w:r>
        <w:rPr>
          <w:rFonts w:hint="eastAsia" w:hAnsi="宋体"/>
          <w:bCs/>
          <w:color w:val="auto"/>
          <w:szCs w:val="21"/>
          <w:highlight w:val="none"/>
        </w:rPr>
        <w:t>2.当投标文件的服务内容低于招标文件要求时，投标人应当如实写明</w:t>
      </w:r>
      <w:r>
        <w:rPr>
          <w:rFonts w:hAnsi="宋体"/>
          <w:bCs/>
          <w:color w:val="auto"/>
          <w:szCs w:val="21"/>
          <w:highlight w:val="none"/>
        </w:rPr>
        <w:t>“</w:t>
      </w:r>
      <w:r>
        <w:rPr>
          <w:rFonts w:hint="eastAsia" w:hAnsi="宋体"/>
          <w:bCs/>
          <w:color w:val="auto"/>
          <w:szCs w:val="21"/>
          <w:highlight w:val="none"/>
        </w:rPr>
        <w:t>负偏离</w:t>
      </w:r>
      <w:r>
        <w:rPr>
          <w:rFonts w:hAnsi="宋体"/>
          <w:bCs/>
          <w:color w:val="auto"/>
          <w:szCs w:val="21"/>
          <w:highlight w:val="none"/>
        </w:rPr>
        <w:t>”</w:t>
      </w:r>
      <w:r>
        <w:rPr>
          <w:rFonts w:hint="eastAsia" w:hAnsi="宋体"/>
          <w:bCs/>
          <w:color w:val="auto"/>
          <w:szCs w:val="21"/>
          <w:highlight w:val="none"/>
        </w:rPr>
        <w:t>，否则视为虚假应标。</w:t>
      </w:r>
    </w:p>
    <w:p w14:paraId="1FCDE958">
      <w:pPr>
        <w:pStyle w:val="10"/>
        <w:spacing w:line="360" w:lineRule="auto"/>
        <w:rPr>
          <w:color w:val="auto"/>
          <w:highlight w:val="none"/>
        </w:rPr>
      </w:pPr>
      <w:r>
        <w:rPr>
          <w:rFonts w:hint="eastAsia"/>
          <w:color w:val="auto"/>
          <w:highlight w:val="none"/>
        </w:rPr>
        <w:t>3.</w:t>
      </w:r>
      <w:r>
        <w:rPr>
          <w:rFonts w:hint="eastAsia" w:hAnsi="宋体" w:cs="宋体"/>
          <w:color w:val="auto"/>
          <w:szCs w:val="21"/>
          <w:highlight w:val="none"/>
        </w:rPr>
        <w:t>采购需求中带“▲”及“◆”的条款，也要分别在本表“</w:t>
      </w:r>
      <w:r>
        <w:rPr>
          <w:rFonts w:hint="eastAsia" w:hAnsi="宋体"/>
          <w:color w:val="auto"/>
          <w:szCs w:val="21"/>
          <w:highlight w:val="none"/>
        </w:rPr>
        <w:t>服务参数</w:t>
      </w:r>
      <w:r>
        <w:rPr>
          <w:rFonts w:hint="eastAsia" w:hAnsi="宋体" w:cs="宋体"/>
          <w:color w:val="auto"/>
          <w:szCs w:val="21"/>
          <w:highlight w:val="none"/>
        </w:rPr>
        <w:t>”、“</w:t>
      </w:r>
      <w:r>
        <w:rPr>
          <w:rFonts w:hint="eastAsia" w:hAnsi="宋体"/>
          <w:color w:val="auto"/>
          <w:szCs w:val="21"/>
          <w:highlight w:val="none"/>
        </w:rPr>
        <w:t>所提供服务的内容</w:t>
      </w:r>
      <w:r>
        <w:rPr>
          <w:rFonts w:hint="eastAsia" w:hAnsi="宋体" w:cs="宋体"/>
          <w:color w:val="auto"/>
          <w:szCs w:val="21"/>
          <w:highlight w:val="none"/>
        </w:rPr>
        <w:t>”中标记。</w:t>
      </w:r>
    </w:p>
    <w:p w14:paraId="397D85AC">
      <w:pPr>
        <w:snapToGrid w:val="0"/>
        <w:spacing w:line="360" w:lineRule="auto"/>
        <w:ind w:firstLine="5640" w:firstLineChars="2350"/>
        <w:rPr>
          <w:rFonts w:ascii="仿宋_GB2312" w:hAnsi="仿宋" w:eastAsia="仿宋_GB2312" w:cs="仿宋_GB2312"/>
          <w:color w:val="auto"/>
          <w:kern w:val="0"/>
          <w:sz w:val="24"/>
          <w:highlight w:val="none"/>
          <w:lang w:val="zh-CN"/>
        </w:rPr>
      </w:pPr>
    </w:p>
    <w:p w14:paraId="1F7DF3E0">
      <w:pPr>
        <w:snapToGrid w:val="0"/>
        <w:spacing w:line="360" w:lineRule="auto"/>
        <w:ind w:firstLine="5640" w:firstLineChars="23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3E018A6D">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C285E53">
      <w:pPr>
        <w:snapToGrid w:val="0"/>
        <w:spacing w:before="165" w:beforeLines="50" w:after="50"/>
        <w:ind w:left="143" w:leftChars="68" w:firstLine="600" w:firstLineChars="200"/>
        <w:jc w:val="left"/>
        <w:rPr>
          <w:rFonts w:ascii="宋体" w:hAnsi="宋体"/>
          <w:color w:val="auto"/>
          <w:sz w:val="30"/>
          <w:szCs w:val="20"/>
          <w:highlight w:val="none"/>
        </w:rPr>
        <w:sectPr>
          <w:footerReference r:id="rId21" w:type="first"/>
          <w:headerReference r:id="rId18" w:type="default"/>
          <w:footerReference r:id="rId19" w:type="default"/>
          <w:footerReference r:id="rId20" w:type="even"/>
          <w:pgSz w:w="11906" w:h="16838"/>
          <w:pgMar w:top="1134" w:right="1134" w:bottom="1134" w:left="1134" w:header="720" w:footer="720" w:gutter="0"/>
          <w:cols w:space="720" w:num="1"/>
          <w:docGrid w:type="lines" w:linePitch="331" w:charSpace="0"/>
        </w:sectPr>
      </w:pPr>
    </w:p>
    <w:p w14:paraId="13B7711E">
      <w:pPr>
        <w:snapToGrid w:val="0"/>
        <w:spacing w:before="165" w:beforeLines="50" w:after="50"/>
        <w:jc w:val="center"/>
        <w:rPr>
          <w:b/>
          <w:bCs/>
          <w:color w:val="auto"/>
          <w:sz w:val="30"/>
          <w:szCs w:val="30"/>
          <w:highlight w:val="none"/>
        </w:rPr>
      </w:pPr>
      <w:r>
        <w:rPr>
          <w:rFonts w:hint="eastAsia"/>
          <w:b/>
          <w:bCs/>
          <w:color w:val="auto"/>
          <w:sz w:val="30"/>
          <w:szCs w:val="30"/>
          <w:highlight w:val="none"/>
        </w:rPr>
        <w:t>二、组织服务方案</w:t>
      </w:r>
    </w:p>
    <w:p w14:paraId="7F7B5300">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392C35AA">
      <w:pPr>
        <w:autoSpaceDE w:val="0"/>
        <w:autoSpaceDN w:val="0"/>
        <w:spacing w:line="360" w:lineRule="auto"/>
        <w:jc w:val="center"/>
        <w:rPr>
          <w:rFonts w:ascii="仿宋_GB2312" w:hAnsi="仿宋" w:eastAsia="仿宋_GB2312" w:cs="仿宋_GB2312"/>
          <w:color w:val="auto"/>
          <w:sz w:val="24"/>
          <w:highlight w:val="none"/>
        </w:rPr>
      </w:pPr>
    </w:p>
    <w:p w14:paraId="70138E9A">
      <w:pPr>
        <w:rPr>
          <w:rFonts w:ascii="仿宋_GB2312" w:hAnsi="仿宋" w:eastAsia="仿宋_GB2312" w:cs="仿宋_GB2312"/>
          <w:b/>
          <w:bCs/>
          <w:color w:val="auto"/>
          <w:kern w:val="0"/>
          <w:sz w:val="24"/>
          <w:highlight w:val="none"/>
          <w:lang w:val="zh-CN"/>
        </w:rPr>
      </w:pPr>
    </w:p>
    <w:p w14:paraId="39528D9A">
      <w:pPr>
        <w:rPr>
          <w:rFonts w:ascii="仿宋_GB2312" w:hAnsi="仿宋" w:eastAsia="仿宋_GB2312" w:cs="仿宋_GB2312"/>
          <w:b/>
          <w:bCs/>
          <w:color w:val="auto"/>
          <w:kern w:val="0"/>
          <w:sz w:val="24"/>
          <w:highlight w:val="none"/>
          <w:lang w:val="zh-CN"/>
        </w:rPr>
      </w:pPr>
    </w:p>
    <w:p w14:paraId="2F0F16E7">
      <w:pPr>
        <w:autoSpaceDE w:val="0"/>
        <w:autoSpaceDN w:val="0"/>
        <w:spacing w:line="360" w:lineRule="auto"/>
        <w:ind w:firstLine="4440" w:firstLineChars="18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投标人名称（电子签名）：</w:t>
      </w:r>
    </w:p>
    <w:p w14:paraId="70EE5A1B">
      <w:pPr>
        <w:autoSpaceDE w:val="0"/>
        <w:autoSpaceDN w:val="0"/>
        <w:spacing w:line="360" w:lineRule="auto"/>
        <w:rPr>
          <w:rFonts w:ascii="仿宋_GB2312" w:hAnsi="仿宋" w:eastAsia="仿宋_GB2312" w:cs="仿宋_GB2312"/>
          <w:b/>
          <w:bCs/>
          <w:color w:val="auto"/>
          <w:sz w:val="32"/>
          <w:szCs w:val="32"/>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0303B4E0">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403E9A9D">
      <w:pPr>
        <w:snapToGrid w:val="0"/>
        <w:spacing w:before="165" w:beforeLines="50" w:after="50"/>
        <w:jc w:val="center"/>
        <w:rPr>
          <w:b/>
          <w:bCs/>
          <w:color w:val="auto"/>
          <w:sz w:val="30"/>
          <w:szCs w:val="30"/>
          <w:highlight w:val="none"/>
        </w:rPr>
      </w:pPr>
      <w:r>
        <w:rPr>
          <w:rFonts w:hint="eastAsia"/>
          <w:b/>
          <w:bCs/>
          <w:color w:val="auto"/>
          <w:sz w:val="30"/>
          <w:szCs w:val="30"/>
          <w:highlight w:val="none"/>
        </w:rPr>
        <w:br w:type="page"/>
      </w:r>
      <w:r>
        <w:rPr>
          <w:rFonts w:hint="eastAsia"/>
          <w:b/>
          <w:bCs/>
          <w:color w:val="auto"/>
          <w:sz w:val="30"/>
          <w:szCs w:val="30"/>
          <w:highlight w:val="none"/>
        </w:rPr>
        <w:t>三、售后服务方案</w:t>
      </w:r>
    </w:p>
    <w:p w14:paraId="3CBE5D7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6E1391D0">
      <w:pPr>
        <w:snapToGrid w:val="0"/>
        <w:spacing w:before="165"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1、售后服务承诺</w:t>
      </w:r>
    </w:p>
    <w:p w14:paraId="7FCDC9A0">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附表A：售后服务机构情况表</w:t>
      </w:r>
      <w:r>
        <w:rPr>
          <w:rFonts w:hint="eastAsia" w:ascii="仿宋_GB2312" w:hAnsi="仿宋" w:eastAsia="仿宋_GB2312" w:cs="仿宋_GB2312"/>
          <w:color w:val="auto"/>
          <w:sz w:val="24"/>
          <w:highlight w:val="none"/>
        </w:rPr>
        <w:t>（按此格式自制）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2AD4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4BD0314">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340" w:type="dxa"/>
          </w:tcPr>
          <w:p w14:paraId="322BC4CC">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095" w:type="dxa"/>
          </w:tcPr>
          <w:p w14:paraId="5429983B">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45" w:type="dxa"/>
          </w:tcPr>
          <w:p w14:paraId="5AC1EC45">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980" w:type="dxa"/>
          </w:tcPr>
          <w:p w14:paraId="5C91EEED">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服务技术人员数量</w:t>
            </w:r>
          </w:p>
        </w:tc>
        <w:tc>
          <w:tcPr>
            <w:tcW w:w="1260" w:type="dxa"/>
          </w:tcPr>
          <w:p w14:paraId="6587EE76">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14:paraId="557B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260919C">
            <w:pPr>
              <w:autoSpaceDE w:val="0"/>
              <w:autoSpaceDN w:val="0"/>
              <w:spacing w:line="360" w:lineRule="auto"/>
              <w:jc w:val="center"/>
              <w:rPr>
                <w:rFonts w:ascii="仿宋_GB2312" w:hAnsi="仿宋" w:eastAsia="仿宋_GB2312" w:cs="仿宋_GB2312"/>
                <w:color w:val="auto"/>
                <w:sz w:val="24"/>
                <w:highlight w:val="none"/>
              </w:rPr>
            </w:pPr>
          </w:p>
        </w:tc>
        <w:tc>
          <w:tcPr>
            <w:tcW w:w="2340" w:type="dxa"/>
          </w:tcPr>
          <w:p w14:paraId="6DBEC711">
            <w:pPr>
              <w:autoSpaceDE w:val="0"/>
              <w:autoSpaceDN w:val="0"/>
              <w:spacing w:line="360" w:lineRule="auto"/>
              <w:jc w:val="center"/>
              <w:rPr>
                <w:rFonts w:ascii="仿宋_GB2312" w:hAnsi="仿宋" w:eastAsia="仿宋_GB2312" w:cs="仿宋_GB2312"/>
                <w:color w:val="auto"/>
                <w:sz w:val="24"/>
                <w:highlight w:val="none"/>
              </w:rPr>
            </w:pPr>
          </w:p>
        </w:tc>
        <w:tc>
          <w:tcPr>
            <w:tcW w:w="1095" w:type="dxa"/>
          </w:tcPr>
          <w:p w14:paraId="4AE7B642">
            <w:pPr>
              <w:autoSpaceDE w:val="0"/>
              <w:autoSpaceDN w:val="0"/>
              <w:spacing w:line="360" w:lineRule="auto"/>
              <w:jc w:val="center"/>
              <w:rPr>
                <w:rFonts w:ascii="仿宋_GB2312" w:hAnsi="仿宋" w:eastAsia="仿宋_GB2312" w:cs="仿宋_GB2312"/>
                <w:color w:val="auto"/>
                <w:sz w:val="24"/>
                <w:highlight w:val="none"/>
              </w:rPr>
            </w:pPr>
          </w:p>
        </w:tc>
        <w:tc>
          <w:tcPr>
            <w:tcW w:w="1245" w:type="dxa"/>
          </w:tcPr>
          <w:p w14:paraId="3647EF26">
            <w:pPr>
              <w:autoSpaceDE w:val="0"/>
              <w:autoSpaceDN w:val="0"/>
              <w:spacing w:line="360" w:lineRule="auto"/>
              <w:jc w:val="center"/>
              <w:rPr>
                <w:rFonts w:ascii="仿宋_GB2312" w:hAnsi="仿宋" w:eastAsia="仿宋_GB2312" w:cs="仿宋_GB2312"/>
                <w:color w:val="auto"/>
                <w:sz w:val="24"/>
                <w:highlight w:val="none"/>
              </w:rPr>
            </w:pPr>
          </w:p>
        </w:tc>
        <w:tc>
          <w:tcPr>
            <w:tcW w:w="1980" w:type="dxa"/>
          </w:tcPr>
          <w:p w14:paraId="00AE513C">
            <w:pPr>
              <w:autoSpaceDE w:val="0"/>
              <w:autoSpaceDN w:val="0"/>
              <w:spacing w:line="360" w:lineRule="auto"/>
              <w:jc w:val="center"/>
              <w:rPr>
                <w:rFonts w:ascii="仿宋_GB2312" w:hAnsi="仿宋" w:eastAsia="仿宋_GB2312" w:cs="仿宋_GB2312"/>
                <w:color w:val="auto"/>
                <w:sz w:val="24"/>
                <w:highlight w:val="none"/>
              </w:rPr>
            </w:pPr>
          </w:p>
        </w:tc>
        <w:tc>
          <w:tcPr>
            <w:tcW w:w="1260" w:type="dxa"/>
          </w:tcPr>
          <w:p w14:paraId="3A6F28C3">
            <w:pPr>
              <w:autoSpaceDE w:val="0"/>
              <w:autoSpaceDN w:val="0"/>
              <w:spacing w:line="360" w:lineRule="auto"/>
              <w:jc w:val="center"/>
              <w:rPr>
                <w:rFonts w:ascii="仿宋_GB2312" w:hAnsi="仿宋" w:eastAsia="仿宋_GB2312" w:cs="仿宋_GB2312"/>
                <w:color w:val="auto"/>
                <w:sz w:val="24"/>
                <w:highlight w:val="none"/>
              </w:rPr>
            </w:pPr>
          </w:p>
        </w:tc>
      </w:tr>
      <w:tr w14:paraId="4689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328F3FF">
            <w:pPr>
              <w:autoSpaceDE w:val="0"/>
              <w:autoSpaceDN w:val="0"/>
              <w:spacing w:line="360" w:lineRule="auto"/>
              <w:jc w:val="center"/>
              <w:rPr>
                <w:rFonts w:ascii="仿宋_GB2312" w:hAnsi="仿宋" w:eastAsia="仿宋_GB2312" w:cs="仿宋_GB2312"/>
                <w:color w:val="auto"/>
                <w:sz w:val="24"/>
                <w:highlight w:val="none"/>
              </w:rPr>
            </w:pPr>
          </w:p>
        </w:tc>
        <w:tc>
          <w:tcPr>
            <w:tcW w:w="2340" w:type="dxa"/>
          </w:tcPr>
          <w:p w14:paraId="55252B91">
            <w:pPr>
              <w:autoSpaceDE w:val="0"/>
              <w:autoSpaceDN w:val="0"/>
              <w:spacing w:line="360" w:lineRule="auto"/>
              <w:jc w:val="center"/>
              <w:rPr>
                <w:rFonts w:ascii="仿宋_GB2312" w:hAnsi="仿宋" w:eastAsia="仿宋_GB2312" w:cs="仿宋_GB2312"/>
                <w:color w:val="auto"/>
                <w:sz w:val="24"/>
                <w:highlight w:val="none"/>
              </w:rPr>
            </w:pPr>
          </w:p>
        </w:tc>
        <w:tc>
          <w:tcPr>
            <w:tcW w:w="1095" w:type="dxa"/>
          </w:tcPr>
          <w:p w14:paraId="0E0540C8">
            <w:pPr>
              <w:autoSpaceDE w:val="0"/>
              <w:autoSpaceDN w:val="0"/>
              <w:spacing w:line="360" w:lineRule="auto"/>
              <w:jc w:val="center"/>
              <w:rPr>
                <w:rFonts w:ascii="仿宋_GB2312" w:hAnsi="仿宋" w:eastAsia="仿宋_GB2312" w:cs="仿宋_GB2312"/>
                <w:color w:val="auto"/>
                <w:sz w:val="24"/>
                <w:highlight w:val="none"/>
              </w:rPr>
            </w:pPr>
          </w:p>
        </w:tc>
        <w:tc>
          <w:tcPr>
            <w:tcW w:w="1245" w:type="dxa"/>
          </w:tcPr>
          <w:p w14:paraId="7A9300BC">
            <w:pPr>
              <w:autoSpaceDE w:val="0"/>
              <w:autoSpaceDN w:val="0"/>
              <w:spacing w:line="360" w:lineRule="auto"/>
              <w:jc w:val="center"/>
              <w:rPr>
                <w:rFonts w:ascii="仿宋_GB2312" w:hAnsi="仿宋" w:eastAsia="仿宋_GB2312" w:cs="仿宋_GB2312"/>
                <w:color w:val="auto"/>
                <w:sz w:val="24"/>
                <w:highlight w:val="none"/>
              </w:rPr>
            </w:pPr>
          </w:p>
        </w:tc>
        <w:tc>
          <w:tcPr>
            <w:tcW w:w="1980" w:type="dxa"/>
          </w:tcPr>
          <w:p w14:paraId="74902275">
            <w:pPr>
              <w:autoSpaceDE w:val="0"/>
              <w:autoSpaceDN w:val="0"/>
              <w:spacing w:line="360" w:lineRule="auto"/>
              <w:jc w:val="center"/>
              <w:rPr>
                <w:rFonts w:ascii="仿宋_GB2312" w:hAnsi="仿宋" w:eastAsia="仿宋_GB2312" w:cs="仿宋_GB2312"/>
                <w:color w:val="auto"/>
                <w:sz w:val="24"/>
                <w:highlight w:val="none"/>
              </w:rPr>
            </w:pPr>
          </w:p>
        </w:tc>
        <w:tc>
          <w:tcPr>
            <w:tcW w:w="1260" w:type="dxa"/>
          </w:tcPr>
          <w:p w14:paraId="5886CD93">
            <w:pPr>
              <w:autoSpaceDE w:val="0"/>
              <w:autoSpaceDN w:val="0"/>
              <w:spacing w:line="360" w:lineRule="auto"/>
              <w:jc w:val="center"/>
              <w:rPr>
                <w:rFonts w:ascii="仿宋_GB2312" w:hAnsi="仿宋" w:eastAsia="仿宋_GB2312" w:cs="仿宋_GB2312"/>
                <w:color w:val="auto"/>
                <w:sz w:val="24"/>
                <w:highlight w:val="none"/>
              </w:rPr>
            </w:pPr>
          </w:p>
        </w:tc>
      </w:tr>
      <w:tr w14:paraId="1ACF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19968B1">
            <w:pPr>
              <w:autoSpaceDE w:val="0"/>
              <w:autoSpaceDN w:val="0"/>
              <w:spacing w:line="360" w:lineRule="auto"/>
              <w:jc w:val="center"/>
              <w:rPr>
                <w:rFonts w:ascii="仿宋_GB2312" w:hAnsi="仿宋" w:eastAsia="仿宋_GB2312" w:cs="仿宋_GB2312"/>
                <w:color w:val="auto"/>
                <w:sz w:val="24"/>
                <w:highlight w:val="none"/>
              </w:rPr>
            </w:pPr>
          </w:p>
        </w:tc>
        <w:tc>
          <w:tcPr>
            <w:tcW w:w="2340" w:type="dxa"/>
          </w:tcPr>
          <w:p w14:paraId="155221D9">
            <w:pPr>
              <w:autoSpaceDE w:val="0"/>
              <w:autoSpaceDN w:val="0"/>
              <w:spacing w:line="360" w:lineRule="auto"/>
              <w:jc w:val="center"/>
              <w:rPr>
                <w:rFonts w:ascii="仿宋_GB2312" w:hAnsi="仿宋" w:eastAsia="仿宋_GB2312" w:cs="仿宋_GB2312"/>
                <w:color w:val="auto"/>
                <w:sz w:val="24"/>
                <w:highlight w:val="none"/>
              </w:rPr>
            </w:pPr>
          </w:p>
        </w:tc>
        <w:tc>
          <w:tcPr>
            <w:tcW w:w="1095" w:type="dxa"/>
          </w:tcPr>
          <w:p w14:paraId="0AE9499E">
            <w:pPr>
              <w:autoSpaceDE w:val="0"/>
              <w:autoSpaceDN w:val="0"/>
              <w:spacing w:line="360" w:lineRule="auto"/>
              <w:jc w:val="center"/>
              <w:rPr>
                <w:rFonts w:ascii="仿宋_GB2312" w:hAnsi="仿宋" w:eastAsia="仿宋_GB2312" w:cs="仿宋_GB2312"/>
                <w:color w:val="auto"/>
                <w:sz w:val="24"/>
                <w:highlight w:val="none"/>
              </w:rPr>
            </w:pPr>
          </w:p>
        </w:tc>
        <w:tc>
          <w:tcPr>
            <w:tcW w:w="1245" w:type="dxa"/>
          </w:tcPr>
          <w:p w14:paraId="32B9E653">
            <w:pPr>
              <w:autoSpaceDE w:val="0"/>
              <w:autoSpaceDN w:val="0"/>
              <w:spacing w:line="360" w:lineRule="auto"/>
              <w:jc w:val="center"/>
              <w:rPr>
                <w:rFonts w:ascii="仿宋_GB2312" w:hAnsi="仿宋" w:eastAsia="仿宋_GB2312" w:cs="仿宋_GB2312"/>
                <w:color w:val="auto"/>
                <w:sz w:val="24"/>
                <w:highlight w:val="none"/>
              </w:rPr>
            </w:pPr>
          </w:p>
        </w:tc>
        <w:tc>
          <w:tcPr>
            <w:tcW w:w="1980" w:type="dxa"/>
          </w:tcPr>
          <w:p w14:paraId="20C5D346">
            <w:pPr>
              <w:autoSpaceDE w:val="0"/>
              <w:autoSpaceDN w:val="0"/>
              <w:spacing w:line="360" w:lineRule="auto"/>
              <w:jc w:val="center"/>
              <w:rPr>
                <w:rFonts w:ascii="仿宋_GB2312" w:hAnsi="仿宋" w:eastAsia="仿宋_GB2312" w:cs="仿宋_GB2312"/>
                <w:color w:val="auto"/>
                <w:sz w:val="24"/>
                <w:highlight w:val="none"/>
              </w:rPr>
            </w:pPr>
          </w:p>
        </w:tc>
        <w:tc>
          <w:tcPr>
            <w:tcW w:w="1260" w:type="dxa"/>
          </w:tcPr>
          <w:p w14:paraId="6046E517">
            <w:pPr>
              <w:autoSpaceDE w:val="0"/>
              <w:autoSpaceDN w:val="0"/>
              <w:spacing w:line="360" w:lineRule="auto"/>
              <w:jc w:val="center"/>
              <w:rPr>
                <w:rFonts w:ascii="仿宋_GB2312" w:hAnsi="仿宋" w:eastAsia="仿宋_GB2312" w:cs="仿宋_GB2312"/>
                <w:color w:val="auto"/>
                <w:sz w:val="24"/>
                <w:highlight w:val="none"/>
              </w:rPr>
            </w:pPr>
          </w:p>
        </w:tc>
      </w:tr>
    </w:tbl>
    <w:p w14:paraId="295B26CA">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注：关于项目涉及的所有售后服务机构均在本表注明，包括投标人本单位和符合条件的第三方服务机构；</w:t>
      </w:r>
    </w:p>
    <w:p w14:paraId="28EBD6D2">
      <w:pPr>
        <w:autoSpaceDE w:val="0"/>
        <w:autoSpaceDN w:val="0"/>
        <w:spacing w:line="360" w:lineRule="auto"/>
        <w:rPr>
          <w:rFonts w:ascii="仿宋_GB2312" w:hAnsi="仿宋" w:eastAsia="仿宋_GB2312" w:cs="仿宋_GB2312"/>
          <w:color w:val="auto"/>
          <w:kern w:val="0"/>
          <w:sz w:val="24"/>
          <w:highlight w:val="none"/>
        </w:rPr>
      </w:pPr>
    </w:p>
    <w:p w14:paraId="7A9CFC0B">
      <w:pPr>
        <w:autoSpaceDE w:val="0"/>
        <w:autoSpaceDN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附表B：售后服务人员情况表</w:t>
      </w:r>
      <w:r>
        <w:rPr>
          <w:rFonts w:hint="eastAsia" w:ascii="仿宋_GB2312" w:hAnsi="仿宋" w:eastAsia="仿宋_GB2312" w:cs="仿宋_GB2312"/>
          <w:color w:val="auto"/>
          <w:sz w:val="24"/>
          <w:highlight w:val="none"/>
        </w:rPr>
        <w:t>（按此格式自制）</w:t>
      </w:r>
    </w:p>
    <w:tbl>
      <w:tblPr>
        <w:tblStyle w:val="20"/>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2C9F7818">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737E365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p w14:paraId="4BF6B93C">
            <w:pPr>
              <w:autoSpaceDE w:val="0"/>
              <w:autoSpaceDN w:val="0"/>
              <w:spacing w:line="360" w:lineRule="auto"/>
              <w:jc w:val="center"/>
              <w:rPr>
                <w:rFonts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532D1DB8">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04D9FD68">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9DB1EED">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263E4104">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D5104E7">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6835F293">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78A7D760">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59FE863E">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1470E8D8">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4AA164A9">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14:paraId="1D9907EC">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CCEFC3E">
            <w:pPr>
              <w:autoSpaceDE w:val="0"/>
              <w:autoSpaceDN w:val="0"/>
              <w:spacing w:line="360" w:lineRule="auto"/>
              <w:jc w:val="center"/>
              <w:rPr>
                <w:rFonts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BAFDA53">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1457691D">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8683188">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04130DB">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FFC2489">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71299F3">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FA8D49E">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AF1AD54">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49359FD">
            <w:pPr>
              <w:autoSpaceDE w:val="0"/>
              <w:autoSpaceDN w:val="0"/>
              <w:spacing w:line="360" w:lineRule="auto"/>
              <w:rPr>
                <w:rFonts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33F01D19">
            <w:pPr>
              <w:autoSpaceDE w:val="0"/>
              <w:autoSpaceDN w:val="0"/>
              <w:spacing w:line="360" w:lineRule="auto"/>
              <w:rPr>
                <w:rFonts w:ascii="仿宋_GB2312" w:hAnsi="仿宋" w:eastAsia="仿宋_GB2312" w:cs="仿宋_GB2312"/>
                <w:color w:val="auto"/>
                <w:sz w:val="24"/>
                <w:highlight w:val="none"/>
              </w:rPr>
            </w:pPr>
          </w:p>
        </w:tc>
      </w:tr>
      <w:tr w14:paraId="0DF7484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12D1B949">
            <w:pPr>
              <w:autoSpaceDE w:val="0"/>
              <w:autoSpaceDN w:val="0"/>
              <w:spacing w:line="360" w:lineRule="auto"/>
              <w:jc w:val="center"/>
              <w:rPr>
                <w:rFonts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2BDE31D">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19BE8EDA">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E7B0754">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0D4FBF5">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5D2A2B2">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B86574">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918BE01">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53DDBF1">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12B9381">
            <w:pPr>
              <w:autoSpaceDE w:val="0"/>
              <w:autoSpaceDN w:val="0"/>
              <w:spacing w:line="360" w:lineRule="auto"/>
              <w:rPr>
                <w:rFonts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FC6855E">
            <w:pPr>
              <w:autoSpaceDE w:val="0"/>
              <w:autoSpaceDN w:val="0"/>
              <w:spacing w:line="360" w:lineRule="auto"/>
              <w:rPr>
                <w:rFonts w:ascii="仿宋_GB2312" w:hAnsi="仿宋" w:eastAsia="仿宋_GB2312" w:cs="仿宋_GB2312"/>
                <w:color w:val="auto"/>
                <w:sz w:val="24"/>
                <w:highlight w:val="none"/>
              </w:rPr>
            </w:pPr>
          </w:p>
        </w:tc>
      </w:tr>
      <w:tr w14:paraId="648AC47A">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29BCF09">
            <w:pPr>
              <w:autoSpaceDE w:val="0"/>
              <w:autoSpaceDN w:val="0"/>
              <w:spacing w:line="360" w:lineRule="auto"/>
              <w:jc w:val="center"/>
              <w:rPr>
                <w:rFonts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0E627BEB">
            <w:pPr>
              <w:autoSpaceDE w:val="0"/>
              <w:autoSpaceDN w:val="0"/>
              <w:spacing w:line="360" w:lineRule="auto"/>
              <w:jc w:val="center"/>
              <w:rPr>
                <w:rFonts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3388C35">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B67C30A">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6B24527">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013BFEF">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0B71AB3">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B882E00">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259A232">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3B03D19">
            <w:pPr>
              <w:autoSpaceDE w:val="0"/>
              <w:autoSpaceDN w:val="0"/>
              <w:spacing w:line="360" w:lineRule="auto"/>
              <w:rPr>
                <w:rFonts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B248EE6">
            <w:pPr>
              <w:autoSpaceDE w:val="0"/>
              <w:autoSpaceDN w:val="0"/>
              <w:spacing w:line="360" w:lineRule="auto"/>
              <w:rPr>
                <w:rFonts w:ascii="仿宋_GB2312" w:hAnsi="仿宋" w:eastAsia="仿宋_GB2312" w:cs="仿宋_GB2312"/>
                <w:color w:val="auto"/>
                <w:sz w:val="24"/>
                <w:highlight w:val="none"/>
              </w:rPr>
            </w:pPr>
          </w:p>
        </w:tc>
      </w:tr>
      <w:tr w14:paraId="4DA0995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AA05BA1">
            <w:pPr>
              <w:autoSpaceDE w:val="0"/>
              <w:autoSpaceDN w:val="0"/>
              <w:spacing w:line="360" w:lineRule="auto"/>
              <w:jc w:val="center"/>
              <w:rPr>
                <w:rFonts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4E80B20">
            <w:pPr>
              <w:autoSpaceDE w:val="0"/>
              <w:autoSpaceDN w:val="0"/>
              <w:spacing w:line="360" w:lineRule="auto"/>
              <w:jc w:val="center"/>
              <w:rPr>
                <w:rFonts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4FFAA15">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F2CD135">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628F1C">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118E923">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3B48D87">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0A63528">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3521EF3">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07A498D">
            <w:pPr>
              <w:autoSpaceDE w:val="0"/>
              <w:autoSpaceDN w:val="0"/>
              <w:spacing w:line="360" w:lineRule="auto"/>
              <w:rPr>
                <w:rFonts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E646C6E">
            <w:pPr>
              <w:autoSpaceDE w:val="0"/>
              <w:autoSpaceDN w:val="0"/>
              <w:spacing w:line="360" w:lineRule="auto"/>
              <w:rPr>
                <w:rFonts w:ascii="仿宋_GB2312" w:hAnsi="仿宋" w:eastAsia="仿宋_GB2312" w:cs="仿宋_GB2312"/>
                <w:color w:val="auto"/>
                <w:sz w:val="24"/>
                <w:highlight w:val="none"/>
              </w:rPr>
            </w:pPr>
          </w:p>
        </w:tc>
      </w:tr>
    </w:tbl>
    <w:p w14:paraId="25288A16">
      <w:pPr>
        <w:snapToGrid w:val="0"/>
        <w:spacing w:before="165" w:beforeLines="50" w:after="50"/>
        <w:ind w:left="142"/>
        <w:jc w:val="center"/>
        <w:rPr>
          <w:rFonts w:ascii="宋体" w:hAnsi="宋体"/>
          <w:b/>
          <w:color w:val="auto"/>
          <w:sz w:val="32"/>
          <w:szCs w:val="32"/>
          <w:highlight w:val="none"/>
        </w:rPr>
      </w:pPr>
    </w:p>
    <w:p w14:paraId="1F4626CA">
      <w:pPr>
        <w:snapToGrid w:val="0"/>
        <w:spacing w:before="165" w:beforeLines="50" w:line="360" w:lineRule="auto"/>
        <w:ind w:right="480" w:firstLine="3967" w:firstLineChars="1653"/>
        <w:rPr>
          <w:rFonts w:ascii="宋体" w:hAnsi="宋体"/>
          <w:color w:val="auto"/>
          <w:sz w:val="24"/>
          <w:highlight w:val="none"/>
        </w:rPr>
      </w:pPr>
    </w:p>
    <w:p w14:paraId="614AE115">
      <w:pPr>
        <w:snapToGrid w:val="0"/>
        <w:spacing w:line="360" w:lineRule="auto"/>
        <w:ind w:firstLine="5160" w:firstLineChars="21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0A9CA55">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CC3E157">
      <w:pPr>
        <w:spacing w:line="360" w:lineRule="auto"/>
        <w:ind w:firstLine="4048" w:firstLineChars="1687"/>
        <w:rPr>
          <w:rFonts w:ascii="宋体" w:hAnsi="宋体"/>
          <w:color w:val="auto"/>
          <w:sz w:val="24"/>
          <w:highlight w:val="none"/>
        </w:rPr>
        <w:sectPr>
          <w:pgSz w:w="11906" w:h="16838"/>
          <w:pgMar w:top="1134" w:right="1134" w:bottom="1134" w:left="1134" w:header="720" w:footer="720" w:gutter="0"/>
          <w:cols w:space="720" w:num="1"/>
          <w:docGrid w:type="lines" w:linePitch="331" w:charSpace="0"/>
        </w:sectPr>
      </w:pPr>
    </w:p>
    <w:p w14:paraId="61A8A4DD">
      <w:pPr>
        <w:snapToGrid w:val="0"/>
        <w:spacing w:before="165"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四、项目实施人员一览表</w:t>
      </w:r>
    </w:p>
    <w:p w14:paraId="1DC99F75">
      <w:pPr>
        <w:spacing w:line="360" w:lineRule="auto"/>
        <w:jc w:val="center"/>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（由投标人根据采购需求及招标文件要求自行编制）</w:t>
      </w:r>
    </w:p>
    <w:p w14:paraId="5AF717EE">
      <w:pPr>
        <w:pStyle w:val="10"/>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p w14:paraId="545DE9CA">
      <w:pPr>
        <w:keepNext/>
        <w:autoSpaceDE w:val="0"/>
        <w:autoSpaceDN w:val="0"/>
        <w:spacing w:line="360" w:lineRule="auto"/>
        <w:ind w:firstLine="477"/>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附表A：本项目的项目负责人情况表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14:paraId="5382D231">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1DECC8A">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4B59A206">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8A99C7E">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2DE55F39">
            <w:pPr>
              <w:autoSpaceDE w:val="0"/>
              <w:autoSpaceDN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投标截止时间前三年业绩及承担的主要工作情况，曾担任项目负责人的项目应列明细</w:t>
            </w:r>
          </w:p>
        </w:tc>
      </w:tr>
      <w:tr w14:paraId="22E6A56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CC67C63">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59ED2F5">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790FD78B">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6FCCE7D4">
            <w:pPr>
              <w:autoSpaceDE w:val="0"/>
              <w:autoSpaceDN w:val="0"/>
              <w:spacing w:line="360" w:lineRule="auto"/>
              <w:jc w:val="center"/>
              <w:rPr>
                <w:rFonts w:ascii="仿宋_GB2312" w:hAnsi="仿宋" w:eastAsia="仿宋_GB2312" w:cs="仿宋_GB2312"/>
                <w:color w:val="auto"/>
                <w:sz w:val="24"/>
                <w:highlight w:val="none"/>
              </w:rPr>
            </w:pPr>
          </w:p>
        </w:tc>
      </w:tr>
      <w:tr w14:paraId="61816DB0">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56538B8">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73D9076">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FDBB963">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B63DF7D">
            <w:pPr>
              <w:autoSpaceDE w:val="0"/>
              <w:autoSpaceDN w:val="0"/>
              <w:spacing w:line="360" w:lineRule="auto"/>
              <w:jc w:val="center"/>
              <w:rPr>
                <w:rFonts w:ascii="仿宋_GB2312" w:hAnsi="仿宋" w:eastAsia="仿宋_GB2312" w:cs="仿宋_GB2312"/>
                <w:color w:val="auto"/>
                <w:sz w:val="24"/>
                <w:highlight w:val="none"/>
              </w:rPr>
            </w:pPr>
          </w:p>
        </w:tc>
      </w:tr>
      <w:tr w14:paraId="66C0756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D59EA6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3D81653A">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81541AE">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285815C">
            <w:pPr>
              <w:autoSpaceDE w:val="0"/>
              <w:autoSpaceDN w:val="0"/>
              <w:spacing w:line="360" w:lineRule="auto"/>
              <w:jc w:val="center"/>
              <w:rPr>
                <w:rFonts w:ascii="仿宋_GB2312" w:hAnsi="仿宋" w:eastAsia="仿宋_GB2312" w:cs="仿宋_GB2312"/>
                <w:color w:val="auto"/>
                <w:sz w:val="24"/>
                <w:highlight w:val="none"/>
              </w:rPr>
            </w:pPr>
          </w:p>
        </w:tc>
      </w:tr>
      <w:tr w14:paraId="0C89E8C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0648EC5">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2CC5BE56">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923A783">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7DE0C48">
            <w:pPr>
              <w:autoSpaceDE w:val="0"/>
              <w:autoSpaceDN w:val="0"/>
              <w:spacing w:line="360" w:lineRule="auto"/>
              <w:jc w:val="center"/>
              <w:rPr>
                <w:rFonts w:ascii="仿宋_GB2312" w:hAnsi="仿宋" w:eastAsia="仿宋_GB2312" w:cs="仿宋_GB2312"/>
                <w:color w:val="auto"/>
                <w:sz w:val="24"/>
                <w:highlight w:val="none"/>
              </w:rPr>
            </w:pPr>
          </w:p>
        </w:tc>
      </w:tr>
      <w:tr w14:paraId="639A3E8B">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1B39367">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012A94FD">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9A254B9">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3991A7E">
            <w:pPr>
              <w:autoSpaceDE w:val="0"/>
              <w:autoSpaceDN w:val="0"/>
              <w:spacing w:line="360" w:lineRule="auto"/>
              <w:jc w:val="center"/>
              <w:rPr>
                <w:rFonts w:ascii="仿宋_GB2312" w:hAnsi="仿宋" w:eastAsia="仿宋_GB2312" w:cs="仿宋_GB2312"/>
                <w:color w:val="auto"/>
                <w:sz w:val="24"/>
                <w:highlight w:val="none"/>
              </w:rPr>
            </w:pPr>
          </w:p>
        </w:tc>
      </w:tr>
      <w:tr w14:paraId="14948C3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2F5E547B">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0DBC16F">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998957F">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DABD845">
            <w:pPr>
              <w:autoSpaceDE w:val="0"/>
              <w:autoSpaceDN w:val="0"/>
              <w:spacing w:line="360" w:lineRule="auto"/>
              <w:jc w:val="center"/>
              <w:rPr>
                <w:rFonts w:ascii="仿宋_GB2312" w:hAnsi="仿宋" w:eastAsia="仿宋_GB2312" w:cs="仿宋_GB2312"/>
                <w:color w:val="auto"/>
                <w:sz w:val="24"/>
                <w:highlight w:val="none"/>
              </w:rPr>
            </w:pPr>
          </w:p>
        </w:tc>
      </w:tr>
      <w:tr w14:paraId="7BB89A9E">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21D3AF7D">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510006E8">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915CA7A">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40555C8">
            <w:pPr>
              <w:autoSpaceDE w:val="0"/>
              <w:autoSpaceDN w:val="0"/>
              <w:spacing w:line="360" w:lineRule="auto"/>
              <w:jc w:val="center"/>
              <w:rPr>
                <w:rFonts w:ascii="仿宋_GB2312" w:hAnsi="仿宋" w:eastAsia="仿宋_GB2312" w:cs="仿宋_GB2312"/>
                <w:color w:val="auto"/>
                <w:sz w:val="24"/>
                <w:highlight w:val="none"/>
              </w:rPr>
            </w:pPr>
          </w:p>
        </w:tc>
      </w:tr>
      <w:tr w14:paraId="5ABDAAEF">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74108BBE">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39CDEB0A">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BBEB194">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DAF5787">
            <w:pPr>
              <w:autoSpaceDE w:val="0"/>
              <w:autoSpaceDN w:val="0"/>
              <w:spacing w:line="360" w:lineRule="auto"/>
              <w:jc w:val="center"/>
              <w:rPr>
                <w:rFonts w:ascii="仿宋_GB2312" w:hAnsi="仿宋" w:eastAsia="仿宋_GB2312" w:cs="仿宋_GB2312"/>
                <w:color w:val="auto"/>
                <w:sz w:val="24"/>
                <w:highlight w:val="none"/>
              </w:rPr>
            </w:pPr>
          </w:p>
        </w:tc>
      </w:tr>
      <w:tr w14:paraId="6F608168">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9538B4F">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5143289">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2E38DA3">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EBD4DD9">
            <w:pPr>
              <w:autoSpaceDE w:val="0"/>
              <w:autoSpaceDN w:val="0"/>
              <w:spacing w:line="360" w:lineRule="auto"/>
              <w:jc w:val="center"/>
              <w:rPr>
                <w:rFonts w:ascii="仿宋_GB2312" w:hAnsi="仿宋" w:eastAsia="仿宋_GB2312" w:cs="仿宋_GB2312"/>
                <w:color w:val="auto"/>
                <w:sz w:val="24"/>
                <w:highlight w:val="none"/>
              </w:rPr>
            </w:pPr>
          </w:p>
        </w:tc>
      </w:tr>
    </w:tbl>
    <w:p w14:paraId="64516233">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注：如有请随表提交相应的证书复印件。</w:t>
      </w:r>
    </w:p>
    <w:p w14:paraId="21311C44">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（按此格式自制）</w:t>
      </w:r>
    </w:p>
    <w:tbl>
      <w:tblPr>
        <w:tblStyle w:val="20"/>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21B2540">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4161918">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ECD96FF">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026700F">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DA5A47F">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6A48D0E">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14:paraId="61C4300B">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E740DA8">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14:paraId="053CC2F2">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70F7A63">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14:paraId="77D6CB7A">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6490B46">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B422AF6">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476F17C">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766422E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670BDD3">
            <w:pPr>
              <w:autoSpaceDE w:val="0"/>
              <w:autoSpaceDN w:val="0"/>
              <w:spacing w:line="360" w:lineRule="auto"/>
              <w:jc w:val="center"/>
              <w:rPr>
                <w:rFonts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E2F1CA0">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069D8DB">
            <w:pPr>
              <w:autoSpaceDE w:val="0"/>
              <w:autoSpaceDN w:val="0"/>
              <w:spacing w:line="360" w:lineRule="auto"/>
              <w:rPr>
                <w:rFonts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7B0FBE9">
            <w:pPr>
              <w:autoSpaceDE w:val="0"/>
              <w:autoSpaceDN w:val="0"/>
              <w:spacing w:line="360" w:lineRule="auto"/>
              <w:rPr>
                <w:rFonts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BBCF5E1">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B31A994">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B4381E2">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7DAA340">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9B5BA86">
            <w:pPr>
              <w:autoSpaceDE w:val="0"/>
              <w:autoSpaceDN w:val="0"/>
              <w:spacing w:line="360" w:lineRule="auto"/>
              <w:rPr>
                <w:rFonts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BC16C49">
            <w:pPr>
              <w:autoSpaceDE w:val="0"/>
              <w:autoSpaceDN w:val="0"/>
              <w:spacing w:line="360" w:lineRule="auto"/>
              <w:rPr>
                <w:rFonts w:ascii="仿宋_GB2312" w:hAnsi="仿宋" w:eastAsia="仿宋_GB2312" w:cs="仿宋_GB2312"/>
                <w:color w:val="auto"/>
                <w:sz w:val="24"/>
                <w:highlight w:val="none"/>
              </w:rPr>
            </w:pPr>
          </w:p>
        </w:tc>
      </w:tr>
      <w:tr w14:paraId="165B0DB6">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7A9BF7D1">
            <w:pPr>
              <w:autoSpaceDE w:val="0"/>
              <w:autoSpaceDN w:val="0"/>
              <w:spacing w:line="360" w:lineRule="auto"/>
              <w:jc w:val="center"/>
              <w:rPr>
                <w:rFonts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C7F0F86">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1837899">
            <w:pPr>
              <w:autoSpaceDE w:val="0"/>
              <w:autoSpaceDN w:val="0"/>
              <w:spacing w:line="360" w:lineRule="auto"/>
              <w:rPr>
                <w:rFonts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6BB65527">
            <w:pPr>
              <w:autoSpaceDE w:val="0"/>
              <w:autoSpaceDN w:val="0"/>
              <w:spacing w:line="360" w:lineRule="auto"/>
              <w:rPr>
                <w:rFonts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CEDB5A0">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5D89B9">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796CCD">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64FD236">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F401E03">
            <w:pPr>
              <w:autoSpaceDE w:val="0"/>
              <w:autoSpaceDN w:val="0"/>
              <w:spacing w:line="360" w:lineRule="auto"/>
              <w:rPr>
                <w:rFonts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9CC1C01">
            <w:pPr>
              <w:autoSpaceDE w:val="0"/>
              <w:autoSpaceDN w:val="0"/>
              <w:spacing w:line="360" w:lineRule="auto"/>
              <w:rPr>
                <w:rFonts w:ascii="仿宋_GB2312" w:hAnsi="仿宋" w:eastAsia="仿宋_GB2312" w:cs="仿宋_GB2312"/>
                <w:color w:val="auto"/>
                <w:sz w:val="24"/>
                <w:highlight w:val="none"/>
              </w:rPr>
            </w:pPr>
          </w:p>
        </w:tc>
      </w:tr>
    </w:tbl>
    <w:p w14:paraId="3E29AD33">
      <w:pPr>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注：投标人可按上述的格式自行编制，如有请随表提交相应的证书复印件</w:t>
      </w:r>
    </w:p>
    <w:p w14:paraId="5FE64C33">
      <w:pPr>
        <w:spacing w:line="360" w:lineRule="auto"/>
        <w:rPr>
          <w:rFonts w:ascii="仿宋_GB2312" w:hAnsi="仿宋" w:eastAsia="仿宋_GB2312" w:cs="仿宋_GB2312"/>
          <w:b/>
          <w:color w:val="auto"/>
          <w:sz w:val="24"/>
          <w:highlight w:val="none"/>
        </w:rPr>
      </w:pPr>
    </w:p>
    <w:p w14:paraId="21063618">
      <w:pPr>
        <w:spacing w:line="360" w:lineRule="auto"/>
        <w:rPr>
          <w:rFonts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附表C：本项目的项目负责人和项目小组人员投标截止时间起半年内任意1个月社保缴纳证明材料复印件。</w:t>
      </w:r>
    </w:p>
    <w:p w14:paraId="0655E9F9">
      <w:pPr>
        <w:snapToGrid w:val="0"/>
        <w:spacing w:line="360" w:lineRule="auto"/>
        <w:ind w:firstLine="4320" w:firstLineChars="18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8FDB23A">
      <w:pPr>
        <w:autoSpaceDE w:val="0"/>
        <w:autoSpaceDN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27AB1A76">
      <w:pPr>
        <w:snapToGrid w:val="0"/>
        <w:spacing w:before="50" w:after="50"/>
        <w:rPr>
          <w:rFonts w:ascii="宋体" w:hAnsi="宋体"/>
          <w:color w:val="auto"/>
          <w:sz w:val="24"/>
          <w:highlight w:val="none"/>
        </w:rPr>
      </w:pPr>
    </w:p>
    <w:p w14:paraId="59101969">
      <w:pPr>
        <w:snapToGrid w:val="0"/>
        <w:spacing w:before="165" w:beforeLines="50" w:after="50"/>
        <w:jc w:val="left"/>
        <w:rPr>
          <w:rFonts w:ascii="宋体" w:hAnsi="宋体"/>
          <w:b/>
          <w:color w:val="auto"/>
          <w:sz w:val="32"/>
          <w:szCs w:val="32"/>
          <w:highlight w:val="none"/>
        </w:rPr>
      </w:pPr>
      <w:r>
        <w:rPr>
          <w:rFonts w:ascii="宋体" w:hAnsi="宋体"/>
          <w:b/>
          <w:color w:val="auto"/>
          <w:sz w:val="24"/>
          <w:highlight w:val="none"/>
        </w:rPr>
        <w:br w:type="page"/>
      </w:r>
      <w:r>
        <w:rPr>
          <w:rFonts w:hint="eastAsia" w:ascii="宋体" w:hAnsi="宋体"/>
          <w:color w:val="auto"/>
          <w:sz w:val="24"/>
          <w:highlight w:val="none"/>
        </w:rPr>
        <w:t xml:space="preserve"> </w:t>
      </w:r>
      <w:r>
        <w:rPr>
          <w:rFonts w:hint="eastAsia" w:ascii="宋体" w:hAnsi="宋体"/>
          <w:b/>
          <w:color w:val="auto"/>
          <w:sz w:val="32"/>
          <w:szCs w:val="32"/>
          <w:highlight w:val="none"/>
        </w:rPr>
        <w:t>五、投标人对项目的合理化建议和改进措施（如无，可不提供）</w:t>
      </w:r>
    </w:p>
    <w:p w14:paraId="59ABB493">
      <w:pPr>
        <w:spacing w:line="360" w:lineRule="auto"/>
        <w:ind w:firstLine="4048" w:firstLineChars="1687"/>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（格式自拟）</w:t>
      </w:r>
    </w:p>
    <w:p w14:paraId="2B3B46AB">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1C12CABE">
      <w:pPr>
        <w:snapToGrid w:val="0"/>
        <w:spacing w:line="360" w:lineRule="auto"/>
        <w:ind w:firstLine="4935" w:firstLineChars="2350"/>
        <w:rPr>
          <w:rFonts w:hAnsi="宋体"/>
          <w:color w:val="auto"/>
          <w:szCs w:val="21"/>
          <w:highlight w:val="none"/>
        </w:rPr>
      </w:pPr>
    </w:p>
    <w:p w14:paraId="17F88C7B">
      <w:pPr>
        <w:snapToGrid w:val="0"/>
        <w:spacing w:line="360" w:lineRule="auto"/>
        <w:ind w:firstLine="4935" w:firstLineChars="2350"/>
        <w:rPr>
          <w:rFonts w:hAnsi="宋体"/>
          <w:color w:val="auto"/>
          <w:szCs w:val="21"/>
          <w:highlight w:val="none"/>
        </w:rPr>
      </w:pPr>
    </w:p>
    <w:p w14:paraId="3531F9AA">
      <w:pPr>
        <w:snapToGrid w:val="0"/>
        <w:spacing w:line="360" w:lineRule="auto"/>
        <w:ind w:firstLine="4935" w:firstLineChars="2350"/>
        <w:rPr>
          <w:rFonts w:hAnsi="宋体"/>
          <w:color w:val="auto"/>
          <w:szCs w:val="21"/>
          <w:highlight w:val="none"/>
        </w:rPr>
      </w:pPr>
    </w:p>
    <w:p w14:paraId="5943C453">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17CF8EA1">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09F6E3D">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六、优惠条件及特殊承诺（如无，可不提供）</w:t>
      </w:r>
    </w:p>
    <w:p w14:paraId="4F54D308">
      <w:pPr>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0430AE94">
      <w:pPr>
        <w:spacing w:line="360" w:lineRule="auto"/>
        <w:jc w:val="center"/>
        <w:rPr>
          <w:rFonts w:ascii="仿宋_GB2312" w:hAnsi="仿宋" w:eastAsia="仿宋_GB2312" w:cs="仿宋_GB2312"/>
          <w:color w:val="auto"/>
          <w:sz w:val="18"/>
          <w:szCs w:val="18"/>
          <w:highlight w:val="none"/>
        </w:rPr>
      </w:pPr>
    </w:p>
    <w:p w14:paraId="5AA620FB">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324C2662">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E69585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七、认为需要的其他技术文件或说明（如无，可不提供）</w:t>
      </w:r>
    </w:p>
    <w:p w14:paraId="1A6EDA2C">
      <w:pPr>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29B49849">
      <w:pPr>
        <w:spacing w:line="360" w:lineRule="auto"/>
        <w:jc w:val="center"/>
        <w:rPr>
          <w:rFonts w:ascii="仿宋_GB2312" w:hAnsi="仿宋" w:eastAsia="仿宋_GB2312" w:cs="仿宋_GB2312"/>
          <w:color w:val="auto"/>
          <w:sz w:val="24"/>
          <w:highlight w:val="none"/>
        </w:rPr>
      </w:pPr>
    </w:p>
    <w:p w14:paraId="1042FB3E">
      <w:pPr>
        <w:autoSpaceDE w:val="0"/>
        <w:autoSpaceDN w:val="0"/>
        <w:spacing w:line="360" w:lineRule="auto"/>
        <w:ind w:firstLine="4800" w:firstLineChars="2000"/>
        <w:rPr>
          <w:rFonts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投标人名称（电子</w:t>
      </w:r>
      <w:r>
        <w:rPr>
          <w:rFonts w:hint="eastAsia" w:ascii="仿宋_GB2312" w:hAnsi="仿宋" w:eastAsia="仿宋_GB2312" w:cs="仿宋_GB2312"/>
          <w:color w:val="auto"/>
          <w:kern w:val="0"/>
          <w:sz w:val="24"/>
          <w:highlight w:val="none"/>
          <w:lang w:val="zh-CN"/>
        </w:rPr>
        <w:t>签章</w:t>
      </w:r>
      <w:r>
        <w:rPr>
          <w:rFonts w:hint="eastAsia" w:ascii="仿宋_GB2312" w:hAnsi="仿宋" w:eastAsia="仿宋_GB2312" w:cs="仿宋_GB2312"/>
          <w:color w:val="auto"/>
          <w:kern w:val="0"/>
          <w:sz w:val="24"/>
          <w:highlight w:val="none"/>
        </w:rPr>
        <w:t xml:space="preserve">）：                       </w:t>
      </w:r>
    </w:p>
    <w:p w14:paraId="35B2077F">
      <w:pPr>
        <w:autoSpaceDE w:val="0"/>
        <w:autoSpaceDN w:val="0"/>
        <w:spacing w:line="360" w:lineRule="auto"/>
        <w:rPr>
          <w:rFonts w:ascii="宋体" w:hAnsi="宋体"/>
          <w:b/>
          <w:bCs/>
          <w:color w:val="auto"/>
          <w:sz w:val="24"/>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07E4F7F6">
      <w:pPr>
        <w:rPr>
          <w:rFonts w:ascii="宋体" w:hAnsi="宋体"/>
          <w:b/>
          <w:bCs/>
          <w:color w:val="auto"/>
          <w:sz w:val="24"/>
          <w:highlight w:val="none"/>
        </w:rPr>
      </w:pPr>
      <w:r>
        <w:rPr>
          <w:rFonts w:ascii="宋体" w:hAnsi="宋体"/>
          <w:b/>
          <w:bCs/>
          <w:color w:val="auto"/>
          <w:sz w:val="24"/>
          <w:highlight w:val="none"/>
        </w:rPr>
        <w:br w:type="page"/>
      </w:r>
    </w:p>
    <w:p w14:paraId="5143214B">
      <w:pPr>
        <w:snapToGrid w:val="0"/>
        <w:spacing w:before="165" w:beforeLines="50" w:after="50"/>
        <w:jc w:val="center"/>
        <w:outlineLvl w:val="1"/>
        <w:rPr>
          <w:rFonts w:ascii="宋体" w:hAnsi="宋体"/>
          <w:b/>
          <w:bCs/>
          <w:color w:val="auto"/>
          <w:sz w:val="24"/>
          <w:highlight w:val="none"/>
        </w:rPr>
        <w:sectPr>
          <w:pgSz w:w="11906" w:h="16838"/>
          <w:pgMar w:top="1134" w:right="1134" w:bottom="1134" w:left="1134" w:header="720" w:footer="720" w:gutter="0"/>
          <w:cols w:space="720" w:num="1"/>
          <w:docGrid w:type="lines" w:linePitch="331" w:charSpace="0"/>
        </w:sectPr>
      </w:pPr>
    </w:p>
    <w:p w14:paraId="09D6644A">
      <w:pPr>
        <w:pStyle w:val="10"/>
        <w:jc w:val="center"/>
        <w:outlineLvl w:val="1"/>
        <w:rPr>
          <w:rFonts w:hAnsi="宋体"/>
          <w:b/>
          <w:bCs/>
          <w:color w:val="auto"/>
          <w:sz w:val="28"/>
          <w:szCs w:val="28"/>
          <w:highlight w:val="none"/>
        </w:rPr>
      </w:pPr>
      <w:bookmarkStart w:id="90" w:name="_Toc10070"/>
      <w:bookmarkStart w:id="91" w:name="_Toc14373"/>
      <w:bookmarkStart w:id="92" w:name="_Toc21750"/>
      <w:bookmarkStart w:id="93" w:name="_Toc32090"/>
      <w:r>
        <w:rPr>
          <w:rFonts w:hint="eastAsia" w:hAnsi="宋体"/>
          <w:b/>
          <w:bCs/>
          <w:color w:val="auto"/>
          <w:sz w:val="28"/>
          <w:szCs w:val="28"/>
          <w:highlight w:val="none"/>
        </w:rPr>
        <w:t>第五节 报价文件格式</w:t>
      </w:r>
      <w:bookmarkEnd w:id="90"/>
      <w:bookmarkEnd w:id="91"/>
      <w:bookmarkEnd w:id="92"/>
      <w:bookmarkEnd w:id="93"/>
    </w:p>
    <w:p w14:paraId="00D21380">
      <w:pPr>
        <w:snapToGrid w:val="0"/>
        <w:spacing w:before="165" w:beforeLines="50" w:after="50" w:line="400" w:lineRule="exact"/>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1642B3D9">
      <w:pPr>
        <w:snapToGrid w:val="0"/>
        <w:spacing w:before="165" w:beforeLines="50" w:after="50" w:line="400" w:lineRule="exact"/>
        <w:jc w:val="center"/>
        <w:rPr>
          <w:rFonts w:ascii="宋体" w:hAnsi="宋体"/>
          <w:bCs/>
          <w:color w:val="auto"/>
          <w:sz w:val="24"/>
          <w:szCs w:val="20"/>
          <w:highlight w:val="none"/>
        </w:rPr>
      </w:pPr>
    </w:p>
    <w:p w14:paraId="17FA54F7">
      <w:pPr>
        <w:snapToGrid w:val="0"/>
        <w:spacing w:before="165" w:beforeLines="50" w:after="50"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报价文件（封面）</w:t>
      </w:r>
    </w:p>
    <w:p w14:paraId="799A517F">
      <w:pPr>
        <w:snapToGrid w:val="0"/>
        <w:spacing w:before="165" w:beforeLines="50" w:after="50" w:line="400" w:lineRule="exact"/>
        <w:rPr>
          <w:rFonts w:ascii="宋体" w:hAnsi="宋体"/>
          <w:bCs/>
          <w:color w:val="auto"/>
          <w:sz w:val="24"/>
          <w:szCs w:val="20"/>
          <w:highlight w:val="none"/>
        </w:rPr>
      </w:pPr>
    </w:p>
    <w:p w14:paraId="30355B74">
      <w:pPr>
        <w:snapToGrid w:val="0"/>
        <w:spacing w:before="165" w:beforeLines="50" w:after="50" w:line="400" w:lineRule="exact"/>
        <w:rPr>
          <w:rFonts w:ascii="宋体" w:hAnsi="宋体"/>
          <w:bCs/>
          <w:color w:val="auto"/>
          <w:sz w:val="24"/>
          <w:szCs w:val="20"/>
          <w:highlight w:val="none"/>
        </w:rPr>
      </w:pPr>
    </w:p>
    <w:p w14:paraId="0A023900">
      <w:pPr>
        <w:snapToGrid w:val="0"/>
        <w:spacing w:before="165" w:beforeLines="50" w:after="50" w:line="400" w:lineRule="exact"/>
        <w:rPr>
          <w:rFonts w:ascii="宋体" w:hAnsi="宋体"/>
          <w:bCs/>
          <w:color w:val="auto"/>
          <w:sz w:val="24"/>
          <w:szCs w:val="20"/>
          <w:highlight w:val="none"/>
        </w:rPr>
      </w:pPr>
    </w:p>
    <w:p w14:paraId="12516FE6">
      <w:pPr>
        <w:snapToGrid w:val="0"/>
        <w:spacing w:before="165" w:beforeLines="50" w:after="50" w:line="400" w:lineRule="exact"/>
        <w:rPr>
          <w:rFonts w:ascii="宋体" w:hAnsi="宋体"/>
          <w:bCs/>
          <w:color w:val="auto"/>
          <w:sz w:val="24"/>
          <w:szCs w:val="20"/>
          <w:highlight w:val="none"/>
        </w:rPr>
      </w:pPr>
    </w:p>
    <w:p w14:paraId="593E7530">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4C2299D7">
      <w:pPr>
        <w:snapToGrid w:val="0"/>
        <w:spacing w:before="165" w:beforeLines="50" w:after="50" w:line="400" w:lineRule="exact"/>
        <w:ind w:firstLine="360" w:firstLineChars="150"/>
        <w:rPr>
          <w:rFonts w:ascii="宋体" w:hAnsi="宋体"/>
          <w:bCs/>
          <w:color w:val="auto"/>
          <w:sz w:val="24"/>
          <w:highlight w:val="none"/>
        </w:rPr>
      </w:pPr>
    </w:p>
    <w:p w14:paraId="66749A0E">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2246F9D5">
      <w:pPr>
        <w:snapToGrid w:val="0"/>
        <w:spacing w:before="165" w:beforeLines="50" w:after="50" w:line="400" w:lineRule="exact"/>
        <w:ind w:firstLine="360" w:firstLineChars="150"/>
        <w:rPr>
          <w:rFonts w:ascii="宋体" w:hAnsi="宋体"/>
          <w:bCs/>
          <w:color w:val="auto"/>
          <w:sz w:val="24"/>
          <w:highlight w:val="none"/>
        </w:rPr>
      </w:pPr>
    </w:p>
    <w:p w14:paraId="17EB25B1">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3311AB74">
      <w:pPr>
        <w:snapToGrid w:val="0"/>
        <w:spacing w:before="165" w:beforeLines="50" w:after="50" w:line="400" w:lineRule="exact"/>
        <w:ind w:firstLine="360" w:firstLineChars="150"/>
        <w:rPr>
          <w:rFonts w:ascii="宋体" w:hAnsi="宋体"/>
          <w:bCs/>
          <w:color w:val="auto"/>
          <w:sz w:val="24"/>
          <w:highlight w:val="none"/>
        </w:rPr>
      </w:pPr>
    </w:p>
    <w:p w14:paraId="47EB44CD">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27BB4723">
      <w:pPr>
        <w:snapToGrid w:val="0"/>
        <w:spacing w:before="165" w:beforeLines="50" w:after="50" w:line="400" w:lineRule="exact"/>
        <w:ind w:firstLine="360" w:firstLineChars="150"/>
        <w:rPr>
          <w:rFonts w:ascii="宋体" w:hAnsi="宋体"/>
          <w:bCs/>
          <w:color w:val="auto"/>
          <w:sz w:val="24"/>
          <w:highlight w:val="none"/>
        </w:rPr>
      </w:pPr>
    </w:p>
    <w:p w14:paraId="56A4DB50">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0D7E5E7D">
      <w:pPr>
        <w:pStyle w:val="5"/>
        <w:snapToGrid w:val="0"/>
        <w:spacing w:before="50" w:after="50" w:line="400" w:lineRule="exact"/>
        <w:ind w:firstLine="960" w:firstLineChars="400"/>
        <w:rPr>
          <w:rFonts w:ascii="宋体" w:hAnsi="宋体"/>
          <w:bCs/>
          <w:color w:val="auto"/>
          <w:sz w:val="24"/>
          <w:szCs w:val="24"/>
          <w:highlight w:val="none"/>
        </w:rPr>
      </w:pPr>
    </w:p>
    <w:p w14:paraId="43FB8D65">
      <w:pPr>
        <w:snapToGrid w:val="0"/>
        <w:spacing w:before="165" w:beforeLines="50" w:after="50" w:line="400" w:lineRule="exact"/>
        <w:rPr>
          <w:rFonts w:ascii="宋体" w:hAnsi="宋体"/>
          <w:color w:val="auto"/>
          <w:sz w:val="24"/>
          <w:highlight w:val="none"/>
        </w:rPr>
        <w:sectPr>
          <w:pgSz w:w="11906" w:h="16838"/>
          <w:pgMar w:top="1134" w:right="1134" w:bottom="1134" w:left="1134" w:header="720" w:footer="720" w:gutter="0"/>
          <w:cols w:space="720" w:num="1"/>
          <w:docGrid w:type="lines" w:linePitch="331" w:charSpace="0"/>
        </w:sectPr>
      </w:pPr>
      <w:r>
        <w:rPr>
          <w:rFonts w:hint="eastAsia" w:ascii="宋体" w:hAnsi="宋体"/>
          <w:color w:val="auto"/>
          <w:sz w:val="24"/>
          <w:highlight w:val="none"/>
        </w:rPr>
        <w:t xml:space="preserve">                                                       年  月  日</w:t>
      </w:r>
    </w:p>
    <w:p w14:paraId="246C2712">
      <w:pPr>
        <w:rPr>
          <w:rFonts w:ascii="宋体" w:hAnsi="宋体" w:cs="宋体"/>
          <w:color w:val="auto"/>
          <w:highlight w:val="none"/>
        </w:rPr>
      </w:pPr>
    </w:p>
    <w:p w14:paraId="6423AD09">
      <w:pPr>
        <w:snapToGrid w:val="0"/>
        <w:spacing w:before="165" w:beforeLines="50" w:after="50"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报价文件目录</w:t>
      </w:r>
    </w:p>
    <w:p w14:paraId="47B227C2">
      <w:pPr>
        <w:rPr>
          <w:rFonts w:ascii="宋体" w:hAnsi="宋体" w:cs="宋体"/>
          <w:color w:val="auto"/>
          <w:highlight w:val="none"/>
        </w:rPr>
      </w:pPr>
    </w:p>
    <w:p w14:paraId="18AC1020">
      <w:pP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一、投标函………………………………………………………（页码）</w:t>
      </w:r>
    </w:p>
    <w:p w14:paraId="1BF35C84">
      <w:pP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二、开标一览表…………………………………………………（页码）</w:t>
      </w:r>
    </w:p>
    <w:p w14:paraId="6230F2F7">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三、中小企业声明函……………………………………………（页码）</w:t>
      </w:r>
    </w:p>
    <w:p w14:paraId="0AE5E4B8">
      <w:pPr>
        <w:snapToGrid w:val="0"/>
        <w:spacing w:before="165" w:beforeLines="50" w:after="50" w:line="400" w:lineRule="exact"/>
        <w:ind w:firstLine="300" w:firstLineChars="100"/>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30842B68">
      <w:pPr>
        <w:pStyle w:val="10"/>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一、投标函</w:t>
      </w:r>
    </w:p>
    <w:p w14:paraId="5981EFF9">
      <w:pPr>
        <w:pStyle w:val="10"/>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致：</w:t>
      </w:r>
      <w:r>
        <w:rPr>
          <w:rFonts w:ascii="Times New Roman" w:hAnsi="Times New Roman"/>
          <w:color w:val="auto"/>
          <w:highlight w:val="none"/>
          <w:u w:val="single"/>
        </w:rPr>
        <w:t xml:space="preserve">                      </w:t>
      </w:r>
      <w:r>
        <w:rPr>
          <w:rFonts w:hint="eastAsia" w:ascii="Times New Roman" w:hAnsi="Times New Roman"/>
          <w:color w:val="auto"/>
          <w:highlight w:val="none"/>
        </w:rPr>
        <w:t>（采购代理机构名称）</w:t>
      </w:r>
    </w:p>
    <w:p w14:paraId="68E01053">
      <w:pPr>
        <w:pStyle w:val="10"/>
        <w:spacing w:line="440" w:lineRule="exact"/>
        <w:ind w:firstLine="420" w:firstLineChars="200"/>
        <w:rPr>
          <w:color w:val="auto"/>
          <w:highlight w:val="none"/>
        </w:rPr>
      </w:pPr>
      <w:r>
        <w:rPr>
          <w:rFonts w:hint="eastAsia"/>
          <w:color w:val="auto"/>
          <w:highlight w:val="none"/>
        </w:rPr>
        <w:t>我方已仔细阅读了贵方组织的</w:t>
      </w:r>
      <w:r>
        <w:rPr>
          <w:rFonts w:ascii="Times New Roman" w:hAnsi="Times New Roman"/>
          <w:color w:val="auto"/>
          <w:highlight w:val="none"/>
          <w:u w:val="single"/>
        </w:rPr>
        <w:t xml:space="preserve">                    </w:t>
      </w:r>
      <w:r>
        <w:rPr>
          <w:rFonts w:hint="eastAsia"/>
          <w:color w:val="auto"/>
          <w:highlight w:val="none"/>
        </w:rPr>
        <w:t>项目（项目编号：</w:t>
      </w:r>
      <w:r>
        <w:rPr>
          <w:rFonts w:hint="eastAsia"/>
          <w:color w:val="auto"/>
          <w:highlight w:val="none"/>
          <w:u w:val="single"/>
        </w:rPr>
        <w:t xml:space="preserve">             </w:t>
      </w:r>
      <w:r>
        <w:rPr>
          <w:rFonts w:hint="eastAsia"/>
          <w:color w:val="auto"/>
          <w:highlight w:val="none"/>
        </w:rPr>
        <w:t>）的招标文件的全部内容，授权</w:t>
      </w:r>
      <w:r>
        <w:rPr>
          <w:rFonts w:ascii="Times New Roman" w:hAnsi="Times New Roman"/>
          <w:color w:val="auto"/>
          <w:highlight w:val="none"/>
          <w:u w:val="single"/>
        </w:rPr>
        <w:t xml:space="preserve">                      </w:t>
      </w:r>
      <w:r>
        <w:rPr>
          <w:rFonts w:hint="eastAsia"/>
          <w:color w:val="auto"/>
          <w:highlight w:val="none"/>
        </w:rPr>
        <w:t>(全权代表姓名)</w:t>
      </w:r>
      <w:r>
        <w:rPr>
          <w:rFonts w:ascii="Times New Roman" w:hAnsi="Times New Roman"/>
          <w:color w:val="auto"/>
          <w:highlight w:val="none"/>
          <w:u w:val="single"/>
        </w:rPr>
        <w:t xml:space="preserve">          </w:t>
      </w:r>
      <w:r>
        <w:rPr>
          <w:rFonts w:hint="eastAsia"/>
          <w:color w:val="auto"/>
          <w:highlight w:val="none"/>
        </w:rPr>
        <w:t xml:space="preserve"> (职务、职称)为全权代表，现正式递交下述文件参加贵方组织的本次政府采购活动： </w:t>
      </w:r>
    </w:p>
    <w:p w14:paraId="76DF3D6E">
      <w:pPr>
        <w:pStyle w:val="10"/>
        <w:spacing w:line="440" w:lineRule="exact"/>
        <w:ind w:firstLine="482"/>
        <w:rPr>
          <w:color w:val="auto"/>
          <w:highlight w:val="none"/>
        </w:rPr>
      </w:pPr>
      <w:r>
        <w:rPr>
          <w:rFonts w:hint="eastAsia"/>
          <w:color w:val="auto"/>
          <w:highlight w:val="none"/>
        </w:rPr>
        <w:t>一、报价文件电子版一份（包含按投标人须知前附表要求提交的全部文件）；</w:t>
      </w:r>
    </w:p>
    <w:p w14:paraId="6D4499C6">
      <w:pPr>
        <w:pStyle w:val="10"/>
        <w:spacing w:line="440" w:lineRule="exact"/>
        <w:ind w:firstLine="482"/>
        <w:rPr>
          <w:color w:val="auto"/>
          <w:highlight w:val="none"/>
        </w:rPr>
      </w:pPr>
      <w:r>
        <w:rPr>
          <w:rFonts w:hint="eastAsia"/>
          <w:color w:val="auto"/>
          <w:highlight w:val="none"/>
        </w:rPr>
        <w:t>二、资格文件电子版一份（包含按投标人须知前附表要求提交的全部文件）；</w:t>
      </w:r>
    </w:p>
    <w:p w14:paraId="7BCC21A9">
      <w:pPr>
        <w:pStyle w:val="10"/>
        <w:spacing w:line="440" w:lineRule="exact"/>
        <w:ind w:firstLine="482"/>
        <w:rPr>
          <w:color w:val="auto"/>
          <w:highlight w:val="none"/>
        </w:rPr>
      </w:pPr>
      <w:r>
        <w:rPr>
          <w:rFonts w:hint="eastAsia"/>
          <w:color w:val="auto"/>
          <w:highlight w:val="none"/>
        </w:rPr>
        <w:t>三、</w:t>
      </w:r>
      <w:r>
        <w:rPr>
          <w:rFonts w:hint="eastAsia" w:hAnsi="宋体"/>
          <w:color w:val="auto"/>
          <w:highlight w:val="none"/>
        </w:rPr>
        <w:t>技术</w:t>
      </w:r>
      <w:r>
        <w:rPr>
          <w:rFonts w:hint="eastAsia"/>
          <w:color w:val="auto"/>
          <w:highlight w:val="none"/>
        </w:rPr>
        <w:t>文件电子版一份（包含按投标人须知前附表要求提交的全部文件）；</w:t>
      </w:r>
    </w:p>
    <w:p w14:paraId="61343D6A">
      <w:pPr>
        <w:pStyle w:val="10"/>
        <w:spacing w:line="440" w:lineRule="exact"/>
        <w:ind w:firstLine="482"/>
        <w:rPr>
          <w:color w:val="auto"/>
          <w:highlight w:val="none"/>
        </w:rPr>
      </w:pPr>
      <w:r>
        <w:rPr>
          <w:rFonts w:hint="eastAsia" w:hAnsi="宋体"/>
          <w:color w:val="auto"/>
          <w:highlight w:val="none"/>
        </w:rPr>
        <w:t>四、</w:t>
      </w:r>
      <w:r>
        <w:rPr>
          <w:rFonts w:hint="eastAsia"/>
          <w:color w:val="auto"/>
          <w:highlight w:val="none"/>
        </w:rPr>
        <w:t>商务</w:t>
      </w:r>
      <w:r>
        <w:rPr>
          <w:rFonts w:hint="eastAsia" w:hAnsi="宋体"/>
          <w:color w:val="auto"/>
          <w:highlight w:val="none"/>
        </w:rPr>
        <w:t>文件</w:t>
      </w:r>
      <w:r>
        <w:rPr>
          <w:rFonts w:hint="eastAsia"/>
          <w:color w:val="auto"/>
          <w:highlight w:val="none"/>
        </w:rPr>
        <w:t>电子版一份（包含按投标人须知前附表要求提交的全部文件）；</w:t>
      </w:r>
    </w:p>
    <w:p w14:paraId="2C24F070">
      <w:pPr>
        <w:pStyle w:val="10"/>
        <w:spacing w:line="440" w:lineRule="exact"/>
        <w:ind w:firstLine="482"/>
        <w:rPr>
          <w:rFonts w:ascii="Times New Roman" w:hAnsi="Times New Roman"/>
          <w:color w:val="auto"/>
          <w:highlight w:val="none"/>
        </w:rPr>
      </w:pPr>
      <w:r>
        <w:rPr>
          <w:rFonts w:hint="eastAsia"/>
          <w:color w:val="auto"/>
          <w:highlight w:val="none"/>
        </w:rPr>
        <w:t>据此函，签字人兹宣布：</w:t>
      </w:r>
    </w:p>
    <w:p w14:paraId="2028C5DE">
      <w:pPr>
        <w:pStyle w:val="10"/>
        <w:spacing w:line="440" w:lineRule="exact"/>
        <w:ind w:firstLine="420" w:firstLineChars="200"/>
        <w:rPr>
          <w:rFonts w:ascii="Times New Roman" w:hAnsi="Times New Roman"/>
          <w:color w:val="auto"/>
          <w:highlight w:val="none"/>
        </w:rPr>
      </w:pPr>
      <w:r>
        <w:rPr>
          <w:rFonts w:hint="eastAsia"/>
          <w:color w:val="auto"/>
          <w:highlight w:val="none"/>
        </w:rPr>
        <w:t>1、我方愿意以（大写）人民币</w:t>
      </w:r>
      <w:r>
        <w:rPr>
          <w:rFonts w:hint="eastAsia"/>
          <w:color w:val="auto"/>
          <w:highlight w:val="none"/>
          <w:u w:val="single"/>
        </w:rPr>
        <w:t xml:space="preserve">              </w:t>
      </w:r>
      <w:r>
        <w:rPr>
          <w:rFonts w:hint="eastAsia"/>
          <w:color w:val="auto"/>
          <w:highlight w:val="none"/>
        </w:rPr>
        <w:t>元 (￥</w:t>
      </w:r>
      <w:r>
        <w:rPr>
          <w:rFonts w:hint="eastAsia"/>
          <w:color w:val="auto"/>
          <w:highlight w:val="none"/>
          <w:u w:val="single"/>
        </w:rPr>
        <w:t xml:space="preserve">          </w:t>
      </w:r>
      <w:r>
        <w:rPr>
          <w:rFonts w:hint="eastAsia"/>
          <w:color w:val="auto"/>
          <w:highlight w:val="none"/>
        </w:rPr>
        <w:t>元)的投标总报价，提交服务成果时间（无分标时填写）</w:t>
      </w:r>
      <w:r>
        <w:rPr>
          <w:rFonts w:hint="eastAsia"/>
          <w:color w:val="auto"/>
          <w:highlight w:val="none"/>
          <w:u w:val="single"/>
        </w:rPr>
        <w:t xml:space="preserve">              </w:t>
      </w:r>
      <w:r>
        <w:rPr>
          <w:rFonts w:hint="eastAsia"/>
          <w:color w:val="auto"/>
          <w:highlight w:val="none"/>
        </w:rPr>
        <w:t>，提供本项目</w:t>
      </w:r>
      <w:r>
        <w:rPr>
          <w:rFonts w:hint="eastAsia" w:hAnsi="Times New Roman"/>
          <w:color w:val="auto"/>
          <w:highlight w:val="none"/>
        </w:rPr>
        <w:t>招标文件第二章</w:t>
      </w:r>
      <w:r>
        <w:rPr>
          <w:rFonts w:hint="eastAsia"/>
          <w:color w:val="auto"/>
          <w:highlight w:val="none"/>
        </w:rPr>
        <w:t>“服务需求”中的相应的采购内容。</w:t>
      </w:r>
    </w:p>
    <w:p w14:paraId="573B8C92">
      <w:pPr>
        <w:pStyle w:val="10"/>
        <w:spacing w:line="440" w:lineRule="exact"/>
        <w:ind w:firstLine="420" w:firstLineChars="200"/>
        <w:rPr>
          <w:rFonts w:ascii="Times New Roman" w:hAnsi="Times New Roman"/>
          <w:color w:val="auto"/>
          <w:highlight w:val="none"/>
        </w:rPr>
      </w:pPr>
      <w:r>
        <w:rPr>
          <w:rFonts w:hint="eastAsia"/>
          <w:color w:val="auto"/>
          <w:highlight w:val="none"/>
        </w:rPr>
        <w:t>其中（有分标时填写）：</w:t>
      </w:r>
    </w:p>
    <w:p w14:paraId="228C9C5A">
      <w:pPr>
        <w:pStyle w:val="10"/>
        <w:spacing w:line="360" w:lineRule="exact"/>
        <w:ind w:firstLine="420" w:firstLineChars="200"/>
        <w:rPr>
          <w:color w:val="auto"/>
          <w:highlight w:val="none"/>
          <w:u w:val="single"/>
        </w:rPr>
      </w:pPr>
      <w:r>
        <w:rPr>
          <w:rFonts w:hint="eastAsia"/>
          <w:color w:val="auto"/>
          <w:highlight w:val="none"/>
          <w:u w:val="single"/>
        </w:rPr>
        <w:t xml:space="preserve">  </w:t>
      </w:r>
      <w:r>
        <w:rPr>
          <w:rFonts w:hint="eastAsia"/>
          <w:color w:val="auto"/>
          <w:highlight w:val="none"/>
        </w:rPr>
        <w:t>分标报价为（大写）人民币</w:t>
      </w:r>
      <w:r>
        <w:rPr>
          <w:rFonts w:hint="eastAsia"/>
          <w:color w:val="auto"/>
          <w:highlight w:val="none"/>
          <w:u w:val="single"/>
        </w:rPr>
        <w:t xml:space="preserve">              </w:t>
      </w:r>
      <w:r>
        <w:rPr>
          <w:rFonts w:hint="eastAsia"/>
          <w:color w:val="auto"/>
          <w:highlight w:val="none"/>
        </w:rPr>
        <w:t>元 (￥</w:t>
      </w:r>
      <w:r>
        <w:rPr>
          <w:rFonts w:hint="eastAsia"/>
          <w:color w:val="auto"/>
          <w:highlight w:val="none"/>
          <w:u w:val="single"/>
        </w:rPr>
        <w:t xml:space="preserve">          </w:t>
      </w:r>
      <w:r>
        <w:rPr>
          <w:rFonts w:hint="eastAsia"/>
          <w:color w:val="auto"/>
          <w:highlight w:val="none"/>
        </w:rPr>
        <w:t>元)，提交服务成果时间：</w:t>
      </w:r>
      <w:r>
        <w:rPr>
          <w:rFonts w:hint="eastAsia"/>
          <w:color w:val="auto"/>
          <w:highlight w:val="none"/>
          <w:u w:val="single"/>
        </w:rPr>
        <w:t xml:space="preserve">          </w:t>
      </w:r>
      <w:r>
        <w:rPr>
          <w:rFonts w:hint="eastAsia"/>
          <w:color w:val="auto"/>
          <w:highlight w:val="none"/>
        </w:rPr>
        <w:t>；</w:t>
      </w:r>
    </w:p>
    <w:p w14:paraId="0756DDF9">
      <w:pPr>
        <w:pStyle w:val="10"/>
        <w:spacing w:line="360" w:lineRule="exact"/>
        <w:ind w:firstLine="420" w:firstLineChars="200"/>
        <w:rPr>
          <w:color w:val="auto"/>
          <w:highlight w:val="none"/>
          <w:u w:val="single"/>
        </w:rPr>
      </w:pPr>
      <w:r>
        <w:rPr>
          <w:rFonts w:hint="eastAsia"/>
          <w:color w:val="auto"/>
          <w:highlight w:val="none"/>
          <w:u w:val="single"/>
        </w:rPr>
        <w:t xml:space="preserve">  </w:t>
      </w:r>
      <w:r>
        <w:rPr>
          <w:rFonts w:hint="eastAsia"/>
          <w:color w:val="auto"/>
          <w:highlight w:val="none"/>
        </w:rPr>
        <w:t>分标报价为（大写）人民币</w:t>
      </w:r>
      <w:r>
        <w:rPr>
          <w:rFonts w:hint="eastAsia"/>
          <w:color w:val="auto"/>
          <w:highlight w:val="none"/>
          <w:u w:val="single"/>
        </w:rPr>
        <w:t xml:space="preserve">              </w:t>
      </w:r>
      <w:r>
        <w:rPr>
          <w:rFonts w:hint="eastAsia"/>
          <w:color w:val="auto"/>
          <w:highlight w:val="none"/>
        </w:rPr>
        <w:t>元 (￥</w:t>
      </w:r>
      <w:r>
        <w:rPr>
          <w:rFonts w:hint="eastAsia"/>
          <w:color w:val="auto"/>
          <w:highlight w:val="none"/>
          <w:u w:val="single"/>
        </w:rPr>
        <w:t xml:space="preserve">          </w:t>
      </w:r>
      <w:r>
        <w:rPr>
          <w:rFonts w:hint="eastAsia"/>
          <w:color w:val="auto"/>
          <w:highlight w:val="none"/>
        </w:rPr>
        <w:t>元)，提交服务成果时间：</w:t>
      </w:r>
      <w:r>
        <w:rPr>
          <w:rFonts w:hint="eastAsia"/>
          <w:color w:val="auto"/>
          <w:highlight w:val="none"/>
          <w:u w:val="single"/>
        </w:rPr>
        <w:t xml:space="preserve">          </w:t>
      </w:r>
      <w:r>
        <w:rPr>
          <w:rFonts w:hint="eastAsia"/>
          <w:color w:val="auto"/>
          <w:highlight w:val="none"/>
        </w:rPr>
        <w:t>；</w:t>
      </w:r>
    </w:p>
    <w:p w14:paraId="2A8E528E">
      <w:pPr>
        <w:pStyle w:val="10"/>
        <w:spacing w:line="360" w:lineRule="exact"/>
        <w:ind w:firstLine="420" w:firstLineChars="200"/>
        <w:rPr>
          <w:color w:val="auto"/>
          <w:highlight w:val="none"/>
          <w:u w:val="single"/>
        </w:rPr>
      </w:pPr>
      <w:r>
        <w:rPr>
          <w:rFonts w:hint="eastAsia"/>
          <w:color w:val="auto"/>
          <w:highlight w:val="none"/>
        </w:rPr>
        <w:t>......</w:t>
      </w:r>
    </w:p>
    <w:p w14:paraId="3101D4CC">
      <w:pPr>
        <w:pStyle w:val="10"/>
        <w:spacing w:line="360" w:lineRule="exact"/>
        <w:ind w:firstLine="420" w:firstLineChars="200"/>
        <w:rPr>
          <w:color w:val="auto"/>
          <w:highlight w:val="none"/>
          <w:u w:val="single"/>
        </w:rPr>
      </w:pPr>
      <w:r>
        <w:rPr>
          <w:rFonts w:hint="eastAsia"/>
          <w:color w:val="auto"/>
          <w:highlight w:val="none"/>
        </w:rPr>
        <w:t>2、我方同意自本项目招标文件“第三章 投标人须知”第一节 投标人须知前附表 第21.2项规定的投标截止时间（开标时间）起遵循</w:t>
      </w:r>
      <w:r>
        <w:rPr>
          <w:rFonts w:hint="eastAsia" w:hAnsi="宋体"/>
          <w:color w:val="auto"/>
          <w:highlight w:val="none"/>
        </w:rPr>
        <w:t>本投标函</w:t>
      </w:r>
      <w:r>
        <w:rPr>
          <w:rFonts w:hint="eastAsia"/>
          <w:color w:val="auto"/>
          <w:highlight w:val="none"/>
        </w:rPr>
        <w:t>，并承诺在“投标人须知前附表”第17.2项规定的投标有效期内不修改、撤销投标文件。</w:t>
      </w:r>
    </w:p>
    <w:p w14:paraId="2E4D6D54">
      <w:pPr>
        <w:pStyle w:val="10"/>
        <w:spacing w:line="360" w:lineRule="exact"/>
        <w:ind w:firstLine="420" w:firstLineChars="200"/>
        <w:rPr>
          <w:color w:val="auto"/>
          <w:highlight w:val="none"/>
          <w:u w:val="single"/>
        </w:rPr>
      </w:pPr>
      <w:r>
        <w:rPr>
          <w:rFonts w:hint="eastAsia"/>
          <w:color w:val="auto"/>
          <w:highlight w:val="none"/>
        </w:rPr>
        <w:t>3、我方所递交的投标文件及有关资料都是内容完整、真实和准确的。</w:t>
      </w:r>
    </w:p>
    <w:p w14:paraId="6B67F379">
      <w:pPr>
        <w:pStyle w:val="10"/>
        <w:spacing w:line="360" w:lineRule="exact"/>
        <w:ind w:firstLine="420" w:firstLineChars="200"/>
        <w:rPr>
          <w:color w:val="auto"/>
          <w:highlight w:val="none"/>
          <w:u w:val="single"/>
        </w:rPr>
      </w:pPr>
      <w:r>
        <w:rPr>
          <w:rFonts w:hint="eastAsia"/>
          <w:color w:val="auto"/>
          <w:highlight w:val="none"/>
        </w:rPr>
        <w:t>4、我方承诺未被列入失信被执行人、重大税收违法案件当事人名单、政府采购严重违法失信行为记录名单，并已经具备《中华人民共和国政府采购法》中规定的参加政府采购活动的供应商应当具备的条件：</w:t>
      </w:r>
    </w:p>
    <w:p w14:paraId="0DF45F7F">
      <w:pPr>
        <w:pStyle w:val="10"/>
        <w:numPr>
          <w:ilvl w:val="0"/>
          <w:numId w:val="3"/>
        </w:numPr>
        <w:spacing w:line="440" w:lineRule="exact"/>
        <w:rPr>
          <w:color w:val="auto"/>
          <w:highlight w:val="none"/>
        </w:rPr>
      </w:pPr>
      <w:r>
        <w:rPr>
          <w:rFonts w:hint="eastAsia"/>
          <w:color w:val="auto"/>
          <w:highlight w:val="none"/>
        </w:rPr>
        <w:t>具有独立承担民事责任的能力；</w:t>
      </w:r>
    </w:p>
    <w:p w14:paraId="73004C65">
      <w:pPr>
        <w:pStyle w:val="10"/>
        <w:numPr>
          <w:ilvl w:val="0"/>
          <w:numId w:val="3"/>
        </w:numPr>
        <w:spacing w:line="440" w:lineRule="exact"/>
        <w:rPr>
          <w:color w:val="auto"/>
          <w:highlight w:val="none"/>
        </w:rPr>
      </w:pPr>
      <w:r>
        <w:rPr>
          <w:rFonts w:hint="eastAsia"/>
          <w:color w:val="auto"/>
          <w:highlight w:val="none"/>
        </w:rPr>
        <w:t>具有良好的商业信誉和健全的财务会计制度；</w:t>
      </w:r>
    </w:p>
    <w:p w14:paraId="6D7FC6E9">
      <w:pPr>
        <w:pStyle w:val="10"/>
        <w:numPr>
          <w:ilvl w:val="0"/>
          <w:numId w:val="3"/>
        </w:numPr>
        <w:spacing w:line="440" w:lineRule="exact"/>
        <w:rPr>
          <w:color w:val="auto"/>
          <w:highlight w:val="none"/>
        </w:rPr>
      </w:pPr>
      <w:r>
        <w:rPr>
          <w:rFonts w:hint="eastAsia"/>
          <w:color w:val="auto"/>
          <w:highlight w:val="none"/>
        </w:rPr>
        <w:t>具有履行合同所必需的设备和专业技术能力；</w:t>
      </w:r>
    </w:p>
    <w:p w14:paraId="59FEBB2D">
      <w:pPr>
        <w:pStyle w:val="10"/>
        <w:numPr>
          <w:ilvl w:val="0"/>
          <w:numId w:val="3"/>
        </w:numPr>
        <w:spacing w:line="440" w:lineRule="exact"/>
        <w:rPr>
          <w:color w:val="auto"/>
          <w:highlight w:val="none"/>
        </w:rPr>
      </w:pPr>
      <w:r>
        <w:rPr>
          <w:rFonts w:hint="eastAsia"/>
          <w:color w:val="auto"/>
          <w:highlight w:val="none"/>
        </w:rPr>
        <w:t>有依法缴纳税收和社会保障资金的良好记录；</w:t>
      </w:r>
    </w:p>
    <w:p w14:paraId="1C5F81CB">
      <w:pPr>
        <w:pStyle w:val="10"/>
        <w:numPr>
          <w:ilvl w:val="0"/>
          <w:numId w:val="3"/>
        </w:numPr>
        <w:spacing w:line="440" w:lineRule="exact"/>
        <w:rPr>
          <w:color w:val="auto"/>
          <w:highlight w:val="none"/>
        </w:rPr>
      </w:pPr>
      <w:r>
        <w:rPr>
          <w:rFonts w:hint="eastAsia"/>
          <w:color w:val="auto"/>
          <w:highlight w:val="none"/>
        </w:rPr>
        <w:t>参加政府采购活动前三年内，在经营活动中没有重大违法记录；</w:t>
      </w:r>
    </w:p>
    <w:p w14:paraId="1703176C">
      <w:pPr>
        <w:pStyle w:val="10"/>
        <w:numPr>
          <w:ilvl w:val="0"/>
          <w:numId w:val="3"/>
        </w:numPr>
        <w:spacing w:line="440" w:lineRule="exact"/>
        <w:rPr>
          <w:color w:val="auto"/>
          <w:highlight w:val="none"/>
        </w:rPr>
      </w:pPr>
      <w:r>
        <w:rPr>
          <w:rFonts w:hint="eastAsia"/>
          <w:color w:val="auto"/>
          <w:highlight w:val="none"/>
        </w:rPr>
        <w:t>法律、行政法规规定的其他条件。</w:t>
      </w:r>
    </w:p>
    <w:p w14:paraId="6CA6596E">
      <w:pPr>
        <w:pStyle w:val="10"/>
        <w:spacing w:line="440" w:lineRule="exact"/>
        <w:ind w:firstLine="482"/>
        <w:rPr>
          <w:color w:val="auto"/>
          <w:highlight w:val="none"/>
        </w:rPr>
      </w:pPr>
      <w:r>
        <w:rPr>
          <w:rFonts w:hint="eastAsia"/>
          <w:color w:val="auto"/>
          <w:highlight w:val="none"/>
        </w:rPr>
        <w:t>5、</w:t>
      </w:r>
      <w:r>
        <w:rPr>
          <w:rFonts w:hint="eastAsia"/>
          <w:color w:val="auto"/>
          <w:szCs w:val="21"/>
          <w:highlight w:val="none"/>
        </w:rPr>
        <w:t>如本项目采购内容涉及须符合国家强制规定的，我方承诺我方本次投标（包括资格条件和所投产品）均符合国家有关强制规定。</w:t>
      </w:r>
    </w:p>
    <w:p w14:paraId="44C1D0F0">
      <w:pPr>
        <w:pStyle w:val="10"/>
        <w:spacing w:line="440" w:lineRule="exact"/>
        <w:ind w:firstLine="420" w:firstLineChars="200"/>
        <w:rPr>
          <w:color w:val="auto"/>
          <w:highlight w:val="none"/>
        </w:rPr>
      </w:pPr>
      <w:r>
        <w:rPr>
          <w:rFonts w:hint="eastAsia"/>
          <w:color w:val="auto"/>
          <w:highlight w:val="none"/>
        </w:rPr>
        <w:t>6、如我方中标，我方承诺在收到中标通知书后，在中标通知书规定的期限内，</w:t>
      </w:r>
      <w:r>
        <w:rPr>
          <w:rFonts w:hint="eastAsia" w:hAnsi="宋体"/>
          <w:color w:val="auto"/>
          <w:highlight w:val="none"/>
        </w:rPr>
        <w:t>根据招标文件、我方的投标文件及有关澄清承诺书的要求按第五章“拟签订的合同文本”与采购人订立书面合同，并按照合同约定</w:t>
      </w:r>
      <w:r>
        <w:rPr>
          <w:rFonts w:hint="eastAsia"/>
          <w:color w:val="auto"/>
          <w:highlight w:val="none"/>
        </w:rPr>
        <w:t>承担完成合同的责任和义务。</w:t>
      </w:r>
    </w:p>
    <w:p w14:paraId="5A796A51">
      <w:pPr>
        <w:pStyle w:val="10"/>
        <w:spacing w:line="440" w:lineRule="exact"/>
        <w:ind w:firstLine="420" w:firstLineChars="200"/>
        <w:rPr>
          <w:color w:val="auto"/>
          <w:highlight w:val="none"/>
        </w:rPr>
      </w:pPr>
      <w:r>
        <w:rPr>
          <w:rFonts w:hint="eastAsia"/>
          <w:color w:val="auto"/>
          <w:highlight w:val="none"/>
        </w:rPr>
        <w:t>7、我方已详细审核招标文件，我方知道必须放弃提出含糊不清或误解问题的权利。</w:t>
      </w:r>
    </w:p>
    <w:p w14:paraId="7EF08B2D">
      <w:pPr>
        <w:pStyle w:val="10"/>
        <w:spacing w:line="440" w:lineRule="exact"/>
        <w:ind w:firstLine="420" w:firstLineChars="200"/>
        <w:rPr>
          <w:color w:val="auto"/>
          <w:highlight w:val="none"/>
        </w:rPr>
      </w:pPr>
      <w:r>
        <w:rPr>
          <w:rFonts w:hint="eastAsia"/>
          <w:color w:val="auto"/>
          <w:highlight w:val="none"/>
        </w:rPr>
        <w:t>8、我方同意应贵方要求提供与本投标有关的任何数据或资料。若贵方需要，我方愿意提供我方作出的一切承诺的证明材料。</w:t>
      </w:r>
    </w:p>
    <w:p w14:paraId="6D1830CF">
      <w:pPr>
        <w:pStyle w:val="10"/>
        <w:spacing w:line="440" w:lineRule="exact"/>
        <w:ind w:firstLine="420" w:firstLineChars="200"/>
        <w:rPr>
          <w:color w:val="auto"/>
          <w:highlight w:val="none"/>
        </w:rPr>
      </w:pPr>
      <w:r>
        <w:rPr>
          <w:rFonts w:hint="eastAsia"/>
          <w:color w:val="auto"/>
          <w:highlight w:val="none"/>
        </w:rPr>
        <w:t>9、我方完全理解贵方不一定接受投标报价最低的投标人为中标供应商的行为。</w:t>
      </w:r>
    </w:p>
    <w:p w14:paraId="541571F4">
      <w:pPr>
        <w:pStyle w:val="10"/>
        <w:spacing w:line="440" w:lineRule="exact"/>
        <w:ind w:firstLine="420" w:firstLineChars="200"/>
        <w:rPr>
          <w:color w:val="auto"/>
          <w:highlight w:val="none"/>
        </w:rPr>
      </w:pPr>
      <w:r>
        <w:rPr>
          <w:rFonts w:hint="eastAsia"/>
          <w:color w:val="auto"/>
          <w:highlight w:val="none"/>
        </w:rPr>
        <w:t>10、我方将严格遵守《中华人民共和国政府采购法》第七十七条的规定，即供应商有下列情形之一的，处以采购金额千分之五以上千分之十</w:t>
      </w:r>
      <w:r>
        <w:rPr>
          <w:rFonts w:hint="eastAsia" w:hAnsi="宋体"/>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55C1881D">
      <w:pPr>
        <w:pStyle w:val="10"/>
        <w:numPr>
          <w:ilvl w:val="0"/>
          <w:numId w:val="4"/>
        </w:numPr>
        <w:spacing w:line="440" w:lineRule="exact"/>
        <w:rPr>
          <w:rFonts w:hAnsi="宋体"/>
          <w:color w:val="auto"/>
          <w:highlight w:val="none"/>
        </w:rPr>
      </w:pPr>
      <w:r>
        <w:rPr>
          <w:rFonts w:hint="eastAsia" w:hAnsi="宋体"/>
          <w:color w:val="auto"/>
          <w:highlight w:val="none"/>
        </w:rPr>
        <w:t>提供虚假材料谋取中标、成交的；</w:t>
      </w:r>
    </w:p>
    <w:p w14:paraId="7C8F9EA4">
      <w:pPr>
        <w:pStyle w:val="10"/>
        <w:numPr>
          <w:ilvl w:val="0"/>
          <w:numId w:val="4"/>
        </w:numPr>
        <w:spacing w:line="440" w:lineRule="exact"/>
        <w:rPr>
          <w:rFonts w:hAnsi="宋体"/>
          <w:color w:val="auto"/>
          <w:highlight w:val="none"/>
        </w:rPr>
      </w:pPr>
      <w:r>
        <w:rPr>
          <w:rFonts w:hint="eastAsia" w:hAnsi="宋体"/>
          <w:color w:val="auto"/>
          <w:highlight w:val="none"/>
        </w:rPr>
        <w:t>采取不正当手段诋毁、排挤其他供应商的；</w:t>
      </w:r>
    </w:p>
    <w:p w14:paraId="2CC5FF2D">
      <w:pPr>
        <w:pStyle w:val="10"/>
        <w:numPr>
          <w:ilvl w:val="0"/>
          <w:numId w:val="4"/>
        </w:numPr>
        <w:spacing w:line="440" w:lineRule="exact"/>
        <w:rPr>
          <w:color w:val="auto"/>
          <w:highlight w:val="none"/>
        </w:rPr>
      </w:pPr>
      <w:r>
        <w:rPr>
          <w:rFonts w:hint="eastAsia" w:hAnsi="宋体"/>
          <w:color w:val="auto"/>
          <w:highlight w:val="none"/>
        </w:rPr>
        <w:t>与采购人、其他供应商或者采购代理机构恶意串通的；</w:t>
      </w:r>
    </w:p>
    <w:p w14:paraId="42DB3617">
      <w:pPr>
        <w:pStyle w:val="10"/>
        <w:numPr>
          <w:ilvl w:val="0"/>
          <w:numId w:val="4"/>
        </w:numPr>
        <w:spacing w:line="440" w:lineRule="exact"/>
        <w:rPr>
          <w:color w:val="auto"/>
          <w:highlight w:val="none"/>
        </w:rPr>
      </w:pPr>
      <w:r>
        <w:rPr>
          <w:rFonts w:hint="eastAsia" w:hAnsi="宋体"/>
          <w:color w:val="auto"/>
          <w:highlight w:val="none"/>
        </w:rPr>
        <w:t>向采购人、采购代理机构行贿或者提供其他不正当利益的；</w:t>
      </w:r>
    </w:p>
    <w:p w14:paraId="6EB6FAE7">
      <w:pPr>
        <w:pStyle w:val="10"/>
        <w:numPr>
          <w:ilvl w:val="0"/>
          <w:numId w:val="4"/>
        </w:numPr>
        <w:spacing w:line="440" w:lineRule="exact"/>
        <w:rPr>
          <w:color w:val="auto"/>
          <w:highlight w:val="none"/>
        </w:rPr>
      </w:pPr>
      <w:r>
        <w:rPr>
          <w:rFonts w:hint="eastAsia" w:hAnsi="宋体"/>
          <w:color w:val="auto"/>
          <w:highlight w:val="none"/>
        </w:rPr>
        <w:t>在招标采购过程中与采购人进行协商谈判的；</w:t>
      </w:r>
    </w:p>
    <w:p w14:paraId="7CC454FE">
      <w:pPr>
        <w:pStyle w:val="10"/>
        <w:numPr>
          <w:ilvl w:val="0"/>
          <w:numId w:val="4"/>
        </w:numPr>
        <w:spacing w:line="440" w:lineRule="exact"/>
        <w:rPr>
          <w:color w:val="auto"/>
          <w:highlight w:val="none"/>
        </w:rPr>
      </w:pPr>
      <w:r>
        <w:rPr>
          <w:rFonts w:hint="eastAsia" w:hAnsi="宋体"/>
          <w:color w:val="auto"/>
          <w:highlight w:val="none"/>
        </w:rPr>
        <w:t>拒绝有关部门监督检查或提供虚假情况的。</w:t>
      </w:r>
    </w:p>
    <w:p w14:paraId="12FD95D4">
      <w:pPr>
        <w:pStyle w:val="10"/>
        <w:spacing w:line="440" w:lineRule="exact"/>
        <w:ind w:left="420"/>
        <w:rPr>
          <w:color w:val="auto"/>
          <w:highlight w:val="none"/>
        </w:rPr>
      </w:pPr>
      <w:r>
        <w:rPr>
          <w:rFonts w:hint="eastAsia"/>
          <w:color w:val="auto"/>
          <w:highlight w:val="none"/>
        </w:rPr>
        <w:t>11、我方及由本人担任法定代表人的其他机构最近三年内被处罚的违法行为有：</w:t>
      </w:r>
      <w:r>
        <w:rPr>
          <w:rFonts w:hint="eastAsia"/>
          <w:color w:val="auto"/>
          <w:highlight w:val="none"/>
          <w:u w:val="single"/>
        </w:rPr>
        <w:t xml:space="preserve">                                        </w:t>
      </w:r>
    </w:p>
    <w:p w14:paraId="25699BBE">
      <w:pPr>
        <w:pStyle w:val="10"/>
        <w:spacing w:line="440" w:lineRule="exact"/>
        <w:ind w:left="420"/>
        <w:rPr>
          <w:color w:val="auto"/>
          <w:highlight w:val="none"/>
        </w:rPr>
      </w:pPr>
      <w:r>
        <w:rPr>
          <w:rFonts w:hint="eastAsia"/>
          <w:color w:val="auto"/>
          <w:highlight w:val="none"/>
          <w:u w:val="single"/>
        </w:rPr>
        <w:t xml:space="preserve">                                                                                                                        </w:t>
      </w:r>
    </w:p>
    <w:p w14:paraId="5F888490">
      <w:pPr>
        <w:pStyle w:val="10"/>
        <w:spacing w:line="360" w:lineRule="auto"/>
        <w:ind w:firstLine="420"/>
        <w:rPr>
          <w:color w:val="auto"/>
          <w:highlight w:val="none"/>
        </w:rPr>
      </w:pPr>
      <w:r>
        <w:rPr>
          <w:rFonts w:hint="eastAsia"/>
          <w:color w:val="auto"/>
          <w:highlight w:val="none"/>
        </w:rPr>
        <w:t>12、以上事项如有虚假或隐瞒，我方愿意承担一切后果，并不再寻求任何旨在减轻或免除法律责任的辩解。</w:t>
      </w:r>
    </w:p>
    <w:p w14:paraId="13527F87">
      <w:pPr>
        <w:pStyle w:val="10"/>
        <w:spacing w:line="360" w:lineRule="auto"/>
        <w:ind w:firstLine="420"/>
        <w:rPr>
          <w:color w:val="auto"/>
          <w:highlight w:val="none"/>
        </w:rPr>
      </w:pPr>
      <w:r>
        <w:rPr>
          <w:rFonts w:hint="eastAsia"/>
          <w:color w:val="auto"/>
          <w:highlight w:val="none"/>
        </w:rPr>
        <w:t>13、与本投标有关的一切正式往来信函请寄：</w:t>
      </w:r>
    </w:p>
    <w:p w14:paraId="5EF31124">
      <w:pPr>
        <w:pStyle w:val="10"/>
        <w:spacing w:line="360" w:lineRule="auto"/>
        <w:ind w:firstLine="420"/>
        <w:rPr>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14:paraId="2DE58DA3">
      <w:pPr>
        <w:pStyle w:val="10"/>
        <w:spacing w:line="360" w:lineRule="auto"/>
        <w:ind w:firstLine="420"/>
        <w:rPr>
          <w:color w:val="auto"/>
          <w:highlight w:val="none"/>
          <w:u w:val="single"/>
        </w:rPr>
      </w:pPr>
      <w:r>
        <w:rPr>
          <w:rFonts w:hint="eastAsia"/>
          <w:color w:val="auto"/>
          <w:highlight w:val="none"/>
        </w:rPr>
        <w:t>电话：</w:t>
      </w:r>
      <w:r>
        <w:rPr>
          <w:rFonts w:hint="eastAsia"/>
          <w:color w:val="auto"/>
          <w:highlight w:val="none"/>
          <w:u w:val="single"/>
        </w:rPr>
        <w:t xml:space="preserve">                                      　　　　　　　　　</w:t>
      </w:r>
    </w:p>
    <w:p w14:paraId="5A776DD8">
      <w:pPr>
        <w:pStyle w:val="10"/>
        <w:spacing w:line="360" w:lineRule="auto"/>
        <w:ind w:firstLine="420"/>
        <w:rPr>
          <w:color w:val="auto"/>
          <w:highlight w:val="none"/>
        </w:rPr>
      </w:pPr>
      <w:r>
        <w:rPr>
          <w:rFonts w:hint="eastAsia"/>
          <w:color w:val="auto"/>
          <w:highlight w:val="none"/>
        </w:rPr>
        <w:t>传真：</w:t>
      </w:r>
      <w:r>
        <w:rPr>
          <w:rFonts w:hint="eastAsia"/>
          <w:color w:val="auto"/>
          <w:highlight w:val="none"/>
          <w:u w:val="single"/>
        </w:rPr>
        <w:t>　　　　　　　　　　　　　　　　　　　　　　　　　　　　</w:t>
      </w:r>
    </w:p>
    <w:p w14:paraId="32BDEA2F">
      <w:pPr>
        <w:pStyle w:val="10"/>
        <w:spacing w:line="360" w:lineRule="auto"/>
        <w:ind w:firstLine="420"/>
        <w:rPr>
          <w:color w:val="auto"/>
          <w:highlight w:val="none"/>
          <w:u w:val="single"/>
        </w:rPr>
      </w:pPr>
      <w:r>
        <w:rPr>
          <w:rFonts w:hint="eastAsia"/>
          <w:color w:val="auto"/>
          <w:highlight w:val="none"/>
        </w:rPr>
        <w:t>邮政编码：</w:t>
      </w:r>
      <w:r>
        <w:rPr>
          <w:rFonts w:hint="eastAsia"/>
          <w:color w:val="auto"/>
          <w:highlight w:val="none"/>
          <w:u w:val="single"/>
        </w:rPr>
        <w:t xml:space="preserve">                                                    </w:t>
      </w:r>
    </w:p>
    <w:p w14:paraId="3ACDEA6F">
      <w:pPr>
        <w:pStyle w:val="10"/>
        <w:spacing w:line="360" w:lineRule="auto"/>
        <w:ind w:firstLine="420"/>
        <w:rPr>
          <w:color w:val="auto"/>
          <w:highlight w:val="none"/>
          <w:u w:val="single"/>
        </w:rPr>
      </w:pPr>
      <w:r>
        <w:rPr>
          <w:rFonts w:hint="eastAsia"/>
          <w:color w:val="auto"/>
          <w:highlight w:val="none"/>
        </w:rPr>
        <w:t>开户名称：</w:t>
      </w:r>
      <w:r>
        <w:rPr>
          <w:rFonts w:hint="eastAsia"/>
          <w:color w:val="auto"/>
          <w:highlight w:val="none"/>
          <w:u w:val="single"/>
        </w:rPr>
        <w:t xml:space="preserve">                                                    </w:t>
      </w:r>
    </w:p>
    <w:p w14:paraId="08A78A9B">
      <w:pPr>
        <w:pStyle w:val="10"/>
        <w:spacing w:line="360" w:lineRule="auto"/>
        <w:ind w:firstLine="420"/>
        <w:rPr>
          <w:color w:val="auto"/>
          <w:highlight w:val="none"/>
          <w:u w:val="single"/>
        </w:rPr>
      </w:pPr>
      <w:r>
        <w:rPr>
          <w:rFonts w:hint="eastAsia"/>
          <w:color w:val="auto"/>
          <w:highlight w:val="none"/>
        </w:rPr>
        <w:t>开户银行：</w:t>
      </w:r>
      <w:r>
        <w:rPr>
          <w:rFonts w:hint="eastAsia"/>
          <w:color w:val="auto"/>
          <w:highlight w:val="none"/>
          <w:u w:val="single"/>
        </w:rPr>
        <w:t xml:space="preserve">                                                    </w:t>
      </w:r>
    </w:p>
    <w:p w14:paraId="1E7D0D77">
      <w:pPr>
        <w:pStyle w:val="10"/>
        <w:spacing w:line="360" w:lineRule="auto"/>
        <w:ind w:firstLine="420"/>
        <w:rPr>
          <w:color w:val="auto"/>
          <w:highlight w:val="none"/>
          <w:u w:val="single"/>
        </w:rPr>
      </w:pPr>
      <w:r>
        <w:rPr>
          <w:rFonts w:hint="eastAsia"/>
          <w:color w:val="auto"/>
          <w:highlight w:val="none"/>
        </w:rPr>
        <w:t>银行账号：</w:t>
      </w:r>
      <w:r>
        <w:rPr>
          <w:rFonts w:hint="eastAsia"/>
          <w:color w:val="auto"/>
          <w:highlight w:val="none"/>
          <w:u w:val="single"/>
        </w:rPr>
        <w:t xml:space="preserve">                                                    </w:t>
      </w:r>
    </w:p>
    <w:p w14:paraId="3E7A47B3">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41D8414">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B60DC3E">
      <w:pPr>
        <w:snapToGrid w:val="0"/>
        <w:spacing w:line="360" w:lineRule="auto"/>
        <w:ind w:firstLine="5160" w:firstLineChars="2150"/>
        <w:rPr>
          <w:rFonts w:ascii="仿宋_GB2312" w:hAnsi="仿宋" w:eastAsia="仿宋_GB2312" w:cs="仿宋_GB2312"/>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3DEDFC6F">
      <w:pPr>
        <w:pStyle w:val="10"/>
        <w:spacing w:line="360" w:lineRule="auto"/>
        <w:jc w:val="center"/>
        <w:rPr>
          <w:b/>
          <w:color w:val="auto"/>
          <w:sz w:val="30"/>
          <w:szCs w:val="30"/>
          <w:highlight w:val="none"/>
        </w:rPr>
      </w:pPr>
      <w:r>
        <w:rPr>
          <w:rFonts w:hint="eastAsia" w:hAnsi="宋体"/>
          <w:color w:val="auto"/>
          <w:sz w:val="30"/>
          <w:highlight w:val="none"/>
        </w:rPr>
        <w:t>二、</w:t>
      </w:r>
      <w:r>
        <w:rPr>
          <w:rFonts w:hint="eastAsia"/>
          <w:b/>
          <w:color w:val="auto"/>
          <w:sz w:val="30"/>
          <w:szCs w:val="30"/>
          <w:highlight w:val="none"/>
        </w:rPr>
        <w:t>开标一览表</w:t>
      </w:r>
    </w:p>
    <w:p w14:paraId="6DF9F3DB">
      <w:pPr>
        <w:snapToGrid w:val="0"/>
        <w:spacing w:before="50" w:after="50" w:line="360" w:lineRule="auto"/>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290D07FB">
      <w:pPr>
        <w:pStyle w:val="10"/>
        <w:spacing w:line="360" w:lineRule="auto"/>
        <w:rPr>
          <w:rFonts w:hAnsi="宋体"/>
          <w:color w:val="auto"/>
          <w:sz w:val="24"/>
          <w:highlight w:val="none"/>
        </w:rPr>
      </w:pPr>
      <w:r>
        <w:rPr>
          <w:rFonts w:hint="eastAsia" w:hAnsi="宋体"/>
          <w:color w:val="auto"/>
          <w:sz w:val="24"/>
          <w:highlight w:val="none"/>
        </w:rPr>
        <w:t>投标人名称：</w:t>
      </w:r>
      <w:r>
        <w:rPr>
          <w:rFonts w:hint="eastAsia" w:hAnsi="宋体"/>
          <w:color w:val="auto"/>
          <w:sz w:val="24"/>
          <w:highlight w:val="none"/>
          <w:u w:val="single"/>
        </w:rPr>
        <w:t xml:space="preserve">                     </w:t>
      </w:r>
      <w:r>
        <w:rPr>
          <w:rFonts w:hint="eastAsia" w:hAnsi="宋体"/>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07"/>
        <w:gridCol w:w="1333"/>
        <w:gridCol w:w="1516"/>
        <w:gridCol w:w="1101"/>
        <w:gridCol w:w="813"/>
      </w:tblGrid>
      <w:tr w14:paraId="0B77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73F7DF8E">
            <w:pPr>
              <w:jc w:val="center"/>
              <w:rPr>
                <w:rFonts w:ascii="宋体" w:hAnsi="宋体"/>
                <w:color w:val="auto"/>
                <w:szCs w:val="22"/>
                <w:highlight w:val="none"/>
              </w:rPr>
            </w:pPr>
            <w:r>
              <w:rPr>
                <w:rFonts w:hint="eastAsia" w:ascii="宋体" w:hAnsi="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07482D58">
            <w:pPr>
              <w:jc w:val="center"/>
              <w:rPr>
                <w:rFonts w:ascii="宋体" w:hAnsi="宋体"/>
                <w:color w:val="auto"/>
                <w:szCs w:val="22"/>
                <w:highlight w:val="none"/>
              </w:rPr>
            </w:pPr>
            <w:r>
              <w:rPr>
                <w:rFonts w:hint="eastAsia" w:ascii="宋体" w:hAnsi="宋体"/>
                <w:color w:val="auto"/>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vAlign w:val="center"/>
          </w:tcPr>
          <w:p w14:paraId="77004C07">
            <w:pPr>
              <w:jc w:val="center"/>
              <w:rPr>
                <w:rFonts w:ascii="宋体" w:hAnsi="宋体"/>
                <w:color w:val="auto"/>
                <w:szCs w:val="22"/>
                <w:highlight w:val="none"/>
              </w:rPr>
            </w:pPr>
            <w:r>
              <w:rPr>
                <w:rFonts w:hint="eastAsia" w:ascii="宋体" w:hAnsi="宋体"/>
                <w:color w:val="auto"/>
                <w:szCs w:val="22"/>
                <w:highlight w:val="none"/>
              </w:rPr>
              <w:t>具体服务内容</w:t>
            </w:r>
          </w:p>
        </w:tc>
        <w:tc>
          <w:tcPr>
            <w:tcW w:w="1007" w:type="dxa"/>
            <w:tcBorders>
              <w:top w:val="single" w:color="auto" w:sz="4" w:space="0"/>
              <w:left w:val="single" w:color="auto" w:sz="4" w:space="0"/>
              <w:bottom w:val="single" w:color="auto" w:sz="4" w:space="0"/>
              <w:right w:val="single" w:color="auto" w:sz="4" w:space="0"/>
            </w:tcBorders>
            <w:vAlign w:val="center"/>
          </w:tcPr>
          <w:p w14:paraId="6171982F">
            <w:pPr>
              <w:jc w:val="center"/>
              <w:rPr>
                <w:rFonts w:ascii="宋体" w:hAnsi="宋体"/>
                <w:color w:val="auto"/>
                <w:szCs w:val="22"/>
                <w:highlight w:val="none"/>
              </w:rPr>
            </w:pPr>
            <w:r>
              <w:rPr>
                <w:rFonts w:hint="eastAsia" w:ascii="宋体" w:hAnsi="宋体"/>
                <w:color w:val="auto"/>
                <w:szCs w:val="22"/>
                <w:highlight w:val="none"/>
              </w:rPr>
              <w:t>数量</w:t>
            </w:r>
            <w:r>
              <w:rPr>
                <w:rFonts w:ascii="宋体" w:hAnsi="宋体"/>
                <w:color w:val="auto"/>
                <w:szCs w:val="22"/>
                <w:highlight w:val="none"/>
              </w:rPr>
              <w:t>①</w:t>
            </w:r>
          </w:p>
        </w:tc>
        <w:tc>
          <w:tcPr>
            <w:tcW w:w="1333" w:type="dxa"/>
            <w:tcBorders>
              <w:top w:val="single" w:color="auto" w:sz="4" w:space="0"/>
              <w:left w:val="single" w:color="auto" w:sz="4" w:space="0"/>
              <w:bottom w:val="single" w:color="auto" w:sz="4" w:space="0"/>
              <w:right w:val="single" w:color="auto" w:sz="4" w:space="0"/>
            </w:tcBorders>
            <w:vAlign w:val="center"/>
          </w:tcPr>
          <w:p w14:paraId="5DE835CA">
            <w:pPr>
              <w:jc w:val="center"/>
              <w:rPr>
                <w:rFonts w:ascii="宋体" w:hAnsi="宋体"/>
                <w:color w:val="auto"/>
                <w:szCs w:val="22"/>
                <w:highlight w:val="none"/>
              </w:rPr>
            </w:pPr>
            <w:r>
              <w:rPr>
                <w:rFonts w:hint="eastAsia" w:ascii="宋体" w:hAnsi="宋体"/>
                <w:color w:val="auto"/>
                <w:szCs w:val="22"/>
                <w:highlight w:val="none"/>
              </w:rPr>
              <w:t>单价（元</w:t>
            </w:r>
            <w:r>
              <w:rPr>
                <w:rFonts w:ascii="宋体" w:hAnsi="宋体"/>
                <w:color w:val="auto"/>
                <w:szCs w:val="22"/>
                <w:highlight w:val="none"/>
              </w:rPr>
              <w:t>)</w:t>
            </w:r>
          </w:p>
          <w:p w14:paraId="306463BF">
            <w:pPr>
              <w:jc w:val="center"/>
              <w:rPr>
                <w:rFonts w:ascii="宋体" w:hAnsi="宋体"/>
                <w:color w:val="auto"/>
                <w:szCs w:val="22"/>
                <w:highlight w:val="none"/>
              </w:rPr>
            </w:pPr>
            <w:r>
              <w:rPr>
                <w:rFonts w:ascii="宋体" w:hAnsi="宋体"/>
                <w:color w:val="auto"/>
                <w:szCs w:val="22"/>
                <w:highlight w:val="none"/>
              </w:rPr>
              <w:t>②</w:t>
            </w:r>
          </w:p>
        </w:tc>
        <w:tc>
          <w:tcPr>
            <w:tcW w:w="1516" w:type="dxa"/>
            <w:tcBorders>
              <w:top w:val="single" w:color="auto" w:sz="4" w:space="0"/>
              <w:left w:val="single" w:color="auto" w:sz="4" w:space="0"/>
              <w:bottom w:val="single" w:color="auto" w:sz="4" w:space="0"/>
              <w:right w:val="single" w:color="auto" w:sz="4" w:space="0"/>
            </w:tcBorders>
            <w:vAlign w:val="center"/>
          </w:tcPr>
          <w:p w14:paraId="1653564E">
            <w:pPr>
              <w:jc w:val="center"/>
              <w:rPr>
                <w:rFonts w:ascii="宋体" w:hAnsi="宋体"/>
                <w:color w:val="auto"/>
                <w:szCs w:val="22"/>
                <w:highlight w:val="none"/>
              </w:rPr>
            </w:pPr>
            <w:r>
              <w:rPr>
                <w:rFonts w:hint="eastAsia" w:ascii="宋体" w:hAnsi="宋体"/>
                <w:color w:val="auto"/>
                <w:szCs w:val="22"/>
                <w:highlight w:val="none"/>
              </w:rPr>
              <w:t>单项合价（元）</w:t>
            </w:r>
          </w:p>
          <w:p w14:paraId="16229F7E">
            <w:pPr>
              <w:jc w:val="center"/>
              <w:rPr>
                <w:rFonts w:ascii="宋体" w:hAnsi="宋体"/>
                <w:color w:val="auto"/>
                <w:szCs w:val="22"/>
                <w:highlight w:val="none"/>
              </w:rPr>
            </w:pPr>
            <w:r>
              <w:rPr>
                <w:rFonts w:ascii="宋体" w:hAnsi="宋体"/>
                <w:color w:val="auto"/>
                <w:szCs w:val="22"/>
                <w:highlight w:val="none"/>
              </w:rPr>
              <w:t>③</w:t>
            </w:r>
            <w:r>
              <w:rPr>
                <w:rFonts w:hint="eastAsia" w:ascii="宋体" w:hAnsi="宋体"/>
                <w:color w:val="auto"/>
                <w:szCs w:val="22"/>
                <w:highlight w:val="none"/>
              </w:rPr>
              <w:t>＝</w:t>
            </w:r>
            <w:r>
              <w:rPr>
                <w:rFonts w:ascii="宋体" w:hAnsi="宋体"/>
                <w:color w:val="auto"/>
                <w:szCs w:val="22"/>
                <w:highlight w:val="none"/>
              </w:rPr>
              <w:t>①×②</w:t>
            </w:r>
          </w:p>
        </w:tc>
        <w:tc>
          <w:tcPr>
            <w:tcW w:w="1101" w:type="dxa"/>
            <w:tcBorders>
              <w:top w:val="single" w:color="auto" w:sz="4" w:space="0"/>
              <w:left w:val="single" w:color="auto" w:sz="4" w:space="0"/>
              <w:bottom w:val="single" w:color="auto" w:sz="4" w:space="0"/>
              <w:right w:val="single" w:color="auto" w:sz="4" w:space="0"/>
            </w:tcBorders>
          </w:tcPr>
          <w:p w14:paraId="494D5E3E">
            <w:pPr>
              <w:spacing w:line="360" w:lineRule="auto"/>
              <w:jc w:val="center"/>
              <w:rPr>
                <w:rFonts w:ascii="宋体" w:hAnsi="宋体"/>
                <w:color w:val="auto"/>
                <w:szCs w:val="22"/>
                <w:highlight w:val="none"/>
              </w:rPr>
            </w:pPr>
            <w:r>
              <w:rPr>
                <w:rFonts w:hint="eastAsia" w:ascii="宋体" w:hAnsi="宋体"/>
                <w:color w:val="auto"/>
                <w:szCs w:val="22"/>
                <w:highlight w:val="none"/>
              </w:rPr>
              <w:t>提交服务成果时间</w:t>
            </w:r>
          </w:p>
        </w:tc>
        <w:tc>
          <w:tcPr>
            <w:tcW w:w="813" w:type="dxa"/>
            <w:tcBorders>
              <w:top w:val="single" w:color="auto" w:sz="4" w:space="0"/>
              <w:left w:val="single" w:color="auto" w:sz="4" w:space="0"/>
              <w:bottom w:val="single" w:color="auto" w:sz="4" w:space="0"/>
              <w:right w:val="single" w:color="auto" w:sz="4" w:space="0"/>
            </w:tcBorders>
            <w:vAlign w:val="center"/>
          </w:tcPr>
          <w:p w14:paraId="38255694">
            <w:pPr>
              <w:rPr>
                <w:rFonts w:ascii="宋体" w:hAnsi="宋体"/>
                <w:color w:val="auto"/>
                <w:szCs w:val="22"/>
                <w:highlight w:val="none"/>
              </w:rPr>
            </w:pPr>
            <w:r>
              <w:rPr>
                <w:rFonts w:hint="eastAsia" w:ascii="宋体" w:hAnsi="宋体"/>
                <w:color w:val="auto"/>
                <w:szCs w:val="22"/>
                <w:highlight w:val="none"/>
              </w:rPr>
              <w:t>备注</w:t>
            </w:r>
          </w:p>
        </w:tc>
      </w:tr>
      <w:tr w14:paraId="4E16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763B0512">
            <w:pPr>
              <w:rPr>
                <w:rFonts w:ascii="宋体" w:hAnsi="宋体"/>
                <w:color w:val="auto"/>
                <w:szCs w:val="22"/>
                <w:highlight w:val="none"/>
              </w:rPr>
            </w:pPr>
            <w:r>
              <w:rPr>
                <w:rFonts w:ascii="宋体" w:hAnsi="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513E6877">
            <w:pPr>
              <w:rPr>
                <w:rFonts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623A90D8">
            <w:pPr>
              <w:rPr>
                <w:rFonts w:ascii="宋体" w:hAnsi="宋体"/>
                <w:color w:val="auto"/>
                <w:szCs w:val="22"/>
                <w:highlight w:val="none"/>
              </w:rPr>
            </w:pPr>
          </w:p>
        </w:tc>
        <w:tc>
          <w:tcPr>
            <w:tcW w:w="1007" w:type="dxa"/>
            <w:tcBorders>
              <w:top w:val="single" w:color="auto" w:sz="4" w:space="0"/>
              <w:left w:val="single" w:color="auto" w:sz="4" w:space="0"/>
              <w:bottom w:val="single" w:color="auto" w:sz="4" w:space="0"/>
              <w:right w:val="single" w:color="auto" w:sz="4" w:space="0"/>
            </w:tcBorders>
            <w:vAlign w:val="center"/>
          </w:tcPr>
          <w:p w14:paraId="7BD392B8">
            <w:pPr>
              <w:rPr>
                <w:rFonts w:ascii="宋体" w:hAnsi="宋体"/>
                <w:color w:val="auto"/>
                <w:szCs w:val="22"/>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7EB09E64">
            <w:pPr>
              <w:rPr>
                <w:rFonts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8B964C7">
            <w:pPr>
              <w:rPr>
                <w:rFonts w:ascii="宋体" w:hAnsi="宋体"/>
                <w:color w:val="auto"/>
                <w:szCs w:val="22"/>
                <w:highlight w:val="none"/>
              </w:rPr>
            </w:pPr>
          </w:p>
        </w:tc>
        <w:tc>
          <w:tcPr>
            <w:tcW w:w="1101" w:type="dxa"/>
            <w:tcBorders>
              <w:top w:val="single" w:color="auto" w:sz="4" w:space="0"/>
              <w:left w:val="single" w:color="auto" w:sz="4" w:space="0"/>
              <w:bottom w:val="single" w:color="auto" w:sz="4" w:space="0"/>
              <w:right w:val="single" w:color="auto" w:sz="4" w:space="0"/>
            </w:tcBorders>
          </w:tcPr>
          <w:p w14:paraId="5B5C0946">
            <w:pPr>
              <w:rPr>
                <w:rFonts w:ascii="宋体" w:hAnsi="宋体"/>
                <w:color w:val="auto"/>
                <w:szCs w:val="22"/>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14:paraId="74DC9A3E">
            <w:pPr>
              <w:rPr>
                <w:rFonts w:ascii="宋体" w:hAnsi="宋体"/>
                <w:color w:val="auto"/>
                <w:szCs w:val="22"/>
                <w:highlight w:val="none"/>
              </w:rPr>
            </w:pPr>
          </w:p>
        </w:tc>
      </w:tr>
      <w:tr w14:paraId="455F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45780514">
            <w:pPr>
              <w:rPr>
                <w:rFonts w:ascii="宋体" w:hAnsi="宋体"/>
                <w:color w:val="auto"/>
                <w:szCs w:val="22"/>
                <w:highlight w:val="none"/>
              </w:rPr>
            </w:pPr>
            <w:r>
              <w:rPr>
                <w:rFonts w:ascii="宋体" w:hAnsi="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28679B58">
            <w:pPr>
              <w:rPr>
                <w:rFonts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9BF58F6">
            <w:pPr>
              <w:rPr>
                <w:rFonts w:ascii="宋体" w:hAnsi="宋体"/>
                <w:color w:val="auto"/>
                <w:szCs w:val="22"/>
                <w:highlight w:val="none"/>
              </w:rPr>
            </w:pPr>
          </w:p>
        </w:tc>
        <w:tc>
          <w:tcPr>
            <w:tcW w:w="1007" w:type="dxa"/>
            <w:tcBorders>
              <w:top w:val="single" w:color="auto" w:sz="4" w:space="0"/>
              <w:left w:val="single" w:color="auto" w:sz="4" w:space="0"/>
              <w:bottom w:val="single" w:color="auto" w:sz="4" w:space="0"/>
              <w:right w:val="single" w:color="auto" w:sz="4" w:space="0"/>
            </w:tcBorders>
            <w:vAlign w:val="center"/>
          </w:tcPr>
          <w:p w14:paraId="2CC48E9D">
            <w:pPr>
              <w:rPr>
                <w:rFonts w:ascii="宋体" w:hAnsi="宋体"/>
                <w:color w:val="auto"/>
                <w:szCs w:val="22"/>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0B9FEE30">
            <w:pPr>
              <w:rPr>
                <w:rFonts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1181500D">
            <w:pPr>
              <w:rPr>
                <w:rFonts w:ascii="宋体" w:hAnsi="宋体"/>
                <w:color w:val="auto"/>
                <w:szCs w:val="22"/>
                <w:highlight w:val="none"/>
              </w:rPr>
            </w:pPr>
          </w:p>
        </w:tc>
        <w:tc>
          <w:tcPr>
            <w:tcW w:w="1101" w:type="dxa"/>
            <w:tcBorders>
              <w:top w:val="single" w:color="auto" w:sz="4" w:space="0"/>
              <w:left w:val="single" w:color="auto" w:sz="4" w:space="0"/>
              <w:bottom w:val="single" w:color="auto" w:sz="4" w:space="0"/>
              <w:right w:val="single" w:color="auto" w:sz="4" w:space="0"/>
            </w:tcBorders>
          </w:tcPr>
          <w:p w14:paraId="28E8C76F">
            <w:pPr>
              <w:rPr>
                <w:rFonts w:ascii="宋体" w:hAnsi="宋体"/>
                <w:color w:val="auto"/>
                <w:szCs w:val="22"/>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14:paraId="0537B675">
            <w:pPr>
              <w:rPr>
                <w:rFonts w:ascii="宋体" w:hAnsi="宋体"/>
                <w:color w:val="auto"/>
                <w:szCs w:val="22"/>
                <w:highlight w:val="none"/>
              </w:rPr>
            </w:pPr>
          </w:p>
        </w:tc>
      </w:tr>
      <w:tr w14:paraId="0EDD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77A9B13B">
            <w:pPr>
              <w:rPr>
                <w:rFonts w:ascii="宋体" w:hAnsi="宋体"/>
                <w:color w:val="auto"/>
                <w:szCs w:val="22"/>
                <w:highlight w:val="none"/>
              </w:rPr>
            </w:pPr>
            <w:r>
              <w:rPr>
                <w:rFonts w:ascii="宋体" w:hAnsi="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44011234">
            <w:pPr>
              <w:rPr>
                <w:rFonts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782432C6">
            <w:pPr>
              <w:rPr>
                <w:rFonts w:ascii="宋体" w:hAnsi="宋体"/>
                <w:color w:val="auto"/>
                <w:szCs w:val="22"/>
                <w:highlight w:val="none"/>
              </w:rPr>
            </w:pPr>
          </w:p>
        </w:tc>
        <w:tc>
          <w:tcPr>
            <w:tcW w:w="1007" w:type="dxa"/>
            <w:tcBorders>
              <w:top w:val="single" w:color="auto" w:sz="4" w:space="0"/>
              <w:left w:val="single" w:color="auto" w:sz="4" w:space="0"/>
              <w:bottom w:val="single" w:color="auto" w:sz="4" w:space="0"/>
              <w:right w:val="single" w:color="auto" w:sz="4" w:space="0"/>
            </w:tcBorders>
            <w:vAlign w:val="center"/>
          </w:tcPr>
          <w:p w14:paraId="1FBCC6A0">
            <w:pPr>
              <w:rPr>
                <w:rFonts w:ascii="宋体" w:hAnsi="宋体"/>
                <w:color w:val="auto"/>
                <w:szCs w:val="22"/>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281CA2CC">
            <w:pPr>
              <w:rPr>
                <w:rFonts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6D9E2833">
            <w:pPr>
              <w:rPr>
                <w:rFonts w:ascii="宋体" w:hAnsi="宋体"/>
                <w:color w:val="auto"/>
                <w:szCs w:val="22"/>
                <w:highlight w:val="none"/>
              </w:rPr>
            </w:pPr>
          </w:p>
        </w:tc>
        <w:tc>
          <w:tcPr>
            <w:tcW w:w="1101" w:type="dxa"/>
            <w:tcBorders>
              <w:top w:val="single" w:color="auto" w:sz="4" w:space="0"/>
              <w:left w:val="single" w:color="auto" w:sz="4" w:space="0"/>
              <w:bottom w:val="single" w:color="auto" w:sz="4" w:space="0"/>
              <w:right w:val="single" w:color="auto" w:sz="4" w:space="0"/>
            </w:tcBorders>
          </w:tcPr>
          <w:p w14:paraId="6779204A">
            <w:pPr>
              <w:rPr>
                <w:rFonts w:ascii="宋体" w:hAnsi="宋体"/>
                <w:color w:val="auto"/>
                <w:szCs w:val="22"/>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14:paraId="2CD8A926">
            <w:pPr>
              <w:rPr>
                <w:rFonts w:ascii="宋体" w:hAnsi="宋体"/>
                <w:color w:val="auto"/>
                <w:szCs w:val="22"/>
                <w:highlight w:val="none"/>
              </w:rPr>
            </w:pPr>
          </w:p>
        </w:tc>
      </w:tr>
      <w:tr w14:paraId="0F21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73689B7B">
            <w:pPr>
              <w:jc w:val="left"/>
              <w:rPr>
                <w:rFonts w:ascii="宋体" w:hAnsi="宋体"/>
                <w:color w:val="auto"/>
                <w:szCs w:val="22"/>
                <w:highlight w:val="none"/>
              </w:rPr>
            </w:pPr>
            <w:r>
              <w:rPr>
                <w:rFonts w:hint="eastAsia" w:ascii="宋体" w:hAnsi="宋体"/>
                <w:color w:val="auto"/>
                <w:szCs w:val="22"/>
                <w:highlight w:val="none"/>
              </w:rPr>
              <w:t>报价合计（包含税费等所有费用）：（大写）人民币</w:t>
            </w:r>
            <w:r>
              <w:rPr>
                <w:rFonts w:ascii="宋体" w:hAnsi="宋体"/>
                <w:color w:val="auto"/>
                <w:szCs w:val="22"/>
                <w:highlight w:val="none"/>
              </w:rPr>
              <w:t xml:space="preserve"> </w:t>
            </w:r>
            <w:r>
              <w:rPr>
                <w:rFonts w:ascii="宋体" w:hAnsi="宋体"/>
                <w:color w:val="auto"/>
                <w:szCs w:val="22"/>
                <w:highlight w:val="none"/>
                <w:u w:val="single"/>
              </w:rPr>
              <w:t xml:space="preserve">                          </w:t>
            </w:r>
            <w:r>
              <w:rPr>
                <w:rFonts w:hint="eastAsia" w:ascii="宋体" w:hAnsi="宋体"/>
                <w:color w:val="auto"/>
                <w:szCs w:val="22"/>
                <w:highlight w:val="none"/>
              </w:rPr>
              <w:t>（￥</w:t>
            </w:r>
            <w:r>
              <w:rPr>
                <w:rFonts w:ascii="宋体" w:hAnsi="宋体"/>
                <w:color w:val="auto"/>
                <w:szCs w:val="22"/>
                <w:highlight w:val="none"/>
                <w:u w:val="single"/>
              </w:rPr>
              <w:t xml:space="preserve">          </w:t>
            </w:r>
            <w:r>
              <w:rPr>
                <w:rFonts w:hint="eastAsia" w:ascii="宋体" w:hAnsi="宋体"/>
                <w:color w:val="auto"/>
                <w:szCs w:val="22"/>
                <w:highlight w:val="none"/>
              </w:rPr>
              <w:t>元）</w:t>
            </w:r>
          </w:p>
        </w:tc>
      </w:tr>
      <w:tr w14:paraId="751E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1BCF272E">
            <w:pPr>
              <w:rPr>
                <w:rFonts w:ascii="宋体" w:hAnsi="宋体"/>
                <w:color w:val="auto"/>
                <w:szCs w:val="22"/>
                <w:highlight w:val="none"/>
              </w:rPr>
            </w:pPr>
            <w:r>
              <w:rPr>
                <w:rFonts w:hint="eastAsia" w:ascii="宋体" w:hAnsi="宋体"/>
                <w:color w:val="auto"/>
                <w:szCs w:val="22"/>
                <w:highlight w:val="none"/>
              </w:rPr>
              <w:t>验收标准：</w:t>
            </w:r>
          </w:p>
        </w:tc>
      </w:tr>
      <w:tr w14:paraId="766B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37A60072">
            <w:pPr>
              <w:rPr>
                <w:rFonts w:ascii="宋体" w:hAnsi="宋体"/>
                <w:color w:val="auto"/>
                <w:szCs w:val="22"/>
                <w:highlight w:val="none"/>
              </w:rPr>
            </w:pPr>
            <w:r>
              <w:rPr>
                <w:rFonts w:hint="eastAsia" w:ascii="宋体" w:hAnsi="宋体"/>
                <w:color w:val="auto"/>
                <w:szCs w:val="22"/>
                <w:highlight w:val="none"/>
              </w:rPr>
              <w:t>优惠及其它：</w:t>
            </w:r>
          </w:p>
        </w:tc>
      </w:tr>
    </w:tbl>
    <w:p w14:paraId="273C1179">
      <w:pPr>
        <w:rPr>
          <w:rFonts w:hAnsi="宋体"/>
          <w:color w:val="auto"/>
          <w:sz w:val="24"/>
          <w:highlight w:val="none"/>
        </w:rPr>
      </w:pPr>
    </w:p>
    <w:p w14:paraId="467729B2">
      <w:pPr>
        <w:snapToGrid w:val="0"/>
        <w:spacing w:before="50" w:after="50" w:line="360" w:lineRule="auto"/>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64876A3A">
      <w:pPr>
        <w:snapToGrid w:val="0"/>
        <w:spacing w:before="50" w:after="50" w:line="360" w:lineRule="auto"/>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投标人需按本表格式填写，如有多分标，按分标分别提供开标一览表，必须加盖投标人有效电子公章。</w:t>
      </w:r>
    </w:p>
    <w:p w14:paraId="3A0327BC">
      <w:pPr>
        <w:snapToGrid w:val="0"/>
        <w:spacing w:before="50" w:after="50" w:line="360" w:lineRule="auto"/>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2、本表内容均不能涂改。</w:t>
      </w:r>
    </w:p>
    <w:p w14:paraId="26182A05">
      <w:pPr>
        <w:snapToGrid w:val="0"/>
        <w:spacing w:before="50" w:after="50" w:line="360" w:lineRule="auto"/>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3、如为联合体投标，“投标人名称”处必须列明联合体各方名称，并标注联合体牵头人名称，且盖章处须加盖联合体各方公章。</w:t>
      </w:r>
    </w:p>
    <w:p w14:paraId="0810C9AD">
      <w:pPr>
        <w:snapToGrid w:val="0"/>
        <w:spacing w:line="360" w:lineRule="auto"/>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rPr>
        <w:t>4</w:t>
      </w:r>
      <w:r>
        <w:rPr>
          <w:rFonts w:hint="eastAsia" w:ascii="仿宋_GB2312" w:hAnsi="仿宋" w:eastAsia="仿宋_GB2312" w:cs="仿宋_GB2312"/>
          <w:color w:val="auto"/>
          <w:kern w:val="0"/>
          <w:sz w:val="24"/>
          <w:highlight w:val="none"/>
          <w:lang w:val="zh-CN"/>
        </w:rPr>
        <w:t>、特别提示：采购机构将对项目名称和项目编号，中标供应商名称、地址和中标金额，主要中标标的的名称、规格型号、数量、单价、服务要求等予以公示。</w:t>
      </w:r>
    </w:p>
    <w:p w14:paraId="0715ACBF">
      <w:pPr>
        <w:snapToGrid w:val="0"/>
        <w:spacing w:line="360" w:lineRule="auto"/>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rPr>
        <w:t>5</w:t>
      </w:r>
      <w:r>
        <w:rPr>
          <w:rFonts w:hint="eastAsia" w:ascii="仿宋_GB2312" w:hAnsi="仿宋" w:eastAsia="仿宋_GB2312" w:cs="仿宋_GB2312"/>
          <w:color w:val="auto"/>
          <w:kern w:val="0"/>
          <w:sz w:val="24"/>
          <w:szCs w:val="22"/>
          <w:highlight w:val="none"/>
          <w:lang w:val="zh-CN"/>
        </w:rPr>
        <w:t>、</w:t>
      </w:r>
      <w:r>
        <w:rPr>
          <w:rFonts w:hint="eastAsia" w:ascii="仿宋_GB2312" w:hAnsi="仿宋" w:eastAsia="仿宋_GB2312" w:cs="仿宋_GB2312"/>
          <w:color w:val="auto"/>
          <w:kern w:val="0"/>
          <w:sz w:val="24"/>
          <w:highlight w:val="none"/>
          <w:lang w:val="zh-CN"/>
        </w:rPr>
        <w:t>符合招标文件中列明的可享受中小企业扶持政策的投标人，请填写中小企业声明函。注：投标人</w:t>
      </w:r>
      <w:r>
        <w:rPr>
          <w:rFonts w:ascii="仿宋_GB2312" w:hAnsi="仿宋" w:eastAsia="仿宋_GB2312" w:cs="仿宋_GB2312"/>
          <w:color w:val="auto"/>
          <w:kern w:val="0"/>
          <w:sz w:val="24"/>
          <w:highlight w:val="none"/>
          <w:lang w:val="zh-CN"/>
        </w:rPr>
        <w:t>提供</w:t>
      </w:r>
      <w:r>
        <w:rPr>
          <w:rFonts w:hint="eastAsia" w:ascii="仿宋_GB2312" w:hAnsi="仿宋" w:eastAsia="仿宋_GB2312" w:cs="仿宋_GB2312"/>
          <w:color w:val="auto"/>
          <w:kern w:val="0"/>
          <w:sz w:val="24"/>
          <w:highlight w:val="none"/>
          <w:lang w:val="zh-CN"/>
        </w:rPr>
        <w:t>的中小企业</w:t>
      </w:r>
      <w:r>
        <w:rPr>
          <w:rFonts w:ascii="仿宋_GB2312" w:hAnsi="仿宋" w:eastAsia="仿宋_GB2312" w:cs="仿宋_GB2312"/>
          <w:color w:val="auto"/>
          <w:kern w:val="0"/>
          <w:sz w:val="24"/>
          <w:highlight w:val="none"/>
          <w:lang w:val="zh-CN"/>
        </w:rPr>
        <w:t>声明函内容不实的，属于提供虚假材料谋取中标、成交，依照《中华人民共和国政府采购法》等国家有关规定追究相应责任。</w:t>
      </w:r>
    </w:p>
    <w:p w14:paraId="6590C605">
      <w:pPr>
        <w:snapToGrid w:val="0"/>
        <w:spacing w:line="360" w:lineRule="auto"/>
        <w:ind w:firstLine="5040" w:firstLineChars="2100"/>
        <w:rPr>
          <w:rFonts w:ascii="仿宋_GB2312" w:hAnsi="仿宋" w:eastAsia="仿宋_GB2312" w:cs="仿宋_GB2312"/>
          <w:color w:val="auto"/>
          <w:kern w:val="0"/>
          <w:sz w:val="24"/>
          <w:highlight w:val="none"/>
          <w:lang w:val="zh-CN"/>
        </w:rPr>
      </w:pPr>
    </w:p>
    <w:p w14:paraId="7E099537">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0AE524B">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A97F611">
      <w:pPr>
        <w:pStyle w:val="10"/>
        <w:jc w:val="center"/>
        <w:rPr>
          <w:rFonts w:ascii="Times New Roman" w:hAnsi="Times New Roman"/>
          <w:b/>
          <w:color w:val="auto"/>
          <w:sz w:val="30"/>
          <w:szCs w:val="30"/>
          <w:highlight w:val="none"/>
        </w:rPr>
      </w:pPr>
      <w:r>
        <w:rPr>
          <w:rFonts w:hAnsi="宋体"/>
          <w:color w:val="auto"/>
          <w:sz w:val="30"/>
          <w:highlight w:val="none"/>
        </w:rPr>
        <w:br w:type="page"/>
      </w:r>
      <w:r>
        <w:rPr>
          <w:rFonts w:hint="eastAsia" w:ascii="Times New Roman" w:hAnsi="Times New Roman"/>
          <w:b/>
          <w:color w:val="auto"/>
          <w:sz w:val="30"/>
          <w:szCs w:val="30"/>
          <w:highlight w:val="none"/>
        </w:rPr>
        <w:t>三、中小企业声明函</w:t>
      </w:r>
    </w:p>
    <w:p w14:paraId="42C7B674">
      <w:pPr>
        <w:pStyle w:val="8"/>
        <w:spacing w:line="240" w:lineRule="auto"/>
        <w:ind w:firstLine="0"/>
        <w:rPr>
          <w:rFonts w:ascii="Times New Roman" w:hAnsi="Times New Roman"/>
          <w:color w:val="auto"/>
          <w:sz w:val="21"/>
          <w:szCs w:val="21"/>
          <w:highlight w:val="none"/>
        </w:rPr>
      </w:pPr>
      <w:bookmarkStart w:id="94" w:name="_Toc21269"/>
      <w:r>
        <w:rPr>
          <w:rFonts w:hint="eastAsia" w:ascii="Times New Roman" w:hAnsi="宋体"/>
          <w:color w:val="auto"/>
          <w:sz w:val="21"/>
          <w:szCs w:val="21"/>
          <w:highlight w:val="none"/>
        </w:rPr>
        <w:t>说明：</w:t>
      </w:r>
    </w:p>
    <w:p w14:paraId="02AF5689">
      <w:pPr>
        <w:pStyle w:val="8"/>
        <w:spacing w:line="240" w:lineRule="auto"/>
        <w:ind w:firstLine="404" w:firstLineChars="200"/>
        <w:rPr>
          <w:rFonts w:ascii="Times New Roman" w:hAnsi="Times New Roman"/>
          <w:color w:val="auto"/>
          <w:sz w:val="21"/>
          <w:szCs w:val="21"/>
          <w:highlight w:val="none"/>
        </w:rPr>
      </w:pPr>
      <w:r>
        <w:rPr>
          <w:rFonts w:ascii="Times New Roman" w:hAnsi="Times New Roman"/>
          <w:color w:val="auto"/>
          <w:sz w:val="21"/>
          <w:szCs w:val="21"/>
          <w:highlight w:val="none"/>
        </w:rPr>
        <w:t>1</w:t>
      </w:r>
      <w:r>
        <w:rPr>
          <w:rFonts w:hint="eastAsia" w:ascii="Times New Roman" w:hAnsi="宋体"/>
          <w:color w:val="auto"/>
          <w:sz w:val="21"/>
          <w:szCs w:val="21"/>
          <w:highlight w:val="none"/>
        </w:rPr>
        <w:t>、本声明函主要供参加政府采购活动的中小企业填写，非中小企业无需填写。</w:t>
      </w:r>
    </w:p>
    <w:p w14:paraId="1B9789CF">
      <w:pPr>
        <w:pStyle w:val="8"/>
        <w:spacing w:line="240" w:lineRule="auto"/>
        <w:ind w:firstLine="404" w:firstLineChars="200"/>
        <w:rPr>
          <w:rFonts w:ascii="Times New Roman" w:hAnsi="宋体"/>
          <w:color w:val="auto"/>
          <w:sz w:val="21"/>
          <w:szCs w:val="21"/>
          <w:highlight w:val="none"/>
        </w:rPr>
      </w:pPr>
      <w:r>
        <w:rPr>
          <w:rFonts w:ascii="Times New Roman" w:hAnsi="Times New Roman"/>
          <w:color w:val="auto"/>
          <w:sz w:val="21"/>
          <w:szCs w:val="21"/>
          <w:highlight w:val="none"/>
        </w:rPr>
        <w:t>2</w:t>
      </w:r>
      <w:r>
        <w:rPr>
          <w:rFonts w:hint="eastAsia" w:ascii="Times New Roman" w:hAnsi="宋体"/>
          <w:color w:val="auto"/>
          <w:sz w:val="21"/>
          <w:szCs w:val="21"/>
          <w:highlight w:val="none"/>
        </w:rPr>
        <w:t>、小型、微型企业提供中型企业提供的服务的，视同为中型企业。</w:t>
      </w:r>
    </w:p>
    <w:p w14:paraId="1F8E7AFB">
      <w:pPr>
        <w:pStyle w:val="8"/>
        <w:spacing w:line="240" w:lineRule="auto"/>
        <w:ind w:firstLine="404" w:firstLineChars="200"/>
        <w:rPr>
          <w:rFonts w:ascii="Times New Roman" w:hAnsi="宋体"/>
          <w:color w:val="auto"/>
          <w:sz w:val="21"/>
          <w:szCs w:val="21"/>
          <w:highlight w:val="none"/>
        </w:rPr>
      </w:pPr>
    </w:p>
    <w:p w14:paraId="3810C32E">
      <w:pPr>
        <w:pStyle w:val="7"/>
        <w:spacing w:line="500" w:lineRule="exact"/>
        <w:ind w:right="142" w:firstLine="420" w:firstLineChars="200"/>
        <w:rPr>
          <w:rFonts w:ascii="宋体" w:hAnsi="宋体"/>
          <w:color w:val="auto"/>
          <w:highlight w:val="none"/>
        </w:rPr>
      </w:pPr>
      <w:r>
        <w:rPr>
          <w:rFonts w:hint="eastAsia" w:ascii="宋体" w:hAnsi="宋体"/>
          <w:color w:val="auto"/>
          <w:highlight w:val="none"/>
        </w:rPr>
        <w:t>本公司（联合体）郑重声明，根据《政府采购促进中小企业发展管理办法》（财库﹝2020﹞46号）的规定，本公司（联合体）参加</w:t>
      </w:r>
      <w:r>
        <w:rPr>
          <w:rFonts w:hint="eastAsia" w:ascii="宋体" w:hAnsi="宋体"/>
          <w:color w:val="auto"/>
          <w:highlight w:val="none"/>
          <w:u w:val="single"/>
        </w:rPr>
        <w:t>南宁市国土空间总体规划动态维护工作</w:t>
      </w:r>
      <w:r>
        <w:rPr>
          <w:rFonts w:hint="eastAsia" w:ascii="宋体" w:hAnsi="宋体"/>
          <w:color w:val="auto"/>
          <w:highlight w:val="none"/>
        </w:rPr>
        <w:t>采购活动，服务全部由符合政策要求的中小企业承接。相关企业（含联合体中的中小企业、签订分包意向协议的中小企业）的具体情况如下：</w:t>
      </w:r>
    </w:p>
    <w:p w14:paraId="761C86F0">
      <w:pPr>
        <w:tabs>
          <w:tab w:val="left" w:pos="1384"/>
          <w:tab w:val="left" w:pos="4562"/>
          <w:tab w:val="left" w:pos="6803"/>
        </w:tabs>
        <w:spacing w:before="13" w:line="500" w:lineRule="exact"/>
        <w:ind w:right="142" w:firstLine="600" w:firstLineChars="286"/>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3F718D1D">
      <w:pPr>
        <w:tabs>
          <w:tab w:val="left" w:pos="1065"/>
          <w:tab w:val="left" w:pos="4262"/>
          <w:tab w:val="left" w:pos="6477"/>
        </w:tabs>
        <w:spacing w:before="20" w:line="500" w:lineRule="exact"/>
        <w:ind w:right="84" w:firstLine="600" w:firstLineChars="286"/>
        <w:rPr>
          <w:rFonts w:ascii="宋体" w:hAnsi="宋体"/>
          <w:color w:val="auto"/>
          <w:szCs w:val="21"/>
          <w:highlight w:val="none"/>
          <w:u w:val="single"/>
        </w:rPr>
      </w:pPr>
      <w:r>
        <w:rPr>
          <w:rFonts w:hint="eastAsia" w:ascii="宋体" w:hAnsi="宋体"/>
          <w:color w:val="auto"/>
          <w:szCs w:val="21"/>
          <w:highlight w:val="none"/>
        </w:rPr>
        <w:t>2.</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023F68FB">
      <w:pPr>
        <w:pStyle w:val="7"/>
        <w:spacing w:before="34" w:line="500" w:lineRule="exact"/>
        <w:ind w:left="765" w:right="142" w:hanging="5"/>
        <w:rPr>
          <w:rFonts w:ascii="宋体" w:hAnsi="宋体"/>
          <w:color w:val="auto"/>
          <w:highlight w:val="none"/>
        </w:rPr>
      </w:pPr>
      <w:r>
        <w:rPr>
          <w:rFonts w:hint="eastAsia" w:ascii="宋体" w:hAnsi="宋体"/>
          <w:color w:val="auto"/>
          <w:highlight w:val="none"/>
        </w:rPr>
        <w:t xml:space="preserve">…… </w:t>
      </w:r>
    </w:p>
    <w:p w14:paraId="55AB17AF">
      <w:pPr>
        <w:pStyle w:val="7"/>
        <w:spacing w:before="34" w:line="500" w:lineRule="exact"/>
        <w:ind w:right="142" w:firstLine="420" w:firstLineChars="200"/>
        <w:rPr>
          <w:rFonts w:ascii="宋体" w:hAnsi="宋体"/>
          <w:color w:val="auto"/>
          <w:highlight w:val="none"/>
        </w:rPr>
      </w:pPr>
      <w:r>
        <w:rPr>
          <w:rFonts w:hint="eastAsia" w:ascii="宋体" w:hAnsi="宋体"/>
          <w:color w:val="auto"/>
          <w:highlight w:val="none"/>
        </w:rPr>
        <w:t>以上企业，不属于大企业的分支机构，不存在控股股东为大企业的情形，也不存在与大企业的负责人为同一人的情形。</w:t>
      </w:r>
    </w:p>
    <w:p w14:paraId="1FB87EC1">
      <w:pPr>
        <w:pStyle w:val="7"/>
        <w:spacing w:before="34" w:line="500" w:lineRule="exact"/>
        <w:ind w:right="142" w:firstLine="420" w:firstLineChars="200"/>
        <w:rPr>
          <w:rFonts w:ascii="宋体" w:hAnsi="宋体"/>
          <w:color w:val="auto"/>
          <w:highlight w:val="none"/>
        </w:rPr>
      </w:pPr>
      <w:r>
        <w:rPr>
          <w:rFonts w:hint="eastAsia" w:ascii="宋体" w:hAnsi="宋体"/>
          <w:color w:val="auto"/>
          <w:highlight w:val="none"/>
        </w:rPr>
        <w:t>本企业对上述声明内容的真实性负责。如有虚假，将依法承担相应责任。</w:t>
      </w:r>
    </w:p>
    <w:p w14:paraId="03E364FE">
      <w:pPr>
        <w:pStyle w:val="10"/>
        <w:spacing w:line="360" w:lineRule="auto"/>
        <w:ind w:firstLine="420" w:firstLineChars="200"/>
        <w:rPr>
          <w:rFonts w:hAnsi="宋体"/>
          <w:color w:val="auto"/>
          <w:szCs w:val="21"/>
          <w:highlight w:val="none"/>
        </w:rPr>
      </w:pPr>
    </w:p>
    <w:p w14:paraId="45A62490">
      <w:pPr>
        <w:pStyle w:val="10"/>
        <w:spacing w:line="360" w:lineRule="auto"/>
        <w:ind w:firstLine="420" w:firstLineChars="200"/>
        <w:rPr>
          <w:rFonts w:hAnsi="宋体"/>
          <w:color w:val="auto"/>
          <w:szCs w:val="21"/>
          <w:highlight w:val="none"/>
        </w:rPr>
      </w:pPr>
    </w:p>
    <w:p w14:paraId="11D57C4F">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60EADED">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C334506">
      <w:pPr>
        <w:snapToGrid w:val="0"/>
        <w:spacing w:before="50" w:after="165" w:afterLines="50" w:line="360" w:lineRule="auto"/>
        <w:jc w:val="left"/>
        <w:rPr>
          <w:rFonts w:hAnsi="宋体" w:cs="宋体"/>
          <w:color w:val="auto"/>
          <w:sz w:val="20"/>
          <w:highlight w:val="none"/>
        </w:rPr>
      </w:pPr>
      <w:r>
        <w:rPr>
          <w:rFonts w:hint="eastAsia" w:hAnsi="宋体" w:cs="宋体"/>
          <w:color w:val="auto"/>
          <w:sz w:val="20"/>
          <w:highlight w:val="none"/>
        </w:rPr>
        <w:t>注：</w:t>
      </w:r>
    </w:p>
    <w:p w14:paraId="15EBCE8D">
      <w:pPr>
        <w:numPr>
          <w:ilvl w:val="0"/>
          <w:numId w:val="5"/>
        </w:numPr>
        <w:snapToGrid w:val="0"/>
        <w:spacing w:before="50" w:after="165" w:afterLines="50" w:line="360" w:lineRule="auto"/>
        <w:jc w:val="left"/>
        <w:rPr>
          <w:color w:val="auto"/>
          <w:sz w:val="20"/>
          <w:highlight w:val="none"/>
        </w:rPr>
      </w:pPr>
      <w:r>
        <w:rPr>
          <w:rFonts w:hint="eastAsia"/>
          <w:color w:val="auto"/>
          <w:sz w:val="20"/>
          <w:highlight w:val="none"/>
        </w:rPr>
        <w:t>从业人员、营业收入、资产总额填报上一年度数据，无上一年度数据的新成立企业可不填报。</w:t>
      </w:r>
    </w:p>
    <w:p w14:paraId="125FA2C2">
      <w:pPr>
        <w:snapToGrid w:val="0"/>
        <w:spacing w:before="50" w:after="165" w:afterLines="50" w:line="360" w:lineRule="auto"/>
        <w:ind w:firstLine="300" w:firstLineChars="150"/>
        <w:jc w:val="left"/>
        <w:rPr>
          <w:color w:val="auto"/>
          <w:sz w:val="20"/>
          <w:highlight w:val="none"/>
        </w:rPr>
      </w:pPr>
      <w:r>
        <w:rPr>
          <w:color w:val="auto"/>
          <w:sz w:val="20"/>
          <w:highlight w:val="none"/>
        </w:rPr>
        <w:t>2</w:t>
      </w:r>
      <w:r>
        <w:rPr>
          <w:rFonts w:hint="eastAsia"/>
          <w:color w:val="auto"/>
          <w:sz w:val="20"/>
          <w:highlight w:val="none"/>
        </w:rPr>
        <w:t>、请根据自己的真实情况出具《中小企业声明函》。依法享受中小企业优惠政策的，采购人或者采购代理机构在公告中标结果时，同时公告其《中小企业声明函》，接受社会监督。</w:t>
      </w:r>
    </w:p>
    <w:p w14:paraId="79F3B468">
      <w:pPr>
        <w:snapToGrid w:val="0"/>
        <w:spacing w:before="50" w:after="165" w:afterLines="50" w:line="360" w:lineRule="auto"/>
        <w:ind w:firstLine="300" w:firstLineChars="150"/>
        <w:jc w:val="left"/>
        <w:rPr>
          <w:color w:val="auto"/>
          <w:sz w:val="20"/>
          <w:highlight w:val="none"/>
        </w:rPr>
      </w:pPr>
      <w:r>
        <w:rPr>
          <w:rFonts w:hint="eastAsia"/>
          <w:color w:val="auto"/>
          <w:sz w:val="20"/>
          <w:highlight w:val="none"/>
        </w:rPr>
        <w:br w:type="page"/>
      </w:r>
    </w:p>
    <w:p w14:paraId="155CE202">
      <w:pPr>
        <w:snapToGrid w:val="0"/>
        <w:spacing w:before="165" w:beforeLines="50" w:after="50"/>
        <w:jc w:val="center"/>
        <w:outlineLvl w:val="1"/>
        <w:rPr>
          <w:rFonts w:ascii="宋体" w:hAnsi="宋体"/>
          <w:b/>
          <w:bCs/>
          <w:color w:val="auto"/>
          <w:sz w:val="28"/>
          <w:szCs w:val="28"/>
          <w:highlight w:val="none"/>
        </w:rPr>
      </w:pPr>
      <w:bookmarkStart w:id="95" w:name="_Toc2218"/>
      <w:bookmarkStart w:id="96" w:name="_Toc20616"/>
      <w:bookmarkStart w:id="97" w:name="_Toc11242"/>
      <w:r>
        <w:rPr>
          <w:rFonts w:hint="eastAsia" w:ascii="宋体" w:hAnsi="宋体"/>
          <w:b/>
          <w:bCs/>
          <w:color w:val="auto"/>
          <w:sz w:val="28"/>
          <w:szCs w:val="28"/>
          <w:highlight w:val="none"/>
        </w:rPr>
        <w:t>第六节 其他文书、文件格式</w:t>
      </w:r>
      <w:bookmarkEnd w:id="94"/>
      <w:bookmarkEnd w:id="95"/>
      <w:bookmarkEnd w:id="96"/>
      <w:bookmarkEnd w:id="97"/>
    </w:p>
    <w:p w14:paraId="275733AE">
      <w:pPr>
        <w:pStyle w:val="10"/>
        <w:spacing w:line="360" w:lineRule="auto"/>
        <w:jc w:val="center"/>
        <w:rPr>
          <w:b/>
          <w:color w:val="auto"/>
          <w:sz w:val="30"/>
          <w:szCs w:val="30"/>
          <w:highlight w:val="none"/>
        </w:rPr>
      </w:pPr>
      <w:r>
        <w:rPr>
          <w:rFonts w:hint="eastAsia"/>
          <w:b/>
          <w:color w:val="auto"/>
          <w:sz w:val="30"/>
          <w:szCs w:val="30"/>
          <w:highlight w:val="none"/>
        </w:rPr>
        <w:t>残疾人福利性单位声明函（格式）</w:t>
      </w:r>
    </w:p>
    <w:p w14:paraId="57666297">
      <w:pPr>
        <w:pStyle w:val="10"/>
        <w:spacing w:line="360" w:lineRule="auto"/>
        <w:jc w:val="center"/>
        <w:rPr>
          <w:b/>
          <w:color w:val="auto"/>
          <w:sz w:val="30"/>
          <w:szCs w:val="30"/>
          <w:highlight w:val="none"/>
        </w:rPr>
      </w:pPr>
    </w:p>
    <w:p w14:paraId="0DE12688">
      <w:pPr>
        <w:pStyle w:val="10"/>
        <w:spacing w:line="360" w:lineRule="auto"/>
        <w:jc w:val="left"/>
        <w:rPr>
          <w:rFonts w:ascii="仿宋_GB2312" w:eastAsia="仿宋_GB2312"/>
          <w:color w:val="auto"/>
          <w:sz w:val="24"/>
          <w:szCs w:val="24"/>
          <w:highlight w:val="none"/>
        </w:rPr>
      </w:pPr>
      <w:r>
        <w:rPr>
          <w:rFonts w:hint="eastAsia"/>
          <w:color w:val="auto"/>
          <w:sz w:val="30"/>
          <w:szCs w:val="30"/>
          <w:highlight w:val="none"/>
        </w:rPr>
        <w:t xml:space="preserve">   </w:t>
      </w:r>
      <w:r>
        <w:rPr>
          <w:rFonts w:hint="eastAsia" w:ascii="仿宋_GB2312" w:eastAsia="仿宋_GB2312"/>
          <w:color w:val="auto"/>
          <w:sz w:val="24"/>
          <w:szCs w:val="24"/>
          <w:highlight w:val="none"/>
        </w:rPr>
        <w:t>本公司郑重声明，根据《财政部 民政部 中国残疾人联合会关于促进残疾人就业政府采购政策的通知》（财库〔2017〕 141号）的规定，本公司为符合条件的残疾人福利性单位，且本公司参加</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单位的</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项目采购活动提供本公司制造的货物（由本公司承担工程/提供服务），或者提供其他残疾人福利性单位制造的货物（不包括使用非残疾人福利性单位注册商标的货物）。</w:t>
      </w:r>
    </w:p>
    <w:p w14:paraId="118FE38F">
      <w:pPr>
        <w:pStyle w:val="10"/>
        <w:spacing w:line="360" w:lineRule="auto"/>
        <w:ind w:firstLine="480" w:firstLineChars="20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本公司对上述声明的真实性负责。如有虚假，将依法承担相应责任。</w:t>
      </w:r>
    </w:p>
    <w:p w14:paraId="5819A89C">
      <w:pPr>
        <w:pStyle w:val="10"/>
        <w:spacing w:line="360" w:lineRule="auto"/>
        <w:jc w:val="left"/>
        <w:rPr>
          <w:b/>
          <w:color w:val="auto"/>
          <w:szCs w:val="21"/>
          <w:highlight w:val="none"/>
        </w:rPr>
      </w:pPr>
    </w:p>
    <w:p w14:paraId="6B664355">
      <w:pPr>
        <w:pStyle w:val="10"/>
        <w:spacing w:line="360" w:lineRule="auto"/>
        <w:jc w:val="left"/>
        <w:rPr>
          <w:b/>
          <w:color w:val="auto"/>
          <w:szCs w:val="21"/>
          <w:highlight w:val="none"/>
        </w:rPr>
      </w:pPr>
    </w:p>
    <w:p w14:paraId="4D320BD7">
      <w:pPr>
        <w:snapToGrid w:val="0"/>
        <w:spacing w:line="360" w:lineRule="auto"/>
        <w:ind w:left="5137" w:leftChars="1736" w:hanging="1491" w:hangingChars="825"/>
        <w:rPr>
          <w:rFonts w:ascii="仿宋_GB2312" w:hAnsi="仿宋" w:eastAsia="仿宋_GB2312" w:cs="仿宋_GB2312"/>
          <w:color w:val="auto"/>
          <w:kern w:val="0"/>
          <w:sz w:val="24"/>
          <w:highlight w:val="none"/>
        </w:rPr>
      </w:pPr>
      <w:r>
        <w:rPr>
          <w:rFonts w:hint="eastAsia"/>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13FD099B">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D663242">
      <w:pPr>
        <w:pStyle w:val="10"/>
        <w:spacing w:line="360" w:lineRule="auto"/>
        <w:ind w:left="5132" w:leftChars="1979" w:hanging="976" w:hangingChars="488"/>
        <w:rPr>
          <w:color w:val="auto"/>
          <w:sz w:val="20"/>
          <w:highlight w:val="none"/>
        </w:rPr>
      </w:pPr>
    </w:p>
    <w:p w14:paraId="04A2FB9A">
      <w:pPr>
        <w:spacing w:line="360" w:lineRule="auto"/>
        <w:ind w:right="420"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7B9AEC87">
      <w:pPr>
        <w:jc w:val="center"/>
        <w:rPr>
          <w:rFonts w:ascii="宋体" w:hAnsi="宋体" w:cs="宋体"/>
          <w:b/>
          <w:bCs/>
          <w:color w:val="auto"/>
          <w:sz w:val="32"/>
          <w:szCs w:val="32"/>
          <w:highlight w:val="none"/>
        </w:rPr>
      </w:pPr>
      <w:r>
        <w:rPr>
          <w:color w:val="auto"/>
          <w:sz w:val="20"/>
          <w:highlight w:val="none"/>
        </w:rPr>
        <w:br w:type="page"/>
      </w:r>
      <w:r>
        <w:rPr>
          <w:rFonts w:hint="eastAsia" w:ascii="宋体" w:hAnsi="宋体" w:cs="宋体"/>
          <w:b/>
          <w:bCs/>
          <w:color w:val="auto"/>
          <w:sz w:val="32"/>
          <w:szCs w:val="32"/>
          <w:highlight w:val="none"/>
        </w:rPr>
        <w:t>知识产权合规性声明</w:t>
      </w:r>
    </w:p>
    <w:p w14:paraId="0170EFFB">
      <w:pPr>
        <w:rPr>
          <w:rFonts w:ascii="仿宋_GB2312" w:hAnsi="仿宋_GB2312" w:eastAsia="仿宋_GB2312" w:cs="仿宋_GB2312"/>
          <w:color w:val="auto"/>
          <w:sz w:val="30"/>
          <w:szCs w:val="30"/>
          <w:highlight w:val="none"/>
        </w:rPr>
      </w:pPr>
    </w:p>
    <w:p w14:paraId="64B32A40">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本企业（单位）自愿参与政府投资政府采购的</w:t>
      </w:r>
      <w:bookmarkStart w:id="98" w:name="PO_3000001867_PM002_10"/>
      <w:r>
        <w:rPr>
          <w:rFonts w:hint="eastAsia" w:ascii="仿宋_GB2312" w:hAnsi="仿宋_GB2312" w:eastAsia="仿宋_GB2312" w:cs="仿宋_GB2312"/>
          <w:color w:val="auto"/>
          <w:sz w:val="30"/>
          <w:szCs w:val="30"/>
          <w:highlight w:val="none"/>
          <w:u w:val="single"/>
        </w:rPr>
        <w:t>[项目采购-项目名称_]</w:t>
      </w:r>
      <w:bookmarkEnd w:id="98"/>
      <w:r>
        <w:rPr>
          <w:rFonts w:hint="eastAsia" w:ascii="仿宋_GB2312" w:hAnsi="仿宋_GB2312" w:eastAsia="仿宋_GB2312" w:cs="仿宋_GB2312"/>
          <w:color w:val="auto"/>
          <w:sz w:val="30"/>
          <w:szCs w:val="30"/>
          <w:highlight w:val="none"/>
        </w:rPr>
        <w:t>项目，</w:t>
      </w:r>
      <w:r>
        <w:rPr>
          <w:rFonts w:hint="eastAsia" w:ascii="仿宋_GB2312" w:hAnsi="仿宋_GB2312" w:eastAsia="仿宋_GB2312" w:cs="仿宋_GB2312"/>
          <w:b/>
          <w:bCs/>
          <w:color w:val="auto"/>
          <w:sz w:val="30"/>
          <w:szCs w:val="30"/>
          <w:highlight w:val="none"/>
        </w:rPr>
        <w:t>在此郑重承诺：</w:t>
      </w:r>
      <w:r>
        <w:rPr>
          <w:rFonts w:hint="eastAsia" w:ascii="仿宋_GB2312" w:hAnsi="仿宋_GB2312" w:eastAsia="仿宋_GB2312" w:cs="仿宋_GB2312"/>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868D0B0">
      <w:pPr>
        <w:snapToGrid w:val="0"/>
        <w:spacing w:line="360" w:lineRule="auto"/>
        <w:ind w:left="5137" w:leftChars="1736" w:hanging="1491" w:hangingChars="825"/>
        <w:rPr>
          <w:b/>
          <w:color w:val="auto"/>
          <w:sz w:val="18"/>
          <w:szCs w:val="18"/>
          <w:highlight w:val="none"/>
        </w:rPr>
      </w:pPr>
    </w:p>
    <w:p w14:paraId="781AC368">
      <w:pPr>
        <w:snapToGrid w:val="0"/>
        <w:spacing w:line="360" w:lineRule="auto"/>
        <w:ind w:left="5137" w:leftChars="1736" w:hanging="1491" w:hangingChars="825"/>
        <w:rPr>
          <w:b/>
          <w:color w:val="auto"/>
          <w:sz w:val="18"/>
          <w:szCs w:val="18"/>
          <w:highlight w:val="none"/>
        </w:rPr>
      </w:pPr>
    </w:p>
    <w:p w14:paraId="35C753F5">
      <w:pPr>
        <w:snapToGrid w:val="0"/>
        <w:spacing w:line="360" w:lineRule="auto"/>
        <w:ind w:left="5137" w:leftChars="1736" w:hanging="1491" w:hangingChars="825"/>
        <w:rPr>
          <w:b/>
          <w:color w:val="auto"/>
          <w:sz w:val="18"/>
          <w:szCs w:val="18"/>
          <w:highlight w:val="none"/>
        </w:rPr>
      </w:pPr>
    </w:p>
    <w:p w14:paraId="3AECBC7D">
      <w:pPr>
        <w:snapToGrid w:val="0"/>
        <w:spacing w:line="360" w:lineRule="auto"/>
        <w:ind w:left="5137" w:leftChars="1736" w:hanging="1491" w:hangingChars="825"/>
        <w:rPr>
          <w:b/>
          <w:color w:val="auto"/>
          <w:sz w:val="18"/>
          <w:szCs w:val="18"/>
          <w:highlight w:val="none"/>
        </w:rPr>
      </w:pPr>
    </w:p>
    <w:p w14:paraId="2707E320">
      <w:pPr>
        <w:snapToGrid w:val="0"/>
        <w:spacing w:line="360" w:lineRule="auto"/>
        <w:ind w:left="5626" w:leftChars="1736" w:hanging="1980" w:hangingChars="825"/>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4A102B0">
      <w:pPr>
        <w:snapToGrid w:val="0"/>
        <w:spacing w:line="360" w:lineRule="auto"/>
        <w:ind w:firstLine="5160" w:firstLineChars="2150"/>
        <w:rPr>
          <w:color w:val="auto"/>
          <w:sz w:val="20"/>
          <w:highlight w:val="none"/>
        </w:rPr>
        <w:sectPr>
          <w:pgSz w:w="11906" w:h="16838"/>
          <w:pgMar w:top="1134" w:right="1134" w:bottom="1134" w:left="1134" w:header="720" w:footer="720" w:gutter="0"/>
          <w:cols w:space="720" w:num="1"/>
          <w:docGrid w:type="lines" w:linePitch="331" w:charSpace="0"/>
        </w:sect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71EBBEB">
      <w:pPr>
        <w:pStyle w:val="10"/>
        <w:tabs>
          <w:tab w:val="left" w:pos="2472"/>
        </w:tabs>
        <w:spacing w:line="460" w:lineRule="exact"/>
        <w:jc w:val="center"/>
        <w:outlineLvl w:val="0"/>
        <w:rPr>
          <w:rFonts w:ascii="Times New Roman" w:hAnsi="Times New Roman"/>
          <w:b/>
          <w:color w:val="auto"/>
          <w:sz w:val="36"/>
          <w:highlight w:val="none"/>
        </w:rPr>
      </w:pPr>
      <w:bookmarkStart w:id="99" w:name="_Toc3854"/>
      <w:r>
        <w:rPr>
          <w:rFonts w:hint="eastAsia" w:ascii="Times New Roman" w:hAnsi="Times New Roman"/>
          <w:b/>
          <w:color w:val="auto"/>
          <w:sz w:val="36"/>
          <w:highlight w:val="none"/>
        </w:rPr>
        <w:t>第七章 质疑、投诉证明材料格式</w:t>
      </w:r>
      <w:bookmarkEnd w:id="99"/>
    </w:p>
    <w:p w14:paraId="747B6BC2">
      <w:pPr>
        <w:widowControl/>
        <w:shd w:val="clear" w:color="auto" w:fill="FFFFFF"/>
        <w:spacing w:line="260" w:lineRule="exact"/>
        <w:jc w:val="left"/>
        <w:rPr>
          <w:rFonts w:ascii="宋体" w:hAnsi="宋体"/>
          <w:b/>
          <w:bCs/>
          <w:color w:val="auto"/>
          <w:sz w:val="28"/>
          <w:szCs w:val="28"/>
          <w:highlight w:val="none"/>
        </w:rPr>
      </w:pPr>
    </w:p>
    <w:p w14:paraId="3DE1F979">
      <w:pPr>
        <w:pStyle w:val="2"/>
        <w:jc w:val="center"/>
        <w:rPr>
          <w:rFonts w:ascii="宋体" w:hAnsi="宋体"/>
          <w:b w:val="0"/>
          <w:bCs w:val="0"/>
          <w:color w:val="auto"/>
          <w:highlight w:val="none"/>
        </w:rPr>
      </w:pPr>
      <w:bookmarkStart w:id="100" w:name="_Toc4900"/>
      <w:bookmarkStart w:id="101" w:name="_Toc7208"/>
      <w:bookmarkStart w:id="102" w:name="_Toc23780"/>
      <w:bookmarkStart w:id="103" w:name="_Toc17558"/>
      <w:r>
        <w:rPr>
          <w:rFonts w:hint="eastAsia" w:ascii="宋体" w:hAnsi="宋体"/>
          <w:b w:val="0"/>
          <w:bCs w:val="0"/>
          <w:color w:val="auto"/>
          <w:highlight w:val="none"/>
        </w:rPr>
        <w:t>第一节 质疑函（格式）</w:t>
      </w:r>
      <w:bookmarkEnd w:id="100"/>
      <w:bookmarkEnd w:id="101"/>
      <w:bookmarkEnd w:id="102"/>
      <w:bookmarkEnd w:id="103"/>
    </w:p>
    <w:p w14:paraId="212C6483">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3F18A8FE">
      <w:pPr>
        <w:adjustRightInd w:val="0"/>
        <w:snapToGrid w:val="0"/>
        <w:spacing w:before="331" w:beforeLines="100"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一、质疑供应商基本信息</w:t>
      </w:r>
    </w:p>
    <w:p w14:paraId="3017E2FA">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1F6B6E55">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777480BA">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4B7B5535">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5580B2FC">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ascii="仿宋" w:hAnsi="仿宋" w:eastAsia="仿宋" w:cs="仿宋"/>
          <w:color w:val="auto"/>
          <w:sz w:val="32"/>
          <w:szCs w:val="32"/>
          <w:highlight w:val="none"/>
        </w:rPr>
        <w:t xml:space="preserve"> </w:t>
      </w:r>
    </w:p>
    <w:p w14:paraId="455F5A7E">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761F71A8">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二、质疑项目基本情况</w:t>
      </w:r>
    </w:p>
    <w:p w14:paraId="2F582ABA">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rPr>
        <w:t xml:space="preserve">                                      </w:t>
      </w:r>
    </w:p>
    <w:p w14:paraId="646BDC3D">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18ECF29E">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w:t>
      </w:r>
    </w:p>
    <w:p w14:paraId="552464CC">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703BD84C">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三、质疑事项具体内容</w:t>
      </w:r>
    </w:p>
    <w:p w14:paraId="42E5D4EB">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06261836">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7E7B851D">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63AE9DE6">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3CEC5DD7">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52D8E06A">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65261E25">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025F50E7">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四、与质疑事项相关的质疑请求</w:t>
      </w:r>
    </w:p>
    <w:p w14:paraId="1DAF7122">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6E93D634">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签字(签章)：                   公章：                      </w:t>
      </w:r>
    </w:p>
    <w:p w14:paraId="388D8A38">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日期：    </w:t>
      </w:r>
    </w:p>
    <w:p w14:paraId="28FC4D9A">
      <w:pPr>
        <w:rPr>
          <w:rFonts w:ascii="黑体" w:hAnsi="黑体" w:eastAsia="黑体"/>
          <w:b/>
          <w:color w:val="auto"/>
          <w:sz w:val="32"/>
          <w:szCs w:val="32"/>
          <w:highlight w:val="none"/>
        </w:rPr>
      </w:pPr>
    </w:p>
    <w:p w14:paraId="7239DCD1">
      <w:pPr>
        <w:rPr>
          <w:rFonts w:ascii="黑体" w:hAnsi="黑体" w:eastAsia="黑体"/>
          <w:b/>
          <w:color w:val="auto"/>
          <w:sz w:val="32"/>
          <w:szCs w:val="32"/>
          <w:highlight w:val="none"/>
        </w:rPr>
      </w:pPr>
    </w:p>
    <w:p w14:paraId="30D92FE5">
      <w:pPr>
        <w:rPr>
          <w:rFonts w:ascii="黑体" w:hAnsi="黑体" w:eastAsia="黑体"/>
          <w:b/>
          <w:color w:val="auto"/>
          <w:sz w:val="32"/>
          <w:szCs w:val="32"/>
          <w:highlight w:val="none"/>
        </w:rPr>
      </w:pPr>
      <w:r>
        <w:rPr>
          <w:rFonts w:hint="eastAsia" w:ascii="黑体" w:hAnsi="黑体" w:eastAsia="黑体"/>
          <w:b/>
          <w:color w:val="auto"/>
          <w:sz w:val="32"/>
          <w:szCs w:val="32"/>
          <w:highlight w:val="none"/>
        </w:rPr>
        <w:t>质疑函制作说明：</w:t>
      </w:r>
    </w:p>
    <w:p w14:paraId="170F224F">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1.供应商提出质疑时，应提交质疑函和必要的证明材料。</w:t>
      </w:r>
    </w:p>
    <w:p w14:paraId="3AA3FA6E">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highlight w:val="none"/>
        </w:rPr>
        <w:t>供应商签署的授权委托书。授权委托书应载明代理人的姓名或者名称、代理事项、具体权限、期限和相关事项。</w:t>
      </w:r>
    </w:p>
    <w:p w14:paraId="3FCB1D9C">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3.质疑供应商若对项目的某一分包进行质疑，质疑函中应列明具体分包号。</w:t>
      </w:r>
    </w:p>
    <w:p w14:paraId="6E3BC6BB">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4.质疑函的质疑事项应具体、明确，并有必要的事实依据和法律依据。</w:t>
      </w:r>
    </w:p>
    <w:p w14:paraId="0643E4B4">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5.质疑函的质疑请求应与质疑事项相关。</w:t>
      </w:r>
    </w:p>
    <w:p w14:paraId="75A98F1A">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04E3BDC1">
      <w:pPr>
        <w:widowControl/>
        <w:ind w:firstLine="600" w:firstLineChars="200"/>
        <w:jc w:val="left"/>
        <w:rPr>
          <w:rFonts w:ascii="仿宋_GB2312" w:eastAsia="仿宋_GB2312"/>
          <w:color w:val="auto"/>
          <w:sz w:val="30"/>
          <w:szCs w:val="30"/>
          <w:highlight w:val="none"/>
        </w:rPr>
      </w:pPr>
    </w:p>
    <w:p w14:paraId="2FF33868">
      <w:pPr>
        <w:snapToGrid w:val="0"/>
        <w:spacing w:before="50" w:after="165" w:afterLines="50" w:line="360" w:lineRule="auto"/>
        <w:ind w:firstLine="480" w:firstLineChars="200"/>
        <w:jc w:val="left"/>
        <w:rPr>
          <w:rFonts w:ascii="ˎ̥" w:hAnsi="ˎ̥" w:cs="宋体"/>
          <w:color w:val="auto"/>
          <w:kern w:val="0"/>
          <w:sz w:val="24"/>
          <w:highlight w:val="none"/>
        </w:rPr>
        <w:sectPr>
          <w:pgSz w:w="11906" w:h="16838"/>
          <w:pgMar w:top="1134" w:right="1134" w:bottom="1134" w:left="1134" w:header="720" w:footer="720" w:gutter="0"/>
          <w:cols w:space="720" w:num="1"/>
          <w:docGrid w:type="lines" w:linePitch="331" w:charSpace="0"/>
        </w:sectPr>
      </w:pPr>
    </w:p>
    <w:p w14:paraId="20C7B677">
      <w:pPr>
        <w:pStyle w:val="2"/>
        <w:jc w:val="center"/>
        <w:rPr>
          <w:rFonts w:ascii="宋体" w:hAnsi="宋体"/>
          <w:b w:val="0"/>
          <w:bCs w:val="0"/>
          <w:color w:val="auto"/>
          <w:highlight w:val="none"/>
        </w:rPr>
      </w:pPr>
      <w:bookmarkStart w:id="104" w:name="_Toc31743"/>
      <w:bookmarkStart w:id="105" w:name="_Toc31052"/>
      <w:bookmarkStart w:id="106" w:name="_Toc2814"/>
      <w:bookmarkStart w:id="107" w:name="_Toc17619"/>
      <w:r>
        <w:rPr>
          <w:rFonts w:hint="eastAsia" w:ascii="宋体" w:hAnsi="宋体"/>
          <w:b w:val="0"/>
          <w:bCs w:val="0"/>
          <w:color w:val="auto"/>
          <w:highlight w:val="none"/>
        </w:rPr>
        <w:t>第二节 投诉书（格式）</w:t>
      </w:r>
      <w:bookmarkEnd w:id="104"/>
      <w:bookmarkEnd w:id="105"/>
      <w:bookmarkEnd w:id="106"/>
      <w:bookmarkEnd w:id="107"/>
    </w:p>
    <w:p w14:paraId="28AFAE0D">
      <w:pPr>
        <w:jc w:val="center"/>
        <w:rPr>
          <w:rFonts w:ascii="宋体" w:hAnsi="宋体"/>
          <w:b/>
          <w:color w:val="auto"/>
          <w:sz w:val="44"/>
          <w:szCs w:val="44"/>
          <w:highlight w:val="none"/>
        </w:rPr>
      </w:pPr>
      <w:r>
        <w:rPr>
          <w:rFonts w:hint="eastAsia" w:ascii="宋体" w:hAnsi="宋体"/>
          <w:b/>
          <w:color w:val="auto"/>
          <w:sz w:val="44"/>
          <w:szCs w:val="44"/>
          <w:highlight w:val="none"/>
        </w:rPr>
        <w:t>投诉书范本</w:t>
      </w:r>
    </w:p>
    <w:p w14:paraId="76B4F2C0">
      <w:pPr>
        <w:rPr>
          <w:rFonts w:ascii="黑体" w:hAnsi="黑体" w:eastAsia="黑体"/>
          <w:color w:val="auto"/>
          <w:sz w:val="32"/>
          <w:szCs w:val="32"/>
          <w:highlight w:val="none"/>
        </w:rPr>
      </w:pPr>
      <w:r>
        <w:rPr>
          <w:rFonts w:hint="eastAsia" w:ascii="黑体" w:hAnsi="黑体" w:eastAsia="黑体"/>
          <w:color w:val="auto"/>
          <w:sz w:val="32"/>
          <w:szCs w:val="32"/>
          <w:highlight w:val="none"/>
        </w:rPr>
        <w:t>一、投诉相关主体基本情况</w:t>
      </w:r>
    </w:p>
    <w:p w14:paraId="16D19B46">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投诉人：</w:t>
      </w:r>
      <w:r>
        <w:rPr>
          <w:rFonts w:hint="eastAsia" w:ascii="仿宋_GB2312" w:eastAsia="仿宋_GB2312"/>
          <w:color w:val="auto"/>
          <w:sz w:val="32"/>
          <w:szCs w:val="32"/>
          <w:highlight w:val="none"/>
          <w:u w:val="dotted"/>
        </w:rPr>
        <w:t xml:space="preserve">                                               </w:t>
      </w:r>
    </w:p>
    <w:p w14:paraId="023E9916">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36838D80">
      <w:pPr>
        <w:tabs>
          <w:tab w:val="left" w:pos="6510"/>
        </w:tabs>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法定代表人/主要负责人：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6FD83D4B">
      <w:pPr>
        <w:tabs>
          <w:tab w:val="left" w:pos="6510"/>
        </w:tabs>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55B45643">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授权代表：</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025E3776">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dotted"/>
        </w:rPr>
        <w:t xml:space="preserve">                   </w:t>
      </w:r>
    </w:p>
    <w:p w14:paraId="73826BA7">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被投诉人1：</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6D68D1F0">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694AE716">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79901D6A">
      <w:pPr>
        <w:rPr>
          <w:rFonts w:ascii="仿宋_GB2312" w:eastAsia="仿宋_GB2312"/>
          <w:color w:val="auto"/>
          <w:sz w:val="32"/>
          <w:szCs w:val="32"/>
          <w:highlight w:val="none"/>
        </w:rPr>
      </w:pPr>
      <w:r>
        <w:rPr>
          <w:rFonts w:hint="eastAsia" w:ascii="仿宋_GB2312" w:eastAsia="仿宋_GB2312"/>
          <w:color w:val="auto"/>
          <w:sz w:val="32"/>
          <w:szCs w:val="32"/>
          <w:highlight w:val="none"/>
        </w:rPr>
        <w:t>被投诉人2</w:t>
      </w:r>
    </w:p>
    <w:p w14:paraId="28C57753">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3A7F82E5">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相关供应商：</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48CD5991">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08F1E95E">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43927EE2">
      <w:pPr>
        <w:rPr>
          <w:rFonts w:ascii="黑体" w:hAnsi="黑体" w:eastAsia="黑体"/>
          <w:color w:val="auto"/>
          <w:sz w:val="32"/>
          <w:szCs w:val="32"/>
          <w:highlight w:val="none"/>
        </w:rPr>
      </w:pPr>
      <w:r>
        <w:rPr>
          <w:rFonts w:hint="eastAsia" w:ascii="黑体" w:hAnsi="黑体" w:eastAsia="黑体"/>
          <w:color w:val="auto"/>
          <w:sz w:val="32"/>
          <w:szCs w:val="32"/>
          <w:highlight w:val="none"/>
        </w:rPr>
        <w:t>二、投诉项目基本情况</w:t>
      </w:r>
    </w:p>
    <w:p w14:paraId="661A85BB">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采购项目名称：</w:t>
      </w:r>
      <w:r>
        <w:rPr>
          <w:rFonts w:hint="eastAsia" w:ascii="仿宋_GB2312" w:eastAsia="仿宋_GB2312"/>
          <w:color w:val="auto"/>
          <w:sz w:val="32"/>
          <w:szCs w:val="32"/>
          <w:highlight w:val="none"/>
          <w:u w:val="dotted"/>
        </w:rPr>
        <w:t xml:space="preserve">                                        </w:t>
      </w:r>
    </w:p>
    <w:p w14:paraId="22894AC6">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采购项目编号：</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包号：</w:t>
      </w:r>
      <w:r>
        <w:rPr>
          <w:rFonts w:hint="eastAsia" w:ascii="仿宋_GB2312" w:eastAsia="仿宋_GB2312"/>
          <w:color w:val="auto"/>
          <w:sz w:val="32"/>
          <w:szCs w:val="32"/>
          <w:highlight w:val="none"/>
          <w:u w:val="dotted"/>
        </w:rPr>
        <w:t xml:space="preserve">              </w:t>
      </w:r>
    </w:p>
    <w:p w14:paraId="080660BB">
      <w:pPr>
        <w:rPr>
          <w:rFonts w:ascii="仿宋_GB2312" w:eastAsia="仿宋_GB2312"/>
          <w:color w:val="auto"/>
          <w:sz w:val="32"/>
          <w:szCs w:val="32"/>
          <w:highlight w:val="none"/>
        </w:rPr>
      </w:pPr>
      <w:r>
        <w:rPr>
          <w:rFonts w:hint="eastAsia" w:ascii="仿宋_GB2312" w:eastAsia="仿宋_GB2312"/>
          <w:color w:val="auto"/>
          <w:sz w:val="32"/>
          <w:szCs w:val="32"/>
          <w:highlight w:val="none"/>
        </w:rPr>
        <w:t>采购人名称：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77B98E64">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代理机构名称：</w:t>
      </w:r>
      <w:r>
        <w:rPr>
          <w:rFonts w:hint="eastAsia" w:ascii="仿宋_GB2312" w:eastAsia="仿宋_GB2312"/>
          <w:color w:val="auto"/>
          <w:sz w:val="32"/>
          <w:szCs w:val="32"/>
          <w:highlight w:val="none"/>
          <w:u w:val="dotted"/>
        </w:rPr>
        <w:t xml:space="preserve">                                         </w:t>
      </w:r>
    </w:p>
    <w:p w14:paraId="249895D4">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采购文件公告：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0CB8B777">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采购结果公告：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256314B8">
      <w:pPr>
        <w:rPr>
          <w:rFonts w:ascii="黑体" w:hAnsi="黑体" w:eastAsia="黑体"/>
          <w:color w:val="auto"/>
          <w:sz w:val="32"/>
          <w:szCs w:val="32"/>
          <w:highlight w:val="none"/>
        </w:rPr>
      </w:pPr>
      <w:r>
        <w:rPr>
          <w:rFonts w:hint="eastAsia" w:ascii="黑体" w:hAnsi="黑体" w:eastAsia="黑体"/>
          <w:color w:val="auto"/>
          <w:sz w:val="32"/>
          <w:szCs w:val="32"/>
          <w:highlight w:val="none"/>
        </w:rPr>
        <w:t>三、质疑基本情况</w:t>
      </w:r>
    </w:p>
    <w:p w14:paraId="651E8B11">
      <w:pPr>
        <w:ind w:firstLine="640" w:firstLineChars="200"/>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投诉人于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日,向</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提出质疑，质疑事项为：</w:t>
      </w:r>
      <w:r>
        <w:rPr>
          <w:rFonts w:hint="eastAsia" w:ascii="仿宋_GB2312" w:eastAsia="仿宋_GB2312"/>
          <w:color w:val="auto"/>
          <w:sz w:val="32"/>
          <w:szCs w:val="32"/>
          <w:highlight w:val="none"/>
          <w:u w:val="dotted"/>
        </w:rPr>
        <w:t xml:space="preserve">                                </w:t>
      </w:r>
    </w:p>
    <w:p w14:paraId="5FC9FC2B">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62DBD429">
      <w:pPr>
        <w:ind w:firstLine="480" w:firstLineChars="150"/>
        <w:rPr>
          <w:rFonts w:ascii="仿宋_GB2312" w:eastAsia="仿宋_GB2312"/>
          <w:color w:val="auto"/>
          <w:sz w:val="32"/>
          <w:szCs w:val="32"/>
          <w:highlight w:val="none"/>
        </w:rPr>
      </w:pPr>
      <w:r>
        <w:rPr>
          <w:rFonts w:hint="eastAsia" w:ascii="仿宋_GB2312" w:eastAsia="仿宋_GB2312"/>
          <w:color w:val="auto"/>
          <w:sz w:val="32"/>
          <w:szCs w:val="32"/>
          <w:highlight w:val="none"/>
          <w:u w:val="dotted"/>
        </w:rPr>
        <w:t>采购人/代理机构</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日,就质疑事项作出了答复/没有在法定期限内作出答复。</w:t>
      </w:r>
    </w:p>
    <w:p w14:paraId="2667213B">
      <w:pPr>
        <w:rPr>
          <w:rFonts w:ascii="黑体" w:hAnsi="黑体" w:eastAsia="黑体"/>
          <w:color w:val="auto"/>
          <w:sz w:val="32"/>
          <w:szCs w:val="32"/>
          <w:highlight w:val="none"/>
        </w:rPr>
      </w:pPr>
      <w:r>
        <w:rPr>
          <w:rFonts w:hint="eastAsia" w:ascii="黑体" w:hAnsi="黑体" w:eastAsia="黑体"/>
          <w:color w:val="auto"/>
          <w:sz w:val="32"/>
          <w:szCs w:val="32"/>
          <w:highlight w:val="none"/>
        </w:rPr>
        <w:t>四、投诉事项具体内容</w:t>
      </w:r>
    </w:p>
    <w:p w14:paraId="5D72A355">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投诉事项 1：</w:t>
      </w:r>
      <w:r>
        <w:rPr>
          <w:rFonts w:hint="eastAsia" w:ascii="仿宋_GB2312" w:eastAsia="仿宋_GB2312"/>
          <w:color w:val="auto"/>
          <w:sz w:val="32"/>
          <w:szCs w:val="32"/>
          <w:highlight w:val="none"/>
          <w:u w:val="dotted"/>
        </w:rPr>
        <w:t xml:space="preserve">                                       </w:t>
      </w:r>
    </w:p>
    <w:p w14:paraId="11F0D7FC">
      <w:pPr>
        <w:rPr>
          <w:rFonts w:ascii="仿宋_GB2312" w:eastAsia="仿宋_GB2312"/>
          <w:color w:val="auto"/>
          <w:sz w:val="32"/>
          <w:szCs w:val="32"/>
          <w:highlight w:val="none"/>
        </w:rPr>
      </w:pPr>
      <w:r>
        <w:rPr>
          <w:rFonts w:hint="eastAsia" w:ascii="仿宋_GB2312" w:eastAsia="仿宋_GB2312"/>
          <w:color w:val="auto"/>
          <w:sz w:val="32"/>
          <w:szCs w:val="32"/>
          <w:highlight w:val="none"/>
        </w:rPr>
        <w:t>事实依据：</w:t>
      </w:r>
      <w:r>
        <w:rPr>
          <w:rFonts w:hint="eastAsia" w:ascii="仿宋_GB2312" w:eastAsia="仿宋_GB2312"/>
          <w:color w:val="auto"/>
          <w:sz w:val="32"/>
          <w:szCs w:val="32"/>
          <w:highlight w:val="none"/>
          <w:u w:val="dotted"/>
        </w:rPr>
        <w:t xml:space="preserve">                                         </w:t>
      </w:r>
    </w:p>
    <w:p w14:paraId="5F9AABCC">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4BBD955D">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法律依据：</w:t>
      </w:r>
      <w:r>
        <w:rPr>
          <w:rFonts w:hint="eastAsia" w:ascii="仿宋_GB2312" w:eastAsia="仿宋_GB2312"/>
          <w:color w:val="auto"/>
          <w:sz w:val="32"/>
          <w:szCs w:val="32"/>
          <w:highlight w:val="none"/>
          <w:u w:val="dotted"/>
        </w:rPr>
        <w:t xml:space="preserve">                                          </w:t>
      </w:r>
    </w:p>
    <w:p w14:paraId="4317EBF9">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07C48B79">
      <w:pPr>
        <w:rPr>
          <w:rFonts w:ascii="仿宋_GB2312" w:eastAsia="仿宋_GB2312"/>
          <w:color w:val="auto"/>
          <w:sz w:val="32"/>
          <w:szCs w:val="32"/>
          <w:highlight w:val="none"/>
        </w:rPr>
      </w:pPr>
      <w:r>
        <w:rPr>
          <w:rFonts w:hint="eastAsia" w:ascii="仿宋_GB2312" w:eastAsia="仿宋_GB2312"/>
          <w:color w:val="auto"/>
          <w:sz w:val="32"/>
          <w:szCs w:val="32"/>
          <w:highlight w:val="none"/>
        </w:rPr>
        <w:t>投诉事项2</w:t>
      </w:r>
    </w:p>
    <w:p w14:paraId="1A275689">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722F745F">
      <w:pPr>
        <w:rPr>
          <w:rFonts w:ascii="黑体" w:hAnsi="黑体" w:eastAsia="黑体"/>
          <w:color w:val="auto"/>
          <w:sz w:val="32"/>
          <w:szCs w:val="32"/>
          <w:highlight w:val="none"/>
        </w:rPr>
      </w:pPr>
      <w:r>
        <w:rPr>
          <w:rFonts w:hint="eastAsia" w:ascii="黑体" w:hAnsi="黑体" w:eastAsia="黑体"/>
          <w:color w:val="auto"/>
          <w:sz w:val="32"/>
          <w:szCs w:val="32"/>
          <w:highlight w:val="none"/>
        </w:rPr>
        <w:t>五、与投诉事项相关的投诉请求</w:t>
      </w:r>
    </w:p>
    <w:p w14:paraId="21905FF8">
      <w:pPr>
        <w:rPr>
          <w:rFonts w:ascii="仿宋_GB2312" w:eastAsia="仿宋_GB2312"/>
          <w:color w:val="auto"/>
          <w:sz w:val="32"/>
          <w:szCs w:val="32"/>
          <w:highlight w:val="none"/>
        </w:rPr>
      </w:pPr>
      <w:r>
        <w:rPr>
          <w:rFonts w:hint="eastAsia" w:ascii="仿宋_GB2312" w:eastAsia="仿宋_GB2312"/>
          <w:color w:val="auto"/>
          <w:sz w:val="32"/>
          <w:szCs w:val="32"/>
          <w:highlight w:val="none"/>
        </w:rPr>
        <w:t>请求：</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3ABE5F85">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 xml:space="preserve">                                                                                                    </w:t>
      </w:r>
    </w:p>
    <w:p w14:paraId="34635486">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签字(签章)：                   公章：                      </w:t>
      </w:r>
    </w:p>
    <w:p w14:paraId="61AE5F09">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日期：    </w:t>
      </w:r>
    </w:p>
    <w:p w14:paraId="7980CB9C">
      <w:pPr>
        <w:rPr>
          <w:rFonts w:ascii="黑体" w:hAnsi="黑体" w:eastAsia="黑体"/>
          <w:b/>
          <w:color w:val="auto"/>
          <w:sz w:val="32"/>
          <w:szCs w:val="32"/>
          <w:highlight w:val="none"/>
        </w:rPr>
      </w:pPr>
    </w:p>
    <w:p w14:paraId="5D101CBA">
      <w:pPr>
        <w:rPr>
          <w:rFonts w:ascii="黑体" w:hAnsi="黑体" w:eastAsia="黑体"/>
          <w:b/>
          <w:color w:val="auto"/>
          <w:sz w:val="32"/>
          <w:szCs w:val="32"/>
          <w:highlight w:val="none"/>
        </w:rPr>
      </w:pPr>
      <w:r>
        <w:rPr>
          <w:rFonts w:hint="eastAsia" w:ascii="黑体" w:hAnsi="黑体" w:eastAsia="黑体"/>
          <w:b/>
          <w:color w:val="auto"/>
          <w:sz w:val="32"/>
          <w:szCs w:val="32"/>
          <w:highlight w:val="none"/>
        </w:rPr>
        <w:t>投诉书制作说明：</w:t>
      </w:r>
    </w:p>
    <w:p w14:paraId="4E2AEB8E">
      <w:pPr>
        <w:widowControl/>
        <w:ind w:firstLine="640" w:firstLineChars="200"/>
        <w:rPr>
          <w:rFonts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1.投诉人提起投诉时，应当提交投诉书和必要的证明材料，并按照被投诉人和与投诉事项有关的供应商数量提供投诉书副本。</w:t>
      </w:r>
    </w:p>
    <w:p w14:paraId="5F9B7436">
      <w:pPr>
        <w:widowControl/>
        <w:ind w:firstLine="640" w:firstLineChars="200"/>
        <w:jc w:val="left"/>
        <w:rPr>
          <w:rFonts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highlight w:val="none"/>
        </w:rPr>
        <w:t>投诉人签署的授权委托书。授权委托书应当载明代理人的姓名或者名称、代理事项、具体权限、期限和相关事项。</w:t>
      </w:r>
    </w:p>
    <w:p w14:paraId="69C61C59">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3.投诉人若对项目的某一分包进行投诉，投诉书应列明具体分包号。</w:t>
      </w:r>
    </w:p>
    <w:p w14:paraId="703A6F46">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4.投诉书应简要列明质疑事项，质疑函、质疑答复等作为附件材料提供。</w:t>
      </w:r>
    </w:p>
    <w:p w14:paraId="0CCBD4AE">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5.投诉书的投诉事项应具体、明确，并有必要的事实依据和法律依据。</w:t>
      </w:r>
    </w:p>
    <w:p w14:paraId="02AAE19E">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6.投诉书的投诉请求应与投诉事项相关。</w:t>
      </w:r>
    </w:p>
    <w:p w14:paraId="709E2C08">
      <w:pPr>
        <w:widowControl/>
        <w:ind w:firstLine="640" w:firstLineChars="200"/>
        <w:jc w:val="left"/>
        <w:rPr>
          <w:rFonts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7F0C339A">
      <w:pPr>
        <w:snapToGrid w:val="0"/>
        <w:spacing w:before="50" w:after="165" w:afterLines="50" w:line="360" w:lineRule="auto"/>
        <w:ind w:firstLine="480" w:firstLineChars="200"/>
        <w:jc w:val="left"/>
        <w:rPr>
          <w:color w:val="auto"/>
          <w:sz w:val="24"/>
          <w:highlight w:val="none"/>
        </w:rPr>
      </w:pPr>
    </w:p>
    <w:p w14:paraId="1224A617">
      <w:pPr>
        <w:rPr>
          <w:color w:val="auto"/>
          <w:highlight w:val="none"/>
        </w:rPr>
      </w:pPr>
    </w:p>
    <w:p w14:paraId="23047FAC">
      <w:pPr>
        <w:rPr>
          <w:color w:val="auto"/>
          <w:highlight w:val="none"/>
        </w:rPr>
      </w:pPr>
    </w:p>
    <w:sectPr>
      <w:footerReference r:id="rId25" w:type="first"/>
      <w:headerReference r:id="rId22" w:type="default"/>
      <w:footerReference r:id="rId23" w:type="default"/>
      <w:footerReference r:id="rId24"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Helvetica Neue">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50F1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66D06">
    <w:pPr>
      <w:pStyle w:val="12"/>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CDA7E">
    <w:pPr>
      <w:pStyle w:val="12"/>
      <w:framePr w:wrap="around" w:vAnchor="text" w:hAnchor="margin" w:xAlign="center" w:y="1"/>
      <w:rPr>
        <w:rStyle w:val="22"/>
      </w:rPr>
    </w:pPr>
    <w:r>
      <w:fldChar w:fldCharType="begin"/>
    </w:r>
    <w:r>
      <w:rPr>
        <w:rStyle w:val="22"/>
      </w:rPr>
      <w:instrText xml:space="preserve">PAGE  </w:instrText>
    </w:r>
    <w:r>
      <w:fldChar w:fldCharType="end"/>
    </w:r>
  </w:p>
  <w:p w14:paraId="6AF6DB1A">
    <w:pPr>
      <w:pStyle w:val="1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CFDAA">
    <w:pPr>
      <w:pStyle w:val="12"/>
      <w:framePr w:wrap="around" w:vAnchor="text" w:hAnchor="margin" w:xAlign="right" w:y="1"/>
      <w:rPr>
        <w:rStyle w:val="22"/>
      </w:rPr>
    </w:pPr>
    <w:r>
      <w:fldChar w:fldCharType="begin"/>
    </w:r>
    <w:r>
      <w:rPr>
        <w:rStyle w:val="22"/>
      </w:rPr>
      <w:instrText xml:space="preserve">PAGE  </w:instrText>
    </w:r>
    <w:r>
      <w:fldChar w:fldCharType="separate"/>
    </w:r>
    <w:r>
      <w:rPr>
        <w:rStyle w:val="22"/>
      </w:rPr>
      <w:t>122</w:t>
    </w:r>
    <w:r>
      <w:fldChar w:fldCharType="end"/>
    </w:r>
  </w:p>
  <w:p w14:paraId="132C3DCC">
    <w:pPr>
      <w:pStyle w:val="12"/>
      <w:ind w:right="360"/>
      <w:jc w:val="both"/>
    </w:pPr>
    <w:r>
      <w:rPr>
        <w:rFonts w:hint="eastAsia"/>
      </w:rPr>
      <w:t>121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F2BBB">
    <w:pPr>
      <w:pStyle w:val="12"/>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7F3CF">
                          <w:pPr>
                            <w:pStyle w:val="12"/>
                            <w:jc w:val="center"/>
                          </w:pPr>
                          <w:r>
                            <w:fldChar w:fldCharType="begin"/>
                          </w:r>
                          <w:r>
                            <w:instrText xml:space="preserve"> PAGE   \* MERGEFORMAT </w:instrText>
                          </w:r>
                          <w:r>
                            <w:fldChar w:fldCharType="separate"/>
                          </w:r>
                          <w:r>
                            <w:rPr>
                              <w:lang w:val="zh-CN"/>
                            </w:rPr>
                            <w:t>96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877F3CF">
                    <w:pPr>
                      <w:pStyle w:val="12"/>
                      <w:jc w:val="center"/>
                    </w:pPr>
                    <w:r>
                      <w:fldChar w:fldCharType="begin"/>
                    </w:r>
                    <w:r>
                      <w:instrText xml:space="preserve"> PAGE   \* MERGEFORMAT </w:instrText>
                    </w:r>
                    <w:r>
                      <w:fldChar w:fldCharType="separate"/>
                    </w:r>
                    <w:r>
                      <w:rPr>
                        <w:lang w:val="zh-CN"/>
                      </w:rPr>
                      <w:t>96</w:t>
                    </w:r>
                    <w:r>
                      <w:fldChar w:fldCharType="end"/>
                    </w:r>
                  </w:p>
                </w:txbxContent>
              </v:textbox>
            </v:shape>
          </w:pict>
        </mc:Fallback>
      </mc:AlternateContent>
    </w:r>
  </w:p>
  <w:p w14:paraId="6DFD5569">
    <w:pPr>
      <w:pStyle w:val="1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CC83">
    <w:pPr>
      <w:pStyle w:val="12"/>
      <w:framePr w:wrap="around" w:vAnchor="text" w:hAnchor="margin" w:xAlign="center" w:y="1"/>
      <w:rPr>
        <w:rStyle w:val="22"/>
      </w:rPr>
    </w:pPr>
    <w:r>
      <w:fldChar w:fldCharType="begin"/>
    </w:r>
    <w:r>
      <w:rPr>
        <w:rStyle w:val="22"/>
      </w:rPr>
      <w:instrText xml:space="preserve">PAGE  </w:instrText>
    </w:r>
    <w:r>
      <w:fldChar w:fldCharType="end"/>
    </w:r>
  </w:p>
  <w:p w14:paraId="29329927">
    <w:pPr>
      <w:pStyle w:val="12"/>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AF0D8">
    <w:pPr>
      <w:pStyle w:val="12"/>
      <w:framePr w:wrap="around" w:vAnchor="text" w:hAnchor="margin" w:xAlign="right" w:y="1"/>
      <w:rPr>
        <w:rStyle w:val="22"/>
      </w:rPr>
    </w:pPr>
    <w:r>
      <w:fldChar w:fldCharType="begin"/>
    </w:r>
    <w:r>
      <w:rPr>
        <w:rStyle w:val="22"/>
      </w:rPr>
      <w:instrText xml:space="preserve">PAGE  </w:instrText>
    </w:r>
    <w:r>
      <w:fldChar w:fldCharType="separate"/>
    </w:r>
    <w:r>
      <w:rPr>
        <w:rStyle w:val="22"/>
      </w:rPr>
      <w:t>122</w:t>
    </w:r>
    <w:r>
      <w:fldChar w:fldCharType="end"/>
    </w:r>
  </w:p>
  <w:p w14:paraId="2FD63548">
    <w:pPr>
      <w:pStyle w:val="12"/>
      <w:ind w:right="360"/>
      <w:jc w:val="both"/>
    </w:pPr>
    <w:r>
      <w:rPr>
        <w:rFonts w:hint="eastAsia"/>
      </w:rPr>
      <w:t>121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CB9C9">
    <w:pPr>
      <w:pStyle w:val="12"/>
      <w:jc w:val="center"/>
    </w:pPr>
    <w:r>
      <w:fldChar w:fldCharType="begin"/>
    </w:r>
    <w:r>
      <w:instrText xml:space="preserve"> PAGE   \* MERGEFORMAT </w:instrText>
    </w:r>
    <w:r>
      <w:fldChar w:fldCharType="separate"/>
    </w:r>
    <w:r>
      <w:rPr>
        <w:lang w:val="zh-CN"/>
      </w:rPr>
      <w:t>99</w:t>
    </w:r>
    <w:r>
      <w:fldChar w:fldCharType="end"/>
    </w:r>
  </w:p>
  <w:p w14:paraId="41B03B7F">
    <w:pPr>
      <w:pStyle w:val="12"/>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E8EDA">
    <w:pPr>
      <w:pStyle w:val="12"/>
      <w:framePr w:wrap="around" w:vAnchor="text" w:hAnchor="margin" w:xAlign="center" w:y="1"/>
      <w:rPr>
        <w:rStyle w:val="22"/>
      </w:rPr>
    </w:pPr>
    <w:r>
      <w:fldChar w:fldCharType="begin"/>
    </w:r>
    <w:r>
      <w:rPr>
        <w:rStyle w:val="22"/>
      </w:rPr>
      <w:instrText xml:space="preserve">PAGE  </w:instrText>
    </w:r>
    <w:r>
      <w:fldChar w:fldCharType="end"/>
    </w:r>
  </w:p>
  <w:p w14:paraId="475B3EC6">
    <w:pPr>
      <w:pStyle w:val="12"/>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A2294">
    <w:pPr>
      <w:pStyle w:val="12"/>
      <w:framePr w:wrap="around" w:vAnchor="text" w:hAnchor="margin" w:xAlign="right" w:y="1"/>
      <w:rPr>
        <w:rStyle w:val="22"/>
      </w:rPr>
    </w:pPr>
    <w:r>
      <w:fldChar w:fldCharType="begin"/>
    </w:r>
    <w:r>
      <w:rPr>
        <w:rStyle w:val="22"/>
      </w:rPr>
      <w:instrText xml:space="preserve">PAGE  </w:instrText>
    </w:r>
    <w:r>
      <w:fldChar w:fldCharType="separate"/>
    </w:r>
    <w:r>
      <w:rPr>
        <w:rStyle w:val="22"/>
      </w:rPr>
      <w:t>122</w:t>
    </w:r>
    <w:r>
      <w:fldChar w:fldCharType="end"/>
    </w:r>
  </w:p>
  <w:p w14:paraId="254D6FB1">
    <w:pPr>
      <w:pStyle w:val="12"/>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5D148">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E7D415">
                          <w:pPr>
                            <w:pStyle w:val="12"/>
                            <w:jc w:val="center"/>
                          </w:pPr>
                          <w:r>
                            <w:fldChar w:fldCharType="begin"/>
                          </w:r>
                          <w:r>
                            <w:instrText xml:space="preserve">PAGE   \* MERGEFORMAT</w:instrText>
                          </w:r>
                          <w:r>
                            <w:fldChar w:fldCharType="separate"/>
                          </w:r>
                          <w:r>
                            <w:rPr>
                              <w:lang w:val="zh-CN"/>
                            </w:rPr>
                            <w:t>44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54E7D415">
                    <w:pPr>
                      <w:pStyle w:val="12"/>
                      <w:jc w:val="center"/>
                    </w:pPr>
                    <w:r>
                      <w:fldChar w:fldCharType="begin"/>
                    </w:r>
                    <w:r>
                      <w:instrText xml:space="preserve">PAGE   \* MERGEFORMAT</w:instrText>
                    </w:r>
                    <w:r>
                      <w:fldChar w:fldCharType="separate"/>
                    </w:r>
                    <w:r>
                      <w:rPr>
                        <w:lang w:val="zh-CN"/>
                      </w:rPr>
                      <w:t>44</w:t>
                    </w:r>
                    <w:r>
                      <w:fldChar w:fldCharType="end"/>
                    </w:r>
                  </w:p>
                </w:txbxContent>
              </v:textbox>
            </v:shape>
          </w:pict>
        </mc:Fallback>
      </mc:AlternateContent>
    </w:r>
  </w:p>
  <w:p w14:paraId="360CF996">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D0A49">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564140">
                          <w:pPr>
                            <w:pStyle w:val="12"/>
                            <w:jc w:val="center"/>
                          </w:pPr>
                          <w:r>
                            <w:fldChar w:fldCharType="begin"/>
                          </w:r>
                          <w:r>
                            <w:instrText xml:space="preserve">PAGE   \* MERGEFORMAT</w:instrText>
                          </w:r>
                          <w:r>
                            <w:fldChar w:fldCharType="separate"/>
                          </w:r>
                          <w:r>
                            <w:rPr>
                              <w:lang w:val="zh-CN"/>
                            </w:rPr>
                            <w:t>42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61564140">
                    <w:pPr>
                      <w:pStyle w:val="12"/>
                      <w:jc w:val="center"/>
                    </w:pPr>
                    <w:r>
                      <w:fldChar w:fldCharType="begin"/>
                    </w:r>
                    <w:r>
                      <w:instrText xml:space="preserve">PAGE   \* MERGEFORMAT</w:instrText>
                    </w:r>
                    <w:r>
                      <w:fldChar w:fldCharType="separate"/>
                    </w:r>
                    <w:r>
                      <w:rPr>
                        <w:lang w:val="zh-CN"/>
                      </w:rPr>
                      <w:t>42</w:t>
                    </w:r>
                    <w:r>
                      <w:fldChar w:fldCharType="end"/>
                    </w:r>
                  </w:p>
                </w:txbxContent>
              </v:textbox>
            </v:shape>
          </w:pict>
        </mc:Fallback>
      </mc:AlternateContent>
    </w:r>
  </w:p>
  <w:p w14:paraId="2C205DF9">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E2219">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7C39F4">
                          <w:pPr>
                            <w:pStyle w:val="12"/>
                            <w:jc w:val="center"/>
                          </w:pPr>
                          <w:r>
                            <w:fldChar w:fldCharType="begin"/>
                          </w:r>
                          <w:r>
                            <w:instrText xml:space="preserve">PAGE   \* MERGEFORMAT</w:instrText>
                          </w:r>
                          <w:r>
                            <w:fldChar w:fldCharType="separate"/>
                          </w:r>
                          <w:r>
                            <w:rPr>
                              <w:lang w:val="zh-CN"/>
                            </w:rPr>
                            <w:t>50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37C39F4">
                    <w:pPr>
                      <w:pStyle w:val="12"/>
                      <w:jc w:val="center"/>
                    </w:pPr>
                    <w:r>
                      <w:fldChar w:fldCharType="begin"/>
                    </w:r>
                    <w:r>
                      <w:instrText xml:space="preserve">PAGE   \* MERGEFORMAT</w:instrText>
                    </w:r>
                    <w:r>
                      <w:fldChar w:fldCharType="separate"/>
                    </w:r>
                    <w:r>
                      <w:rPr>
                        <w:lang w:val="zh-CN"/>
                      </w:rPr>
                      <w:t>50</w:t>
                    </w:r>
                    <w:r>
                      <w:fldChar w:fldCharType="end"/>
                    </w:r>
                  </w:p>
                </w:txbxContent>
              </v:textbox>
            </v:shape>
          </w:pict>
        </mc:Fallback>
      </mc:AlternateContent>
    </w:r>
  </w:p>
  <w:p w14:paraId="2E0F128B">
    <w:pPr>
      <w:pStyle w:val="12"/>
      <w:tabs>
        <w:tab w:val="center" w:pos="4819"/>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89B17">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6C2C56">
                          <w:pPr>
                            <w:pStyle w:val="12"/>
                            <w:jc w:val="center"/>
                          </w:pPr>
                          <w:r>
                            <w:fldChar w:fldCharType="begin"/>
                          </w:r>
                          <w:r>
                            <w:instrText xml:space="preserve"> PAGE   \* MERGEFORMAT </w:instrText>
                          </w:r>
                          <w:r>
                            <w:fldChar w:fldCharType="separate"/>
                          </w:r>
                          <w:r>
                            <w:rPr>
                              <w:lang w:val="zh-CN"/>
                            </w:rPr>
                            <w:t>60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D6C2C56">
                    <w:pPr>
                      <w:pStyle w:val="12"/>
                      <w:jc w:val="center"/>
                    </w:pPr>
                    <w:r>
                      <w:fldChar w:fldCharType="begin"/>
                    </w:r>
                    <w:r>
                      <w:instrText xml:space="preserve"> PAGE   \* MERGEFORMAT </w:instrText>
                    </w:r>
                    <w:r>
                      <w:fldChar w:fldCharType="separate"/>
                    </w:r>
                    <w:r>
                      <w:rPr>
                        <w:lang w:val="zh-CN"/>
                      </w:rPr>
                      <w:t>60</w:t>
                    </w:r>
                    <w:r>
                      <w:fldChar w:fldCharType="end"/>
                    </w:r>
                  </w:p>
                </w:txbxContent>
              </v:textbox>
            </v:shape>
          </w:pict>
        </mc:Fallback>
      </mc:AlternateContent>
    </w:r>
  </w:p>
  <w:p w14:paraId="5C927401">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6BE75">
    <w:pPr>
      <w:pStyle w:val="1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1EB519">
                          <w:pPr>
                            <w:pStyle w:val="12"/>
                            <w:jc w:val="center"/>
                          </w:pPr>
                          <w:r>
                            <w:fldChar w:fldCharType="begin"/>
                          </w:r>
                          <w:r>
                            <w:instrText xml:space="preserve"> PAGE   \* MERGEFORMAT </w:instrText>
                          </w:r>
                          <w:r>
                            <w:fldChar w:fldCharType="separate"/>
                          </w:r>
                          <w:r>
                            <w:rPr>
                              <w:lang w:val="zh-CN"/>
                            </w:rPr>
                            <w:t>76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F1EB519">
                    <w:pPr>
                      <w:pStyle w:val="12"/>
                      <w:jc w:val="center"/>
                    </w:pPr>
                    <w:r>
                      <w:fldChar w:fldCharType="begin"/>
                    </w:r>
                    <w:r>
                      <w:instrText xml:space="preserve"> PAGE   \* MERGEFORMAT </w:instrText>
                    </w:r>
                    <w:r>
                      <w:fldChar w:fldCharType="separate"/>
                    </w:r>
                    <w:r>
                      <w:rPr>
                        <w:lang w:val="zh-CN"/>
                      </w:rPr>
                      <w:t>76</w:t>
                    </w:r>
                    <w:r>
                      <w:fldChar w:fldCharType="end"/>
                    </w:r>
                  </w:p>
                </w:txbxContent>
              </v:textbox>
            </v:shape>
          </w:pict>
        </mc:Fallback>
      </mc:AlternateContent>
    </w:r>
  </w:p>
  <w:p w14:paraId="26959C6C">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3E246">
    <w:pPr>
      <w:pStyle w:val="12"/>
      <w:framePr w:wrap="around" w:vAnchor="text" w:hAnchor="margin" w:xAlign="center" w:y="1"/>
      <w:rPr>
        <w:rStyle w:val="22"/>
      </w:rPr>
    </w:pPr>
    <w:r>
      <w:fldChar w:fldCharType="begin"/>
    </w:r>
    <w:r>
      <w:rPr>
        <w:rStyle w:val="22"/>
      </w:rPr>
      <w:instrText xml:space="preserve">PAGE  </w:instrText>
    </w:r>
    <w:r>
      <w:fldChar w:fldCharType="end"/>
    </w:r>
  </w:p>
  <w:p w14:paraId="5CAC7E01">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3ABB8">
    <w:pPr>
      <w:pStyle w:val="12"/>
      <w:framePr w:wrap="around" w:vAnchor="text" w:hAnchor="margin" w:xAlign="right" w:y="1"/>
      <w:rPr>
        <w:rStyle w:val="22"/>
      </w:rPr>
    </w:pPr>
    <w:r>
      <w:fldChar w:fldCharType="begin"/>
    </w:r>
    <w:r>
      <w:rPr>
        <w:rStyle w:val="22"/>
      </w:rPr>
      <w:instrText xml:space="preserve">PAGE  </w:instrText>
    </w:r>
    <w:r>
      <w:fldChar w:fldCharType="separate"/>
    </w:r>
    <w:r>
      <w:rPr>
        <w:rStyle w:val="22"/>
      </w:rPr>
      <w:t>122</w:t>
    </w:r>
    <w:r>
      <w:fldChar w:fldCharType="end"/>
    </w:r>
  </w:p>
  <w:p w14:paraId="41DF9606">
    <w:pPr>
      <w:pStyle w:val="12"/>
      <w:ind w:right="360"/>
      <w:jc w:val="both"/>
    </w:pPr>
    <w:r>
      <w:rPr>
        <w:rFonts w:hint="eastAsia"/>
      </w:rPr>
      <w:t>121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DB3A">
    <w:pPr>
      <w:pStyle w:val="1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73F33A">
                          <w:pPr>
                            <w:pStyle w:val="12"/>
                            <w:jc w:val="center"/>
                          </w:pPr>
                          <w:r>
                            <w:fldChar w:fldCharType="begin"/>
                          </w:r>
                          <w:r>
                            <w:instrText xml:space="preserve"> PAGE   \* MERGEFORMAT </w:instrText>
                          </w:r>
                          <w:r>
                            <w:fldChar w:fldCharType="separate"/>
                          </w:r>
                          <w:r>
                            <w:rPr>
                              <w:lang w:val="zh-CN"/>
                            </w:rPr>
                            <w:t>78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873F33A">
                    <w:pPr>
                      <w:pStyle w:val="12"/>
                      <w:jc w:val="center"/>
                    </w:pPr>
                    <w:r>
                      <w:fldChar w:fldCharType="begin"/>
                    </w:r>
                    <w:r>
                      <w:instrText xml:space="preserve"> PAGE   \* MERGEFORMAT </w:instrText>
                    </w:r>
                    <w:r>
                      <w:fldChar w:fldCharType="separate"/>
                    </w:r>
                    <w:r>
                      <w:rPr>
                        <w:lang w:val="zh-CN"/>
                      </w:rPr>
                      <w:t>78</w:t>
                    </w:r>
                    <w:r>
                      <w:fldChar w:fldCharType="end"/>
                    </w:r>
                  </w:p>
                </w:txbxContent>
              </v:textbox>
            </v:shape>
          </w:pict>
        </mc:Fallback>
      </mc:AlternateContent>
    </w:r>
  </w:p>
  <w:p w14:paraId="5C6B057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52EC">
    <w:pPr>
      <w:pStyle w:val="13"/>
      <w:tabs>
        <w:tab w:val="center" w:pos="0"/>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1208">
    <w:pPr>
      <w:pStyle w:val="13"/>
      <w:tabs>
        <w:tab w:val="center" w:pos="0"/>
        <w:tab w:val="clear" w:pos="4153"/>
      </w:tabs>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7FC51">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F8130">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AB441">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0165C">
    <w:pPr>
      <w:pStyle w:val="13"/>
      <w:tabs>
        <w:tab w:val="center" w:pos="0"/>
        <w:tab w:val="clear" w:pos="4153"/>
      </w:tabs>
    </w:pPr>
    <w:r>
      <w:rPr>
        <w:rFonts w:hint="eastAsia"/>
      </w:rPr>
      <w:t>项目编号：@采购文件模板实体.项目编号1@</w:t>
    </w:r>
  </w:p>
  <w:p w14:paraId="2DF6A310">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B7645F7"/>
    <w:multiLevelType w:val="singleLevel"/>
    <w:tmpl w:val="2B7645F7"/>
    <w:lvl w:ilvl="0" w:tentative="0">
      <w:start w:val="1"/>
      <w:numFmt w:val="decimal"/>
      <w:suff w:val="nothing"/>
      <w:lvlText w:val="（%1）"/>
      <w:lvlJc w:val="left"/>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2"/>
  </w:num>
  <w:num w:numId="2">
    <w:abstractNumId w:val="4"/>
  </w:num>
  <w:num w:numId="3">
    <w:abstractNumId w:val="1"/>
    <w:lvlOverride w:ilvl="0">
      <w:startOverride w:val="1"/>
    </w:lvlOverride>
  </w:num>
  <w:num w:numId="4">
    <w:abstractNumId w:val="0"/>
    <w:lvlOverride w:ilvl="0">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70FE5"/>
    <w:rsid w:val="00181510"/>
    <w:rsid w:val="003F23CC"/>
    <w:rsid w:val="00425DAD"/>
    <w:rsid w:val="00504A38"/>
    <w:rsid w:val="00731270"/>
    <w:rsid w:val="009117DB"/>
    <w:rsid w:val="009E74AE"/>
    <w:rsid w:val="00AD44A6"/>
    <w:rsid w:val="00CD73E9"/>
    <w:rsid w:val="00D02516"/>
    <w:rsid w:val="079832F8"/>
    <w:rsid w:val="08FA738F"/>
    <w:rsid w:val="0D443230"/>
    <w:rsid w:val="0F2855F5"/>
    <w:rsid w:val="0F7F6343"/>
    <w:rsid w:val="145A2C0B"/>
    <w:rsid w:val="21FA2BA7"/>
    <w:rsid w:val="26A76454"/>
    <w:rsid w:val="2D044742"/>
    <w:rsid w:val="2DB70FE5"/>
    <w:rsid w:val="30405223"/>
    <w:rsid w:val="34DB230B"/>
    <w:rsid w:val="3CEB4F99"/>
    <w:rsid w:val="40E864BF"/>
    <w:rsid w:val="4CC34DBA"/>
    <w:rsid w:val="54F74B17"/>
    <w:rsid w:val="59140E77"/>
    <w:rsid w:val="5F2628F0"/>
    <w:rsid w:val="609C64D7"/>
    <w:rsid w:val="615F10FE"/>
    <w:rsid w:val="66727B0A"/>
    <w:rsid w:val="718C1A9B"/>
    <w:rsid w:val="7C59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3">
    <w:name w:val="heading 3"/>
    <w:basedOn w:val="1"/>
    <w:next w:val="1"/>
    <w:qFormat/>
    <w:uiPriority w:val="0"/>
    <w:pPr>
      <w:keepNext/>
      <w:keepLines/>
      <w:spacing w:line="600" w:lineRule="exact"/>
      <w:ind w:firstLine="643" w:firstLineChars="200"/>
      <w:outlineLvl w:val="2"/>
    </w:pPr>
    <w:rPr>
      <w:b/>
      <w:bCs/>
      <w:sz w:val="32"/>
      <w:szCs w:val="32"/>
    </w:rPr>
  </w:style>
  <w:style w:type="paragraph" w:styleId="4">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link w:val="29"/>
    <w:qFormat/>
    <w:uiPriority w:val="0"/>
    <w:pPr>
      <w:jc w:val="left"/>
    </w:pPr>
  </w:style>
  <w:style w:type="paragraph" w:styleId="7">
    <w:name w:val="Body Text"/>
    <w:basedOn w:val="1"/>
    <w:qFormat/>
    <w:uiPriority w:val="0"/>
    <w:pPr>
      <w:spacing w:after="120"/>
    </w:pPr>
  </w:style>
  <w:style w:type="paragraph" w:styleId="8">
    <w:name w:val="Body Text Indent"/>
    <w:basedOn w:val="1"/>
    <w:next w:val="1"/>
    <w:qFormat/>
    <w:uiPriority w:val="0"/>
    <w:pPr>
      <w:spacing w:line="200" w:lineRule="exact"/>
      <w:ind w:firstLine="301"/>
    </w:pPr>
    <w:rPr>
      <w:rFonts w:ascii="宋体" w:hAnsi="Courier New"/>
      <w:spacing w:val="-4"/>
      <w:sz w:val="18"/>
      <w:szCs w:val="20"/>
    </w:rPr>
  </w:style>
  <w:style w:type="paragraph" w:styleId="9">
    <w:name w:val="toc 3"/>
    <w:basedOn w:val="1"/>
    <w:next w:val="1"/>
    <w:semiHidden/>
    <w:unhideWhenUsed/>
    <w:uiPriority w:val="0"/>
    <w:pPr>
      <w:ind w:left="840" w:leftChars="400"/>
    </w:pPr>
  </w:style>
  <w:style w:type="paragraph" w:styleId="10">
    <w:name w:val="Plain Text"/>
    <w:basedOn w:val="1"/>
    <w:next w:val="1"/>
    <w:qFormat/>
    <w:uiPriority w:val="0"/>
    <w:rPr>
      <w:rFonts w:ascii="宋体" w:hAnsi="Courier New"/>
      <w:szCs w:val="20"/>
    </w:rPr>
  </w:style>
  <w:style w:type="paragraph" w:styleId="11">
    <w:name w:val="Balloon Text"/>
    <w:basedOn w:val="1"/>
    <w:link w:val="28"/>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spacing w:before="360" w:after="360"/>
      <w:jc w:val="left"/>
    </w:pPr>
    <w:rPr>
      <w:rFonts w:ascii="Calibri" w:hAnsi="Calibri"/>
      <w:b/>
      <w:bCs/>
      <w:caps/>
      <w:sz w:val="22"/>
      <w:szCs w:val="22"/>
      <w:u w:val="single"/>
    </w:rPr>
  </w:style>
  <w:style w:type="paragraph" w:styleId="15">
    <w:name w:val="List"/>
    <w:basedOn w:val="1"/>
    <w:qFormat/>
    <w:uiPriority w:val="0"/>
    <w:pPr>
      <w:ind w:left="200" w:hanging="200" w:hangingChars="200"/>
    </w:pPr>
    <w:rPr>
      <w:sz w:val="28"/>
    </w:rPr>
  </w:style>
  <w:style w:type="paragraph" w:styleId="16">
    <w:name w:val="toc 2"/>
    <w:basedOn w:val="1"/>
    <w:next w:val="1"/>
    <w:semiHidden/>
    <w:unhideWhenUsed/>
    <w:uiPriority w:val="0"/>
    <w:pPr>
      <w:ind w:left="420" w:leftChars="200"/>
    </w:pPr>
  </w:style>
  <w:style w:type="paragraph" w:styleId="17">
    <w:name w:val="annotation subject"/>
    <w:basedOn w:val="6"/>
    <w:next w:val="6"/>
    <w:link w:val="30"/>
    <w:qFormat/>
    <w:uiPriority w:val="0"/>
    <w:rPr>
      <w:b/>
      <w:bCs/>
    </w:rPr>
  </w:style>
  <w:style w:type="paragraph" w:styleId="18">
    <w:name w:val="Body Text First Indent 2"/>
    <w:basedOn w:val="8"/>
    <w:next w:val="19"/>
    <w:qFormat/>
    <w:uiPriority w:val="0"/>
    <w:pPr>
      <w:spacing w:after="120" w:line="240" w:lineRule="auto"/>
      <w:ind w:left="420" w:leftChars="200" w:firstLine="420" w:firstLineChars="200"/>
    </w:pPr>
    <w:rPr>
      <w:szCs w:val="24"/>
    </w:rPr>
  </w:style>
  <w:style w:type="paragraph" w:styleId="19">
    <w:name w:val="Intense Quote"/>
    <w:basedOn w:val="1"/>
    <w:next w:val="1"/>
    <w:qFormat/>
    <w:uiPriority w:val="0"/>
    <w:pPr>
      <w:pBdr>
        <w:bottom w:val="single" w:color="4F81BD" w:sz="4" w:space="4"/>
      </w:pBdr>
      <w:ind w:left="936" w:right="936"/>
    </w:pPr>
    <w:rPr>
      <w:rFonts w:ascii="Calibri" w:hAnsi="Calibri"/>
      <w:b/>
      <w:i/>
      <w:color w:val="4F81BD"/>
    </w:rPr>
  </w:style>
  <w:style w:type="character" w:styleId="22">
    <w:name w:val="page number"/>
    <w:qFormat/>
    <w:uiPriority w:val="0"/>
  </w:style>
  <w:style w:type="character" w:styleId="23">
    <w:name w:val="Hyperlink"/>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正文2"/>
    <w:basedOn w:val="1"/>
    <w:qFormat/>
    <w:uiPriority w:val="0"/>
    <w:pPr>
      <w:adjustRightInd w:val="0"/>
      <w:spacing w:before="156" w:line="360" w:lineRule="auto"/>
      <w:ind w:firstLine="510" w:firstLineChars="200"/>
    </w:pPr>
    <w:rPr>
      <w:sz w:val="24"/>
      <w:szCs w:val="20"/>
    </w:rPr>
  </w:style>
  <w:style w:type="paragraph" w:customStyle="1" w:styleId="26">
    <w:name w:val="正文缩进1"/>
    <w:basedOn w:val="1"/>
    <w:next w:val="8"/>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样式5"/>
    <w:basedOn w:val="1"/>
    <w:qFormat/>
    <w:uiPriority w:val="0"/>
    <w:pPr>
      <w:adjustRightInd w:val="0"/>
      <w:spacing w:line="440" w:lineRule="exact"/>
      <w:ind w:left="2" w:firstLine="480" w:firstLineChars="200"/>
    </w:pPr>
    <w:rPr>
      <w:rFonts w:ascii="仿宋_GB2312" w:hAnsi="仿宋" w:eastAsia="仿宋_GB2312"/>
      <w:sz w:val="24"/>
    </w:rPr>
  </w:style>
  <w:style w:type="character" w:customStyle="1" w:styleId="28">
    <w:name w:val="批注框文本 Char"/>
    <w:basedOn w:val="21"/>
    <w:link w:val="11"/>
    <w:qFormat/>
    <w:uiPriority w:val="0"/>
    <w:rPr>
      <w:rFonts w:ascii="Times New Roman" w:hAnsi="Times New Roman" w:eastAsia="宋体" w:cs="Times New Roman"/>
      <w:kern w:val="2"/>
      <w:sz w:val="18"/>
      <w:szCs w:val="18"/>
    </w:rPr>
  </w:style>
  <w:style w:type="character" w:customStyle="1" w:styleId="29">
    <w:name w:val="批注文字 Char"/>
    <w:basedOn w:val="21"/>
    <w:link w:val="6"/>
    <w:qFormat/>
    <w:uiPriority w:val="0"/>
    <w:rPr>
      <w:rFonts w:ascii="Times New Roman" w:hAnsi="Times New Roman" w:eastAsia="宋体" w:cs="Times New Roman"/>
      <w:kern w:val="2"/>
      <w:sz w:val="21"/>
      <w:szCs w:val="24"/>
    </w:rPr>
  </w:style>
  <w:style w:type="character" w:customStyle="1" w:styleId="30">
    <w:name w:val="批注主题 Char"/>
    <w:basedOn w:val="29"/>
    <w:link w:val="17"/>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98</Pages>
  <Words>6272</Words>
  <Characters>6853</Characters>
  <Lines>474</Lines>
  <Paragraphs>133</Paragraphs>
  <TotalTime>0</TotalTime>
  <ScaleCrop>false</ScaleCrop>
  <LinksUpToDate>false</LinksUpToDate>
  <CharactersWithSpaces>6902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2026-05-26T13:51:00Z</dcterms:created>
  <dc:creator>admin</dc:creator>
  <cp:lastModifiedBy>admin</cp:lastModifiedBy>
  <dcterms:modified xsi:type="dcterms:W3CDTF">2026-06-01T08:56:11Z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901203010D214E6F91741CEB7A8963B9_13</vt:lpwstr>
  </property>
  <property fmtid="{D5CDD505-2E9C-101B-9397-08002B2CF9AE}" pid="4" name="KSOTemplateDocerSaveRecord">
    <vt:lpwstr>eyJoZGlkIjoiZThmNjAzMWJlZjFkMmQwODUwMTJkYzE2ODFiYmFmYTciLCJ1c2VySWQiOiIxMTQzODI0NTMxIn0=</vt:lpwstr>
  </property>
</Properties>
</file>